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p>
    <w:p>
      <w:pPr>
        <w:ind w:left="9140"/>
        <w:spacing w:after="0"/>
        <w:rPr>
          <w:sz w:val="20"/>
          <w:szCs w:val="20"/>
          <w:color w:val="auto"/>
        </w:rPr>
      </w:pPr>
      <w:r>
        <w:rPr>
          <w:rFonts w:ascii="Arial" w:cs="Arial" w:eastAsia="Arial" w:hAnsi="Arial"/>
          <w:sz w:val="16"/>
          <w:szCs w:val="16"/>
          <w:color w:val="auto"/>
        </w:rPr>
        <w:t>Registration No. 333-________</w:t>
      </w:r>
    </w:p>
    <w:p>
      <w:pPr>
        <w:spacing w:after="0" w:line="24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As filed with the United States Securities and Exchange Commission on July 22, 2016</w:t>
      </w:r>
    </w:p>
    <w:p>
      <w:pPr>
        <w:spacing w:after="0" w:line="200" w:lineRule="exact"/>
        <w:rPr>
          <w:sz w:val="24"/>
          <w:szCs w:val="24"/>
          <w:color w:val="auto"/>
        </w:rPr>
      </w:pPr>
    </w:p>
    <w:p>
      <w:pPr>
        <w:spacing w:after="0" w:line="23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93"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S-8</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REGISTRATION STATEMENT</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UNDER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SECURITIES ACT OF 1933</w:t>
      </w:r>
    </w:p>
    <w:p>
      <w:pPr>
        <w:spacing w:after="0" w:line="3" w:lineRule="exact"/>
        <w:rPr>
          <w:sz w:val="24"/>
          <w:szCs w:val="24"/>
          <w:color w:val="auto"/>
        </w:rPr>
      </w:pPr>
    </w:p>
    <w:p>
      <w:pPr>
        <w:ind w:left="4660"/>
        <w:spacing w:after="0"/>
        <w:rPr>
          <w:sz w:val="20"/>
          <w:szCs w:val="20"/>
          <w:color w:val="auto"/>
        </w:rPr>
      </w:pPr>
      <w:r>
        <w:rPr>
          <w:rFonts w:ascii="Arial" w:cs="Arial" w:eastAsia="Arial" w:hAnsi="Arial"/>
          <w:sz w:val="23"/>
          <w:szCs w:val="23"/>
          <w:color w:val="auto"/>
        </w:rPr>
        <w:t>__________________</w:t>
      </w:r>
    </w:p>
    <w:p>
      <w:pPr>
        <w:spacing w:after="0" w:line="20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BRADY CORPORATION</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367" w:lineRule="exact"/>
        <w:rPr>
          <w:sz w:val="24"/>
          <w:szCs w:val="24"/>
          <w:color w:val="auto"/>
        </w:rPr>
      </w:pPr>
    </w:p>
    <w:tbl>
      <w:tblPr>
        <w:tblLayout w:type="fixed"/>
        <w:tblInd w:w="1120" w:type="dxa"/>
        <w:tblCellMar>
          <w:top w:w="0" w:type="dxa"/>
          <w:left w:w="0" w:type="dxa"/>
          <w:bottom w:w="0" w:type="dxa"/>
          <w:right w:w="0" w:type="dxa"/>
        </w:tblCellMar>
      </w:tblPr>
      <w:tr>
        <w:trPr>
          <w:trHeight w:val="234"/>
        </w:trPr>
        <w:tc>
          <w:tcPr>
            <w:tcW w:w="6000" w:type="dxa"/>
            <w:vAlign w:val="bottom"/>
          </w:tcPr>
          <w:p>
            <w:pPr>
              <w:jc w:val="center"/>
              <w:ind w:right="1928"/>
              <w:spacing w:after="0"/>
              <w:rPr>
                <w:sz w:val="20"/>
                <w:szCs w:val="20"/>
                <w:color w:val="auto"/>
              </w:rPr>
            </w:pPr>
            <w:r>
              <w:rPr>
                <w:rFonts w:ascii="Arial" w:cs="Arial" w:eastAsia="Arial" w:hAnsi="Arial"/>
                <w:sz w:val="18"/>
                <w:szCs w:val="18"/>
                <w:b w:val="1"/>
                <w:bCs w:val="1"/>
                <w:color w:val="auto"/>
                <w:w w:val="86"/>
              </w:rPr>
              <w:t>Wisconsin</w:t>
            </w:r>
          </w:p>
        </w:tc>
        <w:tc>
          <w:tcPr>
            <w:tcW w:w="2320" w:type="dxa"/>
            <w:vAlign w:val="bottom"/>
          </w:tcPr>
          <w:p>
            <w:pPr>
              <w:jc w:val="right"/>
              <w:ind w:right="590"/>
              <w:spacing w:after="0"/>
              <w:rPr>
                <w:sz w:val="20"/>
                <w:szCs w:val="20"/>
                <w:color w:val="auto"/>
              </w:rPr>
            </w:pPr>
            <w:r>
              <w:rPr>
                <w:rFonts w:ascii="Arial" w:cs="Arial" w:eastAsia="Arial" w:hAnsi="Arial"/>
                <w:sz w:val="18"/>
                <w:szCs w:val="18"/>
                <w:b w:val="1"/>
                <w:bCs w:val="1"/>
                <w:color w:val="auto"/>
              </w:rPr>
              <w:t>39-0178960</w:t>
            </w:r>
          </w:p>
        </w:tc>
      </w:tr>
      <w:tr>
        <w:trPr>
          <w:trHeight w:val="256"/>
        </w:trPr>
        <w:tc>
          <w:tcPr>
            <w:tcW w:w="6000" w:type="dxa"/>
            <w:vAlign w:val="bottom"/>
          </w:tcPr>
          <w:p>
            <w:pPr>
              <w:jc w:val="center"/>
              <w:ind w:right="1928"/>
              <w:spacing w:after="0"/>
              <w:rPr>
                <w:sz w:val="20"/>
                <w:szCs w:val="20"/>
                <w:color w:val="auto"/>
              </w:rPr>
            </w:pPr>
            <w:r>
              <w:rPr>
                <w:rFonts w:ascii="Arial" w:cs="Arial" w:eastAsia="Arial" w:hAnsi="Arial"/>
                <w:sz w:val="18"/>
                <w:szCs w:val="18"/>
                <w:color w:val="auto"/>
                <w:w w:val="93"/>
              </w:rPr>
              <w:t>(State or other jurisdiction of</w:t>
            </w:r>
          </w:p>
        </w:tc>
        <w:tc>
          <w:tcPr>
            <w:tcW w:w="2320" w:type="dxa"/>
            <w:vAlign w:val="bottom"/>
          </w:tcPr>
          <w:p>
            <w:pPr>
              <w:jc w:val="center"/>
              <w:spacing w:after="0"/>
              <w:rPr>
                <w:sz w:val="20"/>
                <w:szCs w:val="20"/>
                <w:color w:val="auto"/>
              </w:rPr>
            </w:pPr>
            <w:r>
              <w:rPr>
                <w:rFonts w:ascii="Arial" w:cs="Arial" w:eastAsia="Arial" w:hAnsi="Arial"/>
                <w:sz w:val="18"/>
                <w:szCs w:val="18"/>
                <w:color w:val="auto"/>
                <w:w w:val="93"/>
              </w:rPr>
              <w:t>(I.R.S. Employer</w:t>
            </w:r>
          </w:p>
        </w:tc>
      </w:tr>
      <w:tr>
        <w:trPr>
          <w:trHeight w:val="230"/>
        </w:trPr>
        <w:tc>
          <w:tcPr>
            <w:tcW w:w="6000" w:type="dxa"/>
            <w:vAlign w:val="bottom"/>
          </w:tcPr>
          <w:p>
            <w:pPr>
              <w:jc w:val="center"/>
              <w:ind w:right="1928"/>
              <w:spacing w:after="0"/>
              <w:rPr>
                <w:sz w:val="20"/>
                <w:szCs w:val="20"/>
                <w:color w:val="auto"/>
              </w:rPr>
            </w:pPr>
            <w:r>
              <w:rPr>
                <w:rFonts w:ascii="Arial" w:cs="Arial" w:eastAsia="Arial" w:hAnsi="Arial"/>
                <w:sz w:val="18"/>
                <w:szCs w:val="18"/>
                <w:color w:val="auto"/>
                <w:w w:val="93"/>
              </w:rPr>
              <w:t>incorporation or organization)</w:t>
            </w:r>
          </w:p>
        </w:tc>
        <w:tc>
          <w:tcPr>
            <w:tcW w:w="2320" w:type="dxa"/>
            <w:vAlign w:val="bottom"/>
          </w:tcPr>
          <w:p>
            <w:pPr>
              <w:jc w:val="center"/>
              <w:ind w:left="10"/>
              <w:spacing w:after="0"/>
              <w:rPr>
                <w:sz w:val="20"/>
                <w:szCs w:val="20"/>
                <w:color w:val="auto"/>
              </w:rPr>
            </w:pPr>
            <w:r>
              <w:rPr>
                <w:rFonts w:ascii="Arial" w:cs="Arial" w:eastAsia="Arial" w:hAnsi="Arial"/>
                <w:sz w:val="18"/>
                <w:szCs w:val="18"/>
                <w:color w:val="auto"/>
                <w:w w:val="95"/>
              </w:rPr>
              <w:t>Identification No.)</w:t>
            </w:r>
          </w:p>
        </w:tc>
      </w:tr>
      <w:tr>
        <w:trPr>
          <w:trHeight w:val="468"/>
        </w:trPr>
        <w:tc>
          <w:tcPr>
            <w:tcW w:w="6000" w:type="dxa"/>
            <w:vAlign w:val="bottom"/>
          </w:tcPr>
          <w:p>
            <w:pPr>
              <w:jc w:val="center"/>
              <w:ind w:right="1948"/>
              <w:spacing w:after="0"/>
              <w:rPr>
                <w:sz w:val="20"/>
                <w:szCs w:val="20"/>
                <w:color w:val="auto"/>
              </w:rPr>
            </w:pPr>
            <w:r>
              <w:rPr>
                <w:rFonts w:ascii="Arial" w:cs="Arial" w:eastAsia="Arial" w:hAnsi="Arial"/>
                <w:sz w:val="18"/>
                <w:szCs w:val="18"/>
                <w:b w:val="1"/>
                <w:bCs w:val="1"/>
                <w:color w:val="auto"/>
                <w:w w:val="89"/>
              </w:rPr>
              <w:t>6555 West Good Hope Road</w:t>
            </w:r>
          </w:p>
        </w:tc>
        <w:tc>
          <w:tcPr>
            <w:tcW w:w="2320" w:type="dxa"/>
            <w:vAlign w:val="bottom"/>
          </w:tcPr>
          <w:p>
            <w:pPr>
              <w:spacing w:after="0"/>
              <w:rPr>
                <w:sz w:val="24"/>
                <w:szCs w:val="24"/>
                <w:color w:val="auto"/>
              </w:rPr>
            </w:pPr>
          </w:p>
        </w:tc>
      </w:tr>
      <w:tr>
        <w:trPr>
          <w:trHeight w:val="220"/>
        </w:trPr>
        <w:tc>
          <w:tcPr>
            <w:tcW w:w="6000" w:type="dxa"/>
            <w:vAlign w:val="bottom"/>
          </w:tcPr>
          <w:p>
            <w:pPr>
              <w:jc w:val="center"/>
              <w:ind w:right="1928"/>
              <w:spacing w:after="0"/>
              <w:rPr>
                <w:sz w:val="20"/>
                <w:szCs w:val="20"/>
                <w:color w:val="auto"/>
              </w:rPr>
            </w:pPr>
            <w:r>
              <w:rPr>
                <w:rFonts w:ascii="Arial" w:cs="Arial" w:eastAsia="Arial" w:hAnsi="Arial"/>
                <w:sz w:val="18"/>
                <w:szCs w:val="18"/>
                <w:b w:val="1"/>
                <w:bCs w:val="1"/>
                <w:color w:val="auto"/>
                <w:w w:val="91"/>
              </w:rPr>
              <w:t>Milwaukee, Wisconsin</w:t>
            </w:r>
          </w:p>
        </w:tc>
        <w:tc>
          <w:tcPr>
            <w:tcW w:w="2320" w:type="dxa"/>
            <w:vAlign w:val="bottom"/>
          </w:tcPr>
          <w:p>
            <w:pPr>
              <w:jc w:val="right"/>
              <w:ind w:right="810"/>
              <w:spacing w:after="0"/>
              <w:rPr>
                <w:sz w:val="20"/>
                <w:szCs w:val="20"/>
                <w:color w:val="auto"/>
              </w:rPr>
            </w:pPr>
            <w:r>
              <w:rPr>
                <w:rFonts w:ascii="Arial" w:cs="Arial" w:eastAsia="Arial" w:hAnsi="Arial"/>
                <w:sz w:val="18"/>
                <w:szCs w:val="18"/>
                <w:b w:val="1"/>
                <w:bCs w:val="1"/>
                <w:color w:val="auto"/>
              </w:rPr>
              <w:t>53223</w:t>
            </w:r>
          </w:p>
        </w:tc>
      </w:tr>
      <w:tr>
        <w:trPr>
          <w:trHeight w:val="230"/>
        </w:trPr>
        <w:tc>
          <w:tcPr>
            <w:tcW w:w="6000" w:type="dxa"/>
            <w:vAlign w:val="bottom"/>
          </w:tcPr>
          <w:p>
            <w:pPr>
              <w:jc w:val="center"/>
              <w:ind w:right="1888"/>
              <w:spacing w:after="0"/>
              <w:rPr>
                <w:sz w:val="20"/>
                <w:szCs w:val="20"/>
                <w:color w:val="auto"/>
              </w:rPr>
            </w:pPr>
            <w:r>
              <w:rPr>
                <w:rFonts w:ascii="Arial" w:cs="Arial" w:eastAsia="Arial" w:hAnsi="Arial"/>
                <w:sz w:val="18"/>
                <w:szCs w:val="18"/>
                <w:color w:val="auto"/>
                <w:w w:val="92"/>
              </w:rPr>
              <w:t>(Address of Principal Executive Offices)</w:t>
            </w:r>
          </w:p>
        </w:tc>
        <w:tc>
          <w:tcPr>
            <w:tcW w:w="2320" w:type="dxa"/>
            <w:vAlign w:val="bottom"/>
          </w:tcPr>
          <w:p>
            <w:pPr>
              <w:jc w:val="center"/>
              <w:spacing w:after="0"/>
              <w:rPr>
                <w:sz w:val="20"/>
                <w:szCs w:val="20"/>
                <w:color w:val="auto"/>
              </w:rPr>
            </w:pPr>
            <w:r>
              <w:rPr>
                <w:rFonts w:ascii="Arial" w:cs="Arial" w:eastAsia="Arial" w:hAnsi="Arial"/>
                <w:sz w:val="18"/>
                <w:szCs w:val="18"/>
                <w:color w:val="auto"/>
                <w:w w:val="94"/>
              </w:rPr>
              <w:t>(Zip Code)</w:t>
            </w:r>
          </w:p>
        </w:tc>
      </w:tr>
      <w:tr>
        <w:trPr>
          <w:trHeight w:val="243"/>
        </w:trPr>
        <w:tc>
          <w:tcPr>
            <w:tcW w:w="6000" w:type="dxa"/>
            <w:vAlign w:val="bottom"/>
          </w:tcPr>
          <w:p>
            <w:pPr>
              <w:jc w:val="right"/>
              <w:ind w:right="508"/>
              <w:spacing w:after="0"/>
              <w:rPr>
                <w:sz w:val="20"/>
                <w:szCs w:val="20"/>
                <w:color w:val="auto"/>
              </w:rPr>
            </w:pPr>
            <w:r>
              <w:rPr>
                <w:rFonts w:ascii="Arial" w:cs="Arial" w:eastAsia="Arial" w:hAnsi="Arial"/>
                <w:sz w:val="18"/>
                <w:szCs w:val="18"/>
                <w:color w:val="auto"/>
              </w:rPr>
              <w:t>__________________</w:t>
            </w:r>
          </w:p>
        </w:tc>
        <w:tc>
          <w:tcPr>
            <w:tcW w:w="2320" w:type="dxa"/>
            <w:vAlign w:val="bottom"/>
          </w:tcPr>
          <w:p>
            <w:pPr>
              <w:spacing w:after="0"/>
              <w:rPr>
                <w:sz w:val="21"/>
                <w:szCs w:val="21"/>
                <w:color w:val="auto"/>
              </w:rPr>
            </w:pPr>
          </w:p>
        </w:tc>
      </w:tr>
      <w:tr>
        <w:trPr>
          <w:trHeight w:val="459"/>
        </w:trPr>
        <w:tc>
          <w:tcPr>
            <w:tcW w:w="6000" w:type="dxa"/>
            <w:vAlign w:val="bottom"/>
          </w:tcPr>
          <w:p>
            <w:pPr>
              <w:jc w:val="center"/>
              <w:ind w:left="3088"/>
              <w:spacing w:after="0"/>
              <w:rPr>
                <w:sz w:val="20"/>
                <w:szCs w:val="20"/>
                <w:color w:val="auto"/>
              </w:rPr>
            </w:pPr>
            <w:r>
              <w:rPr>
                <w:rFonts w:ascii="Arial" w:cs="Arial" w:eastAsia="Arial" w:hAnsi="Arial"/>
                <w:sz w:val="22"/>
                <w:szCs w:val="22"/>
                <w:b w:val="1"/>
                <w:bCs w:val="1"/>
                <w:color w:val="auto"/>
                <w:w w:val="98"/>
              </w:rPr>
              <w:t>BRADY CORPORATION</w:t>
            </w:r>
          </w:p>
        </w:tc>
        <w:tc>
          <w:tcPr>
            <w:tcW w:w="2320" w:type="dxa"/>
            <w:vAlign w:val="bottom"/>
          </w:tcPr>
          <w:p>
            <w:pPr>
              <w:spacing w:after="0"/>
              <w:rPr>
                <w:sz w:val="24"/>
                <w:szCs w:val="24"/>
                <w:color w:val="auto"/>
              </w:rPr>
            </w:pPr>
          </w:p>
        </w:tc>
      </w:tr>
      <w:tr>
        <w:trPr>
          <w:trHeight w:val="256"/>
        </w:trPr>
        <w:tc>
          <w:tcPr>
            <w:tcW w:w="8320" w:type="dxa"/>
            <w:vAlign w:val="bottom"/>
            <w:gridSpan w:val="2"/>
          </w:tcPr>
          <w:p>
            <w:pPr>
              <w:jc w:val="center"/>
              <w:ind w:left="768"/>
              <w:spacing w:after="0"/>
              <w:rPr>
                <w:sz w:val="20"/>
                <w:szCs w:val="20"/>
                <w:color w:val="auto"/>
              </w:rPr>
            </w:pPr>
            <w:r>
              <w:rPr>
                <w:rFonts w:ascii="Arial" w:cs="Arial" w:eastAsia="Arial" w:hAnsi="Arial"/>
                <w:sz w:val="22"/>
                <w:szCs w:val="22"/>
                <w:b w:val="1"/>
                <w:bCs w:val="1"/>
                <w:color w:val="auto"/>
                <w:w w:val="97"/>
              </w:rPr>
              <w:t>2017 OMNIBUS INCENTIVE Plan</w:t>
            </w:r>
          </w:p>
        </w:tc>
      </w:tr>
      <w:tr>
        <w:trPr>
          <w:trHeight w:val="216"/>
        </w:trPr>
        <w:tc>
          <w:tcPr>
            <w:tcW w:w="6000" w:type="dxa"/>
            <w:vAlign w:val="bottom"/>
          </w:tcPr>
          <w:p>
            <w:pPr>
              <w:jc w:val="center"/>
              <w:ind w:left="3088"/>
              <w:spacing w:after="0"/>
              <w:rPr>
                <w:sz w:val="20"/>
                <w:szCs w:val="20"/>
                <w:color w:val="auto"/>
              </w:rPr>
            </w:pPr>
            <w:r>
              <w:rPr>
                <w:rFonts w:ascii="Arial" w:cs="Arial" w:eastAsia="Arial" w:hAnsi="Arial"/>
                <w:sz w:val="18"/>
                <w:szCs w:val="18"/>
                <w:color w:val="auto"/>
                <w:w w:val="94"/>
              </w:rPr>
              <w:t>(Full title of the plan)</w:t>
            </w:r>
          </w:p>
        </w:tc>
        <w:tc>
          <w:tcPr>
            <w:tcW w:w="2320" w:type="dxa"/>
            <w:vAlign w:val="bottom"/>
          </w:tcPr>
          <w:p>
            <w:pPr>
              <w:spacing w:after="0"/>
              <w:rPr>
                <w:sz w:val="18"/>
                <w:szCs w:val="18"/>
                <w:color w:val="auto"/>
              </w:rPr>
            </w:pPr>
          </w:p>
        </w:tc>
      </w:tr>
      <w:tr>
        <w:trPr>
          <w:trHeight w:val="230"/>
        </w:trPr>
        <w:tc>
          <w:tcPr>
            <w:tcW w:w="6000" w:type="dxa"/>
            <w:vAlign w:val="bottom"/>
          </w:tcPr>
          <w:p>
            <w:pPr>
              <w:jc w:val="right"/>
              <w:ind w:right="468"/>
              <w:spacing w:after="0"/>
              <w:rPr>
                <w:sz w:val="20"/>
                <w:szCs w:val="20"/>
                <w:color w:val="auto"/>
              </w:rPr>
            </w:pPr>
            <w:r>
              <w:rPr>
                <w:rFonts w:ascii="Arial" w:cs="Arial" w:eastAsia="Arial" w:hAnsi="Arial"/>
                <w:sz w:val="18"/>
                <w:szCs w:val="18"/>
                <w:color w:val="auto"/>
              </w:rPr>
              <w:t>___________________</w:t>
            </w:r>
          </w:p>
        </w:tc>
        <w:tc>
          <w:tcPr>
            <w:tcW w:w="2320" w:type="dxa"/>
            <w:vAlign w:val="bottom"/>
          </w:tcPr>
          <w:p>
            <w:pPr>
              <w:spacing w:after="0"/>
              <w:rPr>
                <w:sz w:val="20"/>
                <w:szCs w:val="20"/>
                <w:color w:val="auto"/>
              </w:rPr>
            </w:pPr>
          </w:p>
        </w:tc>
      </w:tr>
      <w:tr>
        <w:trPr>
          <w:trHeight w:val="580"/>
        </w:trPr>
        <w:tc>
          <w:tcPr>
            <w:tcW w:w="6000" w:type="dxa"/>
            <w:vAlign w:val="bottom"/>
          </w:tcPr>
          <w:p>
            <w:pPr>
              <w:jc w:val="center"/>
              <w:ind w:right="2028"/>
              <w:spacing w:after="0"/>
              <w:rPr>
                <w:sz w:val="20"/>
                <w:szCs w:val="20"/>
                <w:color w:val="auto"/>
              </w:rPr>
            </w:pPr>
            <w:r>
              <w:rPr>
                <w:rFonts w:ascii="Arial" w:cs="Arial" w:eastAsia="Arial" w:hAnsi="Arial"/>
                <w:sz w:val="18"/>
                <w:szCs w:val="18"/>
                <w:color w:val="auto"/>
                <w:w w:val="95"/>
              </w:rPr>
              <w:t>Louis T. Bolognini</w:t>
            </w:r>
          </w:p>
        </w:tc>
        <w:tc>
          <w:tcPr>
            <w:tcW w:w="2320" w:type="dxa"/>
            <w:vAlign w:val="bottom"/>
          </w:tcPr>
          <w:p>
            <w:pPr>
              <w:jc w:val="center"/>
              <w:ind w:left="90"/>
              <w:spacing w:after="0"/>
              <w:rPr>
                <w:sz w:val="20"/>
                <w:szCs w:val="20"/>
                <w:color w:val="auto"/>
              </w:rPr>
            </w:pPr>
            <w:r>
              <w:rPr>
                <w:rFonts w:ascii="Arial" w:cs="Arial" w:eastAsia="Arial" w:hAnsi="Arial"/>
                <w:sz w:val="18"/>
                <w:szCs w:val="18"/>
                <w:i w:val="1"/>
                <w:iCs w:val="1"/>
                <w:color w:val="auto"/>
                <w:w w:val="92"/>
              </w:rPr>
              <w:t>Copy to:</w:t>
            </w:r>
          </w:p>
        </w:tc>
      </w:tr>
      <w:tr>
        <w:trPr>
          <w:trHeight w:val="216"/>
        </w:trPr>
        <w:tc>
          <w:tcPr>
            <w:tcW w:w="6000" w:type="dxa"/>
            <w:vAlign w:val="bottom"/>
          </w:tcPr>
          <w:p>
            <w:pPr>
              <w:jc w:val="center"/>
              <w:ind w:right="2028"/>
              <w:spacing w:after="0"/>
              <w:rPr>
                <w:sz w:val="20"/>
                <w:szCs w:val="20"/>
                <w:color w:val="auto"/>
              </w:rPr>
            </w:pPr>
            <w:r>
              <w:rPr>
                <w:rFonts w:ascii="Arial" w:cs="Arial" w:eastAsia="Arial" w:hAnsi="Arial"/>
                <w:sz w:val="18"/>
                <w:szCs w:val="18"/>
                <w:color w:val="auto"/>
                <w:w w:val="89"/>
              </w:rPr>
              <w:t>Senior Vice President, General Counsel and Secretary</w:t>
            </w:r>
          </w:p>
        </w:tc>
        <w:tc>
          <w:tcPr>
            <w:tcW w:w="2320" w:type="dxa"/>
            <w:vAlign w:val="bottom"/>
          </w:tcPr>
          <w:p>
            <w:pPr>
              <w:jc w:val="center"/>
              <w:ind w:left="90"/>
              <w:spacing w:after="0"/>
              <w:rPr>
                <w:sz w:val="20"/>
                <w:szCs w:val="20"/>
                <w:color w:val="auto"/>
              </w:rPr>
            </w:pPr>
            <w:r>
              <w:rPr>
                <w:rFonts w:ascii="Arial" w:cs="Arial" w:eastAsia="Arial" w:hAnsi="Arial"/>
                <w:sz w:val="18"/>
                <w:szCs w:val="18"/>
                <w:color w:val="auto"/>
                <w:w w:val="90"/>
              </w:rPr>
              <w:t>Ryan P. Morrison</w:t>
            </w:r>
          </w:p>
        </w:tc>
      </w:tr>
      <w:tr>
        <w:trPr>
          <w:trHeight w:val="216"/>
        </w:trPr>
        <w:tc>
          <w:tcPr>
            <w:tcW w:w="6000" w:type="dxa"/>
            <w:vAlign w:val="bottom"/>
          </w:tcPr>
          <w:p>
            <w:pPr>
              <w:jc w:val="center"/>
              <w:ind w:right="2028"/>
              <w:spacing w:after="0"/>
              <w:rPr>
                <w:sz w:val="20"/>
                <w:szCs w:val="20"/>
                <w:color w:val="auto"/>
              </w:rPr>
            </w:pPr>
            <w:r>
              <w:rPr>
                <w:rFonts w:ascii="Arial" w:cs="Arial" w:eastAsia="Arial" w:hAnsi="Arial"/>
                <w:sz w:val="18"/>
                <w:szCs w:val="18"/>
                <w:color w:val="auto"/>
                <w:w w:val="93"/>
              </w:rPr>
              <w:t>Brady Corporation</w:t>
            </w:r>
          </w:p>
        </w:tc>
        <w:tc>
          <w:tcPr>
            <w:tcW w:w="2320" w:type="dxa"/>
            <w:vAlign w:val="bottom"/>
          </w:tcPr>
          <w:p>
            <w:pPr>
              <w:jc w:val="center"/>
              <w:ind w:left="110"/>
              <w:spacing w:after="0"/>
              <w:rPr>
                <w:sz w:val="20"/>
                <w:szCs w:val="20"/>
                <w:color w:val="auto"/>
              </w:rPr>
            </w:pPr>
            <w:r>
              <w:rPr>
                <w:rFonts w:ascii="Arial" w:cs="Arial" w:eastAsia="Arial" w:hAnsi="Arial"/>
                <w:sz w:val="18"/>
                <w:szCs w:val="18"/>
                <w:color w:val="auto"/>
                <w:w w:val="94"/>
              </w:rPr>
              <w:t>Quarles &amp; Brady LLP</w:t>
            </w:r>
          </w:p>
        </w:tc>
      </w:tr>
      <w:tr>
        <w:trPr>
          <w:trHeight w:val="216"/>
        </w:trPr>
        <w:tc>
          <w:tcPr>
            <w:tcW w:w="6000" w:type="dxa"/>
            <w:vAlign w:val="bottom"/>
          </w:tcPr>
          <w:p>
            <w:pPr>
              <w:jc w:val="center"/>
              <w:ind w:right="2048"/>
              <w:spacing w:after="0"/>
              <w:rPr>
                <w:sz w:val="20"/>
                <w:szCs w:val="20"/>
                <w:color w:val="auto"/>
              </w:rPr>
            </w:pPr>
            <w:r>
              <w:rPr>
                <w:rFonts w:ascii="Arial" w:cs="Arial" w:eastAsia="Arial" w:hAnsi="Arial"/>
                <w:sz w:val="18"/>
                <w:szCs w:val="18"/>
                <w:color w:val="auto"/>
                <w:w w:val="89"/>
              </w:rPr>
              <w:t>6555 West Good Hope Road</w:t>
            </w:r>
          </w:p>
        </w:tc>
        <w:tc>
          <w:tcPr>
            <w:tcW w:w="2320" w:type="dxa"/>
            <w:vAlign w:val="bottom"/>
          </w:tcPr>
          <w:p>
            <w:pPr>
              <w:jc w:val="center"/>
              <w:ind w:left="110"/>
              <w:spacing w:after="0"/>
              <w:rPr>
                <w:sz w:val="20"/>
                <w:szCs w:val="20"/>
                <w:color w:val="auto"/>
              </w:rPr>
            </w:pPr>
            <w:r>
              <w:rPr>
                <w:rFonts w:ascii="Arial" w:cs="Arial" w:eastAsia="Arial" w:hAnsi="Arial"/>
                <w:sz w:val="18"/>
                <w:szCs w:val="18"/>
                <w:color w:val="auto"/>
                <w:w w:val="89"/>
              </w:rPr>
              <w:t>411 East Wisconsin Avenue</w:t>
            </w:r>
          </w:p>
        </w:tc>
      </w:tr>
      <w:tr>
        <w:trPr>
          <w:trHeight w:val="216"/>
        </w:trPr>
        <w:tc>
          <w:tcPr>
            <w:tcW w:w="6000" w:type="dxa"/>
            <w:vAlign w:val="bottom"/>
          </w:tcPr>
          <w:p>
            <w:pPr>
              <w:jc w:val="center"/>
              <w:ind w:right="2028"/>
              <w:spacing w:after="0"/>
              <w:rPr>
                <w:sz w:val="20"/>
                <w:szCs w:val="20"/>
                <w:color w:val="auto"/>
              </w:rPr>
            </w:pPr>
            <w:r>
              <w:rPr>
                <w:rFonts w:ascii="Arial" w:cs="Arial" w:eastAsia="Arial" w:hAnsi="Arial"/>
                <w:sz w:val="18"/>
                <w:szCs w:val="18"/>
                <w:color w:val="auto"/>
                <w:w w:val="89"/>
              </w:rPr>
              <w:t>P.O. Box 571</w:t>
            </w:r>
          </w:p>
        </w:tc>
        <w:tc>
          <w:tcPr>
            <w:tcW w:w="2320" w:type="dxa"/>
            <w:vAlign w:val="bottom"/>
          </w:tcPr>
          <w:p>
            <w:pPr>
              <w:jc w:val="center"/>
              <w:ind w:left="90"/>
              <w:spacing w:after="0"/>
              <w:rPr>
                <w:sz w:val="20"/>
                <w:szCs w:val="20"/>
                <w:color w:val="auto"/>
              </w:rPr>
            </w:pPr>
            <w:r>
              <w:rPr>
                <w:rFonts w:ascii="Arial" w:cs="Arial" w:eastAsia="Arial" w:hAnsi="Arial"/>
                <w:sz w:val="18"/>
                <w:szCs w:val="18"/>
                <w:color w:val="auto"/>
                <w:w w:val="92"/>
              </w:rPr>
              <w:t>Milwaukee, Wisconsin 53202</w:t>
            </w:r>
          </w:p>
        </w:tc>
      </w:tr>
      <w:tr>
        <w:trPr>
          <w:trHeight w:val="230"/>
        </w:trPr>
        <w:tc>
          <w:tcPr>
            <w:tcW w:w="6000" w:type="dxa"/>
            <w:vAlign w:val="bottom"/>
          </w:tcPr>
          <w:p>
            <w:pPr>
              <w:jc w:val="center"/>
              <w:ind w:right="2048"/>
              <w:spacing w:after="0"/>
              <w:rPr>
                <w:sz w:val="20"/>
                <w:szCs w:val="20"/>
                <w:color w:val="auto"/>
              </w:rPr>
            </w:pPr>
            <w:r>
              <w:rPr>
                <w:rFonts w:ascii="Arial" w:cs="Arial" w:eastAsia="Arial" w:hAnsi="Arial"/>
                <w:sz w:val="18"/>
                <w:szCs w:val="18"/>
                <w:color w:val="auto"/>
                <w:w w:val="92"/>
              </w:rPr>
              <w:t>Milwaukee, Wisconsin 53201-0571</w:t>
            </w:r>
          </w:p>
        </w:tc>
        <w:tc>
          <w:tcPr>
            <w:tcW w:w="2320" w:type="dxa"/>
            <w:vAlign w:val="bottom"/>
          </w:tcPr>
          <w:p>
            <w:pPr>
              <w:spacing w:after="0"/>
              <w:rPr>
                <w:sz w:val="20"/>
                <w:szCs w:val="20"/>
                <w:color w:val="auto"/>
              </w:rPr>
            </w:pPr>
          </w:p>
        </w:tc>
      </w:tr>
    </w:tbl>
    <w:p>
      <w:pPr>
        <w:spacing w:after="0" w:line="25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and address of agent for service)</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(414) 358-6600</w:t>
      </w:r>
    </w:p>
    <w:p>
      <w:pPr>
        <w:spacing w:after="0" w:line="25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(Telephone number, including area code, of agent for service)</w:t>
      </w:r>
    </w:p>
    <w:p>
      <w:pPr>
        <w:spacing w:after="0" w:line="225" w:lineRule="exact"/>
        <w:rPr>
          <w:sz w:val="24"/>
          <w:szCs w:val="24"/>
          <w:color w:val="auto"/>
        </w:rPr>
      </w:pPr>
    </w:p>
    <w:p>
      <w:pPr>
        <w:ind w:right="14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182" w:lineRule="exact"/>
        <w:rPr>
          <w:sz w:val="24"/>
          <w:szCs w:val="24"/>
          <w:color w:val="auto"/>
        </w:rPr>
      </w:pPr>
    </w:p>
    <w:p>
      <w:pPr>
        <w:ind w:left="40"/>
        <w:spacing w:after="0" w:line="161" w:lineRule="exact"/>
        <w:tabs>
          <w:tab w:leader="none" w:pos="1940" w:val="left"/>
          <w:tab w:leader="none" w:pos="8340" w:val="left"/>
          <w:tab w:leader="none" w:pos="10900" w:val="left"/>
        </w:tabs>
        <w:rPr>
          <w:sz w:val="20"/>
          <w:szCs w:val="20"/>
          <w:color w:val="auto"/>
        </w:rPr>
      </w:pPr>
      <w:r>
        <w:rPr>
          <w:rFonts w:ascii="Arial" w:cs="Arial" w:eastAsia="Arial" w:hAnsi="Arial"/>
          <w:sz w:val="14"/>
          <w:szCs w:val="14"/>
          <w:color w:val="auto"/>
        </w:rPr>
        <w:t>Large 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Accelerated filer</w:t>
      </w:r>
      <w:r>
        <w:rPr>
          <w:sz w:val="20"/>
          <w:szCs w:val="20"/>
          <w:color w:val="auto"/>
        </w:rPr>
        <w:tab/>
      </w:r>
      <w:r>
        <w:rPr>
          <w:rFonts w:ascii="MS PGothic" w:cs="MS PGothic" w:eastAsia="MS PGothic" w:hAnsi="MS PGothic"/>
          <w:sz w:val="12"/>
          <w:szCs w:val="12"/>
          <w:color w:val="auto"/>
        </w:rPr>
        <w:t>☐</w:t>
      </w:r>
    </w:p>
    <w:p>
      <w:pPr>
        <w:spacing w:after="0" w:line="69" w:lineRule="exact"/>
        <w:rPr>
          <w:sz w:val="24"/>
          <w:szCs w:val="24"/>
          <w:color w:val="auto"/>
        </w:rPr>
      </w:pPr>
    </w:p>
    <w:p>
      <w:pPr>
        <w:ind w:left="40"/>
        <w:spacing w:after="0" w:line="161" w:lineRule="exact"/>
        <w:tabs>
          <w:tab w:leader="none" w:pos="1940" w:val="left"/>
          <w:tab w:leader="none" w:pos="8340" w:val="left"/>
          <w:tab w:leader="none" w:pos="10900" w:val="left"/>
        </w:tabs>
        <w:rPr>
          <w:sz w:val="20"/>
          <w:szCs w:val="20"/>
          <w:color w:val="auto"/>
        </w:rPr>
      </w:pPr>
      <w:r>
        <w:rPr>
          <w:rFonts w:ascii="Arial" w:cs="Arial" w:eastAsia="Arial" w:hAnsi="Arial"/>
          <w:sz w:val="14"/>
          <w:szCs w:val="14"/>
          <w:color w:val="auto"/>
        </w:rPr>
        <w:t>Non-accelerated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Smaller reporting company</w:t>
      </w:r>
      <w:r>
        <w:rPr>
          <w:sz w:val="20"/>
          <w:szCs w:val="20"/>
          <w:color w:val="auto"/>
        </w:rPr>
        <w:tab/>
      </w:r>
      <w:r>
        <w:rPr>
          <w:rFonts w:ascii="MS PGothic" w:cs="MS PGothic" w:eastAsia="MS PGothic" w:hAnsi="MS PGothic"/>
          <w:sz w:val="12"/>
          <w:szCs w:val="12"/>
          <w:color w:val="auto"/>
        </w:rPr>
        <w: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CALCULATION OF REGISTRATION FEE</w:t>
      </w:r>
    </w:p>
    <w:p>
      <w:pPr>
        <w:spacing w:after="0" w:line="355" w:lineRule="exact"/>
        <w:rPr>
          <w:sz w:val="24"/>
          <w:szCs w:val="24"/>
          <w:color w:val="auto"/>
        </w:rPr>
      </w:pPr>
    </w:p>
    <w:tbl>
      <w:tblPr>
        <w:tblLayout w:type="fixed"/>
        <w:tblInd w:w="550" w:type="dxa"/>
        <w:tblCellMar>
          <w:top w:w="0" w:type="dxa"/>
          <w:left w:w="0" w:type="dxa"/>
          <w:bottom w:w="0" w:type="dxa"/>
          <w:right w:w="0" w:type="dxa"/>
        </w:tblCellMar>
      </w:tblPr>
      <w:tr>
        <w:trPr>
          <w:trHeight w:val="238"/>
        </w:trPr>
        <w:tc>
          <w:tcPr>
            <w:tcW w:w="2720" w:type="dxa"/>
            <w:vAlign w:val="bottom"/>
            <w:tcBorders>
              <w:top w:val="single" w:sz="8" w:color="auto"/>
              <w:left w:val="single" w:sz="8" w:color="auto"/>
              <w:right w:val="single" w:sz="8" w:color="auto"/>
            </w:tcBorders>
          </w:tcPr>
          <w:p>
            <w:pPr>
              <w:spacing w:after="0"/>
              <w:rPr>
                <w:sz w:val="20"/>
                <w:szCs w:val="20"/>
                <w:color w:val="auto"/>
              </w:rPr>
            </w:pPr>
          </w:p>
        </w:tc>
        <w:tc>
          <w:tcPr>
            <w:tcW w:w="1960" w:type="dxa"/>
            <w:vAlign w:val="bottom"/>
            <w:tcBorders>
              <w:top w:val="single" w:sz="8" w:color="auto"/>
              <w:right w:val="single" w:sz="8" w:color="auto"/>
            </w:tcBorders>
          </w:tcPr>
          <w:p>
            <w:pPr>
              <w:spacing w:after="0"/>
              <w:rPr>
                <w:sz w:val="20"/>
                <w:szCs w:val="20"/>
                <w:color w:val="auto"/>
              </w:rPr>
            </w:pPr>
          </w:p>
        </w:tc>
        <w:tc>
          <w:tcPr>
            <w:tcW w:w="16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Proposed Maximum</w:t>
            </w:r>
          </w:p>
        </w:tc>
        <w:tc>
          <w:tcPr>
            <w:tcW w:w="2080" w:type="dxa"/>
            <w:vAlign w:val="bottom"/>
            <w:tcBorders>
              <w:top w:val="single" w:sz="8" w:color="auto"/>
              <w:right w:val="single" w:sz="8" w:color="auto"/>
            </w:tcBorders>
          </w:tcPr>
          <w:p>
            <w:pPr>
              <w:spacing w:after="0"/>
              <w:rPr>
                <w:sz w:val="20"/>
                <w:szCs w:val="20"/>
                <w:color w:val="auto"/>
              </w:rPr>
            </w:pPr>
          </w:p>
        </w:tc>
        <w:tc>
          <w:tcPr>
            <w:tcW w:w="1960" w:type="dxa"/>
            <w:vAlign w:val="bottom"/>
            <w:tcBorders>
              <w:top w:val="single" w:sz="8" w:color="auto"/>
              <w:right w:val="single" w:sz="8" w:color="auto"/>
            </w:tcBorders>
          </w:tcPr>
          <w:p>
            <w:pPr>
              <w:spacing w:after="0"/>
              <w:rPr>
                <w:sz w:val="20"/>
                <w:szCs w:val="20"/>
                <w:color w:val="auto"/>
              </w:rPr>
            </w:pPr>
          </w:p>
        </w:tc>
      </w:tr>
      <w:tr>
        <w:trPr>
          <w:trHeight w:val="216"/>
        </w:trPr>
        <w:tc>
          <w:tcPr>
            <w:tcW w:w="2720" w:type="dxa"/>
            <w:vAlign w:val="bottom"/>
            <w:tcBorders>
              <w:left w:val="single" w:sz="8" w:color="auto"/>
              <w:right w:val="single" w:sz="8" w:color="auto"/>
            </w:tcBorders>
          </w:tcPr>
          <w:p>
            <w:pPr>
              <w:spacing w:after="0"/>
              <w:rPr>
                <w:sz w:val="18"/>
                <w:szCs w:val="18"/>
                <w:color w:val="auto"/>
              </w:rPr>
            </w:pPr>
          </w:p>
        </w:tc>
        <w:tc>
          <w:tcPr>
            <w:tcW w:w="19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Amount to be</w:t>
            </w: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Offering Price Per</w:t>
            </w:r>
          </w:p>
        </w:tc>
        <w:tc>
          <w:tcPr>
            <w:tcW w:w="20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Proposed Maximum</w:t>
            </w:r>
          </w:p>
        </w:tc>
        <w:tc>
          <w:tcPr>
            <w:tcW w:w="19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Amount of Registration</w:t>
            </w:r>
          </w:p>
        </w:tc>
      </w:tr>
      <w:tr>
        <w:trPr>
          <w:trHeight w:val="234"/>
        </w:trPr>
        <w:tc>
          <w:tcPr>
            <w:tcW w:w="27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w w:val="89"/>
              </w:rPr>
              <w:t>Title of Securities to be Registered</w:t>
            </w:r>
          </w:p>
        </w:tc>
        <w:tc>
          <w:tcPr>
            <w:tcW w:w="19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Registered (1)</w:t>
            </w: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Share</w:t>
            </w:r>
          </w:p>
        </w:tc>
        <w:tc>
          <w:tcPr>
            <w:tcW w:w="20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Aggregate Offering Price</w:t>
            </w:r>
          </w:p>
        </w:tc>
        <w:tc>
          <w:tcPr>
            <w:tcW w:w="19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Fee</w:t>
            </w:r>
          </w:p>
        </w:tc>
      </w:tr>
      <w:tr>
        <w:trPr>
          <w:trHeight w:val="27"/>
        </w:trPr>
        <w:tc>
          <w:tcPr>
            <w:tcW w:w="2720" w:type="dxa"/>
            <w:vAlign w:val="bottom"/>
            <w:tcBorders>
              <w:left w:val="single" w:sz="8" w:color="auto"/>
              <w:bottom w:val="single" w:sz="8" w:color="auto"/>
              <w:right w:val="single" w:sz="8" w:color="auto"/>
            </w:tcBorders>
          </w:tcPr>
          <w:p>
            <w:pPr>
              <w:spacing w:after="0"/>
              <w:rPr>
                <w:sz w:val="2"/>
                <w:szCs w:val="2"/>
                <w:color w:val="auto"/>
              </w:rPr>
            </w:pPr>
          </w:p>
        </w:tc>
        <w:tc>
          <w:tcPr>
            <w:tcW w:w="196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1960" w:type="dxa"/>
            <w:vAlign w:val="bottom"/>
            <w:tcBorders>
              <w:bottom w:val="single" w:sz="8" w:color="auto"/>
              <w:right w:val="single" w:sz="8" w:color="auto"/>
            </w:tcBorders>
          </w:tcPr>
          <w:p>
            <w:pPr>
              <w:spacing w:after="0"/>
              <w:rPr>
                <w:sz w:val="2"/>
                <w:szCs w:val="2"/>
                <w:color w:val="auto"/>
              </w:rPr>
            </w:pPr>
          </w:p>
        </w:tc>
      </w:tr>
      <w:tr>
        <w:trPr>
          <w:trHeight w:val="222"/>
        </w:trPr>
        <w:tc>
          <w:tcPr>
            <w:tcW w:w="27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w w:val="93"/>
              </w:rPr>
              <w:t>Class A Nonvoting Common Stock,</w:t>
            </w:r>
          </w:p>
        </w:tc>
        <w:tc>
          <w:tcPr>
            <w:tcW w:w="1960" w:type="dxa"/>
            <w:vAlign w:val="bottom"/>
            <w:tcBorders>
              <w:right w:val="single" w:sz="8" w:color="auto"/>
            </w:tcBorders>
          </w:tcPr>
          <w:p>
            <w:pPr>
              <w:spacing w:after="0"/>
              <w:rPr>
                <w:sz w:val="19"/>
                <w:szCs w:val="19"/>
                <w:color w:val="auto"/>
              </w:rPr>
            </w:pPr>
          </w:p>
        </w:tc>
        <w:tc>
          <w:tcPr>
            <w:tcW w:w="1660" w:type="dxa"/>
            <w:vAlign w:val="bottom"/>
            <w:tcBorders>
              <w:right w:val="single" w:sz="8" w:color="auto"/>
            </w:tcBorders>
          </w:tcPr>
          <w:p>
            <w:pPr>
              <w:spacing w:after="0"/>
              <w:rPr>
                <w:sz w:val="19"/>
                <w:szCs w:val="19"/>
                <w:color w:val="auto"/>
              </w:rPr>
            </w:pPr>
          </w:p>
        </w:tc>
        <w:tc>
          <w:tcPr>
            <w:tcW w:w="2080" w:type="dxa"/>
            <w:vAlign w:val="bottom"/>
            <w:tcBorders>
              <w:right w:val="single" w:sz="8" w:color="auto"/>
            </w:tcBorders>
          </w:tcPr>
          <w:p>
            <w:pPr>
              <w:spacing w:after="0"/>
              <w:rPr>
                <w:sz w:val="19"/>
                <w:szCs w:val="19"/>
                <w:color w:val="auto"/>
              </w:rPr>
            </w:pPr>
          </w:p>
        </w:tc>
        <w:tc>
          <w:tcPr>
            <w:tcW w:w="1960" w:type="dxa"/>
            <w:vAlign w:val="bottom"/>
            <w:tcBorders>
              <w:right w:val="single" w:sz="8" w:color="auto"/>
            </w:tcBorders>
          </w:tcPr>
          <w:p>
            <w:pPr>
              <w:spacing w:after="0"/>
              <w:rPr>
                <w:sz w:val="19"/>
                <w:szCs w:val="19"/>
                <w:color w:val="auto"/>
              </w:rPr>
            </w:pPr>
          </w:p>
        </w:tc>
      </w:tr>
      <w:tr>
        <w:trPr>
          <w:trHeight w:val="230"/>
        </w:trPr>
        <w:tc>
          <w:tcPr>
            <w:tcW w:w="27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par value $.01 per share</w:t>
            </w:r>
          </w:p>
        </w:tc>
        <w:tc>
          <w:tcPr>
            <w:tcW w:w="19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5,000,000 shares</w:t>
            </w: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$32.15 (2)</w:t>
            </w:r>
          </w:p>
        </w:tc>
        <w:tc>
          <w:tcPr>
            <w:tcW w:w="20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$160,750,000 (2)</w:t>
            </w:r>
          </w:p>
        </w:tc>
        <w:tc>
          <w:tcPr>
            <w:tcW w:w="19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$16,188</w:t>
            </w:r>
          </w:p>
        </w:tc>
      </w:tr>
      <w:tr>
        <w:trPr>
          <w:trHeight w:val="27"/>
        </w:trPr>
        <w:tc>
          <w:tcPr>
            <w:tcW w:w="2720" w:type="dxa"/>
            <w:vAlign w:val="bottom"/>
            <w:tcBorders>
              <w:left w:val="single" w:sz="8" w:color="auto"/>
              <w:bottom w:val="single" w:sz="8" w:color="auto"/>
              <w:right w:val="single" w:sz="8" w:color="auto"/>
            </w:tcBorders>
          </w:tcPr>
          <w:p>
            <w:pPr>
              <w:spacing w:after="0"/>
              <w:rPr>
                <w:sz w:val="2"/>
                <w:szCs w:val="2"/>
                <w:color w:val="auto"/>
              </w:rPr>
            </w:pPr>
          </w:p>
        </w:tc>
        <w:tc>
          <w:tcPr>
            <w:tcW w:w="196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196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4"/>
          <w:szCs w:val="24"/>
          <w:color w:val="auto"/>
        </w:rPr>
      </w:pPr>
    </w:p>
    <w:p>
      <w:pPr>
        <w:sectPr>
          <w:pgSz w:w="11900" w:h="16885" w:orient="portrait"/>
          <w:cols w:equalWidth="0" w:num="1">
            <w:col w:w="11420"/>
          </w:cols>
          <w:pgMar w:left="240" w:top="692" w:right="239" w:bottom="0" w:gutter="0" w:footer="0" w:header="0"/>
        </w:sectPr>
      </w:pPr>
    </w:p>
    <w:p>
      <w:pPr>
        <w:spacing w:after="0" w:line="2" w:lineRule="exact"/>
        <w:rPr>
          <w:sz w:val="24"/>
          <w:szCs w:val="24"/>
          <w:color w:val="auto"/>
        </w:rPr>
      </w:pPr>
    </w:p>
    <w:p>
      <w:pPr>
        <w:jc w:val="both"/>
        <w:ind w:left="980" w:hanging="972"/>
        <w:spacing w:after="0" w:line="312" w:lineRule="auto"/>
        <w:tabs>
          <w:tab w:leader="none" w:pos="980" w:val="left"/>
        </w:tabs>
        <w:numPr>
          <w:ilvl w:val="0"/>
          <w:numId w:val="1"/>
        </w:numPr>
        <w:rPr>
          <w:rFonts w:ascii="Arial" w:cs="Arial" w:eastAsia="Arial" w:hAnsi="Arial"/>
          <w:sz w:val="16"/>
          <w:szCs w:val="16"/>
          <w:color w:val="auto"/>
        </w:rPr>
      </w:pPr>
      <w:r>
        <w:rPr>
          <w:rFonts w:ascii="Arial" w:cs="Arial" w:eastAsia="Arial" w:hAnsi="Arial"/>
          <w:sz w:val="16"/>
          <w:szCs w:val="16"/>
          <w:color w:val="auto"/>
        </w:rPr>
        <w:t>The Brady Corporation 2017 Omnibus Incentive Plan (the “Plan”) provides by its terms for the issuance of up to [5,000,000] shares of the Registrant’s Class A Nonvoting Common Stock, par value $.01 per share (the “Class A Common Stock”). The Plan provides for the possible adjustment of the number and class of shares that may be delivered under the Plan, and in the number, class and/or price of shares subject to</w:t>
      </w:r>
    </w:p>
    <w:p>
      <w:pPr>
        <w:sectPr>
          <w:pgSz w:w="11900" w:h="16885" w:orient="portrait"/>
          <w:cols w:equalWidth="0" w:num="1">
            <w:col w:w="11420"/>
          </w:cols>
          <w:pgMar w:left="240" w:top="692" w:right="239" w:bottom="0" w:gutter="0" w:footer="0" w:header="0"/>
          <w:type w:val="continuous"/>
        </w:sectPr>
      </w:pPr>
    </w:p>
    <w:bookmarkStart w:id="1" w:name="page2"/>
    <w:bookmarkEnd w:id="1"/>
    <w:p>
      <w:pPr>
        <w:jc w:val="both"/>
        <w:ind w:left="972"/>
        <w:spacing w:after="0" w:line="286" w:lineRule="auto"/>
        <w:rPr>
          <w:sz w:val="20"/>
          <w:szCs w:val="20"/>
          <w:color w:val="auto"/>
        </w:rPr>
      </w:pPr>
      <w:r>
        <w:rPr>
          <w:rFonts w:ascii="Arial" w:cs="Arial" w:eastAsia="Arial" w:hAnsi="Arial"/>
          <w:sz w:val="17"/>
          <w:szCs w:val="17"/>
          <w:color w:val="auto"/>
        </w:rPr>
        <w:t>outstanding awards, in the event of certain capital or other changes affecting the Class A Common Stock. Thus, in addition to the above stated [5,000,000] shares, pursuant to Rule 416(c) under the Securities Act of 1933, as amended, this Registration Statement also covers an indeterminate number of shares of Class A Common Stock that may become subject to the Plan by means of any such adjustment.</w:t>
      </w:r>
    </w:p>
    <w:p>
      <w:pPr>
        <w:spacing w:after="0" w:line="166" w:lineRule="exact"/>
        <w:rPr>
          <w:sz w:val="20"/>
          <w:szCs w:val="20"/>
          <w:color w:val="auto"/>
        </w:rPr>
      </w:pPr>
    </w:p>
    <w:p>
      <w:pPr>
        <w:jc w:val="both"/>
        <w:ind w:left="972" w:hanging="972"/>
        <w:spacing w:after="0" w:line="264" w:lineRule="auto"/>
        <w:tabs>
          <w:tab w:leader="none" w:pos="972" w:val="left"/>
        </w:tabs>
        <w:numPr>
          <w:ilvl w:val="0"/>
          <w:numId w:val="2"/>
        </w:numPr>
        <w:rPr>
          <w:rFonts w:ascii="Arial" w:cs="Arial" w:eastAsia="Arial" w:hAnsi="Arial"/>
          <w:sz w:val="18"/>
          <w:szCs w:val="18"/>
          <w:color w:val="auto"/>
        </w:rPr>
      </w:pPr>
      <w:r>
        <w:rPr>
          <w:rFonts w:ascii="Arial" w:cs="Arial" w:eastAsia="Arial" w:hAnsi="Arial"/>
          <w:sz w:val="18"/>
          <w:szCs w:val="18"/>
          <w:color w:val="auto"/>
        </w:rPr>
        <w:t>Estimated solely for the purpose of calculating the registration fee pursuant to Rule 457(h) under the Securities Act of 1933 based upon the average of the high and low sales prices of the Registrant’s Class A Common Stock as reported on the New York Stock Exchange on July 19, 2016.</w:t>
      </w:r>
    </w:p>
    <w:p>
      <w:pPr>
        <w:sectPr>
          <w:pgSz w:w="11900" w:h="16838" w:orient="portrait"/>
          <w:cols w:equalWidth="0" w:num="1">
            <w:col w:w="11412"/>
          </w:cols>
          <w:pgMar w:left="248" w:top="125"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REQUIRED IN THE section 10(a) PROSPECTUS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Information specified in Part I of Form S-8 (Items 1 and 2) will be sent or given to Plan participants as specified by Rule 428(b)(1) under the Securities Act of 1933, as amended.</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2920"/>
        <w:spacing w:after="0"/>
        <w:rPr>
          <w:sz w:val="20"/>
          <w:szCs w:val="20"/>
          <w:color w:val="auto"/>
        </w:rPr>
      </w:pPr>
      <w:r>
        <w:rPr>
          <w:rFonts w:ascii="Arial" w:cs="Arial" w:eastAsia="Arial" w:hAnsi="Arial"/>
          <w:sz w:val="18"/>
          <w:szCs w:val="18"/>
          <w:b w:val="1"/>
          <w:bCs w:val="1"/>
          <w:color w:val="auto"/>
        </w:rPr>
        <w:t>INFORMATION REQUIRED IN THE REGISTRATION STATEMENT</w:t>
      </w:r>
    </w:p>
    <w:p>
      <w:pPr>
        <w:spacing w:after="0" w:line="225"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Incorporation of Documents by Reference.</w:t>
      </w:r>
    </w:p>
    <w:p>
      <w:pPr>
        <w:spacing w:after="0" w:line="229"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following documents filed by Brady Corporation (the “Registrant”) (Commission File No. 001-14959) with the Securities and Exchange Commission pursuant to Section 13 of the Securities Exchange Act of 1934, as amended, are incorporated herein by reference:</w:t>
      </w:r>
    </w:p>
    <w:p>
      <w:pPr>
        <w:spacing w:after="0" w:line="197" w:lineRule="exact"/>
        <w:rPr>
          <w:sz w:val="20"/>
          <w:szCs w:val="20"/>
          <w:color w:val="auto"/>
        </w:rPr>
      </w:pPr>
    </w:p>
    <w:p>
      <w:pPr>
        <w:ind w:left="1500" w:hanging="844"/>
        <w:spacing w:after="0"/>
        <w:tabs>
          <w:tab w:leader="none" w:pos="1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Registrant’s Annual Report on Form 10-K for the fiscal year ended July 31, 2015;</w:t>
      </w:r>
    </w:p>
    <w:p>
      <w:pPr>
        <w:spacing w:after="0" w:line="265" w:lineRule="exact"/>
        <w:rPr>
          <w:rFonts w:ascii="Arial" w:cs="Arial" w:eastAsia="Arial" w:hAnsi="Arial"/>
          <w:sz w:val="18"/>
          <w:szCs w:val="18"/>
          <w:color w:val="auto"/>
        </w:rPr>
      </w:pPr>
    </w:p>
    <w:p>
      <w:pPr>
        <w:ind w:left="1520" w:hanging="864"/>
        <w:spacing w:after="0"/>
        <w:tabs>
          <w:tab w:leader="none" w:pos="152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Registrant’s Quarterly Reports on Form 10-Q for the quarters ended October 31, 2015, January 31, 2016, and April 30, 2016;</w:t>
      </w:r>
    </w:p>
    <w:p>
      <w:pPr>
        <w:spacing w:after="0" w:line="277" w:lineRule="exact"/>
        <w:rPr>
          <w:rFonts w:ascii="Arial" w:cs="Arial" w:eastAsia="Arial" w:hAnsi="Arial"/>
          <w:sz w:val="17"/>
          <w:szCs w:val="17"/>
          <w:color w:val="auto"/>
        </w:rPr>
      </w:pPr>
    </w:p>
    <w:p>
      <w:pPr>
        <w:jc w:val="both"/>
        <w:ind w:firstLine="656"/>
        <w:spacing w:after="0" w:line="306" w:lineRule="auto"/>
        <w:tabs>
          <w:tab w:leader="none" w:pos="1496"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Registrant’s Current Reports on Form 8-K dated September 9, 2015 (excluding Items 2.02 and 7.01, as well as the related exhibits in Item 9.01), September 25, 2015, November 18, 2015 (excluding Items 2.02 and 7.01, as well as the related exhibits in Item 9.01), February 16, 2016 (excluding Items 2.02 and 7.01, as well as the related exhibits in Item 9.01), May 19, 2016 (excluding Items 2.02 and 7.01, as well as the related exhibits in Item 9.01), and May 27, 2016.</w:t>
      </w:r>
    </w:p>
    <w:p>
      <w:pPr>
        <w:spacing w:after="0" w:line="186" w:lineRule="exact"/>
        <w:rPr>
          <w:rFonts w:ascii="Arial" w:cs="Arial" w:eastAsia="Arial" w:hAnsi="Arial"/>
          <w:sz w:val="18"/>
          <w:szCs w:val="18"/>
          <w:color w:val="auto"/>
        </w:rPr>
      </w:pPr>
    </w:p>
    <w:p>
      <w:pPr>
        <w:jc w:val="both"/>
        <w:ind w:firstLine="656"/>
        <w:spacing w:after="0" w:line="336" w:lineRule="auto"/>
        <w:tabs>
          <w:tab w:leader="none" w:pos="1506"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portion of the Registrant’s Registration Statement on Form 8-A, filed April 27, 1999, that describes the Registrant’s Class A Nonvoting Common Stock in Item 1 thereof, which incorporates such description from the description of the Registrant’s Capital Stock contained in the Registrant’s Registration Statement on Form S-3 (No. 333-04155), filed May 21, 1996, and any further amendment or report updating that description.</w:t>
      </w:r>
    </w:p>
    <w:p>
      <w:pPr>
        <w:spacing w:after="0" w:line="138" w:lineRule="exact"/>
        <w:rPr>
          <w:sz w:val="20"/>
          <w:szCs w:val="20"/>
          <w:color w:val="auto"/>
        </w:rPr>
      </w:pPr>
    </w:p>
    <w:p>
      <w:pPr>
        <w:jc w:val="both"/>
        <w:ind w:right="20" w:firstLine="648"/>
        <w:spacing w:after="0" w:line="312" w:lineRule="auto"/>
        <w:rPr>
          <w:sz w:val="20"/>
          <w:szCs w:val="20"/>
          <w:color w:val="auto"/>
        </w:rPr>
      </w:pPr>
      <w:r>
        <w:rPr>
          <w:rFonts w:ascii="Arial" w:cs="Arial" w:eastAsia="Arial" w:hAnsi="Arial"/>
          <w:sz w:val="16"/>
          <w:szCs w:val="16"/>
          <w:color w:val="auto"/>
        </w:rPr>
        <w:t>All documents subsequently filed by the Registrant pursuant to Sections 13(a), 13(c), 14 and 15(d) of the Securities Exchange Act of 1934, as amended prior to the filing of a post-effective amendment which indicates that all securities offered hereby have been sold or which deregisters all securities then remaining unsold, shall be deemed to be incorporated by reference herein and to be a part hereof from the date of the filing of such documents.</w:t>
      </w:r>
    </w:p>
    <w:p>
      <w:pPr>
        <w:spacing w:after="0" w:line="14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Any statement contained in a document incorporated or deemed to be incorporated by reference herein shall be deemed to be modified or superseded for purposes hereof to the extent that a statement contained herein or in any other subsequently filed document which also is or is deemed to be incorporated by reference herein modifies or supersedes such statement. Any statement so modified or superseded shall not be deemed, except as so modified or superseded, to constitute a part hereof.</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Description of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Interests of Named Experts and Counsel.</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580"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Item 6. Indemnification of Directors and Officers.</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The Registrant is incorporated under the Wisconsin Business Corporation Law (the “WBCL”). The WBCL includes provisions providing for indemnification by a corporation of a director or officer against certain liabilities and expenses incurred by him or her in any proceeding (whether threatened, pending, or completed, and whether brought by the Registrant or any other person) to which he or she was a party because of being a director or officer. Under Section 180.0851(1) of the WBCL, the Registrant is required to indemnify a director or officer, to the extent such person is successful on the merits or otherwise in the defense of a proceeding, for all reasonable expenses incurred in the proceeding if such person was a party because he or she was a director or officer of the Registrant. In all other cases, the Registrant is required by Section 180.0851(2) of the WBCL to indemnify a director or officer against liabilities (including, among other things, judgments, penalties, fines and reasonable expenses) incurred in a proceeding to which such person was a party because he or she was an officer or director of the Registrant, unless it is determined that liability was incurred because he or she breached or failed to perform a duty to which he or she owes the Registrant and the breach or failure constitutes any of the following: (i) a willful failure to deal fairly with the Registrant or its shareholders in connection with a matter in which he or she has a material conflict of interest; (ii) a violation of criminal law, unless he or she had reasonable cause to believe his or her conduct was lawful or no reasonable cause to believe his or her conduct was unlawful; (iii) a transaction from which he or she derived an improper personal profit; or (iv) willful misconduct. Section 180.0858(1) of the WBCL provides that, subject to certain limitations, the mandatory indemnification provisions do not preclude any additional right to indemnification or allowance of expenses that a director or officer may have under the Registrant’s Articles of Incorporation, By-laws, a written agreement or a resolution of the Board of Directors or shareholders.</w:t>
      </w:r>
    </w:p>
    <w:p>
      <w:pPr>
        <w:spacing w:after="0" w:line="17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Section 180.0851(2)(c) of the WBCL specifies that the termination of a proceeding by judgment, order, settlement, or conviction, or upon a plea of no contest or an equivalent plea, does not, by itself, create a presumption that indemnification is not required. Section 180.0853 of the WBCL permits the Registrant to pay or reimburse reasonable expenses as incurred if the director or officer affirms his or her good faith belief that he or she has not breached or failed to perform his or her duties to the corporation and undertakes to make repayment to the extent it is ultimately determined that indemnification is not required.</w:t>
      </w:r>
    </w:p>
    <w:p>
      <w:pPr>
        <w:spacing w:after="0" w:line="18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Section 180.0859 of the WBCL provides that it is the public policy of the State of Wisconsin to require or permit indemnification, allowance of expenses and insurance to the extent required or permitted under Sections 180.0850 to 180.0858 of the WBCL for any liability incurred in connection with a proceeding involving a federal or state statute, rule or regulation regulating the offer, sale or purchase of securities.</w:t>
      </w:r>
    </w:p>
    <w:p>
      <w:pPr>
        <w:spacing w:after="0" w:line="166"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Section 180.0828 of the WBCL provides that, with certain exceptions, a director is not liable to a corporation, its shareholders, or any person asserting rights on behalf of the corporation or its shareholders, for damages, settlements, fees, fines, penalties or other monetary liabilities arising from a breach of, or failure to perform, any duty resulting solely from his or her status as a director, unless the person asserting liability proves that the breach or failure to perform constitutes any of the four exceptions to mandatory indemnification under Section 180.0851(2) referred to above.</w:t>
      </w:r>
    </w:p>
    <w:p>
      <w:pPr>
        <w:spacing w:after="0" w:line="17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Under Section 180.0833 of the WBCL, directors of the Registrant against whom claims are asserted with respect to the declaration of an improper dividend or other distribution to shareholders to which they assented are entitled to contribution from other directors who assented to such distribution and from shareholders who knowingly accepted the improper distribution, as provided therein.</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Registrant’s By-laws contain provisions that generally parallel the indemnification provisions of the WBCL and cover certain procedural matters not dealt with in the WBCL. Directors and officers of the Registrant are also covered by directors’ and officers’ liability insurance under which they are insured (subject to certain exceptions and limitations specified in the policy) against expenses and liabilities arising out of proceedings to which they are parties by reason of being or having been directors or officers.</w:t>
      </w:r>
    </w:p>
    <w:p>
      <w:pPr>
        <w:spacing w:after="0" w:line="183"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Exemption from Registration Claimed.</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Exhibits.</w:t>
      </w:r>
    </w:p>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the Exhibit Index following the Signatures page in this Registration Statement, which Exhibit Index is incorporated herein by reference.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580"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Item 9. Undertakings.</w:t>
      </w:r>
    </w:p>
    <w:p>
      <w:pPr>
        <w:spacing w:after="0" w:line="256" w:lineRule="exact"/>
        <w:rPr>
          <w:sz w:val="20"/>
          <w:szCs w:val="20"/>
          <w:color w:val="auto"/>
        </w:rPr>
      </w:pPr>
    </w:p>
    <w:p>
      <w:pPr>
        <w:ind w:left="1500" w:hanging="844"/>
        <w:spacing w:after="0"/>
        <w:tabs>
          <w:tab w:leader="none" w:pos="1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265" w:lineRule="exact"/>
        <w:rPr>
          <w:rFonts w:ascii="Arial" w:cs="Arial" w:eastAsia="Arial" w:hAnsi="Arial"/>
          <w:sz w:val="18"/>
          <w:szCs w:val="18"/>
          <w:color w:val="auto"/>
        </w:rPr>
      </w:pPr>
    </w:p>
    <w:p>
      <w:pPr>
        <w:ind w:left="2160" w:hanging="855"/>
        <w:spacing w:after="0"/>
        <w:tabs>
          <w:tab w:leader="none" w:pos="2160" w:val="left"/>
        </w:tabs>
        <w:numPr>
          <w:ilvl w:val="1"/>
          <w:numId w:val="4"/>
        </w:numPr>
        <w:rPr>
          <w:rFonts w:ascii="Arial" w:cs="Arial" w:eastAsia="Arial" w:hAnsi="Arial"/>
          <w:sz w:val="16"/>
          <w:szCs w:val="16"/>
          <w:color w:val="auto"/>
        </w:rPr>
      </w:pPr>
      <w:r>
        <w:rPr>
          <w:rFonts w:ascii="Arial" w:cs="Arial" w:eastAsia="Arial" w:hAnsi="Arial"/>
          <w:sz w:val="16"/>
          <w:szCs w:val="16"/>
          <w:color w:val="auto"/>
        </w:rPr>
        <w:t>To file, during any period in which offers or sales are being made, a post-effective amendment to this Registration Statement:</w:t>
      </w:r>
    </w:p>
    <w:p>
      <w:pPr>
        <w:spacing w:after="0" w:line="261" w:lineRule="exact"/>
        <w:rPr>
          <w:rFonts w:ascii="Arial" w:cs="Arial" w:eastAsia="Arial" w:hAnsi="Arial"/>
          <w:sz w:val="16"/>
          <w:szCs w:val="16"/>
          <w:color w:val="auto"/>
        </w:rPr>
      </w:pPr>
    </w:p>
    <w:p>
      <w:pPr>
        <w:ind w:left="2600" w:hanging="647"/>
        <w:spacing w:after="0"/>
        <w:tabs>
          <w:tab w:leader="none" w:pos="2600" w:val="left"/>
        </w:tabs>
        <w:numPr>
          <w:ilvl w:val="2"/>
          <w:numId w:val="4"/>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w:t>
      </w:r>
    </w:p>
    <w:p>
      <w:pPr>
        <w:spacing w:after="0" w:line="225" w:lineRule="exact"/>
        <w:rPr>
          <w:rFonts w:ascii="Arial" w:cs="Arial" w:eastAsia="Arial" w:hAnsi="Arial"/>
          <w:sz w:val="18"/>
          <w:szCs w:val="18"/>
          <w:color w:val="auto"/>
        </w:rPr>
      </w:pPr>
    </w:p>
    <w:p>
      <w:pPr>
        <w:jc w:val="both"/>
        <w:ind w:left="2600" w:hanging="647"/>
        <w:spacing w:after="0" w:line="271" w:lineRule="auto"/>
        <w:tabs>
          <w:tab w:leader="none" w:pos="2600" w:val="left"/>
        </w:tabs>
        <w:numPr>
          <w:ilvl w:val="2"/>
          <w:numId w:val="4"/>
        </w:numPr>
        <w:rPr>
          <w:rFonts w:ascii="Arial" w:cs="Arial" w:eastAsia="Arial" w:hAnsi="Arial"/>
          <w:sz w:val="17"/>
          <w:szCs w:val="17"/>
          <w:color w:val="auto"/>
        </w:rPr>
      </w:pPr>
      <w:r>
        <w:rPr>
          <w:rFonts w:ascii="Arial" w:cs="Arial" w:eastAsia="Arial" w:hAnsi="Arial"/>
          <w:sz w:val="17"/>
          <w:szCs w:val="17"/>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w:t>
      </w:r>
    </w:p>
    <w:p>
      <w:pPr>
        <w:spacing w:after="0" w:line="178" w:lineRule="exact"/>
        <w:rPr>
          <w:rFonts w:ascii="Arial" w:cs="Arial" w:eastAsia="Arial" w:hAnsi="Arial"/>
          <w:sz w:val="17"/>
          <w:szCs w:val="17"/>
          <w:color w:val="auto"/>
        </w:rPr>
      </w:pPr>
    </w:p>
    <w:p>
      <w:pPr>
        <w:ind w:left="2600" w:hanging="647"/>
        <w:spacing w:after="0" w:line="277" w:lineRule="auto"/>
        <w:tabs>
          <w:tab w:leader="none" w:pos="2600" w:val="left"/>
        </w:tabs>
        <w:numPr>
          <w:ilvl w:val="2"/>
          <w:numId w:val="4"/>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i w:val="1"/>
          <w:iCs w:val="1"/>
          <w:color w:val="auto"/>
        </w:rPr>
        <w:t>Provided, however</w:t>
      </w:r>
      <w:r>
        <w:rPr>
          <w:rFonts w:ascii="Arial" w:cs="Arial" w:eastAsia="Arial" w:hAnsi="Arial"/>
          <w:sz w:val="18"/>
          <w:szCs w:val="18"/>
          <w:color w:val="auto"/>
        </w:rPr>
        <w:t>, that paragraphs (a)(1)(i) and (a)(1)(ii) of this section do not apply if the information required to be included in a post-effective</w:t>
      </w:r>
      <w:r>
        <w:rPr>
          <w:rFonts w:ascii="Arial" w:cs="Arial" w:eastAsia="Arial" w:hAnsi="Arial"/>
          <w:sz w:val="18"/>
          <w:szCs w:val="18"/>
          <w:i w:val="1"/>
          <w:iCs w:val="1"/>
          <w:color w:val="auto"/>
        </w:rPr>
        <w:t xml:space="preserve"> </w:t>
      </w:r>
      <w:r>
        <w:rPr>
          <w:rFonts w:ascii="Arial" w:cs="Arial" w:eastAsia="Arial" w:hAnsi="Arial"/>
          <w:sz w:val="18"/>
          <w:szCs w:val="18"/>
          <w:color w:val="auto"/>
        </w:rPr>
        <w:t>amendment by those paragraphs is contained in reports filed with or furnished to the Commission by the Registrant pursuant to Section 13 or Section 15(d) of the Securities Exchange Act of 1934 that are incorporated by reference in the Registration Statement.</w:t>
      </w:r>
    </w:p>
    <w:p>
      <w:pPr>
        <w:spacing w:after="0" w:line="208" w:lineRule="exact"/>
        <w:rPr>
          <w:sz w:val="20"/>
          <w:szCs w:val="20"/>
          <w:color w:val="auto"/>
        </w:rPr>
      </w:pPr>
    </w:p>
    <w:p>
      <w:pPr>
        <w:jc w:val="both"/>
        <w:ind w:firstLine="1305"/>
        <w:spacing w:after="0" w:line="311" w:lineRule="auto"/>
        <w:tabs>
          <w:tab w:leader="none" w:pos="2155" w:val="left"/>
        </w:tabs>
        <w:numPr>
          <w:ilvl w:val="1"/>
          <w:numId w:val="5"/>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181" w:lineRule="exact"/>
        <w:rPr>
          <w:rFonts w:ascii="Arial" w:cs="Arial" w:eastAsia="Arial" w:hAnsi="Arial"/>
          <w:sz w:val="18"/>
          <w:szCs w:val="18"/>
          <w:color w:val="auto"/>
        </w:rPr>
      </w:pPr>
    </w:p>
    <w:p>
      <w:pPr>
        <w:ind w:left="2160" w:hanging="855"/>
        <w:spacing w:after="0"/>
        <w:tabs>
          <w:tab w:leader="none" w:pos="2160" w:val="left"/>
        </w:tabs>
        <w:numPr>
          <w:ilvl w:val="1"/>
          <w:numId w:val="5"/>
        </w:numPr>
        <w:rPr>
          <w:rFonts w:ascii="Arial" w:cs="Arial" w:eastAsia="Arial" w:hAnsi="Arial"/>
          <w:sz w:val="16"/>
          <w:szCs w:val="16"/>
          <w:color w:val="auto"/>
        </w:rPr>
      </w:pPr>
      <w:r>
        <w:rPr>
          <w:rFonts w:ascii="Arial" w:cs="Arial" w:eastAsia="Arial" w:hAnsi="Arial"/>
          <w:sz w:val="16"/>
          <w:szCs w:val="16"/>
          <w:color w:val="auto"/>
        </w:rPr>
        <w:t>To remove from registration by means of a post-effective amendment any of the securities being registered which remain unsold</w:t>
      </w:r>
    </w:p>
    <w:p>
      <w:pPr>
        <w:spacing w:after="0" w:line="72" w:lineRule="exact"/>
        <w:rPr>
          <w:rFonts w:ascii="Arial" w:cs="Arial" w:eastAsia="Arial" w:hAnsi="Arial"/>
          <w:sz w:val="16"/>
          <w:szCs w:val="16"/>
          <w:color w:val="auto"/>
        </w:rPr>
      </w:pPr>
    </w:p>
    <w:p>
      <w:pPr>
        <w:ind w:left="1300" w:right="9020" w:hanging="1297"/>
        <w:spacing w:after="0" w:line="293" w:lineRule="auto"/>
        <w:rPr>
          <w:rFonts w:ascii="Arial" w:cs="Arial" w:eastAsia="Arial" w:hAnsi="Arial"/>
          <w:sz w:val="16"/>
          <w:szCs w:val="16"/>
          <w:color w:val="auto"/>
        </w:rPr>
      </w:pPr>
      <w:r>
        <w:rPr>
          <w:rFonts w:ascii="Arial" w:cs="Arial" w:eastAsia="Arial" w:hAnsi="Arial"/>
          <w:sz w:val="18"/>
          <w:szCs w:val="18"/>
          <w:color w:val="auto"/>
        </w:rPr>
        <w:t>at the termination of the offering. ….</w:t>
      </w:r>
    </w:p>
    <w:p>
      <w:pPr>
        <w:spacing w:after="0" w:line="183" w:lineRule="exact"/>
        <w:rPr>
          <w:rFonts w:ascii="Arial" w:cs="Arial" w:eastAsia="Arial" w:hAnsi="Arial"/>
          <w:sz w:val="16"/>
          <w:szCs w:val="16"/>
          <w:color w:val="auto"/>
        </w:rPr>
      </w:pPr>
    </w:p>
    <w:p>
      <w:pPr>
        <w:jc w:val="both"/>
        <w:ind w:firstLine="656"/>
        <w:spacing w:after="0" w:line="334" w:lineRule="auto"/>
        <w:tabs>
          <w:tab w:leader="none" w:pos="1506"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w:t>
      </w:r>
    </w:p>
    <w:p>
      <w:pPr>
        <w:spacing w:after="0" w:line="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deemed to be the initial bona fide offering thereof.</w:t>
      </w:r>
    </w:p>
    <w:p>
      <w:pPr>
        <w:spacing w:after="0" w:line="23"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w:t>
      </w:r>
    </w:p>
    <w:p>
      <w:pPr>
        <w:spacing w:after="0" w:line="224" w:lineRule="exact"/>
        <w:rPr>
          <w:sz w:val="20"/>
          <w:szCs w:val="20"/>
          <w:color w:val="auto"/>
        </w:rPr>
      </w:pPr>
    </w:p>
    <w:p>
      <w:pPr>
        <w:ind w:left="1100" w:hanging="444"/>
        <w:spacing w:after="0"/>
        <w:tabs>
          <w:tab w:leader="none" w:pos="110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Reference is made to the indemnification provisions described in Item 6 of this Registration Statement.</w:t>
      </w:r>
    </w:p>
    <w:p>
      <w:pPr>
        <w:spacing w:after="0" w:line="225" w:lineRule="exact"/>
        <w:rPr>
          <w:sz w:val="20"/>
          <w:szCs w:val="20"/>
          <w:color w:val="auto"/>
        </w:rPr>
      </w:pPr>
    </w:p>
    <w:p>
      <w:pPr>
        <w:jc w:val="both"/>
        <w:ind w:firstLine="1297"/>
        <w:spacing w:after="0" w:line="254" w:lineRule="auto"/>
        <w:rPr>
          <w:sz w:val="20"/>
          <w:szCs w:val="20"/>
          <w:color w:val="auto"/>
        </w:rPr>
      </w:pPr>
      <w:r>
        <w:rPr>
          <w:rFonts w:ascii="Arial" w:cs="Arial" w:eastAsia="Arial" w:hAnsi="Arial"/>
          <w:sz w:val="18"/>
          <w:szCs w:val="18"/>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580"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Milwaukee, State of Wisconsin, on July 22, 2016.</w:t>
      </w:r>
    </w:p>
    <w:p>
      <w:pPr>
        <w:spacing w:after="0" w:line="18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BRADY CORPORATION</w:t>
      </w:r>
    </w:p>
    <w:p>
      <w:pPr>
        <w:spacing w:after="0" w:line="23"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27"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J. Michael Nauman</w:t>
      </w:r>
    </w:p>
    <w:p>
      <w:pPr>
        <w:spacing w:after="0" w:line="23"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J. Michael Nauman</w:t>
      </w:r>
    </w:p>
    <w:p>
      <w:pPr>
        <w:spacing w:after="0" w:line="9" w:lineRule="exact"/>
        <w:rPr>
          <w:sz w:val="20"/>
          <w:szCs w:val="20"/>
          <w:color w:val="auto"/>
        </w:rPr>
      </w:pPr>
    </w:p>
    <w:p>
      <w:pPr>
        <w:jc w:val="center"/>
        <w:ind w:left="26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__________________</w:t>
      </w:r>
    </w:p>
    <w:p>
      <w:pPr>
        <w:spacing w:after="0" w:line="207" w:lineRule="exact"/>
        <w:rPr>
          <w:sz w:val="20"/>
          <w:szCs w:val="20"/>
          <w:color w:val="auto"/>
        </w:rPr>
      </w:pPr>
    </w:p>
    <w:p>
      <w:pPr>
        <w:jc w:val="center"/>
        <w:ind w:left="260"/>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jc w:val="both"/>
        <w:ind w:left="260" w:firstLine="378"/>
        <w:spacing w:after="0" w:line="252" w:lineRule="auto"/>
        <w:rPr>
          <w:sz w:val="20"/>
          <w:szCs w:val="20"/>
          <w:color w:val="auto"/>
        </w:rPr>
      </w:pPr>
      <w:r>
        <w:rPr>
          <w:rFonts w:ascii="Arial" w:cs="Arial" w:eastAsia="Arial" w:hAnsi="Arial"/>
          <w:sz w:val="18"/>
          <w:szCs w:val="18"/>
          <w:color w:val="auto"/>
        </w:rPr>
        <w:t>KNOW ALL PERSONS BY THESE PRESENTS, that each person whose signature appears below constitutes and appoints J. Michael Nauman, Aaron J. Pearce and Louis T. Bolognini, and each of them, his or her true and lawful attorneys-in-fact and agents, with full power of substitution and resubstitution, for him or her and in his or her name, place and stead, in any and all capacities, to sign any and all amendments (including post-effective amendments) to this Registration Statement, and to file the same, with all exhibits thereto, and other documents in connection therewith, with the Securities and Exchange Commission, and any other regulatory authority, granting unto said attorneys-in-fact and agents, and each of them, full power and authority to do and perform each and every act and thing requisite and necessary to be done in and about the premises, as fully to all intents and purposes as he might or could do in person, hereby ratifying and confirming all that said attorneys-in-fact and agents or any of them, or their substitutes, may lawfully do or cause to be done by virtue hereof.</w:t>
      </w:r>
    </w:p>
    <w:p>
      <w:pPr>
        <w:spacing w:after="0" w:line="4"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____________________</w:t>
      </w:r>
    </w:p>
    <w:p>
      <w:pPr>
        <w:spacing w:after="0" w:line="211" w:lineRule="exact"/>
        <w:rPr>
          <w:sz w:val="20"/>
          <w:szCs w:val="20"/>
          <w:color w:val="auto"/>
        </w:rPr>
      </w:pPr>
    </w:p>
    <w:p>
      <w:pPr>
        <w:ind w:left="260" w:right="40" w:firstLine="378"/>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 indicated.*</w:t>
      </w:r>
    </w:p>
    <w:p>
      <w:pPr>
        <w:spacing w:after="0" w:line="112" w:lineRule="exact"/>
        <w:rPr>
          <w:sz w:val="20"/>
          <w:szCs w:val="20"/>
          <w:color w:val="auto"/>
        </w:rPr>
      </w:pPr>
    </w:p>
    <w:p>
      <w:pPr>
        <w:ind w:left="2880"/>
        <w:spacing w:after="0"/>
        <w:tabs>
          <w:tab w:leader="none" w:pos="7960" w:val="left"/>
        </w:tabs>
        <w:rPr>
          <w:sz w:val="20"/>
          <w:szCs w:val="20"/>
          <w:color w:val="auto"/>
        </w:rPr>
      </w:pPr>
      <w:r>
        <w:rPr>
          <w:rFonts w:ascii="Arial" w:cs="Arial" w:eastAsia="Arial" w:hAnsi="Arial"/>
          <w:sz w:val="18"/>
          <w:szCs w:val="18"/>
          <w:b w:val="1"/>
          <w:bCs w:val="1"/>
          <w:u w:val="single" w:color="auto"/>
          <w:color w:val="auto"/>
        </w:rPr>
        <w:t>Name</w:t>
      </w:r>
      <w:r>
        <w:rPr>
          <w:sz w:val="20"/>
          <w:szCs w:val="20"/>
          <w:color w:val="auto"/>
        </w:rPr>
        <w:tab/>
      </w:r>
      <w:r>
        <w:rPr>
          <w:rFonts w:ascii="Arial" w:cs="Arial" w:eastAsia="Arial" w:hAnsi="Arial"/>
          <w:sz w:val="18"/>
          <w:szCs w:val="18"/>
          <w:b w:val="1"/>
          <w:bCs w:val="1"/>
          <w:u w:val="single" w:color="auto"/>
          <w:color w:val="auto"/>
        </w:rPr>
        <w:t>Capacity</w:t>
      </w:r>
    </w:p>
    <w:p>
      <w:pPr>
        <w:sectPr>
          <w:pgSz w:w="11900" w:h="16838" w:orient="portrait"/>
          <w:cols w:equalWidth="0" w:num="1">
            <w:col w:w="11420"/>
          </w:cols>
          <w:pgMar w:left="240" w:top="580" w:right="239" w:bottom="503" w:gutter="0" w:footer="0" w:header="0"/>
        </w:sectPr>
      </w:pPr>
    </w:p>
    <w:p>
      <w:pPr>
        <w:spacing w:after="0" w:line="283" w:lineRule="exact"/>
        <w:rPr>
          <w:sz w:val="20"/>
          <w:szCs w:val="20"/>
          <w:color w:val="auto"/>
        </w:rPr>
      </w:pPr>
    </w:p>
    <w:p>
      <w:pPr>
        <w:ind w:left="520"/>
        <w:spacing w:after="0"/>
        <w:rPr>
          <w:sz w:val="20"/>
          <w:szCs w:val="20"/>
          <w:color w:val="auto"/>
        </w:rPr>
      </w:pPr>
      <w:r>
        <w:rPr>
          <w:rFonts w:ascii="Arial" w:cs="Arial" w:eastAsia="Arial" w:hAnsi="Arial"/>
          <w:sz w:val="18"/>
          <w:szCs w:val="18"/>
          <w:u w:val="single" w:color="auto"/>
          <w:color w:val="auto"/>
        </w:rPr>
        <w:t>/s/ J. Michael Nauman</w:t>
      </w:r>
    </w:p>
    <w:p>
      <w:pPr>
        <w:spacing w:after="0" w:line="2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J. Michael Nauman</w:t>
      </w:r>
    </w:p>
    <w:p>
      <w:pPr>
        <w:spacing w:after="0" w:line="305" w:lineRule="exact"/>
        <w:rPr>
          <w:sz w:val="20"/>
          <w:szCs w:val="20"/>
          <w:color w:val="auto"/>
        </w:rPr>
      </w:pPr>
    </w:p>
    <w:p>
      <w:pPr>
        <w:ind w:left="520"/>
        <w:spacing w:after="0"/>
        <w:rPr>
          <w:sz w:val="20"/>
          <w:szCs w:val="20"/>
          <w:color w:val="auto"/>
        </w:rPr>
      </w:pPr>
      <w:r>
        <w:rPr>
          <w:rFonts w:ascii="Arial" w:cs="Arial" w:eastAsia="Arial" w:hAnsi="Arial"/>
          <w:sz w:val="18"/>
          <w:szCs w:val="18"/>
          <w:u w:val="single" w:color="auto"/>
          <w:color w:val="auto"/>
        </w:rPr>
        <w:t>/s/ Aaron J. Pearce</w:t>
      </w:r>
    </w:p>
    <w:p>
      <w:pPr>
        <w:spacing w:after="0" w:line="2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Aaron J. Pearce</w:t>
      </w:r>
    </w:p>
    <w:p>
      <w:pPr>
        <w:spacing w:after="0" w:line="305" w:lineRule="exact"/>
        <w:rPr>
          <w:sz w:val="20"/>
          <w:szCs w:val="20"/>
          <w:color w:val="auto"/>
        </w:rPr>
      </w:pPr>
    </w:p>
    <w:p>
      <w:pPr>
        <w:ind w:left="520"/>
        <w:spacing w:after="0"/>
        <w:rPr>
          <w:sz w:val="20"/>
          <w:szCs w:val="20"/>
          <w:color w:val="auto"/>
        </w:rPr>
      </w:pPr>
      <w:r>
        <w:rPr>
          <w:rFonts w:ascii="Arial" w:cs="Arial" w:eastAsia="Arial" w:hAnsi="Arial"/>
          <w:sz w:val="18"/>
          <w:szCs w:val="18"/>
          <w:u w:val="single" w:color="auto"/>
          <w:color w:val="auto"/>
        </w:rPr>
        <w:t>/s/ Patrick W. Allender</w:t>
      </w:r>
    </w:p>
    <w:p>
      <w:pPr>
        <w:spacing w:after="0" w:line="2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Patrick W. Allender</w:t>
      </w:r>
    </w:p>
    <w:p>
      <w:pPr>
        <w:spacing w:after="0" w:line="305" w:lineRule="exact"/>
        <w:rPr>
          <w:sz w:val="20"/>
          <w:szCs w:val="20"/>
          <w:color w:val="auto"/>
        </w:rPr>
      </w:pPr>
    </w:p>
    <w:p>
      <w:pPr>
        <w:ind w:left="520"/>
        <w:spacing w:after="0"/>
        <w:rPr>
          <w:sz w:val="20"/>
          <w:szCs w:val="20"/>
          <w:color w:val="auto"/>
        </w:rPr>
      </w:pPr>
      <w:r>
        <w:rPr>
          <w:rFonts w:ascii="Arial" w:cs="Arial" w:eastAsia="Arial" w:hAnsi="Arial"/>
          <w:sz w:val="18"/>
          <w:szCs w:val="18"/>
          <w:u w:val="single" w:color="auto"/>
          <w:color w:val="auto"/>
        </w:rPr>
        <w:t>/s/ Gary S. Balkema</w:t>
      </w:r>
    </w:p>
    <w:p>
      <w:pPr>
        <w:spacing w:after="0" w:line="2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Gary S. Balkema</w:t>
      </w:r>
    </w:p>
    <w:p>
      <w:pPr>
        <w:spacing w:after="0" w:line="305" w:lineRule="exact"/>
        <w:rPr>
          <w:sz w:val="20"/>
          <w:szCs w:val="20"/>
          <w:color w:val="auto"/>
        </w:rPr>
      </w:pPr>
    </w:p>
    <w:p>
      <w:pPr>
        <w:ind w:left="520"/>
        <w:spacing w:after="0"/>
        <w:rPr>
          <w:sz w:val="20"/>
          <w:szCs w:val="20"/>
          <w:color w:val="auto"/>
        </w:rPr>
      </w:pPr>
      <w:r>
        <w:rPr>
          <w:rFonts w:ascii="Arial" w:cs="Arial" w:eastAsia="Arial" w:hAnsi="Arial"/>
          <w:sz w:val="18"/>
          <w:szCs w:val="18"/>
          <w:u w:val="single" w:color="auto"/>
          <w:color w:val="auto"/>
        </w:rPr>
        <w:t>/s/ Elizabeth P. Bruno</w:t>
      </w:r>
    </w:p>
    <w:p>
      <w:pPr>
        <w:spacing w:after="0" w:line="2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Elizabeth P. Bruno</w:t>
      </w:r>
    </w:p>
    <w:p>
      <w:pPr>
        <w:spacing w:after="0" w:line="305" w:lineRule="exact"/>
        <w:rPr>
          <w:sz w:val="20"/>
          <w:szCs w:val="20"/>
          <w:color w:val="auto"/>
        </w:rPr>
      </w:pPr>
    </w:p>
    <w:p>
      <w:pPr>
        <w:ind w:left="520"/>
        <w:spacing w:after="0"/>
        <w:rPr>
          <w:sz w:val="20"/>
          <w:szCs w:val="20"/>
          <w:color w:val="auto"/>
        </w:rPr>
      </w:pPr>
      <w:r>
        <w:rPr>
          <w:rFonts w:ascii="Arial" w:cs="Arial" w:eastAsia="Arial" w:hAnsi="Arial"/>
          <w:sz w:val="18"/>
          <w:szCs w:val="18"/>
          <w:u w:val="single" w:color="auto"/>
          <w:color w:val="auto"/>
        </w:rPr>
        <w:t>/s/ Nancy Lee Gioia</w:t>
      </w:r>
    </w:p>
    <w:p>
      <w:pPr>
        <w:spacing w:after="0" w:line="2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Nancy Lee Gioia</w:t>
      </w:r>
    </w:p>
    <w:p>
      <w:pPr>
        <w:spacing w:after="0" w:line="305" w:lineRule="exact"/>
        <w:rPr>
          <w:sz w:val="20"/>
          <w:szCs w:val="20"/>
          <w:color w:val="auto"/>
        </w:rPr>
      </w:pPr>
    </w:p>
    <w:p>
      <w:pPr>
        <w:ind w:left="520"/>
        <w:spacing w:after="0"/>
        <w:rPr>
          <w:sz w:val="20"/>
          <w:szCs w:val="20"/>
          <w:color w:val="auto"/>
        </w:rPr>
      </w:pPr>
      <w:r>
        <w:rPr>
          <w:rFonts w:ascii="Arial" w:cs="Arial" w:eastAsia="Arial" w:hAnsi="Arial"/>
          <w:sz w:val="18"/>
          <w:szCs w:val="18"/>
          <w:u w:val="single" w:color="auto"/>
          <w:color w:val="auto"/>
        </w:rPr>
        <w:t>/s/ Conrad G. Goodkind</w:t>
      </w:r>
    </w:p>
    <w:p>
      <w:pPr>
        <w:spacing w:after="0" w:line="2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Conrad G. Goodkind</w:t>
      </w:r>
    </w:p>
    <w:p>
      <w:pPr>
        <w:spacing w:after="0" w:line="305" w:lineRule="exact"/>
        <w:rPr>
          <w:sz w:val="20"/>
          <w:szCs w:val="20"/>
          <w:color w:val="auto"/>
        </w:rPr>
      </w:pPr>
    </w:p>
    <w:p>
      <w:pPr>
        <w:ind w:left="520"/>
        <w:spacing w:after="0"/>
        <w:rPr>
          <w:sz w:val="20"/>
          <w:szCs w:val="20"/>
          <w:color w:val="auto"/>
        </w:rPr>
      </w:pPr>
      <w:r>
        <w:rPr>
          <w:rFonts w:ascii="Arial" w:cs="Arial" w:eastAsia="Arial" w:hAnsi="Arial"/>
          <w:sz w:val="18"/>
          <w:szCs w:val="18"/>
          <w:u w:val="single" w:color="auto"/>
          <w:color w:val="auto"/>
        </w:rPr>
        <w:t>/s/ Frank W. Harris</w:t>
      </w:r>
    </w:p>
    <w:p>
      <w:pPr>
        <w:spacing w:after="0" w:line="2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Frank W. Harris</w:t>
      </w:r>
    </w:p>
    <w:p>
      <w:pPr>
        <w:spacing w:after="0" w:line="305" w:lineRule="exact"/>
        <w:rPr>
          <w:sz w:val="20"/>
          <w:szCs w:val="20"/>
          <w:color w:val="auto"/>
        </w:rPr>
      </w:pPr>
    </w:p>
    <w:p>
      <w:pPr>
        <w:ind w:left="520"/>
        <w:spacing w:after="0"/>
        <w:rPr>
          <w:sz w:val="20"/>
          <w:szCs w:val="20"/>
          <w:color w:val="auto"/>
        </w:rPr>
      </w:pPr>
      <w:r>
        <w:rPr>
          <w:rFonts w:ascii="Arial" w:cs="Arial" w:eastAsia="Arial" w:hAnsi="Arial"/>
          <w:sz w:val="18"/>
          <w:szCs w:val="18"/>
          <w:u w:val="single" w:color="auto"/>
          <w:color w:val="auto"/>
        </w:rPr>
        <w:t>/s/ Bradley C. Richardson</w:t>
      </w:r>
    </w:p>
    <w:p>
      <w:pPr>
        <w:spacing w:after="0" w:line="2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Bradley C. Richardson</w:t>
      </w:r>
    </w:p>
    <w:p>
      <w:pPr>
        <w:spacing w:after="0" w:line="305" w:lineRule="exact"/>
        <w:rPr>
          <w:sz w:val="20"/>
          <w:szCs w:val="20"/>
          <w:color w:val="auto"/>
        </w:rPr>
      </w:pPr>
    </w:p>
    <w:p>
      <w:pPr>
        <w:ind w:left="520"/>
        <w:spacing w:after="0"/>
        <w:rPr>
          <w:sz w:val="20"/>
          <w:szCs w:val="20"/>
          <w:color w:val="auto"/>
        </w:rPr>
      </w:pPr>
      <w:r>
        <w:rPr>
          <w:rFonts w:ascii="Arial" w:cs="Arial" w:eastAsia="Arial" w:hAnsi="Arial"/>
          <w:sz w:val="18"/>
          <w:szCs w:val="18"/>
          <w:u w:val="single" w:color="auto"/>
          <w:color w:val="auto"/>
        </w:rPr>
        <w:t>/s/ Harold L. Sirkin</w:t>
      </w:r>
    </w:p>
    <w:p>
      <w:pPr>
        <w:spacing w:after="0" w:line="2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Harold L. Sirkin</w:t>
      </w:r>
    </w:p>
    <w:p>
      <w:pPr>
        <w:spacing w:after="0" w:line="27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*Each of these signatures is affixed as of July 22, 2016.</w:t>
      </w:r>
    </w:p>
    <w:p>
      <w:pPr>
        <w:spacing w:after="0" w:line="20" w:lineRule="exact"/>
        <w:rPr>
          <w:sz w:val="20"/>
          <w:szCs w:val="20"/>
          <w:color w:val="auto"/>
        </w:rPr>
      </w:pPr>
      <w:r>
        <w:rPr>
          <w:sz w:val="20"/>
          <w:szCs w:val="20"/>
          <w:color w:val="auto"/>
        </w:rPr>
        <w:br w:type="column"/>
      </w:r>
    </w:p>
    <w:p>
      <w:pPr>
        <w:spacing w:after="0" w:line="304"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President and Chief Executive Officer; Director (Principal Executive Officer)</w:t>
      </w:r>
    </w:p>
    <w:p>
      <w:pPr>
        <w:spacing w:after="0" w:line="265" w:lineRule="exact"/>
        <w:rPr>
          <w:sz w:val="20"/>
          <w:szCs w:val="20"/>
          <w:color w:val="auto"/>
        </w:rPr>
      </w:pPr>
    </w:p>
    <w:p>
      <w:pPr>
        <w:ind w:right="680"/>
        <w:spacing w:after="0" w:line="342" w:lineRule="auto"/>
        <w:rPr>
          <w:sz w:val="20"/>
          <w:szCs w:val="20"/>
          <w:color w:val="auto"/>
        </w:rPr>
      </w:pPr>
      <w:r>
        <w:rPr>
          <w:rFonts w:ascii="Arial" w:cs="Arial" w:eastAsia="Arial" w:hAnsi="Arial"/>
          <w:sz w:val="16"/>
          <w:szCs w:val="16"/>
          <w:color w:val="auto"/>
        </w:rPr>
        <w:t>Senior Vice President, Chief Financial Officer and Chief Accounting Officer (Principal Financial Officer and Principal Accounting Officer</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659" w:lineRule="exact"/>
        <w:rPr>
          <w:sz w:val="20"/>
          <w:szCs w:val="20"/>
          <w:color w:val="auto"/>
        </w:rPr>
      </w:pPr>
    </w:p>
    <w:p>
      <w:pPr>
        <w:sectPr>
          <w:pgSz w:w="11900" w:h="16838" w:orient="portrait"/>
          <w:cols w:equalWidth="0" w:num="2">
            <w:col w:w="5280" w:space="460"/>
            <w:col w:w="5680"/>
          </w:cols>
          <w:pgMar w:left="240" w:top="580" w:right="239" w:bottom="503" w:gutter="0" w:footer="0" w:header="0"/>
          <w:type w:val="continuous"/>
        </w:sect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580" w:right="239" w:bottom="503" w:gutter="0" w:footer="0" w:header="0"/>
          <w:type w:val="continuous"/>
        </w:sectPr>
      </w:pPr>
    </w:p>
    <w:bookmarkStart w:id="6" w:name="page7"/>
    <w:bookmarkEnd w:id="6"/>
    <w:p>
      <w:pPr>
        <w:jc w:val="center"/>
        <w:ind w:right="-819"/>
        <w:spacing w:after="0"/>
        <w:rPr>
          <w:sz w:val="20"/>
          <w:szCs w:val="20"/>
          <w:color w:val="auto"/>
        </w:rPr>
      </w:pPr>
      <w:r>
        <w:rPr>
          <w:rFonts w:ascii="Arial" w:cs="Arial" w:eastAsia="Arial" w:hAnsi="Arial"/>
          <w:sz w:val="18"/>
          <w:szCs w:val="18"/>
          <w:b w:val="1"/>
          <w:bCs w:val="1"/>
          <w:color w:val="auto"/>
        </w:rPr>
        <w:t>Brady Corporation</w:t>
      </w:r>
    </w:p>
    <w:p>
      <w:pPr>
        <w:spacing w:after="0" w:line="27" w:lineRule="exact"/>
        <w:rPr>
          <w:sz w:val="20"/>
          <w:szCs w:val="20"/>
          <w:color w:val="auto"/>
        </w:rPr>
      </w:pPr>
    </w:p>
    <w:p>
      <w:pPr>
        <w:jc w:val="center"/>
        <w:ind w:right="-819"/>
        <w:spacing w:after="0"/>
        <w:rPr>
          <w:sz w:val="20"/>
          <w:szCs w:val="20"/>
          <w:color w:val="auto"/>
        </w:rPr>
      </w:pPr>
      <w:r>
        <w:rPr>
          <w:rFonts w:ascii="Arial" w:cs="Arial" w:eastAsia="Arial" w:hAnsi="Arial"/>
          <w:sz w:val="18"/>
          <w:szCs w:val="18"/>
          <w:b w:val="1"/>
          <w:bCs w:val="1"/>
          <w:color w:val="auto"/>
        </w:rPr>
        <w:t>(the “Registrant”)</w:t>
      </w:r>
    </w:p>
    <w:p>
      <w:pPr>
        <w:spacing w:after="0" w:line="9" w:lineRule="exact"/>
        <w:rPr>
          <w:sz w:val="20"/>
          <w:szCs w:val="20"/>
          <w:color w:val="auto"/>
        </w:rPr>
      </w:pPr>
    </w:p>
    <w:p>
      <w:pPr>
        <w:jc w:val="center"/>
        <w:ind w:right="-819"/>
        <w:spacing w:after="0"/>
        <w:rPr>
          <w:sz w:val="20"/>
          <w:szCs w:val="20"/>
          <w:color w:val="auto"/>
        </w:rPr>
      </w:pPr>
      <w:r>
        <w:rPr>
          <w:rFonts w:ascii="Arial" w:cs="Arial" w:eastAsia="Arial" w:hAnsi="Arial"/>
          <w:sz w:val="18"/>
          <w:szCs w:val="18"/>
          <w:b w:val="1"/>
          <w:bCs w:val="1"/>
          <w:color w:val="auto"/>
        </w:rPr>
        <w:t>(Commission File No. 001-14959)</w:t>
      </w:r>
    </w:p>
    <w:p>
      <w:pPr>
        <w:spacing w:after="0" w:line="207" w:lineRule="exact"/>
        <w:rPr>
          <w:sz w:val="20"/>
          <w:szCs w:val="20"/>
          <w:color w:val="auto"/>
        </w:rPr>
      </w:pPr>
    </w:p>
    <w:p>
      <w:pPr>
        <w:jc w:val="center"/>
        <w:ind w:right="-819"/>
        <w:spacing w:after="0"/>
        <w:rPr>
          <w:sz w:val="20"/>
          <w:szCs w:val="20"/>
          <w:color w:val="auto"/>
        </w:rPr>
      </w:pPr>
      <w:r>
        <w:rPr>
          <w:rFonts w:ascii="Arial" w:cs="Arial" w:eastAsia="Arial" w:hAnsi="Arial"/>
          <w:sz w:val="18"/>
          <w:szCs w:val="18"/>
          <w:b w:val="1"/>
          <w:bCs w:val="1"/>
          <w:color w:val="auto"/>
        </w:rPr>
        <w:t>EXHIBIT INDEX</w:t>
      </w:r>
    </w:p>
    <w:p>
      <w:pPr>
        <w:spacing w:after="0" w:line="27" w:lineRule="exact"/>
        <w:rPr>
          <w:sz w:val="20"/>
          <w:szCs w:val="20"/>
          <w:color w:val="auto"/>
        </w:rPr>
      </w:pPr>
    </w:p>
    <w:p>
      <w:pPr>
        <w:jc w:val="center"/>
        <w:ind w:right="-819"/>
        <w:spacing w:after="0"/>
        <w:rPr>
          <w:sz w:val="20"/>
          <w:szCs w:val="20"/>
          <w:color w:val="auto"/>
        </w:rPr>
      </w:pPr>
      <w:r>
        <w:rPr>
          <w:rFonts w:ascii="Arial" w:cs="Arial" w:eastAsia="Arial" w:hAnsi="Arial"/>
          <w:sz w:val="18"/>
          <w:szCs w:val="18"/>
          <w:b w:val="1"/>
          <w:bCs w:val="1"/>
          <w:color w:val="auto"/>
        </w:rPr>
        <w:t>TO</w:t>
      </w:r>
    </w:p>
    <w:p>
      <w:pPr>
        <w:spacing w:after="0" w:line="9" w:lineRule="exact"/>
        <w:rPr>
          <w:sz w:val="20"/>
          <w:szCs w:val="20"/>
          <w:color w:val="auto"/>
        </w:rPr>
      </w:pPr>
    </w:p>
    <w:p>
      <w:pPr>
        <w:jc w:val="center"/>
        <w:ind w:right="-819"/>
        <w:spacing w:after="0"/>
        <w:rPr>
          <w:sz w:val="20"/>
          <w:szCs w:val="20"/>
          <w:color w:val="auto"/>
        </w:rPr>
      </w:pPr>
      <w:r>
        <w:rPr>
          <w:rFonts w:ascii="Arial" w:cs="Arial" w:eastAsia="Arial" w:hAnsi="Arial"/>
          <w:sz w:val="18"/>
          <w:szCs w:val="18"/>
          <w:b w:val="1"/>
          <w:bCs w:val="1"/>
          <w:color w:val="auto"/>
        </w:rPr>
        <w:t>REGISTRATION STATEMENT ON FORM S-8</w:t>
      </w:r>
    </w:p>
    <w:p>
      <w:pPr>
        <w:spacing w:after="0" w:line="200" w:lineRule="exact"/>
        <w:rPr>
          <w:sz w:val="20"/>
          <w:szCs w:val="20"/>
          <w:color w:val="auto"/>
        </w:rPr>
      </w:pPr>
    </w:p>
    <w:p>
      <w:pPr>
        <w:spacing w:after="0" w:line="2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exhibits are filed with or incorporated by reference in this Registration Statement:</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720" w:type="dxa"/>
            <w:vAlign w:val="bottom"/>
            <w:gridSpan w:val="2"/>
          </w:tcPr>
          <w:p>
            <w:pPr>
              <w:ind w:left="520"/>
              <w:spacing w:after="0"/>
              <w:rPr>
                <w:sz w:val="20"/>
                <w:szCs w:val="20"/>
                <w:color w:val="auto"/>
              </w:rPr>
            </w:pPr>
            <w:r>
              <w:rPr>
                <w:rFonts w:ascii="Arial" w:cs="Arial" w:eastAsia="Arial" w:hAnsi="Arial"/>
                <w:sz w:val="18"/>
                <w:szCs w:val="18"/>
                <w:b w:val="1"/>
                <w:bCs w:val="1"/>
                <w:color w:val="auto"/>
              </w:rPr>
              <w:t>Exhibit</w:t>
            </w:r>
          </w:p>
        </w:tc>
        <w:tc>
          <w:tcPr>
            <w:tcW w:w="3720" w:type="dxa"/>
            <w:vAlign w:val="bottom"/>
            <w:gridSpan w:val="2"/>
          </w:tcPr>
          <w:p>
            <w:pPr>
              <w:ind w:left="1360"/>
              <w:spacing w:after="0"/>
              <w:rPr>
                <w:sz w:val="20"/>
                <w:szCs w:val="20"/>
                <w:color w:val="auto"/>
              </w:rPr>
            </w:pPr>
            <w:r>
              <w:rPr>
                <w:rFonts w:ascii="Arial" w:cs="Arial" w:eastAsia="Arial" w:hAnsi="Arial"/>
                <w:sz w:val="18"/>
                <w:szCs w:val="18"/>
                <w:b w:val="1"/>
                <w:bCs w:val="1"/>
                <w:color w:val="auto"/>
              </w:rPr>
              <w:t>Description</w:t>
            </w:r>
          </w:p>
        </w:tc>
        <w:tc>
          <w:tcPr>
            <w:tcW w:w="3700" w:type="dxa"/>
            <w:vAlign w:val="bottom"/>
            <w:gridSpan w:val="2"/>
          </w:tcPr>
          <w:p>
            <w:pPr>
              <w:ind w:left="340"/>
              <w:spacing w:after="0"/>
              <w:rPr>
                <w:sz w:val="20"/>
                <w:szCs w:val="20"/>
                <w:color w:val="auto"/>
              </w:rPr>
            </w:pPr>
            <w:r>
              <w:rPr>
                <w:rFonts w:ascii="Arial" w:cs="Arial" w:eastAsia="Arial" w:hAnsi="Arial"/>
                <w:sz w:val="18"/>
                <w:szCs w:val="18"/>
                <w:b w:val="1"/>
                <w:bCs w:val="1"/>
                <w:color w:val="auto"/>
              </w:rPr>
              <w:t>Incorporated Herein By Reference To</w:t>
            </w:r>
          </w:p>
        </w:tc>
        <w:tc>
          <w:tcPr>
            <w:tcW w:w="1460" w:type="dxa"/>
            <w:vAlign w:val="bottom"/>
          </w:tcPr>
          <w:p>
            <w:pPr>
              <w:jc w:val="center"/>
              <w:spacing w:after="0"/>
              <w:rPr>
                <w:sz w:val="20"/>
                <w:szCs w:val="20"/>
                <w:color w:val="auto"/>
              </w:rPr>
            </w:pPr>
            <w:r>
              <w:rPr>
                <w:rFonts w:ascii="Arial" w:cs="Arial" w:eastAsia="Arial" w:hAnsi="Arial"/>
                <w:sz w:val="18"/>
                <w:szCs w:val="18"/>
                <w:b w:val="1"/>
                <w:bCs w:val="1"/>
                <w:color w:val="auto"/>
                <w:w w:val="92"/>
              </w:rPr>
              <w:t>Filed Herewith</w:t>
            </w:r>
          </w:p>
        </w:tc>
      </w:tr>
      <w:tr>
        <w:trPr>
          <w:trHeight w:val="27"/>
        </w:trPr>
        <w:tc>
          <w:tcPr>
            <w:tcW w:w="1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438"/>
        </w:trPr>
        <w:tc>
          <w:tcPr>
            <w:tcW w:w="1600" w:type="dxa"/>
            <w:vAlign w:val="bottom"/>
          </w:tcPr>
          <w:p>
            <w:pPr>
              <w:ind w:left="40"/>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4"/>
                <w:szCs w:val="24"/>
                <w:color w:val="auto"/>
              </w:rPr>
            </w:pPr>
          </w:p>
        </w:tc>
        <w:tc>
          <w:tcPr>
            <w:tcW w:w="3720" w:type="dxa"/>
            <w:vAlign w:val="bottom"/>
            <w:gridSpan w:val="2"/>
          </w:tcPr>
          <w:p>
            <w:pPr>
              <w:ind w:left="40"/>
              <w:spacing w:after="0"/>
              <w:rPr>
                <w:sz w:val="20"/>
                <w:szCs w:val="20"/>
                <w:color w:val="auto"/>
              </w:rPr>
            </w:pPr>
            <w:r>
              <w:rPr>
                <w:rFonts w:ascii="Arial" w:cs="Arial" w:eastAsia="Arial" w:hAnsi="Arial"/>
                <w:sz w:val="18"/>
                <w:szCs w:val="18"/>
                <w:color w:val="auto"/>
              </w:rPr>
              <w:t>Restated Articles of Incorporation of the</w:t>
            </w:r>
          </w:p>
        </w:tc>
        <w:tc>
          <w:tcPr>
            <w:tcW w:w="3700" w:type="dxa"/>
            <w:vAlign w:val="bottom"/>
            <w:gridSpan w:val="2"/>
          </w:tcPr>
          <w:p>
            <w:pPr>
              <w:ind w:left="20"/>
              <w:spacing w:after="0"/>
              <w:rPr>
                <w:sz w:val="20"/>
                <w:szCs w:val="20"/>
                <w:color w:val="auto"/>
              </w:rPr>
            </w:pPr>
            <w:r>
              <w:rPr>
                <w:rFonts w:ascii="Arial" w:cs="Arial" w:eastAsia="Arial" w:hAnsi="Arial"/>
                <w:sz w:val="18"/>
                <w:szCs w:val="18"/>
                <w:color w:val="auto"/>
              </w:rPr>
              <w:t>Exhibit 4.1 to the Registrant’s Registration</w:t>
            </w:r>
          </w:p>
        </w:tc>
        <w:tc>
          <w:tcPr>
            <w:tcW w:w="1460" w:type="dxa"/>
            <w:vAlign w:val="bottom"/>
          </w:tcPr>
          <w:p>
            <w:pPr>
              <w:spacing w:after="0"/>
              <w:rPr>
                <w:sz w:val="24"/>
                <w:szCs w:val="24"/>
                <w:color w:val="auto"/>
              </w:rPr>
            </w:pPr>
          </w:p>
        </w:tc>
      </w:tr>
      <w:tr>
        <w:trPr>
          <w:trHeight w:val="216"/>
        </w:trPr>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720" w:type="dxa"/>
            <w:vAlign w:val="bottom"/>
            <w:gridSpan w:val="2"/>
          </w:tcPr>
          <w:p>
            <w:pPr>
              <w:ind w:left="40"/>
              <w:spacing w:after="0"/>
              <w:rPr>
                <w:sz w:val="20"/>
                <w:szCs w:val="20"/>
                <w:color w:val="auto"/>
              </w:rPr>
            </w:pPr>
            <w:r>
              <w:rPr>
                <w:rFonts w:ascii="Arial" w:cs="Arial" w:eastAsia="Arial" w:hAnsi="Arial"/>
                <w:sz w:val="18"/>
                <w:szCs w:val="18"/>
                <w:color w:val="auto"/>
              </w:rPr>
              <w:t>Registrant</w:t>
            </w:r>
          </w:p>
        </w:tc>
        <w:tc>
          <w:tcPr>
            <w:tcW w:w="3700" w:type="dxa"/>
            <w:vAlign w:val="bottom"/>
            <w:gridSpan w:val="2"/>
          </w:tcPr>
          <w:p>
            <w:pPr>
              <w:ind w:left="20"/>
              <w:spacing w:after="0"/>
              <w:rPr>
                <w:sz w:val="20"/>
                <w:szCs w:val="20"/>
                <w:color w:val="auto"/>
              </w:rPr>
            </w:pPr>
            <w:r>
              <w:rPr>
                <w:rFonts w:ascii="Arial" w:cs="Arial" w:eastAsia="Arial" w:hAnsi="Arial"/>
                <w:sz w:val="18"/>
                <w:szCs w:val="18"/>
                <w:color w:val="auto"/>
                <w:w w:val="99"/>
              </w:rPr>
              <w:t>Statement on Form S-3 (Registration No. 333-</w:t>
            </w:r>
          </w:p>
        </w:tc>
        <w:tc>
          <w:tcPr>
            <w:tcW w:w="1460" w:type="dxa"/>
            <w:vAlign w:val="bottom"/>
          </w:tcPr>
          <w:p>
            <w:pPr>
              <w:spacing w:after="0"/>
              <w:rPr>
                <w:sz w:val="18"/>
                <w:szCs w:val="18"/>
                <w:color w:val="auto"/>
              </w:rPr>
            </w:pPr>
          </w:p>
        </w:tc>
      </w:tr>
      <w:tr>
        <w:trPr>
          <w:trHeight w:val="230"/>
        </w:trPr>
        <w:tc>
          <w:tcPr>
            <w:tcW w:w="1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700" w:type="dxa"/>
            <w:vAlign w:val="bottom"/>
            <w:gridSpan w:val="2"/>
          </w:tcPr>
          <w:p>
            <w:pPr>
              <w:ind w:left="20"/>
              <w:spacing w:after="0"/>
              <w:rPr>
                <w:sz w:val="20"/>
                <w:szCs w:val="20"/>
                <w:color w:val="auto"/>
              </w:rPr>
            </w:pPr>
            <w:r>
              <w:rPr>
                <w:rFonts w:ascii="Arial" w:cs="Arial" w:eastAsia="Arial" w:hAnsi="Arial"/>
                <w:sz w:val="18"/>
                <w:szCs w:val="18"/>
                <w:color w:val="auto"/>
              </w:rPr>
              <w:t>04155), filed on May 21, 1996.</w:t>
            </w:r>
          </w:p>
        </w:tc>
        <w:tc>
          <w:tcPr>
            <w:tcW w:w="1460" w:type="dxa"/>
            <w:vAlign w:val="bottom"/>
          </w:tcPr>
          <w:p>
            <w:pPr>
              <w:spacing w:after="0"/>
              <w:rPr>
                <w:sz w:val="20"/>
                <w:szCs w:val="20"/>
                <w:color w:val="auto"/>
              </w:rPr>
            </w:pPr>
          </w:p>
        </w:tc>
      </w:tr>
      <w:tr>
        <w:trPr>
          <w:trHeight w:val="256"/>
        </w:trPr>
        <w:tc>
          <w:tcPr>
            <w:tcW w:w="1600" w:type="dxa"/>
            <w:vAlign w:val="bottom"/>
          </w:tcPr>
          <w:p>
            <w:pPr>
              <w:ind w:left="40"/>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2"/>
                <w:szCs w:val="22"/>
                <w:color w:val="auto"/>
              </w:rPr>
            </w:pPr>
          </w:p>
        </w:tc>
        <w:tc>
          <w:tcPr>
            <w:tcW w:w="3720" w:type="dxa"/>
            <w:vAlign w:val="bottom"/>
            <w:gridSpan w:val="2"/>
          </w:tcPr>
          <w:p>
            <w:pPr>
              <w:ind w:left="40"/>
              <w:spacing w:after="0"/>
              <w:rPr>
                <w:sz w:val="20"/>
                <w:szCs w:val="20"/>
                <w:color w:val="auto"/>
              </w:rPr>
            </w:pPr>
            <w:r>
              <w:rPr>
                <w:rFonts w:ascii="Arial" w:cs="Arial" w:eastAsia="Arial" w:hAnsi="Arial"/>
                <w:sz w:val="18"/>
                <w:szCs w:val="18"/>
                <w:color w:val="auto"/>
              </w:rPr>
              <w:t>By-Laws of the Registrant, as amended</w:t>
            </w:r>
          </w:p>
        </w:tc>
        <w:tc>
          <w:tcPr>
            <w:tcW w:w="3700" w:type="dxa"/>
            <w:vAlign w:val="bottom"/>
            <w:gridSpan w:val="2"/>
          </w:tcPr>
          <w:p>
            <w:pPr>
              <w:ind w:left="20"/>
              <w:spacing w:after="0"/>
              <w:rPr>
                <w:sz w:val="20"/>
                <w:szCs w:val="20"/>
                <w:color w:val="auto"/>
              </w:rPr>
            </w:pPr>
            <w:r>
              <w:rPr>
                <w:rFonts w:ascii="Arial" w:cs="Arial" w:eastAsia="Arial" w:hAnsi="Arial"/>
                <w:sz w:val="18"/>
                <w:szCs w:val="18"/>
                <w:color w:val="auto"/>
                <w:w w:val="95"/>
              </w:rPr>
              <w:t>Exhibit 3.1 to the Registrant’s Current Report on</w:t>
            </w:r>
          </w:p>
        </w:tc>
        <w:tc>
          <w:tcPr>
            <w:tcW w:w="1460" w:type="dxa"/>
            <w:vAlign w:val="bottom"/>
          </w:tcPr>
          <w:p>
            <w:pPr>
              <w:spacing w:after="0"/>
              <w:rPr>
                <w:sz w:val="22"/>
                <w:szCs w:val="22"/>
                <w:color w:val="auto"/>
              </w:rPr>
            </w:pPr>
          </w:p>
        </w:tc>
      </w:tr>
      <w:tr>
        <w:trPr>
          <w:trHeight w:val="230"/>
        </w:trPr>
        <w:tc>
          <w:tcPr>
            <w:tcW w:w="1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700" w:type="dxa"/>
            <w:vAlign w:val="bottom"/>
            <w:gridSpan w:val="2"/>
          </w:tcPr>
          <w:p>
            <w:pPr>
              <w:ind w:left="20"/>
              <w:spacing w:after="0"/>
              <w:rPr>
                <w:sz w:val="20"/>
                <w:szCs w:val="20"/>
                <w:color w:val="auto"/>
              </w:rPr>
            </w:pPr>
            <w:r>
              <w:rPr>
                <w:rFonts w:ascii="Arial" w:cs="Arial" w:eastAsia="Arial" w:hAnsi="Arial"/>
                <w:sz w:val="18"/>
                <w:szCs w:val="18"/>
                <w:color w:val="auto"/>
              </w:rPr>
              <w:t>Form 8-K, filed on July 18, 2014.</w:t>
            </w:r>
          </w:p>
        </w:tc>
        <w:tc>
          <w:tcPr>
            <w:tcW w:w="1460" w:type="dxa"/>
            <w:vAlign w:val="bottom"/>
          </w:tcPr>
          <w:p>
            <w:pPr>
              <w:spacing w:after="0"/>
              <w:rPr>
                <w:sz w:val="20"/>
                <w:szCs w:val="20"/>
                <w:color w:val="auto"/>
              </w:rPr>
            </w:pPr>
          </w:p>
        </w:tc>
      </w:tr>
      <w:tr>
        <w:trPr>
          <w:trHeight w:val="256"/>
        </w:trPr>
        <w:tc>
          <w:tcPr>
            <w:tcW w:w="1600" w:type="dxa"/>
            <w:vAlign w:val="bottom"/>
          </w:tcPr>
          <w:p>
            <w:pPr>
              <w:ind w:left="40"/>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2"/>
                <w:szCs w:val="22"/>
                <w:color w:val="auto"/>
              </w:rPr>
            </w:pPr>
          </w:p>
        </w:tc>
        <w:tc>
          <w:tcPr>
            <w:tcW w:w="3720" w:type="dxa"/>
            <w:vAlign w:val="bottom"/>
            <w:gridSpan w:val="2"/>
          </w:tcPr>
          <w:p>
            <w:pPr>
              <w:ind w:left="40"/>
              <w:spacing w:after="0"/>
              <w:rPr>
                <w:sz w:val="20"/>
                <w:szCs w:val="20"/>
                <w:color w:val="auto"/>
              </w:rPr>
            </w:pPr>
            <w:r>
              <w:rPr>
                <w:rFonts w:ascii="Arial" w:cs="Arial" w:eastAsia="Arial" w:hAnsi="Arial"/>
                <w:sz w:val="18"/>
                <w:szCs w:val="18"/>
                <w:color w:val="auto"/>
                <w:w w:val="94"/>
              </w:rPr>
              <w:t>Brady Corporation 2017 Omnibus Incentive Plan</w:t>
            </w:r>
          </w:p>
        </w:tc>
        <w:tc>
          <w:tcPr>
            <w:tcW w:w="3700" w:type="dxa"/>
            <w:vAlign w:val="bottom"/>
            <w:gridSpan w:val="2"/>
          </w:tcPr>
          <w:p>
            <w:pPr>
              <w:ind w:left="20"/>
              <w:spacing w:after="0"/>
              <w:rPr>
                <w:sz w:val="20"/>
                <w:szCs w:val="20"/>
                <w:color w:val="auto"/>
              </w:rPr>
            </w:pPr>
            <w:r>
              <w:rPr>
                <w:rFonts w:ascii="Arial" w:cs="Arial" w:eastAsia="Arial" w:hAnsi="Arial"/>
                <w:sz w:val="18"/>
                <w:szCs w:val="18"/>
                <w:color w:val="auto"/>
                <w:w w:val="99"/>
              </w:rPr>
              <w:t>Exhibit 10.1 to the Registrant’s Current Report</w:t>
            </w:r>
          </w:p>
        </w:tc>
        <w:tc>
          <w:tcPr>
            <w:tcW w:w="1460" w:type="dxa"/>
            <w:vAlign w:val="bottom"/>
          </w:tcPr>
          <w:p>
            <w:pPr>
              <w:spacing w:after="0"/>
              <w:rPr>
                <w:sz w:val="22"/>
                <w:szCs w:val="22"/>
                <w:color w:val="auto"/>
              </w:rPr>
            </w:pPr>
          </w:p>
        </w:tc>
      </w:tr>
      <w:tr>
        <w:trPr>
          <w:trHeight w:val="230"/>
        </w:trPr>
        <w:tc>
          <w:tcPr>
            <w:tcW w:w="1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700" w:type="dxa"/>
            <w:vAlign w:val="bottom"/>
            <w:gridSpan w:val="2"/>
          </w:tcPr>
          <w:p>
            <w:pPr>
              <w:ind w:left="20"/>
              <w:spacing w:after="0"/>
              <w:rPr>
                <w:sz w:val="20"/>
                <w:szCs w:val="20"/>
                <w:color w:val="auto"/>
              </w:rPr>
            </w:pPr>
            <w:r>
              <w:rPr>
                <w:rFonts w:ascii="Arial" w:cs="Arial" w:eastAsia="Arial" w:hAnsi="Arial"/>
                <w:sz w:val="18"/>
                <w:szCs w:val="18"/>
                <w:color w:val="auto"/>
              </w:rPr>
              <w:t>on Form 8-K, filed on May 27, 2016</w:t>
            </w:r>
          </w:p>
        </w:tc>
        <w:tc>
          <w:tcPr>
            <w:tcW w:w="1460" w:type="dxa"/>
            <w:vAlign w:val="bottom"/>
          </w:tcPr>
          <w:p>
            <w:pPr>
              <w:spacing w:after="0"/>
              <w:rPr>
                <w:sz w:val="20"/>
                <w:szCs w:val="20"/>
                <w:color w:val="auto"/>
              </w:rPr>
            </w:pPr>
          </w:p>
        </w:tc>
      </w:tr>
      <w:tr>
        <w:trPr>
          <w:trHeight w:val="270"/>
        </w:trPr>
        <w:tc>
          <w:tcPr>
            <w:tcW w:w="1600" w:type="dxa"/>
            <w:vAlign w:val="bottom"/>
          </w:tcPr>
          <w:p>
            <w:pPr>
              <w:ind w:left="40"/>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23"/>
                <w:szCs w:val="23"/>
                <w:color w:val="auto"/>
              </w:rPr>
            </w:pPr>
          </w:p>
        </w:tc>
        <w:tc>
          <w:tcPr>
            <w:tcW w:w="3720" w:type="dxa"/>
            <w:vAlign w:val="bottom"/>
            <w:gridSpan w:val="2"/>
          </w:tcPr>
          <w:p>
            <w:pPr>
              <w:ind w:left="40"/>
              <w:spacing w:after="0"/>
              <w:rPr>
                <w:sz w:val="20"/>
                <w:szCs w:val="20"/>
                <w:color w:val="auto"/>
              </w:rPr>
            </w:pPr>
            <w:r>
              <w:rPr>
                <w:rFonts w:ascii="Arial" w:cs="Arial" w:eastAsia="Arial" w:hAnsi="Arial"/>
                <w:sz w:val="18"/>
                <w:szCs w:val="18"/>
                <w:color w:val="auto"/>
              </w:rPr>
              <w:t>Opinion of Quarles &amp; Brady LLP</w:t>
            </w:r>
          </w:p>
        </w:tc>
        <w:tc>
          <w:tcPr>
            <w:tcW w:w="3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rPr>
              <w:t>X</w:t>
            </w:r>
          </w:p>
        </w:tc>
      </w:tr>
      <w:tr>
        <w:trPr>
          <w:trHeight w:val="270"/>
        </w:trPr>
        <w:tc>
          <w:tcPr>
            <w:tcW w:w="1600" w:type="dxa"/>
            <w:vAlign w:val="bottom"/>
          </w:tcPr>
          <w:p>
            <w:pPr>
              <w:ind w:left="40"/>
              <w:spacing w:after="0"/>
              <w:rPr>
                <w:sz w:val="20"/>
                <w:szCs w:val="20"/>
                <w:color w:val="auto"/>
              </w:rPr>
            </w:pPr>
            <w:r>
              <w:rPr>
                <w:rFonts w:ascii="Arial" w:cs="Arial" w:eastAsia="Arial" w:hAnsi="Arial"/>
                <w:sz w:val="18"/>
                <w:szCs w:val="18"/>
                <w:color w:val="auto"/>
              </w:rPr>
              <w:t>23.1</w:t>
            </w:r>
          </w:p>
        </w:tc>
        <w:tc>
          <w:tcPr>
            <w:tcW w:w="120" w:type="dxa"/>
            <w:vAlign w:val="bottom"/>
          </w:tcPr>
          <w:p>
            <w:pPr>
              <w:spacing w:after="0"/>
              <w:rPr>
                <w:sz w:val="23"/>
                <w:szCs w:val="23"/>
                <w:color w:val="auto"/>
              </w:rPr>
            </w:pPr>
          </w:p>
        </w:tc>
        <w:tc>
          <w:tcPr>
            <w:tcW w:w="3720" w:type="dxa"/>
            <w:vAlign w:val="bottom"/>
            <w:gridSpan w:val="2"/>
          </w:tcPr>
          <w:p>
            <w:pPr>
              <w:ind w:left="40"/>
              <w:spacing w:after="0"/>
              <w:rPr>
                <w:sz w:val="20"/>
                <w:szCs w:val="20"/>
                <w:color w:val="auto"/>
              </w:rPr>
            </w:pPr>
            <w:r>
              <w:rPr>
                <w:rFonts w:ascii="Arial" w:cs="Arial" w:eastAsia="Arial" w:hAnsi="Arial"/>
                <w:sz w:val="18"/>
                <w:szCs w:val="18"/>
                <w:color w:val="auto"/>
              </w:rPr>
              <w:t>Consent of Deloitte &amp; Touche LLP</w:t>
            </w:r>
          </w:p>
        </w:tc>
        <w:tc>
          <w:tcPr>
            <w:tcW w:w="3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rPr>
              <w:t>X</w:t>
            </w:r>
          </w:p>
        </w:tc>
      </w:tr>
      <w:tr>
        <w:trPr>
          <w:trHeight w:val="256"/>
        </w:trPr>
        <w:tc>
          <w:tcPr>
            <w:tcW w:w="1600" w:type="dxa"/>
            <w:vAlign w:val="bottom"/>
          </w:tcPr>
          <w:p>
            <w:pPr>
              <w:ind w:left="40"/>
              <w:spacing w:after="0"/>
              <w:rPr>
                <w:sz w:val="20"/>
                <w:szCs w:val="20"/>
                <w:color w:val="auto"/>
              </w:rPr>
            </w:pPr>
            <w:r>
              <w:rPr>
                <w:rFonts w:ascii="Arial" w:cs="Arial" w:eastAsia="Arial" w:hAnsi="Arial"/>
                <w:sz w:val="18"/>
                <w:szCs w:val="18"/>
                <w:color w:val="auto"/>
              </w:rPr>
              <w:t>23.2</w:t>
            </w:r>
          </w:p>
        </w:tc>
        <w:tc>
          <w:tcPr>
            <w:tcW w:w="120" w:type="dxa"/>
            <w:vAlign w:val="bottom"/>
          </w:tcPr>
          <w:p>
            <w:pPr>
              <w:spacing w:after="0"/>
              <w:rPr>
                <w:sz w:val="22"/>
                <w:szCs w:val="22"/>
                <w:color w:val="auto"/>
              </w:rPr>
            </w:pPr>
          </w:p>
        </w:tc>
        <w:tc>
          <w:tcPr>
            <w:tcW w:w="3720" w:type="dxa"/>
            <w:vAlign w:val="bottom"/>
            <w:gridSpan w:val="2"/>
          </w:tcPr>
          <w:p>
            <w:pPr>
              <w:ind w:left="40"/>
              <w:spacing w:after="0"/>
              <w:rPr>
                <w:sz w:val="20"/>
                <w:szCs w:val="20"/>
                <w:color w:val="auto"/>
              </w:rPr>
            </w:pPr>
            <w:r>
              <w:rPr>
                <w:rFonts w:ascii="Arial" w:cs="Arial" w:eastAsia="Arial" w:hAnsi="Arial"/>
                <w:sz w:val="18"/>
                <w:szCs w:val="18"/>
                <w:color w:val="auto"/>
              </w:rPr>
              <w:t>Consent of Quarles &amp; Brady LLP</w:t>
            </w:r>
          </w:p>
        </w:tc>
        <w:tc>
          <w:tcPr>
            <w:tcW w:w="3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0"/>
              </w:rPr>
              <w:t>Contained in</w:t>
            </w:r>
          </w:p>
        </w:tc>
      </w:tr>
      <w:tr>
        <w:trPr>
          <w:trHeight w:val="216"/>
        </w:trPr>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3"/>
              </w:rPr>
              <w:t>Opinion filed as</w:t>
            </w:r>
          </w:p>
        </w:tc>
      </w:tr>
      <w:tr>
        <w:trPr>
          <w:trHeight w:val="230"/>
        </w:trPr>
        <w:tc>
          <w:tcPr>
            <w:tcW w:w="1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5"/>
              </w:rPr>
              <w:t>Exhibit 5.1</w:t>
            </w:r>
          </w:p>
        </w:tc>
      </w:tr>
      <w:tr>
        <w:trPr>
          <w:trHeight w:val="256"/>
        </w:trPr>
        <w:tc>
          <w:tcPr>
            <w:tcW w:w="1600" w:type="dxa"/>
            <w:vAlign w:val="bottom"/>
          </w:tcPr>
          <w:p>
            <w:pPr>
              <w:ind w:left="40"/>
              <w:spacing w:after="0"/>
              <w:rPr>
                <w:sz w:val="20"/>
                <w:szCs w:val="20"/>
                <w:color w:val="auto"/>
              </w:rPr>
            </w:pPr>
            <w:r>
              <w:rPr>
                <w:rFonts w:ascii="Arial" w:cs="Arial" w:eastAsia="Arial" w:hAnsi="Arial"/>
                <w:sz w:val="18"/>
                <w:szCs w:val="18"/>
                <w:color w:val="auto"/>
              </w:rPr>
              <w:t>24.1</w:t>
            </w:r>
          </w:p>
        </w:tc>
        <w:tc>
          <w:tcPr>
            <w:tcW w:w="120" w:type="dxa"/>
            <w:vAlign w:val="bottom"/>
          </w:tcPr>
          <w:p>
            <w:pPr>
              <w:spacing w:after="0"/>
              <w:rPr>
                <w:sz w:val="22"/>
                <w:szCs w:val="22"/>
                <w:color w:val="auto"/>
              </w:rPr>
            </w:pPr>
          </w:p>
        </w:tc>
        <w:tc>
          <w:tcPr>
            <w:tcW w:w="3720" w:type="dxa"/>
            <w:vAlign w:val="bottom"/>
            <w:gridSpan w:val="2"/>
          </w:tcPr>
          <w:p>
            <w:pPr>
              <w:ind w:left="40"/>
              <w:spacing w:after="0"/>
              <w:rPr>
                <w:sz w:val="20"/>
                <w:szCs w:val="20"/>
                <w:color w:val="auto"/>
              </w:rPr>
            </w:pPr>
            <w:r>
              <w:rPr>
                <w:rFonts w:ascii="Arial" w:cs="Arial" w:eastAsia="Arial" w:hAnsi="Arial"/>
                <w:sz w:val="18"/>
                <w:szCs w:val="18"/>
                <w:color w:val="auto"/>
              </w:rPr>
              <w:t>Powers of Attorney</w:t>
            </w:r>
          </w:p>
        </w:tc>
        <w:tc>
          <w:tcPr>
            <w:tcW w:w="3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0"/>
              </w:rPr>
              <w:t>Contained in</w:t>
            </w:r>
          </w:p>
        </w:tc>
      </w:tr>
      <w:tr>
        <w:trPr>
          <w:trHeight w:val="216"/>
        </w:trPr>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8"/>
              </w:rPr>
              <w:t>Signatures page to</w:t>
            </w:r>
          </w:p>
        </w:tc>
      </w:tr>
      <w:tr>
        <w:trPr>
          <w:trHeight w:val="216"/>
        </w:trPr>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1"/>
              </w:rPr>
              <w:t>this Registration</w:t>
            </w:r>
          </w:p>
        </w:tc>
      </w:tr>
      <w:tr>
        <w:trPr>
          <w:trHeight w:val="230"/>
        </w:trPr>
        <w:tc>
          <w:tcPr>
            <w:tcW w:w="1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7"/>
              </w:rPr>
              <w:t>Statement</w:t>
            </w:r>
          </w:p>
        </w:tc>
      </w:tr>
      <w:tr>
        <w:trPr>
          <w:trHeight w:val="918"/>
        </w:trPr>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580" w:type="dxa"/>
            <w:vAlign w:val="bottom"/>
          </w:tcPr>
          <w:p>
            <w:pPr>
              <w:ind w:left="22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r>
    </w:tbl>
    <w:p>
      <w:pPr>
        <w:sectPr>
          <w:pgSz w:w="11900" w:h="16838" w:orient="portrait"/>
          <w:cols w:equalWidth="0" w:num="1">
            <w:col w:w="10600"/>
          </w:cols>
          <w:pgMar w:left="240" w:top="580" w:right="1059" w:bottom="1440" w:gutter="0" w:footer="0" w:header="0"/>
        </w:sectPr>
      </w:pPr>
    </w:p>
    <w:bookmarkStart w:id="7" w:name="page8"/>
    <w:bookmarkEnd w:id="7"/>
    <w:p>
      <w:pPr>
        <w:jc w:val="right"/>
        <w:spacing w:after="0"/>
        <w:rPr>
          <w:sz w:val="20"/>
          <w:szCs w:val="20"/>
          <w:color w:val="auto"/>
        </w:rPr>
      </w:pPr>
      <w:r>
        <w:rPr>
          <w:rFonts w:ascii="Arial" w:cs="Arial" w:eastAsia="Arial" w:hAnsi="Arial"/>
          <w:sz w:val="18"/>
          <w:szCs w:val="18"/>
          <w:b w:val="1"/>
          <w:bCs w:val="1"/>
          <w:color w:val="auto"/>
        </w:rPr>
        <w:t>Exhibit 5.1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Quarles &amp; Brady LLP</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411 East Wisconsin Avenue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Milwaukee, Wisconsin 53202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Phone: (414) 277-5000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Fax: (414) 271-3552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www.quarles.com</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July 22,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Brady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6555 West Good Hope Road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P.O. Box 571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Milwaukee, Wisconsin 53201-0571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providing this opinion in connection with the Registration Statement on Form S-8 (the “Registration Statement”) to be filed by Brady Corporation (the “Company”) with the Securities and Exchange Commission (the “Commission”) pursuant to the Securities Act of 1933, as amended (the “Securities Act”), relating to the proposed issuance of up to 5,000,000 shares of the Company’s Class A Nonvoting Common Stock, par value $.01 per share (the “Shares”), pursuant to the Brady Corporation 2017 Omnibus Incentive Plan (the “Plan”).</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examined: (i) the Registration Statement; (ii) the Company’s Restated Articles of Incorporation and Bylaws, each as amended to date and as filed as exhibits to the Company’s filings with the Commission; (iii) the Plan; (iv) the corporate proceedings relating to the adoption and approval of the Plan, and the authorization for the issuance of the Shares in accordance with the Plan; and (v) such other documents and records and matters of law as we have deemed necessary in order to render this opinion. In rendering this opinion, we have relied as to certain factual matters on certificates of officers of the Company and of state officials.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On the basis of the foregoing, we advise you that, in our opinion:</w:t>
      </w:r>
    </w:p>
    <w:p>
      <w:pPr>
        <w:spacing w:after="0" w:line="225" w:lineRule="exact"/>
        <w:rPr>
          <w:sz w:val="20"/>
          <w:szCs w:val="20"/>
          <w:color w:val="auto"/>
        </w:rPr>
      </w:pPr>
    </w:p>
    <w:p>
      <w:pPr>
        <w:ind w:left="1020" w:hanging="364"/>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Company is a corporation incorporated and validly existing under the laws of the State of Wisconsin.</w:t>
      </w:r>
    </w:p>
    <w:p>
      <w:pPr>
        <w:spacing w:after="0" w:line="225" w:lineRule="exact"/>
        <w:rPr>
          <w:rFonts w:ascii="Arial" w:cs="Arial" w:eastAsia="Arial" w:hAnsi="Arial"/>
          <w:sz w:val="18"/>
          <w:szCs w:val="18"/>
          <w:color w:val="auto"/>
        </w:rPr>
      </w:pPr>
    </w:p>
    <w:p>
      <w:pPr>
        <w:jc w:val="both"/>
        <w:ind w:firstLine="656"/>
        <w:spacing w:after="0" w:line="276" w:lineRule="auto"/>
        <w:tabs>
          <w:tab w:leader="none" w:pos="1041"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Shares to be sold from time to time pursuant to the Plan that are original issuance or treasury shares, including shares bought on the open market or otherwise for purposes of the Plan, when issued as and for the consideration contemplated by the Plan, will be validly issued, fully paid and nonassessable by the Company, subject to the personal liability that may be imposed on shareholders by former Section 180.0622(2)(b) of the Wisconsin Business Corporation Law, as judicially interpreted, for debts incurred prior to June 14, 2006 (for debts incurred on or after such date, Section 180.0622(2)(b) has been repealed) owing to employees for services performed, but not exceeding six months service in any one case.</w:t>
      </w:r>
    </w:p>
    <w:p>
      <w:pPr>
        <w:spacing w:after="0" w:line="173"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We hereby consent to the filing of this opinion as an exhibit to the Registration Statement. In giving our consent, we do not admit that we are “experts” within the meaning of Section 11 of the Securities Act or that we come within the category of persons whose consent is required by Section 7 of the Securities Act.</w:t>
      </w:r>
    </w:p>
    <w:p>
      <w:pPr>
        <w:spacing w:after="0" w:line="12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 Quarles &amp; Brady LLP</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QUARLES &amp; BRADY LLP</w:t>
      </w:r>
    </w:p>
    <w:p>
      <w:pPr>
        <w:sectPr>
          <w:pgSz w:w="11900" w:h="16838" w:orient="portrait"/>
          <w:cols w:equalWidth="0" w:num="1">
            <w:col w:w="11420"/>
          </w:cols>
          <w:pgMar w:left="240" w:top="580" w:right="239" w:bottom="1440" w:gutter="0" w:footer="0" w:header="0"/>
        </w:sectPr>
      </w:pPr>
    </w:p>
    <w:bookmarkStart w:id="8" w:name="page9"/>
    <w:bookmarkEnd w:id="8"/>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25"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We consent to the incorporation by reference in this Registration Statement on Form S-8 of our reports dated September 21, 2015, relating to the consolidated financial statements and financial statement schedule of Brady Corporation, and the effectiveness of Brady Corporation’s internal control over financial reporting, appearing in the Annual Report on Form 10-K of Brady Corporation for the year ended July 31, 2015.</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Deloitte &amp; Touche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DELOITTE &amp; TOUCHE LLP</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Milwaukee, Wisconsin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July 22, 2016</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decimal"/>
      <w:start w:val="1"/>
    </w:lvl>
  </w:abstractNum>
  <w:abstractNum w:abstractNumId="1">
    <w:nsid w:val="46E87CCD"/>
    <w:multiLevelType w:val="hybridMultilevel"/>
    <w:lvl w:ilvl="0">
      <w:lvlJc w:val="left"/>
      <w:lvlText w:val="(%1)"/>
      <w:numFmt w:val="decimal"/>
      <w:start w:val="2"/>
    </w:lvl>
  </w:abstractNum>
  <w:abstractNum w:abstractNumId="2">
    <w:nsid w:val="3D1B58BA"/>
    <w:multiLevelType w:val="hybridMultilevel"/>
    <w:lvl w:ilvl="0">
      <w:lvlJc w:val="left"/>
      <w:lvlText w:val="(%1)"/>
      <w:numFmt w:val="lowerLetter"/>
      <w:start w:val="1"/>
    </w:lvl>
  </w:abstractNum>
  <w:abstractNum w:abstractNumId="3">
    <w:nsid w:val="507ED7AB"/>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4">
    <w:nsid w:val="2EB141F2"/>
    <w:multiLevelType w:val="hybridMultilevel"/>
    <w:lvl w:ilvl="0">
      <w:lvlJc w:val="left"/>
      <w:lvlText w:val="%1"/>
      <w:numFmt w:val="lowerLetter"/>
      <w:start w:val="1"/>
    </w:lvl>
    <w:lvl w:ilvl="1">
      <w:lvlJc w:val="left"/>
      <w:lvlText w:val="(%2)"/>
      <w:numFmt w:val="decimal"/>
      <w:start w:val="2"/>
    </w:lvl>
  </w:abstractNum>
  <w:abstractNum w:abstractNumId="5">
    <w:nsid w:val="41B71EFB"/>
    <w:multiLevelType w:val="hybridMultilevel"/>
    <w:lvl w:ilvl="0">
      <w:lvlJc w:val="left"/>
      <w:lvlText w:val="(%1)"/>
      <w:numFmt w:val="lowerLetter"/>
      <w:start w:val="2"/>
    </w:lvl>
    <w:lvl w:ilvl="1">
      <w:lvlJc w:val="left"/>
      <w:lvlText w:val="%2"/>
      <w:numFmt w:val="decimal"/>
      <w:start w:val="1"/>
    </w:lvl>
  </w:abstractNum>
  <w:abstractNum w:abstractNumId="6">
    <w:nsid w:val="79E2A9E3"/>
    <w:multiLevelType w:val="hybridMultilevel"/>
    <w:lvl w:ilvl="0">
      <w:lvlJc w:val="left"/>
      <w:lvlText w:val="(%1)"/>
      <w:numFmt w:val="lowerLetter"/>
      <w:start w:val="8"/>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2019-12-05T17:10:24Z</dcterms:created>
  <dcterms:modified xsi:type="dcterms:W3CDTF">2019-12-05T17:10:24Z</dcterms:modified>
</cp:coreProperties>
</file>