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Washington, D.C. 20549</w:t>
      </w:r>
    </w:p>
    <w:p>
      <w:pPr>
        <w:spacing w:after="0" w:line="277" w:lineRule="exact"/>
        <w:rPr>
          <w:sz w:val="24"/>
          <w:szCs w:val="24"/>
          <w:color w:val="auto"/>
        </w:rPr>
      </w:pPr>
    </w:p>
    <w:p>
      <w:pPr>
        <w:ind w:left="3860"/>
        <w:spacing w:after="0"/>
        <w:rPr>
          <w:sz w:val="20"/>
          <w:szCs w:val="20"/>
          <w:color w:val="auto"/>
        </w:rPr>
      </w:pPr>
      <w:r>
        <w:rPr>
          <w:rFonts w:ascii="Arial" w:cs="Arial" w:eastAsia="Arial" w:hAnsi="Arial"/>
          <w:sz w:val="32"/>
          <w:szCs w:val="32"/>
          <w:b w:val="1"/>
          <w:bCs w:val="1"/>
          <w:color w:val="auto"/>
        </w:rPr>
        <w:t>FORM 8-K</w:t>
      </w:r>
    </w:p>
    <w:p>
      <w:pPr>
        <w:spacing w:after="0" w:line="335"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ind w:left="2060"/>
        <w:spacing w:after="0"/>
        <w:rPr>
          <w:sz w:val="20"/>
          <w:szCs w:val="20"/>
          <w:color w:val="auto"/>
        </w:rPr>
      </w:pPr>
      <w:r>
        <w:rPr>
          <w:rFonts w:ascii="Arial" w:cs="Arial" w:eastAsia="Arial" w:hAnsi="Arial"/>
          <w:sz w:val="18"/>
          <w:szCs w:val="18"/>
          <w:b w:val="1"/>
          <w:bCs w:val="1"/>
          <w:color w:val="auto"/>
        </w:rPr>
        <w:t>Date of Report (Date of earliest event reported): November 19, 2009</w:t>
      </w:r>
    </w:p>
    <w:p>
      <w:pPr>
        <w:spacing w:after="0" w:line="200" w:lineRule="exact"/>
        <w:rPr>
          <w:sz w:val="24"/>
          <w:szCs w:val="24"/>
          <w:color w:val="auto"/>
        </w:rPr>
      </w:pPr>
    </w:p>
    <w:p>
      <w:pPr>
        <w:spacing w:after="0" w:line="216"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ind w:left="280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52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88"/>
              </w:rPr>
              <w:t>Wisconsin</w:t>
            </w:r>
          </w:p>
        </w:tc>
        <w:tc>
          <w:tcPr>
            <w:tcW w:w="2680" w:type="dxa"/>
            <w:vAlign w:val="bottom"/>
            <w:gridSpan w:val="3"/>
          </w:tcPr>
          <w:p>
            <w:pPr>
              <w:jc w:val="right"/>
              <w:ind w:right="1260"/>
              <w:spacing w:after="0"/>
              <w:rPr>
                <w:sz w:val="20"/>
                <w:szCs w:val="20"/>
                <w:color w:val="auto"/>
              </w:rPr>
            </w:pPr>
            <w:r>
              <w:rPr>
                <w:rFonts w:ascii="Arial" w:cs="Arial" w:eastAsia="Arial" w:hAnsi="Arial"/>
                <w:sz w:val="18"/>
                <w:szCs w:val="18"/>
                <w:b w:val="1"/>
                <w:bCs w:val="1"/>
                <w:color w:val="auto"/>
              </w:rPr>
              <w:t>1-14959</w:t>
            </w:r>
          </w:p>
        </w:tc>
        <w:tc>
          <w:tcPr>
            <w:tcW w:w="3120" w:type="dxa"/>
            <w:vAlign w:val="bottom"/>
            <w:gridSpan w:val="2"/>
          </w:tcPr>
          <w:p>
            <w:pPr>
              <w:jc w:val="right"/>
              <w:ind w:right="990"/>
              <w:spacing w:after="0"/>
              <w:rPr>
                <w:sz w:val="20"/>
                <w:szCs w:val="20"/>
                <w:color w:val="auto"/>
              </w:rPr>
            </w:pPr>
            <w:r>
              <w:rPr>
                <w:rFonts w:ascii="Arial" w:cs="Arial" w:eastAsia="Arial" w:hAnsi="Arial"/>
                <w:sz w:val="18"/>
                <w:szCs w:val="18"/>
                <w:b w:val="1"/>
                <w:bCs w:val="1"/>
                <w:color w:val="auto"/>
              </w:rPr>
              <w:t>39-0971239</w:t>
            </w:r>
          </w:p>
        </w:tc>
      </w:tr>
      <w:tr>
        <w:trPr>
          <w:trHeight w:val="195"/>
        </w:trPr>
        <w:tc>
          <w:tcPr>
            <w:tcW w:w="3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8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680" w:type="dxa"/>
            <w:vAlign w:val="bottom"/>
            <w:tcBorders>
              <w:top w:val="single" w:sz="8" w:color="auto"/>
            </w:tcBorders>
            <w:gridSpan w:val="3"/>
          </w:tcPr>
          <w:p>
            <w:pPr>
              <w:jc w:val="center"/>
              <w:ind w:right="420"/>
              <w:spacing w:after="0" w:line="195" w:lineRule="exact"/>
              <w:rPr>
                <w:sz w:val="20"/>
                <w:szCs w:val="20"/>
                <w:color w:val="auto"/>
              </w:rPr>
            </w:pPr>
            <w:r>
              <w:rPr>
                <w:rFonts w:ascii="Arial" w:cs="Arial" w:eastAsia="Arial" w:hAnsi="Arial"/>
                <w:sz w:val="18"/>
                <w:szCs w:val="18"/>
                <w:color w:val="auto"/>
                <w:w w:val="92"/>
              </w:rPr>
              <w:t>(Commission File Number)</w:t>
            </w:r>
          </w:p>
        </w:tc>
        <w:tc>
          <w:tcPr>
            <w:tcW w:w="80" w:type="dxa"/>
            <w:vAlign w:val="bottom"/>
          </w:tcPr>
          <w:p>
            <w:pPr>
              <w:spacing w:after="0"/>
              <w:rPr>
                <w:sz w:val="16"/>
                <w:szCs w:val="16"/>
                <w:color w:val="auto"/>
              </w:rPr>
            </w:pPr>
          </w:p>
        </w:tc>
        <w:tc>
          <w:tcPr>
            <w:tcW w:w="3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3520" w:type="dxa"/>
            <w:vAlign w:val="bottom"/>
            <w:gridSpan w:val="3"/>
          </w:tcPr>
          <w:p>
            <w:pPr>
              <w:jc w:val="center"/>
              <w:ind w:right="520"/>
              <w:spacing w:after="0"/>
              <w:rPr>
                <w:sz w:val="20"/>
                <w:szCs w:val="20"/>
                <w:color w:val="auto"/>
              </w:rPr>
            </w:pPr>
            <w:r>
              <w:rPr>
                <w:rFonts w:ascii="Arial" w:cs="Arial" w:eastAsia="Arial" w:hAnsi="Arial"/>
                <w:sz w:val="18"/>
                <w:szCs w:val="18"/>
                <w:color w:val="auto"/>
                <w:w w:val="93"/>
              </w:rPr>
              <w:t>Incorporation)</w:t>
            </w: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414"/>
        </w:trPr>
        <w:tc>
          <w:tcPr>
            <w:tcW w:w="352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89"/>
              </w:rPr>
              <w:t>6555 West Good Hope Road</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34"/>
        </w:trPr>
        <w:tc>
          <w:tcPr>
            <w:tcW w:w="3520" w:type="dxa"/>
            <w:vAlign w:val="bottom"/>
            <w:tcBorders>
              <w:bottom w:val="single" w:sz="8" w:color="auto"/>
            </w:tcBorders>
            <w:gridSpan w:val="3"/>
          </w:tcPr>
          <w:p>
            <w:pPr>
              <w:jc w:val="center"/>
              <w:ind w:left="990"/>
              <w:spacing w:after="0"/>
              <w:rPr>
                <w:sz w:val="20"/>
                <w:szCs w:val="20"/>
                <w:color w:val="auto"/>
              </w:rPr>
            </w:pPr>
            <w:r>
              <w:rPr>
                <w:rFonts w:ascii="Arial" w:cs="Arial" w:eastAsia="Arial" w:hAnsi="Arial"/>
                <w:sz w:val="18"/>
                <w:szCs w:val="18"/>
                <w:b w:val="1"/>
                <w:bCs w:val="1"/>
                <w:color w:val="auto"/>
                <w:w w:val="90"/>
              </w:rPr>
              <w:t>Milwaukee, Wisconsin</w:t>
            </w:r>
          </w:p>
        </w:tc>
        <w:tc>
          <w:tcPr>
            <w:tcW w:w="1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2"/>
          </w:tcPr>
          <w:p>
            <w:pPr>
              <w:jc w:val="right"/>
              <w:ind w:right="1990"/>
              <w:spacing w:after="0"/>
              <w:rPr>
                <w:sz w:val="20"/>
                <w:szCs w:val="20"/>
                <w:color w:val="auto"/>
              </w:rPr>
            </w:pPr>
            <w:r>
              <w:rPr>
                <w:rFonts w:ascii="Arial" w:cs="Arial" w:eastAsia="Arial" w:hAnsi="Arial"/>
                <w:sz w:val="18"/>
                <w:szCs w:val="18"/>
                <w:b w:val="1"/>
                <w:bCs w:val="1"/>
                <w:color w:val="auto"/>
              </w:rPr>
              <w:t>53223</w:t>
            </w:r>
          </w:p>
        </w:tc>
      </w:tr>
      <w:tr>
        <w:trPr>
          <w:trHeight w:val="224"/>
        </w:trPr>
        <w:tc>
          <w:tcPr>
            <w:tcW w:w="462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40" w:type="dxa"/>
            <w:vAlign w:val="bottom"/>
          </w:tcPr>
          <w:p>
            <w:pPr>
              <w:jc w:val="center"/>
              <w:ind w:right="1490"/>
              <w:spacing w:after="0"/>
              <w:rPr>
                <w:sz w:val="20"/>
                <w:szCs w:val="20"/>
                <w:color w:val="auto"/>
              </w:rPr>
            </w:pPr>
            <w:r>
              <w:rPr>
                <w:rFonts w:ascii="Arial" w:cs="Arial" w:eastAsia="Arial" w:hAnsi="Arial"/>
                <w:sz w:val="18"/>
                <w:szCs w:val="18"/>
                <w:color w:val="auto"/>
                <w:w w:val="91"/>
              </w:rPr>
              <w:t>(Zip Code)</w:t>
            </w:r>
          </w:p>
        </w:tc>
      </w:tr>
    </w:tbl>
    <w:p>
      <w:pPr>
        <w:spacing w:after="0" w:line="400"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(414) 358-6600</w:t>
      </w:r>
    </w:p>
    <w:p>
      <w:pPr>
        <w:spacing w:after="0" w:line="189" w:lineRule="exact"/>
        <w:rPr>
          <w:sz w:val="24"/>
          <w:szCs w:val="24"/>
          <w:color w:val="auto"/>
        </w:rPr>
      </w:pPr>
    </w:p>
    <w:p>
      <w:pPr>
        <w:jc w:val="both"/>
        <w:ind w:right="5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59258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160655</wp:posOffset>
            </wp:positionV>
            <wp:extent cx="59258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570230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562" w:right="1440" w:bottom="1440" w:gutter="0" w:footer="0" w:header="0"/>
        </w:sectPr>
      </w:pPr>
    </w:p>
    <w:bookmarkStart w:id="1" w:name="page2"/>
    <w:bookmarkEnd w:id="1"/>
    <w:p>
      <w:pPr>
        <w:ind w:left="340"/>
        <w:spacing w:after="0"/>
        <w:rPr>
          <w:sz w:val="20"/>
          <w:szCs w:val="20"/>
          <w:color w:val="auto"/>
        </w:rPr>
      </w:pPr>
      <w:r>
        <w:rPr>
          <w:rFonts w:ascii="Arial" w:cs="Arial" w:eastAsia="Arial" w:hAnsi="Arial"/>
          <w:sz w:val="18"/>
          <w:szCs w:val="18"/>
          <w:color w:val="auto"/>
        </w:rPr>
        <w:t>Item 2.02 RESULTS OF OPERATIONS AND FINANCIAL CONDITION</w:t>
      </w:r>
    </w:p>
    <w:p>
      <w:pPr>
        <w:spacing w:after="0" w:line="198" w:lineRule="exact"/>
        <w:rPr>
          <w:sz w:val="20"/>
          <w:szCs w:val="20"/>
          <w:color w:val="auto"/>
        </w:rPr>
      </w:pPr>
    </w:p>
    <w:p>
      <w:pPr>
        <w:ind w:left="340" w:right="2260" w:firstLine="373"/>
        <w:spacing w:after="0" w:line="264" w:lineRule="auto"/>
        <w:rPr>
          <w:sz w:val="20"/>
          <w:szCs w:val="20"/>
          <w:color w:val="auto"/>
        </w:rPr>
      </w:pPr>
      <w:r>
        <w:rPr>
          <w:rFonts w:ascii="Arial" w:cs="Arial" w:eastAsia="Arial" w:hAnsi="Arial"/>
          <w:sz w:val="18"/>
          <w:szCs w:val="18"/>
          <w:color w:val="auto"/>
        </w:rPr>
        <w:t>On November 19, 2009, Brady Corporation (the “Corporation”) issued a press release announcing its fiscal 2010 first quarter financial results. A copy of the press release is being furnished to the Securities and Exchange Commission as Exhibit 99.1 attached hereto and is incorporated herein by reference.</w:t>
      </w:r>
    </w:p>
    <w:p>
      <w:pPr>
        <w:spacing w:after="0" w:line="141" w:lineRule="exact"/>
        <w:rPr>
          <w:sz w:val="20"/>
          <w:szCs w:val="20"/>
          <w:color w:val="auto"/>
        </w:rPr>
      </w:pPr>
    </w:p>
    <w:p>
      <w:pPr>
        <w:ind w:left="340" w:right="2100"/>
        <w:spacing w:after="0" w:line="277" w:lineRule="auto"/>
        <w:rPr>
          <w:sz w:val="20"/>
          <w:szCs w:val="20"/>
          <w:color w:val="auto"/>
        </w:rPr>
      </w:pPr>
      <w:r>
        <w:rPr>
          <w:rFonts w:ascii="Arial" w:cs="Arial" w:eastAsia="Arial" w:hAnsi="Arial"/>
          <w:sz w:val="18"/>
          <w:szCs w:val="18"/>
          <w:color w:val="auto"/>
        </w:rPr>
        <w:t>Item 5.02 DEPARTURE OF DIRECTORS OR CERTAIN OFFICERS; ELECTION OF DIRECTORS; APPOINTMENT OF CERTAIN OFFICERS; COMPENSATORY ARRANGEMENTS OF CERTAIN OFFICERS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 Effective November 19, 2009, Directors Frank R. Jarc and Gary E. Nei retired from the Corporation’s Board of Directors.</w:t>
      </w:r>
    </w:p>
    <w:p>
      <w:pPr>
        <w:spacing w:after="0" w:line="158" w:lineRule="exact"/>
        <w:rPr>
          <w:sz w:val="20"/>
          <w:szCs w:val="20"/>
          <w:color w:val="auto"/>
        </w:rPr>
      </w:pPr>
    </w:p>
    <w:p>
      <w:pPr>
        <w:jc w:val="both"/>
        <w:ind w:left="620" w:right="2320" w:hanging="288"/>
        <w:spacing w:after="0" w:line="264" w:lineRule="auto"/>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On November 19, 2009, at the Corporation’s Annual Shareholders’ Meeting, the holders of the Corporation’s Class B Common Stock elected the following persons to serve as the Corporation’s directors until the next annual meeting of shareholders and until their successors have been elected:</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Patrick W. Allender</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Richard A. Bemis</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Robert C. Buchanan</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Chan W. Galbato</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Conrad G. Goodkind</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Frank W. Harris</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Frank M. Jaehnert</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Elizabeth I. Pungello</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Bradley C. Richardson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8.01 OTHER EVENTS</w:t>
      </w:r>
    </w:p>
    <w:p>
      <w:pPr>
        <w:spacing w:after="0" w:line="185" w:lineRule="exact"/>
        <w:rPr>
          <w:sz w:val="20"/>
          <w:szCs w:val="20"/>
          <w:color w:val="auto"/>
        </w:rPr>
      </w:pPr>
    </w:p>
    <w:p>
      <w:pPr>
        <w:ind w:left="340" w:right="1880" w:firstLine="373"/>
        <w:spacing w:after="0" w:line="312" w:lineRule="auto"/>
        <w:rPr>
          <w:sz w:val="20"/>
          <w:szCs w:val="20"/>
          <w:color w:val="auto"/>
        </w:rPr>
      </w:pPr>
      <w:r>
        <w:rPr>
          <w:rFonts w:ascii="Arial" w:cs="Arial" w:eastAsia="Arial" w:hAnsi="Arial"/>
          <w:sz w:val="16"/>
          <w:szCs w:val="16"/>
          <w:color w:val="auto"/>
        </w:rPr>
        <w:t>On November 19, 2009, the Board of Directors of the Corporation, upon the recommendation of its Corporate Governance Committee, created the position of Lead Director. The current chair of the Corporation’s Corporate Governance Committee, Mr. Conrad Goodkind, will serve as the initial Lead Director, which position will be paid an annual retainer of $10,000.</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9.01 FINANCIAL STATEMENTS AND EXHIBITS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filed as an Exhibit to this Report.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gridSpan w:val="3"/>
          </w:tcPr>
          <w:p>
            <w:pPr>
              <w:jc w:val="center"/>
              <w:ind w:right="100"/>
              <w:spacing w:after="0"/>
              <w:rPr>
                <w:sz w:val="20"/>
                <w:szCs w:val="20"/>
                <w:color w:val="auto"/>
              </w:rPr>
            </w:pPr>
            <w:r>
              <w:rPr>
                <w:rFonts w:ascii="Arial" w:cs="Arial" w:eastAsia="Arial" w:hAnsi="Arial"/>
                <w:sz w:val="18"/>
                <w:szCs w:val="18"/>
                <w:color w:val="auto"/>
                <w:w w:val="96"/>
              </w:rPr>
              <w:t>Exhibit No.</w:t>
            </w: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Description of Exhibit</w:t>
            </w:r>
          </w:p>
        </w:tc>
      </w:tr>
      <w:tr>
        <w:trPr>
          <w:trHeight w:val="20"/>
        </w:trPr>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r>
      <w:tr>
        <w:trPr>
          <w:trHeight w:val="222"/>
        </w:trPr>
        <w:tc>
          <w:tcPr>
            <w:tcW w:w="340" w:type="dxa"/>
            <w:vAlign w:val="bottom"/>
          </w:tcPr>
          <w:p>
            <w:pPr>
              <w:spacing w:after="0"/>
              <w:rPr>
                <w:sz w:val="19"/>
                <w:szCs w:val="19"/>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19"/>
                <w:szCs w:val="19"/>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Press Release of Brady Corporation, dated November 19, 2009, relating to fiscal 2010 first quarter financial</w:t>
            </w:r>
          </w:p>
        </w:tc>
      </w:tr>
      <w:tr>
        <w:trPr>
          <w:trHeight w:val="230"/>
        </w:trPr>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results.</w:t>
            </w:r>
          </w:p>
        </w:tc>
      </w:tr>
      <w:tr>
        <w:trPr>
          <w:trHeight w:val="1023"/>
        </w:trPr>
        <w:tc>
          <w:tcPr>
            <w:tcW w:w="3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81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 w:name="page3"/>
    <w:bookmarkEnd w:id="2"/>
    <w:p>
      <w:pPr>
        <w:jc w:val="center"/>
        <w:ind w:right="1420"/>
        <w:spacing w:after="0"/>
        <w:rPr>
          <w:sz w:val="20"/>
          <w:szCs w:val="20"/>
          <w:color w:val="auto"/>
        </w:rPr>
      </w:pPr>
      <w:r>
        <w:rPr>
          <w:rFonts w:ascii="Arial" w:cs="Arial" w:eastAsia="Arial" w:hAnsi="Arial"/>
          <w:sz w:val="18"/>
          <w:szCs w:val="18"/>
          <w:color w:val="auto"/>
        </w:rPr>
        <w:t>SIGNATURE</w:t>
      </w:r>
    </w:p>
    <w:p>
      <w:pPr>
        <w:spacing w:after="0" w:line="198" w:lineRule="exact"/>
        <w:rPr>
          <w:sz w:val="20"/>
          <w:szCs w:val="20"/>
          <w:color w:val="auto"/>
        </w:rPr>
      </w:pPr>
    </w:p>
    <w:p>
      <w:pPr>
        <w:ind w:left="340" w:right="19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BRADY CORPORATION</w:t>
            </w:r>
          </w:p>
        </w:tc>
        <w:tc>
          <w:tcPr>
            <w:tcW w:w="3140" w:type="dxa"/>
            <w:vAlign w:val="bottom"/>
          </w:tcPr>
          <w:p>
            <w:pPr>
              <w:spacing w:after="0"/>
              <w:rPr>
                <w:sz w:val="20"/>
                <w:szCs w:val="20"/>
                <w:color w:val="auto"/>
              </w:rPr>
            </w:pPr>
          </w:p>
        </w:tc>
      </w:tr>
      <w:tr>
        <w:trPr>
          <w:trHeight w:val="432"/>
        </w:trPr>
        <w:tc>
          <w:tcPr>
            <w:tcW w:w="4820" w:type="dxa"/>
            <w:vAlign w:val="bottom"/>
          </w:tcPr>
          <w:p>
            <w:pPr>
              <w:ind w:left="340"/>
              <w:spacing w:after="0"/>
              <w:rPr>
                <w:sz w:val="20"/>
                <w:szCs w:val="20"/>
                <w:color w:val="auto"/>
              </w:rPr>
            </w:pPr>
            <w:r>
              <w:rPr>
                <w:rFonts w:ascii="Arial" w:cs="Arial" w:eastAsia="Arial" w:hAnsi="Arial"/>
                <w:sz w:val="18"/>
                <w:szCs w:val="18"/>
                <w:color w:val="auto"/>
              </w:rPr>
              <w:t>Date: November 20, 2009</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Felmer</w:t>
            </w:r>
          </w:p>
        </w:tc>
        <w:tc>
          <w:tcPr>
            <w:tcW w:w="3140" w:type="dxa"/>
            <w:vAlign w:val="bottom"/>
          </w:tcPr>
          <w:p>
            <w:pPr>
              <w:spacing w:after="0"/>
              <w:rPr>
                <w:sz w:val="24"/>
                <w:szCs w:val="24"/>
                <w:color w:val="auto"/>
              </w:rPr>
            </w:pPr>
          </w:p>
        </w:tc>
      </w:tr>
      <w:tr>
        <w:trPr>
          <w:trHeight w:val="195"/>
        </w:trPr>
        <w:tc>
          <w:tcPr>
            <w:tcW w:w="482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color w:val="auto"/>
              </w:rPr>
              <w:t>Thomas J. Felmer</w:t>
            </w:r>
          </w:p>
        </w:tc>
        <w:tc>
          <w:tcPr>
            <w:tcW w:w="3140" w:type="dxa"/>
            <w:vAlign w:val="bottom"/>
          </w:tcPr>
          <w:p>
            <w:pPr>
              <w:spacing w:after="0"/>
              <w:rPr>
                <w:sz w:val="16"/>
                <w:szCs w:val="16"/>
                <w:color w:val="auto"/>
              </w:rPr>
            </w:pPr>
          </w:p>
        </w:tc>
      </w:tr>
      <w:tr>
        <w:trPr>
          <w:trHeight w:val="216"/>
        </w:trPr>
        <w:tc>
          <w:tcPr>
            <w:tcW w:w="48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Senior Vice President &amp; Chief Financial</w:t>
            </w:r>
          </w:p>
        </w:tc>
        <w:tc>
          <w:tcPr>
            <w:tcW w:w="3140" w:type="dxa"/>
            <w:vAlign w:val="bottom"/>
          </w:tcPr>
          <w:p>
            <w:pPr>
              <w:spacing w:after="0"/>
              <w:rPr>
                <w:sz w:val="18"/>
                <w:szCs w:val="18"/>
                <w:color w:val="auto"/>
              </w:rPr>
            </w:pPr>
          </w:p>
        </w:tc>
      </w:tr>
      <w:tr>
        <w:trPr>
          <w:trHeight w:val="230"/>
        </w:trPr>
        <w:tc>
          <w:tcPr>
            <w:tcW w:w="482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Officer</w:t>
            </w:r>
          </w:p>
        </w:tc>
        <w:tc>
          <w:tcPr>
            <w:tcW w:w="3140" w:type="dxa"/>
            <w:vAlign w:val="bottom"/>
          </w:tcPr>
          <w:p>
            <w:pPr>
              <w:spacing w:after="0"/>
              <w:rPr>
                <w:sz w:val="20"/>
                <w:szCs w:val="20"/>
                <w:color w:val="auto"/>
              </w:rPr>
            </w:pPr>
          </w:p>
        </w:tc>
      </w:tr>
      <w:tr>
        <w:trPr>
          <w:trHeight w:val="1010"/>
        </w:trPr>
        <w:tc>
          <w:tcPr>
            <w:tcW w:w="4820" w:type="dxa"/>
            <w:vAlign w:val="bottom"/>
            <w:tcBorders>
              <w:bottom w:val="single" w:sz="8" w:color="808080"/>
            </w:tcBorders>
          </w:tcPr>
          <w:p>
            <w:pPr>
              <w:spacing w:after="0"/>
              <w:rPr>
                <w:sz w:val="24"/>
                <w:szCs w:val="24"/>
                <w:color w:val="auto"/>
              </w:rPr>
            </w:pPr>
          </w:p>
        </w:tc>
        <w:tc>
          <w:tcPr>
            <w:tcW w:w="3460" w:type="dxa"/>
            <w:vAlign w:val="bottom"/>
            <w:tcBorders>
              <w:bottom w:val="single" w:sz="8" w:color="808080"/>
            </w:tcBorders>
          </w:tcPr>
          <w:p>
            <w:pPr>
              <w:spacing w:after="0"/>
              <w:rPr>
                <w:sz w:val="24"/>
                <w:szCs w:val="24"/>
                <w:color w:val="auto"/>
              </w:rPr>
            </w:pPr>
          </w:p>
        </w:tc>
        <w:tc>
          <w:tcPr>
            <w:tcW w:w="3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0" w:type="dxa"/>
            <w:vAlign w:val="bottom"/>
          </w:tcPr>
          <w:p>
            <w:pPr>
              <w:ind w:left="1600"/>
              <w:spacing w:after="0"/>
              <w:rPr>
                <w:sz w:val="20"/>
                <w:szCs w:val="20"/>
                <w:color w:val="auto"/>
              </w:rPr>
            </w:pPr>
            <w:r>
              <w:rPr>
                <w:rFonts w:ascii="Arial" w:cs="Arial" w:eastAsia="Arial" w:hAnsi="Arial"/>
                <w:sz w:val="18"/>
                <w:szCs w:val="18"/>
                <w:color w:val="auto"/>
              </w:rPr>
              <w:t>EXHIBIT INDEX</w:t>
            </w:r>
          </w:p>
        </w:tc>
      </w:tr>
      <w:tr>
        <w:trPr>
          <w:trHeight w:val="418"/>
        </w:trPr>
        <w:tc>
          <w:tcPr>
            <w:tcW w:w="10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0" w:type="dxa"/>
            <w:vAlign w:val="bottom"/>
          </w:tcPr>
          <w:p>
            <w:pPr>
              <w:spacing w:after="0"/>
              <w:rPr>
                <w:sz w:val="24"/>
                <w:szCs w:val="24"/>
                <w:color w:val="auto"/>
              </w:rPr>
            </w:pPr>
          </w:p>
        </w:tc>
      </w:tr>
      <w:tr>
        <w:trPr>
          <w:trHeight w:val="190"/>
        </w:trPr>
        <w:tc>
          <w:tcPr>
            <w:tcW w:w="1000" w:type="dxa"/>
            <w:vAlign w:val="bottom"/>
            <w:gridSpan w:val="2"/>
          </w:tcPr>
          <w:p>
            <w:pPr>
              <w:spacing w:after="0" w:line="190" w:lineRule="exact"/>
              <w:rPr>
                <w:sz w:val="20"/>
                <w:szCs w:val="20"/>
                <w:color w:val="auto"/>
              </w:rPr>
            </w:pPr>
            <w:r>
              <w:rPr>
                <w:rFonts w:ascii="Arial" w:cs="Arial" w:eastAsia="Arial" w:hAnsi="Arial"/>
                <w:sz w:val="18"/>
                <w:szCs w:val="18"/>
                <w:color w:val="auto"/>
              </w:rPr>
              <w:t>NUMBER</w:t>
            </w:r>
          </w:p>
        </w:tc>
        <w:tc>
          <w:tcPr>
            <w:tcW w:w="8000" w:type="dxa"/>
            <w:vAlign w:val="bottom"/>
            <w:gridSpan w:val="3"/>
          </w:tcPr>
          <w:p>
            <w:pPr>
              <w:ind w:left="220"/>
              <w:spacing w:after="0" w:line="190" w:lineRule="exact"/>
              <w:rPr>
                <w:sz w:val="20"/>
                <w:szCs w:val="20"/>
                <w:color w:val="auto"/>
              </w:rPr>
            </w:pPr>
            <w:r>
              <w:rPr>
                <w:rFonts w:ascii="Arial" w:cs="Arial" w:eastAsia="Arial" w:hAnsi="Arial"/>
                <w:sz w:val="18"/>
                <w:szCs w:val="18"/>
                <w:color w:val="auto"/>
              </w:rPr>
              <w:t>DESCRIPTION</w:t>
            </w:r>
          </w:p>
        </w:tc>
      </w:tr>
      <w:tr>
        <w:trPr>
          <w:trHeight w:val="20"/>
        </w:trPr>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222"/>
        </w:trPr>
        <w:tc>
          <w:tcPr>
            <w:tcW w:w="760" w:type="dxa"/>
            <w:vAlign w:val="bottom"/>
          </w:tcPr>
          <w:p>
            <w:pPr>
              <w:jc w:val="right"/>
              <w:ind w:right="130"/>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w w:val="90"/>
              </w:rPr>
              <w:t>Press Release of Brady Corporation, dated November 19, 2009, relating to fiscal 2010 first quarter financial</w:t>
            </w:r>
          </w:p>
        </w:tc>
      </w:tr>
      <w:tr>
        <w:trPr>
          <w:trHeight w:val="230"/>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0" w:type="dxa"/>
            <w:vAlign w:val="bottom"/>
            <w:gridSpan w:val="3"/>
          </w:tcPr>
          <w:p>
            <w:pPr>
              <w:ind w:left="220"/>
              <w:spacing w:after="0"/>
              <w:rPr>
                <w:sz w:val="20"/>
                <w:szCs w:val="20"/>
                <w:color w:val="auto"/>
              </w:rPr>
            </w:pPr>
            <w:r>
              <w:rPr>
                <w:rFonts w:ascii="Arial" w:cs="Arial" w:eastAsia="Arial" w:hAnsi="Arial"/>
                <w:sz w:val="18"/>
                <w:szCs w:val="18"/>
                <w:color w:val="auto"/>
              </w:rPr>
              <w:t>results.</w:t>
            </w:r>
          </w:p>
        </w:tc>
      </w:tr>
    </w:tbl>
    <w:p>
      <w:pPr>
        <w:sectPr>
          <w:pgSz w:w="11900" w:h="16838" w:orient="portrait"/>
          <w:cols w:equalWidth="0" w:num="1">
            <w:col w:w="9879"/>
          </w:cols>
          <w:pgMar w:left="580" w:top="935" w:right="1440" w:bottom="1440" w:gutter="0" w:footer="0" w:header="0"/>
        </w:sectPr>
      </w:pPr>
    </w:p>
    <w:bookmarkStart w:id="4" w:name="page5"/>
    <w:bookmarkEnd w:id="4"/>
    <w:p>
      <w:pPr>
        <w:jc w:val="right"/>
        <w:ind w:right="559"/>
        <w:spacing w:after="0"/>
        <w:rPr>
          <w:sz w:val="20"/>
          <w:szCs w:val="20"/>
          <w:color w:val="auto"/>
        </w:rPr>
      </w:pPr>
      <w:r>
        <w:rPr>
          <w:rFonts w:ascii="Arial" w:cs="Arial" w:eastAsia="Arial" w:hAnsi="Arial"/>
          <w:sz w:val="18"/>
          <w:szCs w:val="18"/>
          <w:b w:val="1"/>
          <w:bCs w:val="1"/>
          <w:color w:val="auto"/>
        </w:rPr>
        <w:t>EXHIBIT 99.1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w:t>
      </w:r>
      <w:r>
        <w:rPr>
          <w:rFonts w:ascii="Arial" w:cs="Arial" w:eastAsia="Arial" w:hAnsi="Arial"/>
          <w:sz w:val="18"/>
          <w:szCs w:val="18"/>
          <w:color w:val="auto"/>
        </w:rPr>
        <w:t>:</w:t>
      </w:r>
    </w:p>
    <w:p>
      <w:pPr>
        <w:spacing w:after="0" w:line="234" w:lineRule="auto"/>
        <w:rPr>
          <w:sz w:val="20"/>
          <w:szCs w:val="20"/>
          <w:color w:val="auto"/>
        </w:rPr>
      </w:pPr>
      <w:r>
        <w:rPr>
          <w:rFonts w:ascii="Arial" w:cs="Arial" w:eastAsia="Arial" w:hAnsi="Arial"/>
          <w:sz w:val="18"/>
          <w:szCs w:val="18"/>
          <w:color w:val="auto"/>
        </w:rPr>
        <w:t>Investor contact: Barbara Bolens 414-438-6940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Media contact: Carole Herbstreit 414-438-6882</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reports sales and earnings for fiscal 2010 first quarter</w:t>
      </w:r>
    </w:p>
    <w:p>
      <w:pPr>
        <w:spacing w:after="0" w:line="193" w:lineRule="exact"/>
        <w:rPr>
          <w:sz w:val="20"/>
          <w:szCs w:val="20"/>
          <w:color w:val="auto"/>
        </w:rPr>
      </w:pPr>
    </w:p>
    <w:p>
      <w:pPr>
        <w:ind w:right="619"/>
        <w:spacing w:after="0" w:line="246" w:lineRule="auto"/>
        <w:rPr>
          <w:sz w:val="20"/>
          <w:szCs w:val="20"/>
          <w:color w:val="auto"/>
        </w:rPr>
      </w:pPr>
      <w:r>
        <w:rPr>
          <w:rFonts w:ascii="Arial" w:cs="Arial" w:eastAsia="Arial" w:hAnsi="Arial"/>
          <w:sz w:val="18"/>
          <w:szCs w:val="18"/>
          <w:color w:val="auto"/>
        </w:rPr>
        <w:t>MILWAUKEE (November 19, 2009)—Brady Corporation (NYSE:BRC) today reported sales and earnings for its fiscal 2010 first quarter ended October 31, 2009.</w:t>
      </w:r>
    </w:p>
    <w:p>
      <w:pPr>
        <w:spacing w:after="0" w:line="156" w:lineRule="exact"/>
        <w:rPr>
          <w:sz w:val="20"/>
          <w:szCs w:val="20"/>
          <w:color w:val="auto"/>
        </w:rPr>
      </w:pPr>
    </w:p>
    <w:p>
      <w:pPr>
        <w:jc w:val="both"/>
        <w:ind w:right="779" w:firstLine="373"/>
        <w:spacing w:after="0" w:line="239" w:lineRule="auto"/>
        <w:rPr>
          <w:sz w:val="20"/>
          <w:szCs w:val="20"/>
          <w:color w:val="auto"/>
        </w:rPr>
      </w:pPr>
      <w:r>
        <w:rPr>
          <w:rFonts w:ascii="Arial" w:cs="Arial" w:eastAsia="Arial" w:hAnsi="Arial"/>
          <w:sz w:val="18"/>
          <w:szCs w:val="18"/>
          <w:color w:val="auto"/>
        </w:rPr>
        <w:t>Sales for the quarter were $318.5 million compared to $378.3 million in the first quarter of fiscal 2009. Organic sales declined 15.9 percent in the quarter and acquisitions added 0.1 percent to sales. Currency exchange had no impact on sales results in the quarter. By segment, sales were down 15.3 percent in the Americas, 12.8 percent in Europe and 19.5 percent in Asia/Pacific.</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income in the fiscal 2010 first quarter, including $2.6 million in after-tax restructuring charges, was</w:t>
      </w:r>
    </w:p>
    <w:p>
      <w:pPr>
        <w:spacing w:after="0" w:line="234" w:lineRule="auto"/>
        <w:rPr>
          <w:sz w:val="20"/>
          <w:szCs w:val="20"/>
          <w:color w:val="auto"/>
        </w:rPr>
      </w:pPr>
      <w:r>
        <w:rPr>
          <w:rFonts w:ascii="Arial" w:cs="Arial" w:eastAsia="Arial" w:hAnsi="Arial"/>
          <w:sz w:val="18"/>
          <w:szCs w:val="18"/>
          <w:color w:val="auto"/>
        </w:rPr>
        <w:t>$21.7 million compared to $37.1 million in the same quarter last year. Earnings per diluted Class A Common share</w:t>
      </w:r>
    </w:p>
    <w:p>
      <w:pPr>
        <w:spacing w:after="0" w:line="235" w:lineRule="auto"/>
        <w:rPr>
          <w:sz w:val="20"/>
          <w:szCs w:val="20"/>
          <w:color w:val="auto"/>
        </w:rPr>
      </w:pPr>
      <w:r>
        <w:rPr>
          <w:rFonts w:ascii="Arial" w:cs="Arial" w:eastAsia="Arial" w:hAnsi="Arial"/>
          <w:sz w:val="18"/>
          <w:szCs w:val="18"/>
          <w:color w:val="auto"/>
        </w:rPr>
        <w:t>were $0.41 in the first quarter of fiscal 2010, compared to $0.69 per diluted share in the prior year’s quarter.</w:t>
      </w:r>
    </w:p>
    <w:p>
      <w:pPr>
        <w:spacing w:after="0" w:line="235" w:lineRule="auto"/>
        <w:rPr>
          <w:sz w:val="20"/>
          <w:szCs w:val="20"/>
          <w:color w:val="auto"/>
        </w:rPr>
      </w:pPr>
      <w:r>
        <w:rPr>
          <w:rFonts w:ascii="Arial" w:cs="Arial" w:eastAsia="Arial" w:hAnsi="Arial"/>
          <w:sz w:val="18"/>
          <w:szCs w:val="18"/>
          <w:color w:val="auto"/>
        </w:rPr>
        <w:t>Excluding restructuring charges, earnings per share were $0.46 in the current quarter compared to $0.71 in the first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quarter of fiscal 2009.</w:t>
      </w:r>
    </w:p>
    <w:p>
      <w:pPr>
        <w:spacing w:after="0" w:line="171" w:lineRule="exact"/>
        <w:rPr>
          <w:sz w:val="20"/>
          <w:szCs w:val="20"/>
          <w:color w:val="auto"/>
        </w:rPr>
      </w:pPr>
    </w:p>
    <w:p>
      <w:pPr>
        <w:ind w:right="779" w:firstLine="373"/>
        <w:spacing w:after="0" w:line="253" w:lineRule="auto"/>
        <w:rPr>
          <w:sz w:val="20"/>
          <w:szCs w:val="20"/>
          <w:color w:val="auto"/>
        </w:rPr>
      </w:pPr>
      <w:r>
        <w:rPr>
          <w:rFonts w:ascii="Arial" w:cs="Arial" w:eastAsia="Arial" w:hAnsi="Arial"/>
          <w:sz w:val="17"/>
          <w:szCs w:val="17"/>
          <w:color w:val="auto"/>
        </w:rPr>
        <w:t>“I’m encouraged to see sales improve by 11 percent from our last fiscal quarter, driven by a stabilization in our markets, as well as new-product and market-based initiatives. Compared to last year’s first quarter, our gross margins have improved by 160 basis points as a direct result of our ongoing cost-reduction efforts,” said Frank M. Jaehnert, Brady’s president and chief executive officer. “Our continued investments in new product development resulted in a number of successful launches of new proprietary products in the first quarter, including the BMP21™ Portable Printer for wire identification and general labeling, which has already been well-received by our markets.”</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balance sheet remains strong and our cash position improved from $188 million to $208 million in the</w:t>
      </w:r>
    </w:p>
    <w:p>
      <w:pPr>
        <w:spacing w:after="0" w:line="234" w:lineRule="auto"/>
        <w:rPr>
          <w:sz w:val="20"/>
          <w:szCs w:val="20"/>
          <w:color w:val="auto"/>
        </w:rPr>
      </w:pPr>
      <w:r>
        <w:rPr>
          <w:rFonts w:ascii="Arial" w:cs="Arial" w:eastAsia="Arial" w:hAnsi="Arial"/>
          <w:sz w:val="18"/>
          <w:szCs w:val="18"/>
          <w:color w:val="auto"/>
        </w:rPr>
        <w:t>quarter. This will allow us to take advantage of opportunities for future investments, such as new product</w:t>
      </w:r>
    </w:p>
    <w:p>
      <w:pPr>
        <w:spacing w:after="0" w:line="235" w:lineRule="auto"/>
        <w:rPr>
          <w:sz w:val="20"/>
          <w:szCs w:val="20"/>
          <w:color w:val="auto"/>
        </w:rPr>
      </w:pPr>
      <w:r>
        <w:rPr>
          <w:rFonts w:ascii="Arial" w:cs="Arial" w:eastAsia="Arial" w:hAnsi="Arial"/>
          <w:sz w:val="18"/>
          <w:szCs w:val="18"/>
          <w:color w:val="auto"/>
        </w:rPr>
        <w:t>development, core growth opportunities and acquisitions,” said Brady Chief Financial Officer Thomas J. Felmer.</w:t>
      </w:r>
    </w:p>
    <w:p>
      <w:pPr>
        <w:spacing w:after="0" w:line="235" w:lineRule="auto"/>
        <w:rPr>
          <w:sz w:val="20"/>
          <w:szCs w:val="20"/>
          <w:color w:val="auto"/>
        </w:rPr>
      </w:pPr>
      <w:r>
        <w:rPr>
          <w:rFonts w:ascii="Arial" w:cs="Arial" w:eastAsia="Arial" w:hAnsi="Arial"/>
          <w:sz w:val="18"/>
          <w:szCs w:val="18"/>
          <w:color w:val="auto"/>
        </w:rPr>
        <w:t>“While we are encouraged by our results, we remain cautious on our outlook because of limited visibility. We are</w:t>
      </w:r>
    </w:p>
    <w:p>
      <w:pPr>
        <w:spacing w:after="0" w:line="235" w:lineRule="auto"/>
        <w:rPr>
          <w:sz w:val="20"/>
          <w:szCs w:val="20"/>
          <w:color w:val="auto"/>
        </w:rPr>
      </w:pPr>
      <w:r>
        <w:rPr>
          <w:rFonts w:ascii="Arial" w:cs="Arial" w:eastAsia="Arial" w:hAnsi="Arial"/>
          <w:sz w:val="18"/>
          <w:szCs w:val="18"/>
          <w:color w:val="auto"/>
        </w:rPr>
        <w:t>maintaining our original net income and earnings per diluted share guidance for the current fiscal year of $85 to</w:t>
      </w:r>
    </w:p>
    <w:p>
      <w:pPr>
        <w:spacing w:after="0"/>
        <w:rPr>
          <w:sz w:val="20"/>
          <w:szCs w:val="20"/>
          <w:color w:val="auto"/>
        </w:rPr>
      </w:pPr>
      <w:r>
        <w:rPr>
          <w:rFonts w:ascii="Arial" w:cs="Arial" w:eastAsia="Arial" w:hAnsi="Arial"/>
          <w:sz w:val="18"/>
          <w:szCs w:val="18"/>
          <w:color w:val="auto"/>
        </w:rPr>
        <w:t>$95 million and $1.60 to $1.80 per share, excluding pretax restructuring charges of $15 million and $0.20 per share.”</w:t>
      </w:r>
    </w:p>
    <w:p>
      <w:pPr>
        <w:spacing w:after="0" w:line="185" w:lineRule="exact"/>
        <w:rPr>
          <w:sz w:val="20"/>
          <w:szCs w:val="20"/>
          <w:color w:val="auto"/>
        </w:rPr>
      </w:pPr>
    </w:p>
    <w:p>
      <w:pPr>
        <w:ind w:right="659" w:firstLine="373"/>
        <w:spacing w:after="0" w:line="246" w:lineRule="auto"/>
        <w:rPr>
          <w:sz w:val="20"/>
          <w:szCs w:val="20"/>
          <w:color w:val="auto"/>
        </w:rPr>
      </w:pPr>
      <w:r>
        <w:rPr>
          <w:rFonts w:ascii="Arial" w:cs="Arial" w:eastAsia="Arial" w:hAnsi="Arial"/>
          <w:sz w:val="18"/>
          <w:szCs w:val="18"/>
          <w:color w:val="auto"/>
        </w:rPr>
        <w:t xml:space="preserve">A Web cast regarding fiscal 2010 first quarter results will be available at </w:t>
      </w:r>
      <w:r>
        <w:rPr>
          <w:rFonts w:ascii="Arial" w:cs="Arial" w:eastAsia="Arial" w:hAnsi="Arial"/>
          <w:sz w:val="18"/>
          <w:szCs w:val="18"/>
          <w:u w:val="single" w:color="auto"/>
          <w:color w:val="auto"/>
        </w:rPr>
        <w:t>www.investor.bradycorp.com</w:t>
      </w:r>
      <w:r>
        <w:rPr>
          <w:rFonts w:ascii="Arial" w:cs="Arial" w:eastAsia="Arial" w:hAnsi="Arial"/>
          <w:sz w:val="18"/>
          <w:szCs w:val="18"/>
          <w:color w:val="auto"/>
        </w:rPr>
        <w:t xml:space="preserve"> beginning at 7:00 a.m. Central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603885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18" w:right="1440" w:bottom="1440" w:gutter="0" w:footer="0" w:header="0"/>
        </w:sectPr>
      </w:pPr>
    </w:p>
    <w:bookmarkStart w:id="5" w:name="page6"/>
    <w:bookmarkEnd w:id="5"/>
    <w:p>
      <w:pPr>
        <w:ind w:right="579" w:firstLine="373"/>
        <w:spacing w:after="0" w:line="236" w:lineRule="auto"/>
        <w:rPr>
          <w:sz w:val="20"/>
          <w:szCs w:val="20"/>
          <w:color w:val="auto"/>
        </w:rPr>
      </w:pPr>
      <w:r>
        <w:rPr>
          <w:rFonts w:ascii="Arial" w:cs="Arial" w:eastAsia="Arial" w:hAnsi="Arial"/>
          <w:sz w:val="18"/>
          <w:szCs w:val="18"/>
          <w:color w:val="auto"/>
        </w:rPr>
        <w:t xml:space="preserve">Brady Corporation is an international manufacturer and marketer of complete solutions that identify and protect premises, products and people. Its products help customers increase safety, security, productivity and performance and include high-performance labels and signs, safety devices, printing systems and software, and precision die-cut materials. Founded in 1914, the company has more than 500,000 customers in electronics, telecommunications, manufacturing, electrical, construction, education, medical and a variety of other industries. Brady is headquartered in Milwaukee and employs approximately 7,000 people at operations in the Americas, Europe and Asia/Pacific. Brady’s fiscal 2009 sales were approximately $ 1.2 billion. Brady stock trades on the New York Stock Exchange under the symbol BRC. More information is available on the Internet at </w:t>
      </w:r>
      <w:r>
        <w:rPr>
          <w:rFonts w:ascii="Arial" w:cs="Arial" w:eastAsia="Arial" w:hAnsi="Arial"/>
          <w:sz w:val="18"/>
          <w:szCs w:val="18"/>
          <w:u w:val="single" w:color="auto"/>
          <w:color w:val="auto"/>
        </w:rPr>
        <w:t>www.bradycorp.com</w:t>
      </w:r>
      <w:r>
        <w:rPr>
          <w:rFonts w:ascii="Arial" w:cs="Arial" w:eastAsia="Arial" w:hAnsi="Arial"/>
          <w:sz w:val="18"/>
          <w:szCs w:val="18"/>
          <w:color w:val="auto"/>
        </w:rPr>
        <w:t>.</w:t>
      </w:r>
    </w:p>
    <w:p>
      <w:pPr>
        <w:spacing w:after="0" w:line="181"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ind w:right="559"/>
        <w:spacing w:after="0" w:line="235" w:lineRule="auto"/>
        <w:rPr>
          <w:sz w:val="20"/>
          <w:szCs w:val="20"/>
          <w:color w:val="auto"/>
        </w:rPr>
      </w:pPr>
      <w:r>
        <w:rPr>
          <w:rFonts w:ascii="Arial" w:cs="Arial" w:eastAsia="Arial" w:hAnsi="Arial"/>
          <w:sz w:val="18"/>
          <w:szCs w:val="18"/>
          <w:color w:val="auto"/>
        </w:rPr>
        <w:t>Brady believes that certain statements in this news release are “forward-looking statements” within the meaning of the Private Securities Litigation Reform Act of 1995. All statements related to future, not past, events included in this news release,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news release,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the length or severity of the current worldwide economic downturn or timing or strength of a subsequent recovery;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develop and successfully market new products; changes in the supply of, or price for, parts and components; increased price pressure from suppliers and customers; fluctuations in currency rates versus the US dollar; unforeseen tax consequences; potential write-offs of Brady’s substantial intangible assets; Brady’s ability to retain significant contracts and customers; risks associated with international operations; Brady’s ability to attract and retain key talent; Brady’s ability to maintain compliance with its debt covenants; technology changes; business interruptions due to implementing business systems; environmental, health and safety compliance costs and liabilities; future competition; interruptions to sources of supply; Brady’s ability to realize cost savings from operating initiatives; difficulties associated with exports; risks associated with restructuring plans; risks associated with obtaining governmental approvals and maintaining regulatory compliance for new and existing products;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 of Brady’s Form 10-K for the year ended July 31, 2009. These uncertainties may cause Brady’s actual future results to be materially different than those expressed in its forward-looking statements. Brady does not undertake to update its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622935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49" w:right="1440" w:bottom="1440" w:gutter="0" w:footer="0" w:header="0"/>
        </w:sectPr>
      </w:pPr>
    </w:p>
    <w:bookmarkStart w:id="6" w:name="page7"/>
    <w:bookmarkEnd w:id="6"/>
    <w:p>
      <w:pPr>
        <w:ind w:left="340"/>
        <w:spacing w:after="0"/>
        <w:rPr>
          <w:sz w:val="20"/>
          <w:szCs w:val="20"/>
          <w:color w:val="auto"/>
        </w:rPr>
      </w:pPr>
      <w:r>
        <w:rPr>
          <w:rFonts w:ascii="Arial" w:cs="Arial" w:eastAsia="Arial" w:hAnsi="Arial"/>
          <w:sz w:val="18"/>
          <w:szCs w:val="18"/>
          <w:b w:val="1"/>
          <w:bCs w:val="1"/>
          <w:color w:val="auto"/>
        </w:rPr>
        <w:t>BRADY CORPORATION AND SUBSIDIARIES</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(Dollars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color w:val="auto"/>
              </w:rPr>
              <w:t>(Unaudited)</w:t>
            </w:r>
          </w:p>
        </w:tc>
        <w:tc>
          <w:tcPr>
            <w:tcW w:w="9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7"/>
          </w:tcPr>
          <w:p>
            <w:pPr>
              <w:ind w:left="240"/>
              <w:spacing w:after="0" w:line="196" w:lineRule="exact"/>
              <w:rPr>
                <w:sz w:val="20"/>
                <w:szCs w:val="20"/>
                <w:color w:val="auto"/>
              </w:rPr>
            </w:pPr>
            <w:r>
              <w:rPr>
                <w:rFonts w:ascii="Arial" w:cs="Arial" w:eastAsia="Arial" w:hAnsi="Arial"/>
                <w:sz w:val="18"/>
                <w:szCs w:val="18"/>
                <w:color w:val="auto"/>
              </w:rPr>
              <w:t>Three Months Ended October 31,</w:t>
            </w: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center"/>
              <w:spacing w:after="0" w:line="195" w:lineRule="exact"/>
              <w:rPr>
                <w:sz w:val="20"/>
                <w:szCs w:val="20"/>
                <w:color w:val="auto"/>
              </w:rPr>
            </w:pPr>
            <w:r>
              <w:rPr>
                <w:rFonts w:ascii="Arial" w:cs="Arial" w:eastAsia="Arial" w:hAnsi="Arial"/>
                <w:sz w:val="18"/>
                <w:szCs w:val="18"/>
                <w:color w:val="auto"/>
                <w:w w:val="99"/>
              </w:rPr>
              <w:t>Percentage</w:t>
            </w:r>
          </w:p>
        </w:tc>
        <w:tc>
          <w:tcPr>
            <w:tcW w:w="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2009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2008</w:t>
            </w:r>
          </w:p>
        </w:tc>
        <w:tc>
          <w:tcPr>
            <w:tcW w:w="340" w:type="dxa"/>
            <w:vAlign w:val="bottom"/>
          </w:tcPr>
          <w:p>
            <w:pPr>
              <w:spacing w:after="0"/>
              <w:rPr>
                <w:sz w:val="17"/>
                <w:szCs w:val="17"/>
                <w:color w:val="auto"/>
              </w:rPr>
            </w:pPr>
          </w:p>
        </w:tc>
        <w:tc>
          <w:tcPr>
            <w:tcW w:w="92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rPr>
              <w:t>Change</w:t>
            </w: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318,486</w:t>
            </w:r>
          </w:p>
        </w:tc>
        <w:tc>
          <w:tcPr>
            <w:tcW w:w="340" w:type="dxa"/>
            <w:vAlign w:val="bottom"/>
            <w:gridSpan w:val="2"/>
            <w:shd w:val="clear" w:color="auto" w:fill="CCEEFF"/>
          </w:tcPr>
          <w:p>
            <w:pPr>
              <w:ind w:left="14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378,317</w:t>
            </w:r>
          </w:p>
        </w:tc>
        <w:tc>
          <w:tcPr>
            <w:tcW w:w="10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-15.8%</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660" w:type="dxa"/>
            <w:vAlign w:val="bottom"/>
          </w:tcPr>
          <w:p>
            <w:pPr>
              <w:spacing w:after="0" w:line="202" w:lineRule="exact"/>
              <w:rPr>
                <w:sz w:val="20"/>
                <w:szCs w:val="20"/>
                <w:color w:val="auto"/>
              </w:rPr>
            </w:pPr>
            <w:r>
              <w:rPr>
                <w:rFonts w:ascii="Arial" w:cs="Arial" w:eastAsia="Arial" w:hAnsi="Arial"/>
                <w:sz w:val="18"/>
                <w:szCs w:val="18"/>
                <w:color w:val="auto"/>
              </w:rPr>
              <w:t>Cost of products sold</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161,043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197,171</w:t>
            </w:r>
          </w:p>
        </w:tc>
        <w:tc>
          <w:tcPr>
            <w:tcW w:w="340" w:type="dxa"/>
            <w:vAlign w:val="bottom"/>
          </w:tcPr>
          <w:p>
            <w:pPr>
              <w:spacing w:after="0"/>
              <w:rPr>
                <w:sz w:val="18"/>
                <w:szCs w:val="18"/>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6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Gross margin</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157,443</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181,146</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-13.1%</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6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9,609</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9,056</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6.1%</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660" w:type="dxa"/>
            <w:vAlign w:val="bottom"/>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7"/>
                <w:szCs w:val="17"/>
                <w:color w:val="auto"/>
              </w:rPr>
            </w:pPr>
          </w:p>
        </w:tc>
        <w:tc>
          <w:tcPr>
            <w:tcW w:w="9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108,676</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114,257</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-4.9%</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6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Restructuring charge</w:t>
            </w: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3,601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1,639</w:t>
            </w:r>
          </w:p>
        </w:tc>
        <w:tc>
          <w:tcPr>
            <w:tcW w:w="3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119.7%</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121,886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124,952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35,557</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56,194</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-36.7%</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Other income and (expense):</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6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Investment and other income</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1,852</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-97.4%</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66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7"/>
                <w:szCs w:val="17"/>
                <w:color w:val="auto"/>
              </w:rPr>
            </w:pPr>
          </w:p>
        </w:tc>
        <w:tc>
          <w:tcPr>
            <w:tcW w:w="9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(5,162)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(6,361)</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-18.8%</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30,443</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51,685</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-41.1%</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8,775</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14,575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-39.8%</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21,668</w:t>
            </w:r>
          </w:p>
        </w:tc>
        <w:tc>
          <w:tcPr>
            <w:tcW w:w="3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37,110</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-41.6%</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660" w:type="dxa"/>
            <w:vAlign w:val="bottom"/>
            <w:vMerge w:val="restart"/>
          </w:tcPr>
          <w:p>
            <w:pPr>
              <w:spacing w:after="0"/>
              <w:rPr>
                <w:sz w:val="20"/>
                <w:szCs w:val="20"/>
                <w:color w:val="auto"/>
              </w:rPr>
            </w:pPr>
            <w:r>
              <w:rPr>
                <w:rFonts w:ascii="Arial" w:cs="Arial" w:eastAsia="Arial" w:hAnsi="Arial"/>
                <w:sz w:val="18"/>
                <w:szCs w:val="18"/>
                <w:color w:val="auto"/>
              </w:rPr>
              <w:t>Per Class A Nonvoting Common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40" w:type="dxa"/>
            <w:vAlign w:val="bottom"/>
          </w:tcPr>
          <w:p>
            <w:pPr>
              <w:spacing w:after="0"/>
              <w:rPr>
                <w:sz w:val="24"/>
                <w:szCs w:val="24"/>
                <w:color w:val="auto"/>
              </w:rPr>
            </w:pPr>
          </w:p>
        </w:tc>
        <w:tc>
          <w:tcPr>
            <w:tcW w:w="56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6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Basic net income</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0.41</w:t>
            </w:r>
          </w:p>
        </w:tc>
        <w:tc>
          <w:tcPr>
            <w:tcW w:w="3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0.70</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-41.4%</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660" w:type="dxa"/>
            <w:vAlign w:val="bottom"/>
          </w:tcPr>
          <w:p>
            <w:pPr>
              <w:ind w:left="200"/>
              <w:spacing w:after="0" w:line="202" w:lineRule="exact"/>
              <w:rPr>
                <w:sz w:val="20"/>
                <w:szCs w:val="20"/>
                <w:color w:val="auto"/>
              </w:rPr>
            </w:pPr>
            <w:r>
              <w:rPr>
                <w:rFonts w:ascii="Arial" w:cs="Arial" w:eastAsia="Arial" w:hAnsi="Arial"/>
                <w:sz w:val="18"/>
                <w:szCs w:val="18"/>
                <w:color w:val="auto"/>
              </w:rPr>
              <w:t>Diluted net income</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0.41</w:t>
            </w:r>
          </w:p>
        </w:tc>
        <w:tc>
          <w:tcPr>
            <w:tcW w:w="3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0.69</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-40.6%</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6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Dividends</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0.175</w:t>
            </w:r>
          </w:p>
        </w:tc>
        <w:tc>
          <w:tcPr>
            <w:tcW w:w="3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0.17</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Per Class B Voting Common Share:</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6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Basic net income</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0.40</w:t>
            </w:r>
          </w:p>
        </w:tc>
        <w:tc>
          <w:tcPr>
            <w:tcW w:w="3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0.68</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-41.2%</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660" w:type="dxa"/>
            <w:vAlign w:val="bottom"/>
          </w:tcPr>
          <w:p>
            <w:pPr>
              <w:ind w:left="200"/>
              <w:spacing w:after="0" w:line="202" w:lineRule="exact"/>
              <w:rPr>
                <w:sz w:val="20"/>
                <w:szCs w:val="20"/>
                <w:color w:val="auto"/>
              </w:rPr>
            </w:pPr>
            <w:r>
              <w:rPr>
                <w:rFonts w:ascii="Arial" w:cs="Arial" w:eastAsia="Arial" w:hAnsi="Arial"/>
                <w:sz w:val="18"/>
                <w:szCs w:val="18"/>
                <w:color w:val="auto"/>
              </w:rPr>
              <w:t>Diluted net income</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0.39</w:t>
            </w:r>
          </w:p>
        </w:tc>
        <w:tc>
          <w:tcPr>
            <w:tcW w:w="3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0.67</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-41.8%</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6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Dividends</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0.158</w:t>
            </w:r>
          </w:p>
        </w:tc>
        <w:tc>
          <w:tcPr>
            <w:tcW w:w="3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0.15</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5.3%</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Weighted average common shares outstanding (in thousands):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6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52,337</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53,291</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52,943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53,938</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68"/>
        </w:trPr>
        <w:tc>
          <w:tcPr>
            <w:tcW w:w="340" w:type="dxa"/>
            <w:vAlign w:val="bottom"/>
            <w:tcBorders>
              <w:bottom w:val="single" w:sz="8" w:color="808080"/>
            </w:tcBorders>
          </w:tcPr>
          <w:p>
            <w:pPr>
              <w:spacing w:after="0"/>
              <w:rPr>
                <w:sz w:val="24"/>
                <w:szCs w:val="24"/>
                <w:color w:val="auto"/>
              </w:rPr>
            </w:pPr>
          </w:p>
        </w:tc>
        <w:tc>
          <w:tcPr>
            <w:tcW w:w="56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7" w:name="page8"/>
    <w:bookmarkEnd w:id="7"/>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right"/>
              <w:ind w:right="600"/>
              <w:spacing w:after="0"/>
              <w:rPr>
                <w:sz w:val="20"/>
                <w:szCs w:val="20"/>
                <w:color w:val="auto"/>
              </w:rPr>
            </w:pPr>
            <w:r>
              <w:rPr>
                <w:rFonts w:ascii="Arial" w:cs="Arial" w:eastAsia="Arial" w:hAnsi="Arial"/>
                <w:sz w:val="18"/>
                <w:szCs w:val="18"/>
                <w:color w:val="auto"/>
              </w:rPr>
              <w:t>(Unaudited)</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(Unaudited)</w:t>
            </w:r>
          </w:p>
        </w:tc>
        <w:tc>
          <w:tcPr>
            <w:tcW w:w="0" w:type="dxa"/>
            <w:vAlign w:val="bottom"/>
          </w:tcPr>
          <w:p>
            <w:pPr>
              <w:spacing w:after="0"/>
              <w:rPr>
                <w:sz w:val="1"/>
                <w:szCs w:val="1"/>
                <w:color w:val="auto"/>
              </w:rPr>
            </w:pPr>
          </w:p>
        </w:tc>
      </w:tr>
      <w:tr>
        <w:trPr>
          <w:trHeight w:val="196"/>
        </w:trPr>
        <w:tc>
          <w:tcPr>
            <w:tcW w:w="6360" w:type="dxa"/>
            <w:vAlign w:val="bottom"/>
          </w:tcPr>
          <w:p>
            <w:pPr>
              <w:spacing w:after="0"/>
              <w:rPr>
                <w:sz w:val="17"/>
                <w:szCs w:val="17"/>
                <w:color w:val="auto"/>
              </w:rPr>
            </w:pPr>
          </w:p>
        </w:tc>
        <w:tc>
          <w:tcPr>
            <w:tcW w:w="142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w w:val="97"/>
              </w:rPr>
              <w:t>October 31, 2009</w:t>
            </w:r>
          </w:p>
        </w:tc>
        <w:tc>
          <w:tcPr>
            <w:tcW w:w="360" w:type="dxa"/>
            <w:vAlign w:val="bottom"/>
          </w:tcPr>
          <w:p>
            <w:pPr>
              <w:spacing w:after="0"/>
              <w:rPr>
                <w:sz w:val="17"/>
                <w:szCs w:val="17"/>
                <w:color w:val="auto"/>
              </w:rPr>
            </w:pPr>
          </w:p>
        </w:tc>
        <w:tc>
          <w:tcPr>
            <w:tcW w:w="110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w w:val="97"/>
              </w:rPr>
              <w:t>July 31, 2009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4300"/>
              <w:spacing w:after="0" w:line="202"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63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207,638</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188,156</w:t>
            </w:r>
          </w:p>
        </w:tc>
        <w:tc>
          <w:tcPr>
            <w:tcW w:w="0" w:type="dxa"/>
            <w:vAlign w:val="bottom"/>
          </w:tcPr>
          <w:p>
            <w:pPr>
              <w:spacing w:after="0"/>
              <w:rPr>
                <w:sz w:val="1"/>
                <w:szCs w:val="1"/>
                <w:color w:val="auto"/>
              </w:rPr>
            </w:pPr>
          </w:p>
        </w:tc>
      </w:tr>
      <w:tr>
        <w:trPr>
          <w:trHeight w:val="202"/>
        </w:trPr>
        <w:tc>
          <w:tcPr>
            <w:tcW w:w="6360" w:type="dxa"/>
            <w:vAlign w:val="bottom"/>
          </w:tcPr>
          <w:p>
            <w:pPr>
              <w:ind w:left="200"/>
              <w:spacing w:after="0" w:line="201" w:lineRule="exact"/>
              <w:rPr>
                <w:sz w:val="20"/>
                <w:szCs w:val="20"/>
                <w:color w:val="auto"/>
              </w:rPr>
            </w:pPr>
            <w:r>
              <w:rPr>
                <w:rFonts w:ascii="Arial" w:cs="Arial" w:eastAsia="Arial" w:hAnsi="Arial"/>
                <w:sz w:val="18"/>
                <w:szCs w:val="18"/>
                <w:color w:val="auto"/>
              </w:rPr>
              <w:t>Accounts receivable, less allowance for losses ($8,484 and $7,931,</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400"/>
              <w:spacing w:after="0" w:line="203" w:lineRule="exact"/>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17"/>
                <w:szCs w:val="17"/>
                <w:color w:val="auto"/>
              </w:rPr>
            </w:pPr>
          </w:p>
        </w:tc>
        <w:tc>
          <w:tcPr>
            <w:tcW w:w="1620" w:type="dxa"/>
            <w:vAlign w:val="bottom"/>
            <w:gridSpan w:val="2"/>
          </w:tcPr>
          <w:p>
            <w:pPr>
              <w:jc w:val="right"/>
              <w:ind w:right="360"/>
              <w:spacing w:after="0" w:line="203" w:lineRule="exact"/>
              <w:rPr>
                <w:sz w:val="20"/>
                <w:szCs w:val="20"/>
                <w:color w:val="auto"/>
              </w:rPr>
            </w:pPr>
            <w:r>
              <w:rPr>
                <w:rFonts w:ascii="Arial" w:cs="Arial" w:eastAsia="Arial" w:hAnsi="Arial"/>
                <w:sz w:val="18"/>
                <w:szCs w:val="18"/>
                <w:color w:val="auto"/>
              </w:rPr>
              <w:t>224,494</w:t>
            </w:r>
          </w:p>
        </w:tc>
        <w:tc>
          <w:tcPr>
            <w:tcW w:w="200" w:type="dxa"/>
            <w:vAlign w:val="bottom"/>
          </w:tcPr>
          <w:p>
            <w:pPr>
              <w:spacing w:after="0"/>
              <w:rPr>
                <w:sz w:val="17"/>
                <w:szCs w:val="17"/>
                <w:color w:val="auto"/>
              </w:rPr>
            </w:pPr>
          </w:p>
        </w:tc>
        <w:tc>
          <w:tcPr>
            <w:tcW w:w="98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191,189</w:t>
            </w: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400"/>
              <w:spacing w:after="0" w:line="202" w:lineRule="exact"/>
              <w:rPr>
                <w:sz w:val="20"/>
                <w:szCs w:val="20"/>
                <w:color w:val="auto"/>
              </w:rPr>
            </w:pPr>
            <w:r>
              <w:rPr>
                <w:rFonts w:ascii="Arial" w:cs="Arial" w:eastAsia="Arial" w:hAnsi="Arial"/>
                <w:sz w:val="18"/>
                <w:szCs w:val="18"/>
                <w:color w:val="auto"/>
              </w:rPr>
              <w:t>Finished products</w:t>
            </w:r>
          </w:p>
        </w:tc>
        <w:tc>
          <w:tcPr>
            <w:tcW w:w="160" w:type="dxa"/>
            <w:vAlign w:val="bottom"/>
          </w:tcPr>
          <w:p>
            <w:pPr>
              <w:spacing w:after="0"/>
              <w:rPr>
                <w:sz w:val="17"/>
                <w:szCs w:val="17"/>
                <w:color w:val="auto"/>
              </w:rPr>
            </w:pPr>
          </w:p>
        </w:tc>
        <w:tc>
          <w:tcPr>
            <w:tcW w:w="16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54,373</w:t>
            </w:r>
          </w:p>
        </w:tc>
        <w:tc>
          <w:tcPr>
            <w:tcW w:w="20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53,244</w:t>
            </w: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Work-in-process</w:t>
            </w:r>
          </w:p>
        </w:tc>
        <w:tc>
          <w:tcPr>
            <w:tcW w:w="1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12,358</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13,159</w:t>
            </w:r>
          </w:p>
        </w:tc>
        <w:tc>
          <w:tcPr>
            <w:tcW w:w="0" w:type="dxa"/>
            <w:vAlign w:val="bottom"/>
          </w:tcPr>
          <w:p>
            <w:pPr>
              <w:spacing w:after="0"/>
              <w:rPr>
                <w:sz w:val="1"/>
                <w:szCs w:val="1"/>
                <w:color w:val="auto"/>
              </w:rPr>
            </w:pPr>
          </w:p>
        </w:tc>
      </w:tr>
      <w:tr>
        <w:trPr>
          <w:trHeight w:val="203"/>
        </w:trPr>
        <w:tc>
          <w:tcPr>
            <w:tcW w:w="6360" w:type="dxa"/>
            <w:vAlign w:val="bottom"/>
          </w:tcPr>
          <w:p>
            <w:pPr>
              <w:ind w:left="400"/>
              <w:spacing w:after="0" w:line="202" w:lineRule="exact"/>
              <w:rPr>
                <w:sz w:val="20"/>
                <w:szCs w:val="20"/>
                <w:color w:val="auto"/>
              </w:rPr>
            </w:pPr>
            <w:r>
              <w:rPr>
                <w:rFonts w:ascii="Arial" w:cs="Arial" w:eastAsia="Arial" w:hAnsi="Arial"/>
                <w:sz w:val="18"/>
                <w:szCs w:val="18"/>
                <w:color w:val="auto"/>
              </w:rPr>
              <w:t>Raw materials and supplies</w:t>
            </w:r>
          </w:p>
        </w:tc>
        <w:tc>
          <w:tcPr>
            <w:tcW w:w="160" w:type="dxa"/>
            <w:vAlign w:val="bottom"/>
          </w:tcPr>
          <w:p>
            <w:pPr>
              <w:spacing w:after="0"/>
              <w:rPr>
                <w:sz w:val="17"/>
                <w:szCs w:val="17"/>
                <w:color w:val="auto"/>
              </w:rPr>
            </w:pPr>
          </w:p>
        </w:tc>
        <w:tc>
          <w:tcPr>
            <w:tcW w:w="16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26,227</w:t>
            </w:r>
          </w:p>
        </w:tc>
        <w:tc>
          <w:tcPr>
            <w:tcW w:w="20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27,405</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36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Total inventories</w:t>
            </w:r>
          </w:p>
        </w:tc>
        <w:tc>
          <w:tcPr>
            <w:tcW w:w="1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92,958</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93,808</w:t>
            </w:r>
          </w:p>
        </w:tc>
        <w:tc>
          <w:tcPr>
            <w:tcW w:w="0" w:type="dxa"/>
            <w:vAlign w:val="bottom"/>
          </w:tcPr>
          <w:p>
            <w:pPr>
              <w:spacing w:after="0"/>
              <w:rPr>
                <w:sz w:val="1"/>
                <w:szCs w:val="1"/>
                <w:color w:val="auto"/>
              </w:rPr>
            </w:pPr>
          </w:p>
        </w:tc>
      </w:tr>
      <w:tr>
        <w:trPr>
          <w:trHeight w:val="203"/>
        </w:trPr>
        <w:tc>
          <w:tcPr>
            <w:tcW w:w="6360" w:type="dxa"/>
            <w:vAlign w:val="bottom"/>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7"/>
                <w:szCs w:val="17"/>
                <w:color w:val="auto"/>
              </w:rPr>
            </w:pPr>
          </w:p>
        </w:tc>
        <w:tc>
          <w:tcPr>
            <w:tcW w:w="16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40,139</w:t>
            </w:r>
          </w:p>
        </w:tc>
        <w:tc>
          <w:tcPr>
            <w:tcW w:w="20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36,274</w:t>
            </w:r>
          </w:p>
        </w:tc>
        <w:tc>
          <w:tcPr>
            <w:tcW w:w="0" w:type="dxa"/>
            <w:vAlign w:val="bottom"/>
          </w:tcPr>
          <w:p>
            <w:pPr>
              <w:spacing w:after="0"/>
              <w:rPr>
                <w:sz w:val="1"/>
                <w:szCs w:val="1"/>
                <w:color w:val="auto"/>
              </w:rPr>
            </w:pPr>
          </w:p>
        </w:tc>
      </w:tr>
      <w:tr>
        <w:trPr>
          <w:trHeight w:val="210"/>
        </w:trPr>
        <w:tc>
          <w:tcPr>
            <w:tcW w:w="6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b w:val="1"/>
                <w:bCs w:val="1"/>
                <w:color w:val="auto"/>
              </w:rPr>
              <w:t>Total current assets</w:t>
            </w:r>
          </w:p>
        </w:tc>
        <w:tc>
          <w:tcPr>
            <w:tcW w:w="1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565,229</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509,427</w:t>
            </w:r>
          </w:p>
        </w:tc>
        <w:tc>
          <w:tcPr>
            <w:tcW w:w="0" w:type="dxa"/>
            <w:vAlign w:val="bottom"/>
          </w:tcPr>
          <w:p>
            <w:pPr>
              <w:spacing w:after="0"/>
              <w:rPr>
                <w:sz w:val="1"/>
                <w:szCs w:val="1"/>
                <w:color w:val="auto"/>
              </w:rPr>
            </w:pPr>
          </w:p>
        </w:tc>
      </w:tr>
      <w:tr>
        <w:trPr>
          <w:trHeight w:val="405"/>
        </w:trPr>
        <w:tc>
          <w:tcPr>
            <w:tcW w:w="636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764,001</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751,173</w:t>
            </w:r>
          </w:p>
        </w:tc>
        <w:tc>
          <w:tcPr>
            <w:tcW w:w="0" w:type="dxa"/>
            <w:vAlign w:val="bottom"/>
          </w:tcPr>
          <w:p>
            <w:pPr>
              <w:spacing w:after="0"/>
              <w:rPr>
                <w:sz w:val="1"/>
                <w:szCs w:val="1"/>
                <w:color w:val="auto"/>
              </w:rPr>
            </w:pPr>
          </w:p>
        </w:tc>
      </w:tr>
      <w:tr>
        <w:trPr>
          <w:trHeight w:val="203"/>
        </w:trPr>
        <w:tc>
          <w:tcPr>
            <w:tcW w:w="6360" w:type="dxa"/>
            <w:vAlign w:val="bottom"/>
          </w:tcPr>
          <w:p>
            <w:pPr>
              <w:ind w:left="200"/>
              <w:spacing w:after="0" w:line="202" w:lineRule="exact"/>
              <w:rPr>
                <w:sz w:val="20"/>
                <w:szCs w:val="20"/>
                <w:color w:val="auto"/>
              </w:rPr>
            </w:pPr>
            <w:r>
              <w:rPr>
                <w:rFonts w:ascii="Arial" w:cs="Arial" w:eastAsia="Arial" w:hAnsi="Arial"/>
                <w:sz w:val="18"/>
                <w:szCs w:val="18"/>
                <w:color w:val="auto"/>
              </w:rPr>
              <w:t>Other intangible assets, net</w:t>
            </w:r>
          </w:p>
        </w:tc>
        <w:tc>
          <w:tcPr>
            <w:tcW w:w="160" w:type="dxa"/>
            <w:vAlign w:val="bottom"/>
          </w:tcPr>
          <w:p>
            <w:pPr>
              <w:spacing w:after="0"/>
              <w:rPr>
                <w:sz w:val="17"/>
                <w:szCs w:val="17"/>
                <w:color w:val="auto"/>
              </w:rPr>
            </w:pPr>
          </w:p>
        </w:tc>
        <w:tc>
          <w:tcPr>
            <w:tcW w:w="16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113,421</w:t>
            </w:r>
          </w:p>
        </w:tc>
        <w:tc>
          <w:tcPr>
            <w:tcW w:w="20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115,754</w:t>
            </w: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37,503</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36,374</w:t>
            </w:r>
          </w:p>
        </w:tc>
        <w:tc>
          <w:tcPr>
            <w:tcW w:w="0" w:type="dxa"/>
            <w:vAlign w:val="bottom"/>
          </w:tcPr>
          <w:p>
            <w:pPr>
              <w:spacing w:after="0"/>
              <w:rPr>
                <w:sz w:val="1"/>
                <w:szCs w:val="1"/>
                <w:color w:val="auto"/>
              </w:rPr>
            </w:pPr>
          </w:p>
        </w:tc>
      </w:tr>
      <w:tr>
        <w:trPr>
          <w:trHeight w:val="203"/>
        </w:trPr>
        <w:tc>
          <w:tcPr>
            <w:tcW w:w="636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160" w:type="dxa"/>
            <w:vAlign w:val="bottom"/>
          </w:tcPr>
          <w:p>
            <w:pPr>
              <w:spacing w:after="0"/>
              <w:rPr>
                <w:sz w:val="17"/>
                <w:szCs w:val="17"/>
                <w:color w:val="auto"/>
              </w:rPr>
            </w:pPr>
          </w:p>
        </w:tc>
        <w:tc>
          <w:tcPr>
            <w:tcW w:w="16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18,990</w:t>
            </w:r>
          </w:p>
        </w:tc>
        <w:tc>
          <w:tcPr>
            <w:tcW w:w="20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18,551</w:t>
            </w:r>
          </w:p>
        </w:tc>
        <w:tc>
          <w:tcPr>
            <w:tcW w:w="0" w:type="dxa"/>
            <w:vAlign w:val="bottom"/>
          </w:tcPr>
          <w:p>
            <w:pPr>
              <w:spacing w:after="0"/>
              <w:rPr>
                <w:sz w:val="1"/>
                <w:szCs w:val="1"/>
                <w:color w:val="auto"/>
              </w:rPr>
            </w:pPr>
          </w:p>
        </w:tc>
      </w:tr>
      <w:tr>
        <w:trPr>
          <w:trHeight w:val="210"/>
        </w:trPr>
        <w:tc>
          <w:tcPr>
            <w:tcW w:w="6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b w:val="1"/>
                <w:bCs w:val="1"/>
                <w:color w:val="auto"/>
              </w:rPr>
              <w:t>Total other assets</w:t>
            </w:r>
          </w:p>
        </w:tc>
        <w:tc>
          <w:tcPr>
            <w:tcW w:w="1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933,915</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921,852</w:t>
            </w:r>
          </w:p>
        </w:tc>
        <w:tc>
          <w:tcPr>
            <w:tcW w:w="0" w:type="dxa"/>
            <w:vAlign w:val="bottom"/>
          </w:tcPr>
          <w:p>
            <w:pPr>
              <w:spacing w:after="0"/>
              <w:rPr>
                <w:sz w:val="1"/>
                <w:szCs w:val="1"/>
                <w:color w:val="auto"/>
              </w:rPr>
            </w:pPr>
          </w:p>
        </w:tc>
      </w:tr>
      <w:tr>
        <w:trPr>
          <w:trHeight w:val="405"/>
        </w:trPr>
        <w:tc>
          <w:tcPr>
            <w:tcW w:w="6360" w:type="dxa"/>
            <w:vAlign w:val="bottom"/>
          </w:tcPr>
          <w:p>
            <w:pPr>
              <w:spacing w:after="0"/>
              <w:rPr>
                <w:sz w:val="20"/>
                <w:szCs w:val="20"/>
                <w:color w:val="auto"/>
              </w:rPr>
            </w:pPr>
            <w:r>
              <w:rPr>
                <w:rFonts w:ascii="Arial" w:cs="Arial" w:eastAsia="Arial" w:hAnsi="Arial"/>
                <w:sz w:val="18"/>
                <w:szCs w:val="18"/>
                <w:b w:val="1"/>
                <w:bCs w:val="1"/>
                <w:color w:val="auto"/>
              </w:rPr>
              <w:t>Property, plant and equipment:</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Cost:</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400"/>
              <w:spacing w:after="0" w:line="202" w:lineRule="exact"/>
              <w:rPr>
                <w:sz w:val="20"/>
                <w:szCs w:val="20"/>
                <w:color w:val="auto"/>
              </w:rPr>
            </w:pPr>
            <w:r>
              <w:rPr>
                <w:rFonts w:ascii="Arial" w:cs="Arial" w:eastAsia="Arial" w:hAnsi="Arial"/>
                <w:sz w:val="18"/>
                <w:szCs w:val="18"/>
                <w:color w:val="auto"/>
              </w:rPr>
              <w:t>Land</w:t>
            </w:r>
          </w:p>
        </w:tc>
        <w:tc>
          <w:tcPr>
            <w:tcW w:w="160" w:type="dxa"/>
            <w:vAlign w:val="bottom"/>
          </w:tcPr>
          <w:p>
            <w:pPr>
              <w:spacing w:after="0"/>
              <w:rPr>
                <w:sz w:val="17"/>
                <w:szCs w:val="17"/>
                <w:color w:val="auto"/>
              </w:rPr>
            </w:pPr>
          </w:p>
        </w:tc>
        <w:tc>
          <w:tcPr>
            <w:tcW w:w="16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6,405</w:t>
            </w:r>
          </w:p>
        </w:tc>
        <w:tc>
          <w:tcPr>
            <w:tcW w:w="20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6,335</w:t>
            </w: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Buildings and improvements</w:t>
            </w:r>
          </w:p>
        </w:tc>
        <w:tc>
          <w:tcPr>
            <w:tcW w:w="1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98,777</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96,968</w:t>
            </w:r>
          </w:p>
        </w:tc>
        <w:tc>
          <w:tcPr>
            <w:tcW w:w="0" w:type="dxa"/>
            <w:vAlign w:val="bottom"/>
          </w:tcPr>
          <w:p>
            <w:pPr>
              <w:spacing w:after="0"/>
              <w:rPr>
                <w:sz w:val="1"/>
                <w:szCs w:val="1"/>
                <w:color w:val="auto"/>
              </w:rPr>
            </w:pPr>
          </w:p>
        </w:tc>
      </w:tr>
      <w:tr>
        <w:trPr>
          <w:trHeight w:val="203"/>
        </w:trPr>
        <w:tc>
          <w:tcPr>
            <w:tcW w:w="6360" w:type="dxa"/>
            <w:vAlign w:val="bottom"/>
          </w:tcPr>
          <w:p>
            <w:pPr>
              <w:ind w:left="400"/>
              <w:spacing w:after="0" w:line="202" w:lineRule="exact"/>
              <w:rPr>
                <w:sz w:val="20"/>
                <w:szCs w:val="20"/>
                <w:color w:val="auto"/>
              </w:rPr>
            </w:pPr>
            <w:r>
              <w:rPr>
                <w:rFonts w:ascii="Arial" w:cs="Arial" w:eastAsia="Arial" w:hAnsi="Arial"/>
                <w:sz w:val="18"/>
                <w:szCs w:val="18"/>
                <w:color w:val="auto"/>
              </w:rPr>
              <w:t>Machinery and equipment</w:t>
            </w:r>
          </w:p>
        </w:tc>
        <w:tc>
          <w:tcPr>
            <w:tcW w:w="160" w:type="dxa"/>
            <w:vAlign w:val="bottom"/>
          </w:tcPr>
          <w:p>
            <w:pPr>
              <w:spacing w:after="0"/>
              <w:rPr>
                <w:sz w:val="17"/>
                <w:szCs w:val="17"/>
                <w:color w:val="auto"/>
              </w:rPr>
            </w:pPr>
          </w:p>
        </w:tc>
        <w:tc>
          <w:tcPr>
            <w:tcW w:w="16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285,724</w:t>
            </w:r>
          </w:p>
        </w:tc>
        <w:tc>
          <w:tcPr>
            <w:tcW w:w="20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283,301</w:t>
            </w: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Construction in progress</w:t>
            </w:r>
          </w:p>
        </w:tc>
        <w:tc>
          <w:tcPr>
            <w:tcW w:w="1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12,955</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7,869</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403,861</w:t>
            </w: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394,473</w:t>
            </w:r>
          </w:p>
        </w:tc>
        <w:tc>
          <w:tcPr>
            <w:tcW w:w="0" w:type="dxa"/>
            <w:vAlign w:val="bottom"/>
          </w:tcPr>
          <w:p>
            <w:pPr>
              <w:spacing w:after="0"/>
              <w:rPr>
                <w:sz w:val="1"/>
                <w:szCs w:val="1"/>
                <w:color w:val="auto"/>
              </w:rPr>
            </w:pPr>
          </w:p>
        </w:tc>
      </w:tr>
      <w:tr>
        <w:trPr>
          <w:trHeight w:val="189"/>
        </w:trPr>
        <w:tc>
          <w:tcPr>
            <w:tcW w:w="6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Less accumulated depreciation</w:t>
            </w:r>
          </w:p>
        </w:tc>
        <w:tc>
          <w:tcPr>
            <w:tcW w:w="1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249,217</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242,485</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Property, plant and equipment — net</w:t>
            </w: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3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154,644</w:t>
            </w:r>
          </w:p>
        </w:tc>
        <w:tc>
          <w:tcPr>
            <w:tcW w:w="20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151,988</w:t>
            </w:r>
          </w:p>
        </w:tc>
        <w:tc>
          <w:tcPr>
            <w:tcW w:w="0" w:type="dxa"/>
            <w:vAlign w:val="bottom"/>
          </w:tcPr>
          <w:p>
            <w:pPr>
              <w:spacing w:after="0"/>
              <w:rPr>
                <w:sz w:val="1"/>
                <w:szCs w:val="1"/>
                <w:color w:val="auto"/>
              </w:rPr>
            </w:pPr>
          </w:p>
        </w:tc>
      </w:tr>
      <w:tr>
        <w:trPr>
          <w:trHeight w:val="210"/>
        </w:trPr>
        <w:tc>
          <w:tcPr>
            <w:tcW w:w="6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1,653,788</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1,583,267</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40" w:type="dxa"/>
            <w:vAlign w:val="bottom"/>
            <w:gridSpan w:val="4"/>
          </w:tcPr>
          <w:p>
            <w:pPr>
              <w:ind w:left="2520"/>
              <w:spacing w:after="0"/>
              <w:rPr>
                <w:sz w:val="20"/>
                <w:szCs w:val="20"/>
                <w:color w:val="auto"/>
              </w:rPr>
            </w:pPr>
            <w:r>
              <w:rPr>
                <w:rFonts w:ascii="Arial" w:cs="Arial" w:eastAsia="Arial" w:hAnsi="Arial"/>
                <w:sz w:val="18"/>
                <w:szCs w:val="18"/>
                <w:b w:val="1"/>
                <w:bCs w:val="1"/>
                <w:color w:val="auto"/>
              </w:rPr>
              <w:t>LIABILITIES AND STOCKHOLDERS’ INVESTMENT</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Current liabilities:</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89,359</w:t>
            </w:r>
          </w:p>
        </w:tc>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83,793</w:t>
            </w: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Wages and amounts withheld from employees</w:t>
            </w:r>
          </w:p>
        </w:tc>
        <w:tc>
          <w:tcPr>
            <w:tcW w:w="1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49,864</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36,313</w:t>
            </w:r>
          </w:p>
        </w:tc>
        <w:tc>
          <w:tcPr>
            <w:tcW w:w="0" w:type="dxa"/>
            <w:vAlign w:val="bottom"/>
          </w:tcPr>
          <w:p>
            <w:pPr>
              <w:spacing w:after="0"/>
              <w:rPr>
                <w:sz w:val="1"/>
                <w:szCs w:val="1"/>
                <w:color w:val="auto"/>
              </w:rPr>
            </w:pPr>
          </w:p>
        </w:tc>
      </w:tr>
      <w:tr>
        <w:trPr>
          <w:trHeight w:val="203"/>
        </w:trPr>
        <w:tc>
          <w:tcPr>
            <w:tcW w:w="6360" w:type="dxa"/>
            <w:vAlign w:val="bottom"/>
          </w:tcPr>
          <w:p>
            <w:pPr>
              <w:ind w:left="200"/>
              <w:spacing w:after="0" w:line="202" w:lineRule="exact"/>
              <w:rPr>
                <w:sz w:val="20"/>
                <w:szCs w:val="20"/>
                <w:color w:val="auto"/>
              </w:rPr>
            </w:pPr>
            <w:r>
              <w:rPr>
                <w:rFonts w:ascii="Arial" w:cs="Arial" w:eastAsia="Arial" w:hAnsi="Arial"/>
                <w:sz w:val="18"/>
                <w:szCs w:val="18"/>
                <w:color w:val="auto"/>
              </w:rPr>
              <w:t>Taxes, other than income taxes</w:t>
            </w:r>
          </w:p>
        </w:tc>
        <w:tc>
          <w:tcPr>
            <w:tcW w:w="160" w:type="dxa"/>
            <w:vAlign w:val="bottom"/>
          </w:tcPr>
          <w:p>
            <w:pPr>
              <w:spacing w:after="0"/>
              <w:rPr>
                <w:sz w:val="17"/>
                <w:szCs w:val="17"/>
                <w:color w:val="auto"/>
              </w:rPr>
            </w:pPr>
          </w:p>
        </w:tc>
        <w:tc>
          <w:tcPr>
            <w:tcW w:w="16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7,841</w:t>
            </w:r>
          </w:p>
        </w:tc>
        <w:tc>
          <w:tcPr>
            <w:tcW w:w="20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6,262</w:t>
            </w: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Accrued income taxes</w:t>
            </w:r>
          </w:p>
        </w:tc>
        <w:tc>
          <w:tcPr>
            <w:tcW w:w="1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9,635</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5,964</w:t>
            </w:r>
          </w:p>
        </w:tc>
        <w:tc>
          <w:tcPr>
            <w:tcW w:w="0" w:type="dxa"/>
            <w:vAlign w:val="bottom"/>
          </w:tcPr>
          <w:p>
            <w:pPr>
              <w:spacing w:after="0"/>
              <w:rPr>
                <w:sz w:val="1"/>
                <w:szCs w:val="1"/>
                <w:color w:val="auto"/>
              </w:rPr>
            </w:pPr>
          </w:p>
        </w:tc>
      </w:tr>
      <w:tr>
        <w:trPr>
          <w:trHeight w:val="203"/>
        </w:trPr>
        <w:tc>
          <w:tcPr>
            <w:tcW w:w="6360" w:type="dxa"/>
            <w:vAlign w:val="bottom"/>
          </w:tcPr>
          <w:p>
            <w:pPr>
              <w:ind w:left="200"/>
              <w:spacing w:after="0" w:line="202" w:lineRule="exact"/>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17"/>
                <w:szCs w:val="17"/>
                <w:color w:val="auto"/>
              </w:rPr>
            </w:pPr>
          </w:p>
        </w:tc>
        <w:tc>
          <w:tcPr>
            <w:tcW w:w="16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48,249</w:t>
            </w:r>
          </w:p>
        </w:tc>
        <w:tc>
          <w:tcPr>
            <w:tcW w:w="20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45,247</w:t>
            </w: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Current maturities on long-term debt</w:t>
            </w:r>
          </w:p>
        </w:tc>
        <w:tc>
          <w:tcPr>
            <w:tcW w:w="1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44,893</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44,893</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3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249,841</w:t>
            </w:r>
          </w:p>
        </w:tc>
        <w:tc>
          <w:tcPr>
            <w:tcW w:w="20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222,472</w:t>
            </w:r>
          </w:p>
        </w:tc>
        <w:tc>
          <w:tcPr>
            <w:tcW w:w="0" w:type="dxa"/>
            <w:vAlign w:val="bottom"/>
          </w:tcPr>
          <w:p>
            <w:pPr>
              <w:spacing w:after="0"/>
              <w:rPr>
                <w:sz w:val="1"/>
                <w:szCs w:val="1"/>
                <w:color w:val="auto"/>
              </w:rPr>
            </w:pPr>
          </w:p>
        </w:tc>
      </w:tr>
      <w:tr>
        <w:trPr>
          <w:trHeight w:val="189"/>
        </w:trPr>
        <w:tc>
          <w:tcPr>
            <w:tcW w:w="6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Long-term obligations, less current maturities</w:t>
            </w:r>
          </w:p>
        </w:tc>
        <w:tc>
          <w:tcPr>
            <w:tcW w:w="1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346,457</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346,457</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8"/>
                <w:szCs w:val="18"/>
                <w:b w:val="1"/>
                <w:bCs w:val="1"/>
                <w:color w:val="auto"/>
              </w:rPr>
              <w:t>Other liabilities</w:t>
            </w: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3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65,857</w:t>
            </w:r>
          </w:p>
        </w:tc>
        <w:tc>
          <w:tcPr>
            <w:tcW w:w="20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63,246</w:t>
            </w:r>
          </w:p>
        </w:tc>
        <w:tc>
          <w:tcPr>
            <w:tcW w:w="0" w:type="dxa"/>
            <w:vAlign w:val="bottom"/>
          </w:tcPr>
          <w:p>
            <w:pPr>
              <w:spacing w:after="0"/>
              <w:rPr>
                <w:sz w:val="1"/>
                <w:szCs w:val="1"/>
                <w:color w:val="auto"/>
              </w:rPr>
            </w:pPr>
          </w:p>
        </w:tc>
      </w:tr>
      <w:tr>
        <w:trPr>
          <w:trHeight w:val="189"/>
        </w:trPr>
        <w:tc>
          <w:tcPr>
            <w:tcW w:w="6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662,155</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632,175</w:t>
            </w:r>
          </w:p>
        </w:tc>
        <w:tc>
          <w:tcPr>
            <w:tcW w:w="0" w:type="dxa"/>
            <w:vAlign w:val="bottom"/>
          </w:tcPr>
          <w:p>
            <w:pPr>
              <w:spacing w:after="0"/>
              <w:rPr>
                <w:sz w:val="1"/>
                <w:szCs w:val="1"/>
                <w:color w:val="auto"/>
              </w:rPr>
            </w:pPr>
          </w:p>
        </w:tc>
      </w:tr>
      <w:tr>
        <w:trPr>
          <w:trHeight w:val="405"/>
        </w:trPr>
        <w:tc>
          <w:tcPr>
            <w:tcW w:w="6360" w:type="dxa"/>
            <w:vAlign w:val="bottom"/>
          </w:tcPr>
          <w:p>
            <w:pPr>
              <w:spacing w:after="0"/>
              <w:rPr>
                <w:sz w:val="20"/>
                <w:szCs w:val="20"/>
                <w:color w:val="auto"/>
              </w:rPr>
            </w:pPr>
            <w:r>
              <w:rPr>
                <w:rFonts w:ascii="Arial" w:cs="Arial" w:eastAsia="Arial" w:hAnsi="Arial"/>
                <w:sz w:val="18"/>
                <w:szCs w:val="18"/>
                <w:b w:val="1"/>
                <w:bCs w:val="1"/>
                <w:color w:val="auto"/>
              </w:rPr>
              <w:t>Stockholders’ investment:</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Common stock:</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360" w:type="dxa"/>
            <w:vAlign w:val="bottom"/>
          </w:tcPr>
          <w:p>
            <w:pPr>
              <w:ind w:left="400"/>
              <w:spacing w:after="0" w:line="201" w:lineRule="exact"/>
              <w:rPr>
                <w:sz w:val="20"/>
                <w:szCs w:val="20"/>
                <w:color w:val="auto"/>
              </w:rPr>
            </w:pPr>
            <w:r>
              <w:rPr>
                <w:rFonts w:ascii="Arial" w:cs="Arial" w:eastAsia="Arial" w:hAnsi="Arial"/>
                <w:sz w:val="18"/>
                <w:szCs w:val="18"/>
                <w:color w:val="auto"/>
              </w:rPr>
              <w:t>Class A nonvoting common stock — Issued 51,261,487 and</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600"/>
              <w:spacing w:after="0" w:line="202" w:lineRule="exact"/>
              <w:rPr>
                <w:sz w:val="20"/>
                <w:szCs w:val="20"/>
                <w:color w:val="auto"/>
              </w:rPr>
            </w:pPr>
            <w:r>
              <w:rPr>
                <w:rFonts w:ascii="Arial" w:cs="Arial" w:eastAsia="Arial" w:hAnsi="Arial"/>
                <w:sz w:val="18"/>
                <w:szCs w:val="18"/>
                <w:color w:val="auto"/>
              </w:rPr>
              <w:t>51,261,487 shares, respectively and outstanding 48,810,446 and</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600"/>
              <w:spacing w:after="0" w:line="203" w:lineRule="exact"/>
              <w:rPr>
                <w:sz w:val="20"/>
                <w:szCs w:val="20"/>
                <w:color w:val="auto"/>
              </w:rPr>
            </w:pPr>
            <w:r>
              <w:rPr>
                <w:rFonts w:ascii="Arial" w:cs="Arial" w:eastAsia="Arial" w:hAnsi="Arial"/>
                <w:sz w:val="18"/>
                <w:szCs w:val="18"/>
                <w:color w:val="auto"/>
              </w:rPr>
              <w:t>48,780,560 shares, respectively</w:t>
            </w:r>
          </w:p>
        </w:tc>
        <w:tc>
          <w:tcPr>
            <w:tcW w:w="160" w:type="dxa"/>
            <w:vAlign w:val="bottom"/>
          </w:tcPr>
          <w:p>
            <w:pPr>
              <w:spacing w:after="0"/>
              <w:rPr>
                <w:sz w:val="17"/>
                <w:szCs w:val="17"/>
                <w:color w:val="auto"/>
              </w:rPr>
            </w:pPr>
          </w:p>
        </w:tc>
        <w:tc>
          <w:tcPr>
            <w:tcW w:w="1620" w:type="dxa"/>
            <w:vAlign w:val="bottom"/>
            <w:gridSpan w:val="2"/>
          </w:tcPr>
          <w:p>
            <w:pPr>
              <w:jc w:val="right"/>
              <w:ind w:right="360"/>
              <w:spacing w:after="0" w:line="203" w:lineRule="exact"/>
              <w:rPr>
                <w:sz w:val="20"/>
                <w:szCs w:val="20"/>
                <w:color w:val="auto"/>
              </w:rPr>
            </w:pPr>
            <w:r>
              <w:rPr>
                <w:rFonts w:ascii="Arial" w:cs="Arial" w:eastAsia="Arial" w:hAnsi="Arial"/>
                <w:sz w:val="18"/>
                <w:szCs w:val="18"/>
                <w:color w:val="auto"/>
              </w:rPr>
              <w:t>513</w:t>
            </w:r>
          </w:p>
        </w:tc>
        <w:tc>
          <w:tcPr>
            <w:tcW w:w="200" w:type="dxa"/>
            <w:vAlign w:val="bottom"/>
          </w:tcPr>
          <w:p>
            <w:pPr>
              <w:spacing w:after="0"/>
              <w:rPr>
                <w:sz w:val="17"/>
                <w:szCs w:val="17"/>
                <w:color w:val="auto"/>
              </w:rPr>
            </w:pPr>
          </w:p>
        </w:tc>
        <w:tc>
          <w:tcPr>
            <w:tcW w:w="98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02"/>
        </w:trPr>
        <w:tc>
          <w:tcPr>
            <w:tcW w:w="636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Class B voting common stock — Issued and outstanding, 3,538,628</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600"/>
              <w:spacing w:after="0" w:line="203" w:lineRule="exact"/>
              <w:rPr>
                <w:sz w:val="20"/>
                <w:szCs w:val="20"/>
                <w:color w:val="auto"/>
              </w:rPr>
            </w:pPr>
            <w:r>
              <w:rPr>
                <w:rFonts w:ascii="Arial" w:cs="Arial" w:eastAsia="Arial" w:hAnsi="Arial"/>
                <w:sz w:val="18"/>
                <w:szCs w:val="18"/>
                <w:color w:val="auto"/>
              </w:rPr>
              <w:t>shares</w:t>
            </w:r>
          </w:p>
        </w:tc>
        <w:tc>
          <w:tcPr>
            <w:tcW w:w="1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3"/>
        </w:trPr>
        <w:tc>
          <w:tcPr>
            <w:tcW w:w="6360" w:type="dxa"/>
            <w:vAlign w:val="bottom"/>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7"/>
                <w:szCs w:val="17"/>
                <w:color w:val="auto"/>
              </w:rPr>
            </w:pPr>
          </w:p>
        </w:tc>
        <w:tc>
          <w:tcPr>
            <w:tcW w:w="16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301,123</w:t>
            </w:r>
          </w:p>
        </w:tc>
        <w:tc>
          <w:tcPr>
            <w:tcW w:w="20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298,466</w:t>
            </w: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Income retained in the business</w:t>
            </w:r>
          </w:p>
        </w:tc>
        <w:tc>
          <w:tcPr>
            <w:tcW w:w="1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685,871</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673,342</w:t>
            </w:r>
          </w:p>
        </w:tc>
        <w:tc>
          <w:tcPr>
            <w:tcW w:w="0" w:type="dxa"/>
            <w:vAlign w:val="bottom"/>
          </w:tcPr>
          <w:p>
            <w:pPr>
              <w:spacing w:after="0"/>
              <w:rPr>
                <w:sz w:val="1"/>
                <w:szCs w:val="1"/>
                <w:color w:val="auto"/>
              </w:rPr>
            </w:pPr>
          </w:p>
        </w:tc>
      </w:tr>
      <w:tr>
        <w:trPr>
          <w:trHeight w:val="202"/>
        </w:trPr>
        <w:tc>
          <w:tcPr>
            <w:tcW w:w="6360" w:type="dxa"/>
            <w:vAlign w:val="bottom"/>
          </w:tcPr>
          <w:p>
            <w:pPr>
              <w:ind w:left="200"/>
              <w:spacing w:after="0" w:line="201" w:lineRule="exact"/>
              <w:rPr>
                <w:sz w:val="20"/>
                <w:szCs w:val="20"/>
                <w:color w:val="auto"/>
              </w:rPr>
            </w:pPr>
            <w:r>
              <w:rPr>
                <w:rFonts w:ascii="Arial" w:cs="Arial" w:eastAsia="Arial" w:hAnsi="Arial"/>
                <w:sz w:val="18"/>
                <w:szCs w:val="18"/>
                <w:color w:val="auto"/>
              </w:rPr>
              <w:t>Treasury stock — 2,241,041 and 2,270,927 shares, respectively of</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400"/>
              <w:spacing w:after="0" w:line="203" w:lineRule="exact"/>
              <w:rPr>
                <w:sz w:val="20"/>
                <w:szCs w:val="20"/>
                <w:color w:val="auto"/>
              </w:rPr>
            </w:pPr>
            <w:r>
              <w:rPr>
                <w:rFonts w:ascii="Arial" w:cs="Arial" w:eastAsia="Arial" w:hAnsi="Arial"/>
                <w:sz w:val="18"/>
                <w:szCs w:val="18"/>
                <w:color w:val="auto"/>
              </w:rPr>
              <w:t>Class A nonvoting common stock, at cost</w:t>
            </w:r>
          </w:p>
        </w:tc>
        <w:tc>
          <w:tcPr>
            <w:tcW w:w="160" w:type="dxa"/>
            <w:vAlign w:val="bottom"/>
          </w:tcPr>
          <w:p>
            <w:pPr>
              <w:spacing w:after="0"/>
              <w:rPr>
                <w:sz w:val="17"/>
                <w:szCs w:val="17"/>
                <w:color w:val="auto"/>
              </w:rPr>
            </w:pPr>
          </w:p>
        </w:tc>
        <w:tc>
          <w:tcPr>
            <w:tcW w:w="162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rPr>
              <w:t>(68,906)</w:t>
            </w:r>
          </w:p>
        </w:tc>
        <w:tc>
          <w:tcPr>
            <w:tcW w:w="200" w:type="dxa"/>
            <w:vAlign w:val="bottom"/>
          </w:tcPr>
          <w:p>
            <w:pPr>
              <w:spacing w:after="0"/>
              <w:rPr>
                <w:sz w:val="17"/>
                <w:szCs w:val="17"/>
                <w:color w:val="auto"/>
              </w:rPr>
            </w:pPr>
          </w:p>
        </w:tc>
        <w:tc>
          <w:tcPr>
            <w:tcW w:w="9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(69,823)</w:t>
            </w: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Accumulated other comprehensive income</w:t>
            </w:r>
          </w:p>
        </w:tc>
        <w:tc>
          <w:tcPr>
            <w:tcW w:w="1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77,223</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53,051</w:t>
            </w:r>
          </w:p>
        </w:tc>
        <w:tc>
          <w:tcPr>
            <w:tcW w:w="0" w:type="dxa"/>
            <w:vAlign w:val="bottom"/>
          </w:tcPr>
          <w:p>
            <w:pPr>
              <w:spacing w:after="0"/>
              <w:rPr>
                <w:sz w:val="1"/>
                <w:szCs w:val="1"/>
                <w:color w:val="auto"/>
              </w:rPr>
            </w:pPr>
          </w:p>
        </w:tc>
      </w:tr>
      <w:tr>
        <w:trPr>
          <w:trHeight w:val="203"/>
        </w:trPr>
        <w:tc>
          <w:tcPr>
            <w:tcW w:w="636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160" w:type="dxa"/>
            <w:vAlign w:val="bottom"/>
          </w:tcPr>
          <w:p>
            <w:pPr>
              <w:spacing w:after="0"/>
              <w:rPr>
                <w:sz w:val="17"/>
                <w:szCs w:val="17"/>
                <w:color w:val="auto"/>
              </w:rPr>
            </w:pPr>
          </w:p>
        </w:tc>
        <w:tc>
          <w:tcPr>
            <w:tcW w:w="16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(4,226)</w:t>
            </w:r>
          </w:p>
        </w:tc>
        <w:tc>
          <w:tcPr>
            <w:tcW w:w="200" w:type="dxa"/>
            <w:vAlign w:val="bottom"/>
          </w:tcPr>
          <w:p>
            <w:pPr>
              <w:spacing w:after="0"/>
              <w:rPr>
                <w:sz w:val="17"/>
                <w:szCs w:val="17"/>
                <w:color w:val="auto"/>
              </w:rPr>
            </w:pP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(4,492)</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43" w:orient="portrait"/>
          <w:cols w:equalWidth="0" w:num="1">
            <w:col w:w="9879"/>
          </w:cols>
          <w:pgMar w:left="580" w:top="927" w:right="1440"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63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stockholders’ investment</w:t>
            </w: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991,633</w:t>
            </w:r>
          </w:p>
        </w:tc>
        <w:tc>
          <w:tcPr>
            <w:tcW w:w="3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951,092</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36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6360" w:type="dxa"/>
            <w:vAlign w:val="bottom"/>
            <w:vMerge w:val="continue"/>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1,653,788</w:t>
            </w:r>
          </w:p>
        </w:tc>
        <w:tc>
          <w:tcPr>
            <w:tcW w:w="360" w:type="dxa"/>
            <w:vAlign w:val="bottom"/>
          </w:tcPr>
          <w:p>
            <w:pPr>
              <w:spacing w:after="0"/>
              <w:rPr>
                <w:sz w:val="24"/>
                <w:szCs w:val="2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  1,583,267</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7"/>
        </w:trPr>
        <w:tc>
          <w:tcPr>
            <w:tcW w:w="340" w:type="dxa"/>
            <w:vAlign w:val="bottom"/>
            <w:tcBorders>
              <w:bottom w:val="single" w:sz="8" w:color="808080"/>
            </w:tcBorders>
          </w:tcPr>
          <w:p>
            <w:pPr>
              <w:spacing w:after="0"/>
              <w:rPr>
                <w:sz w:val="24"/>
                <w:szCs w:val="24"/>
                <w:color w:val="auto"/>
              </w:rPr>
            </w:pPr>
          </w:p>
        </w:tc>
        <w:tc>
          <w:tcPr>
            <w:tcW w:w="63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9" w:name="page10"/>
    <w:bookmarkEnd w:id="9"/>
    <w:p>
      <w:pPr>
        <w:ind w:left="340"/>
        <w:spacing w:after="0"/>
        <w:rPr>
          <w:sz w:val="20"/>
          <w:szCs w:val="20"/>
          <w:color w:val="auto"/>
        </w:rPr>
      </w:pPr>
      <w:r>
        <w:rPr>
          <w:rFonts w:ascii="Arial" w:cs="Arial" w:eastAsia="Arial" w:hAnsi="Arial"/>
          <w:sz w:val="18"/>
          <w:szCs w:val="18"/>
          <w:b w:val="1"/>
          <w:bCs w:val="1"/>
          <w:color w:val="auto"/>
        </w:rPr>
        <w:t>BRADY CORPORATION AND SUBSIDIARIES</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CONSOLIDATED STATEMENTS OF CASH FLOWS</w:t>
      </w:r>
    </w:p>
    <w:p>
      <w:pPr>
        <w:ind w:left="340"/>
        <w:spacing w:after="0"/>
        <w:rPr>
          <w:sz w:val="20"/>
          <w:szCs w:val="20"/>
          <w:color w:val="auto"/>
        </w:rPr>
      </w:pPr>
      <w:r>
        <w:rPr>
          <w:rFonts w:ascii="Arial" w:cs="Arial" w:eastAsia="Arial" w:hAnsi="Arial"/>
          <w:sz w:val="18"/>
          <w:szCs w:val="18"/>
          <w:color w:val="auto"/>
        </w:rPr>
        <w:t>(Dollars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color w:val="auto"/>
                <w:w w:val="99"/>
              </w:rPr>
              <w:t>(Unaudited)</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5"/>
        </w:trPr>
        <w:tc>
          <w:tcPr>
            <w:tcW w:w="34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4"/>
          </w:tcPr>
          <w:p>
            <w:pPr>
              <w:jc w:val="center"/>
              <w:ind w:right="90"/>
              <w:spacing w:after="0" w:line="195" w:lineRule="exact"/>
              <w:rPr>
                <w:sz w:val="20"/>
                <w:szCs w:val="20"/>
                <w:color w:val="auto"/>
              </w:rPr>
            </w:pPr>
            <w:r>
              <w:rPr>
                <w:rFonts w:ascii="Arial" w:cs="Arial" w:eastAsia="Arial" w:hAnsi="Arial"/>
                <w:sz w:val="18"/>
                <w:szCs w:val="18"/>
                <w:color w:val="auto"/>
                <w:w w:val="99"/>
              </w:rPr>
              <w:t>Three Months Ended</w:t>
            </w: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03"/>
        </w:trPr>
        <w:tc>
          <w:tcPr>
            <w:tcW w:w="34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center"/>
              <w:ind w:left="430"/>
              <w:spacing w:after="0" w:line="203" w:lineRule="exact"/>
              <w:rPr>
                <w:sz w:val="20"/>
                <w:szCs w:val="20"/>
                <w:color w:val="auto"/>
              </w:rPr>
            </w:pPr>
            <w:r>
              <w:rPr>
                <w:rFonts w:ascii="Arial" w:cs="Arial" w:eastAsia="Arial" w:hAnsi="Arial"/>
                <w:sz w:val="18"/>
                <w:szCs w:val="18"/>
                <w:color w:val="auto"/>
                <w:w w:val="98"/>
              </w:rPr>
              <w:t>October 31</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2009</w:t>
            </w:r>
          </w:p>
        </w:tc>
        <w:tc>
          <w:tcPr>
            <w:tcW w:w="3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94"/>
              </w:rPr>
              <w:t>2008</w:t>
            </w: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6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684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21,668</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37,110</w:t>
            </w: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684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7"/>
                <w:szCs w:val="17"/>
                <w:color w:val="auto"/>
              </w:rPr>
            </w:pPr>
          </w:p>
        </w:tc>
        <w:tc>
          <w:tcPr>
            <w:tcW w:w="11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13,817</w:t>
            </w:r>
          </w:p>
        </w:tc>
        <w:tc>
          <w:tcPr>
            <w:tcW w:w="320" w:type="dxa"/>
            <w:vAlign w:val="bottom"/>
          </w:tcPr>
          <w:p>
            <w:pPr>
              <w:spacing w:after="0"/>
              <w:rPr>
                <w:sz w:val="17"/>
                <w:szCs w:val="17"/>
                <w:color w:val="auto"/>
              </w:rPr>
            </w:pP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13,712</w:t>
            </w: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68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(2,985)</w:t>
            </w:r>
          </w:p>
        </w:tc>
        <w:tc>
          <w:tcPr>
            <w:tcW w:w="3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(499)</w:t>
            </w: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6840" w:type="dxa"/>
            <w:vAlign w:val="bottom"/>
          </w:tcPr>
          <w:p>
            <w:pPr>
              <w:ind w:left="200"/>
              <w:spacing w:after="0" w:line="202" w:lineRule="exact"/>
              <w:rPr>
                <w:sz w:val="20"/>
                <w:szCs w:val="20"/>
                <w:color w:val="auto"/>
              </w:rPr>
            </w:pPr>
            <w:r>
              <w:rPr>
                <w:rFonts w:ascii="Arial" w:cs="Arial" w:eastAsia="Arial" w:hAnsi="Arial"/>
                <w:sz w:val="18"/>
                <w:szCs w:val="18"/>
                <w:color w:val="auto"/>
              </w:rPr>
              <w:t>Non-cash portion of stock-based compensation expense</w:t>
            </w:r>
          </w:p>
        </w:tc>
        <w:tc>
          <w:tcPr>
            <w:tcW w:w="200" w:type="dxa"/>
            <w:vAlign w:val="bottom"/>
          </w:tcPr>
          <w:p>
            <w:pPr>
              <w:spacing w:after="0"/>
              <w:rPr>
                <w:sz w:val="17"/>
                <w:szCs w:val="17"/>
                <w:color w:val="auto"/>
              </w:rPr>
            </w:pPr>
          </w:p>
        </w:tc>
        <w:tc>
          <w:tcPr>
            <w:tcW w:w="11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2,952</w:t>
            </w:r>
          </w:p>
        </w:tc>
        <w:tc>
          <w:tcPr>
            <w:tcW w:w="320" w:type="dxa"/>
            <w:vAlign w:val="bottom"/>
          </w:tcPr>
          <w:p>
            <w:pPr>
              <w:spacing w:after="0"/>
              <w:rPr>
                <w:sz w:val="17"/>
                <w:szCs w:val="17"/>
                <w:color w:val="auto"/>
              </w:rPr>
            </w:pP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2,092</w:t>
            </w: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68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Non-cash portion of restructuring</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288</w:t>
            </w:r>
          </w:p>
        </w:tc>
        <w:tc>
          <w:tcPr>
            <w:tcW w:w="3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335</w:t>
            </w: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684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200" w:type="dxa"/>
            <w:vAlign w:val="bottom"/>
          </w:tcPr>
          <w:p>
            <w:pPr>
              <w:spacing w:after="0"/>
              <w:rPr>
                <w:sz w:val="17"/>
                <w:szCs w:val="17"/>
                <w:color w:val="auto"/>
              </w:rPr>
            </w:pPr>
          </w:p>
        </w:tc>
        <w:tc>
          <w:tcPr>
            <w:tcW w:w="11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(4)</w:t>
            </w:r>
          </w:p>
        </w:tc>
        <w:tc>
          <w:tcPr>
            <w:tcW w:w="320" w:type="dxa"/>
            <w:vAlign w:val="bottom"/>
          </w:tcPr>
          <w:p>
            <w:pPr>
              <w:spacing w:after="0"/>
              <w:rPr>
                <w:sz w:val="17"/>
                <w:szCs w:val="17"/>
                <w:color w:val="auto"/>
              </w:rPr>
            </w:pP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(34)</w:t>
            </w:r>
          </w:p>
        </w:tc>
        <w:tc>
          <w:tcPr>
            <w:tcW w:w="1760" w:type="dxa"/>
            <w:vAlign w:val="bottom"/>
          </w:tcPr>
          <w:p>
            <w:pPr>
              <w:spacing w:after="0"/>
              <w:rPr>
                <w:sz w:val="17"/>
                <w:szCs w:val="17"/>
                <w:color w:val="auto"/>
              </w:rPr>
            </w:pPr>
          </w:p>
        </w:tc>
      </w:tr>
      <w:tr>
        <w:trPr>
          <w:trHeight w:val="202"/>
        </w:trPr>
        <w:tc>
          <w:tcPr>
            <w:tcW w:w="340" w:type="dxa"/>
            <w:vAlign w:val="bottom"/>
          </w:tcPr>
          <w:p>
            <w:pPr>
              <w:spacing w:after="0"/>
              <w:rPr>
                <w:sz w:val="17"/>
                <w:szCs w:val="17"/>
                <w:color w:val="auto"/>
              </w:rPr>
            </w:pPr>
          </w:p>
        </w:tc>
        <w:tc>
          <w:tcPr>
            <w:tcW w:w="68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Changes in operating assets and liabilities (net of effects of business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684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acquisitions):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6840" w:type="dxa"/>
            <w:vAlign w:val="bottom"/>
          </w:tcPr>
          <w:p>
            <w:pPr>
              <w:ind w:left="400"/>
              <w:spacing w:after="0" w:line="202" w:lineRule="exact"/>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7"/>
                <w:szCs w:val="17"/>
                <w:color w:val="auto"/>
              </w:rPr>
            </w:pPr>
          </w:p>
        </w:tc>
        <w:tc>
          <w:tcPr>
            <w:tcW w:w="11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(28,818)</w:t>
            </w:r>
          </w:p>
        </w:tc>
        <w:tc>
          <w:tcPr>
            <w:tcW w:w="320" w:type="dxa"/>
            <w:vAlign w:val="bottom"/>
          </w:tcPr>
          <w:p>
            <w:pPr>
              <w:spacing w:after="0"/>
              <w:rPr>
                <w:sz w:val="17"/>
                <w:szCs w:val="17"/>
                <w:color w:val="auto"/>
              </w:rPr>
            </w:pP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(12,571)</w:t>
            </w: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68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3,144</w:t>
            </w:r>
          </w:p>
        </w:tc>
        <w:tc>
          <w:tcPr>
            <w:tcW w:w="3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(10,360)</w:t>
            </w: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6840" w:type="dxa"/>
            <w:vAlign w:val="bottom"/>
          </w:tcPr>
          <w:p>
            <w:pPr>
              <w:ind w:left="400"/>
              <w:spacing w:after="0" w:line="202" w:lineRule="exact"/>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17"/>
                <w:szCs w:val="17"/>
                <w:color w:val="auto"/>
              </w:rPr>
            </w:pPr>
          </w:p>
        </w:tc>
        <w:tc>
          <w:tcPr>
            <w:tcW w:w="11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(657)</w:t>
            </w:r>
          </w:p>
        </w:tc>
        <w:tc>
          <w:tcPr>
            <w:tcW w:w="320" w:type="dxa"/>
            <w:vAlign w:val="bottom"/>
          </w:tcPr>
          <w:p>
            <w:pPr>
              <w:spacing w:after="0"/>
              <w:rPr>
                <w:sz w:val="17"/>
                <w:szCs w:val="17"/>
                <w:color w:val="auto"/>
              </w:rPr>
            </w:pP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(8,147)</w:t>
            </w: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68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Accounts payable and accrued liabilities</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20,269</w:t>
            </w:r>
          </w:p>
        </w:tc>
        <w:tc>
          <w:tcPr>
            <w:tcW w:w="3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(21,679)</w:t>
            </w: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6840" w:type="dxa"/>
            <w:vAlign w:val="bottom"/>
          </w:tcPr>
          <w:p>
            <w:pPr>
              <w:ind w:left="400"/>
              <w:spacing w:after="0" w:line="202" w:lineRule="exact"/>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17"/>
                <w:szCs w:val="17"/>
                <w:color w:val="auto"/>
              </w:rPr>
            </w:pPr>
          </w:p>
        </w:tc>
        <w:tc>
          <w:tcPr>
            <w:tcW w:w="11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4,626</w:t>
            </w:r>
          </w:p>
        </w:tc>
        <w:tc>
          <w:tcPr>
            <w:tcW w:w="320" w:type="dxa"/>
            <w:vAlign w:val="bottom"/>
          </w:tcPr>
          <w:p>
            <w:pPr>
              <w:spacing w:after="0"/>
              <w:rPr>
                <w:sz w:val="17"/>
                <w:szCs w:val="17"/>
                <w:color w:val="auto"/>
              </w:rPr>
            </w:pP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(3,513)</w:t>
            </w: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68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(464)</w:t>
            </w:r>
          </w:p>
        </w:tc>
        <w:tc>
          <w:tcPr>
            <w:tcW w:w="3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(1,167)</w:t>
            </w:r>
          </w:p>
        </w:tc>
        <w:tc>
          <w:tcPr>
            <w:tcW w:w="17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6840" w:type="dxa"/>
            <w:vAlign w:val="bottom"/>
          </w:tcPr>
          <w:p>
            <w:pPr>
              <w:ind w:left="600"/>
              <w:spacing w:after="0"/>
              <w:rPr>
                <w:sz w:val="20"/>
                <w:szCs w:val="20"/>
                <w:color w:val="auto"/>
              </w:rPr>
            </w:pPr>
            <w:r>
              <w:rPr>
                <w:rFonts w:ascii="Arial" w:cs="Arial" w:eastAsia="Arial" w:hAnsi="Arial"/>
                <w:sz w:val="18"/>
                <w:szCs w:val="18"/>
                <w:color w:val="auto"/>
              </w:rPr>
              <w:t>Net cash provided by (used in) operating activities</w:t>
            </w:r>
          </w:p>
        </w:tc>
        <w:tc>
          <w:tcPr>
            <w:tcW w:w="20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33,836</w:t>
            </w:r>
          </w:p>
        </w:tc>
        <w:tc>
          <w:tcPr>
            <w:tcW w:w="3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(4,721)</w:t>
            </w:r>
          </w:p>
        </w:tc>
        <w:tc>
          <w:tcPr>
            <w:tcW w:w="1760" w:type="dxa"/>
            <w:vAlign w:val="bottom"/>
          </w:tcPr>
          <w:p>
            <w:pPr>
              <w:spacing w:after="0"/>
              <w:rPr>
                <w:sz w:val="19"/>
                <w:szCs w:val="19"/>
                <w:color w:val="auto"/>
              </w:rPr>
            </w:pPr>
          </w:p>
        </w:tc>
      </w:tr>
      <w:tr>
        <w:trPr>
          <w:trHeight w:val="189"/>
        </w:trPr>
        <w:tc>
          <w:tcPr>
            <w:tcW w:w="34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03"/>
        </w:trPr>
        <w:tc>
          <w:tcPr>
            <w:tcW w:w="340" w:type="dxa"/>
            <w:vAlign w:val="bottom"/>
          </w:tcPr>
          <w:p>
            <w:pPr>
              <w:spacing w:after="0"/>
              <w:rPr>
                <w:sz w:val="17"/>
                <w:szCs w:val="17"/>
                <w:color w:val="auto"/>
              </w:rPr>
            </w:pPr>
          </w:p>
        </w:tc>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Investing activities: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6840" w:type="dxa"/>
            <w:vAlign w:val="bottom"/>
          </w:tcPr>
          <w:p>
            <w:pPr>
              <w:ind w:left="200"/>
              <w:spacing w:after="0" w:line="202" w:lineRule="exact"/>
              <w:rPr>
                <w:sz w:val="20"/>
                <w:szCs w:val="20"/>
                <w:color w:val="auto"/>
              </w:rPr>
            </w:pPr>
            <w:r>
              <w:rPr>
                <w:rFonts w:ascii="Arial" w:cs="Arial" w:eastAsia="Arial" w:hAnsi="Arial"/>
                <w:sz w:val="18"/>
                <w:szCs w:val="18"/>
                <w:color w:val="auto"/>
              </w:rPr>
              <w:t>Acquisition of business, net of cash acquired</w:t>
            </w:r>
          </w:p>
        </w:tc>
        <w:tc>
          <w:tcPr>
            <w:tcW w:w="200" w:type="dxa"/>
            <w:vAlign w:val="bottom"/>
          </w:tcPr>
          <w:p>
            <w:pPr>
              <w:spacing w:after="0"/>
              <w:rPr>
                <w:sz w:val="17"/>
                <w:szCs w:val="17"/>
                <w:color w:val="auto"/>
              </w:rPr>
            </w:pPr>
          </w:p>
        </w:tc>
        <w:tc>
          <w:tcPr>
            <w:tcW w:w="11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(1,840)</w:t>
            </w:r>
          </w:p>
        </w:tc>
        <w:tc>
          <w:tcPr>
            <w:tcW w:w="320" w:type="dxa"/>
            <w:vAlign w:val="bottom"/>
          </w:tcPr>
          <w:p>
            <w:pPr>
              <w:spacing w:after="0"/>
              <w:rPr>
                <w:sz w:val="17"/>
                <w:szCs w:val="17"/>
                <w:color w:val="auto"/>
              </w:rPr>
            </w:pP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68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Purchases of property, plant and equipment</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(9,001)</w:t>
            </w:r>
          </w:p>
        </w:tc>
        <w:tc>
          <w:tcPr>
            <w:tcW w:w="3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(6,429)</w:t>
            </w: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684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200" w:type="dxa"/>
            <w:vAlign w:val="bottom"/>
          </w:tcPr>
          <w:p>
            <w:pPr>
              <w:spacing w:after="0"/>
              <w:rPr>
                <w:sz w:val="17"/>
                <w:szCs w:val="17"/>
                <w:color w:val="auto"/>
              </w:rPr>
            </w:pPr>
          </w:p>
        </w:tc>
        <w:tc>
          <w:tcPr>
            <w:tcW w:w="11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80</w:t>
            </w:r>
          </w:p>
        </w:tc>
        <w:tc>
          <w:tcPr>
            <w:tcW w:w="320" w:type="dxa"/>
            <w:vAlign w:val="bottom"/>
          </w:tcPr>
          <w:p>
            <w:pPr>
              <w:spacing w:after="0"/>
              <w:rPr>
                <w:sz w:val="17"/>
                <w:szCs w:val="17"/>
                <w:color w:val="auto"/>
              </w:rPr>
            </w:pP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1,300</w:t>
            </w:r>
          </w:p>
        </w:tc>
        <w:tc>
          <w:tcPr>
            <w:tcW w:w="1760" w:type="dxa"/>
            <w:vAlign w:val="bottom"/>
          </w:tcPr>
          <w:p>
            <w:pPr>
              <w:spacing w:after="0"/>
              <w:rPr>
                <w:sz w:val="17"/>
                <w:szCs w:val="17"/>
                <w:color w:val="auto"/>
              </w:rPr>
            </w:pPr>
          </w:p>
        </w:tc>
      </w:tr>
      <w:tr>
        <w:trPr>
          <w:trHeight w:val="27"/>
        </w:trPr>
        <w:tc>
          <w:tcPr>
            <w:tcW w:w="34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03"/>
        </w:trPr>
        <w:tc>
          <w:tcPr>
            <w:tcW w:w="340" w:type="dxa"/>
            <w:vAlign w:val="bottom"/>
          </w:tcPr>
          <w:p>
            <w:pPr>
              <w:spacing w:after="0"/>
              <w:rPr>
                <w:sz w:val="17"/>
                <w:szCs w:val="17"/>
                <w:color w:val="auto"/>
              </w:rPr>
            </w:pPr>
          </w:p>
        </w:tc>
        <w:tc>
          <w:tcPr>
            <w:tcW w:w="684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Net cash used in investing activities</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(10,761)</w:t>
            </w:r>
          </w:p>
        </w:tc>
        <w:tc>
          <w:tcPr>
            <w:tcW w:w="3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(5,129)</w:t>
            </w:r>
          </w:p>
        </w:tc>
        <w:tc>
          <w:tcPr>
            <w:tcW w:w="1760" w:type="dxa"/>
            <w:vAlign w:val="bottom"/>
          </w:tcPr>
          <w:p>
            <w:pPr>
              <w:spacing w:after="0"/>
              <w:rPr>
                <w:sz w:val="17"/>
                <w:szCs w:val="17"/>
                <w:color w:val="auto"/>
              </w:rPr>
            </w:pPr>
          </w:p>
        </w:tc>
      </w:tr>
      <w:tr>
        <w:trPr>
          <w:trHeight w:val="405"/>
        </w:trPr>
        <w:tc>
          <w:tcPr>
            <w:tcW w:w="340" w:type="dxa"/>
            <w:vAlign w:val="bottom"/>
          </w:tcPr>
          <w:p>
            <w:pPr>
              <w:spacing w:after="0"/>
              <w:rPr>
                <w:sz w:val="24"/>
                <w:szCs w:val="24"/>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Financing activities:</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68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Payment of dividends</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(8,578)</w:t>
            </w:r>
          </w:p>
        </w:tc>
        <w:tc>
          <w:tcPr>
            <w:tcW w:w="3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(9,061)</w:t>
            </w: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6840" w:type="dxa"/>
            <w:vAlign w:val="bottom"/>
          </w:tcPr>
          <w:p>
            <w:pPr>
              <w:ind w:left="200"/>
              <w:spacing w:after="0" w:line="202" w:lineRule="exact"/>
              <w:rPr>
                <w:sz w:val="20"/>
                <w:szCs w:val="20"/>
                <w:color w:val="auto"/>
              </w:rPr>
            </w:pPr>
            <w:r>
              <w:rPr>
                <w:rFonts w:ascii="Arial" w:cs="Arial" w:eastAsia="Arial" w:hAnsi="Arial"/>
                <w:sz w:val="18"/>
                <w:szCs w:val="18"/>
                <w:color w:val="auto"/>
              </w:rPr>
              <w:t>Proceeds from issuance of common stock</w:t>
            </w:r>
          </w:p>
        </w:tc>
        <w:tc>
          <w:tcPr>
            <w:tcW w:w="200" w:type="dxa"/>
            <w:vAlign w:val="bottom"/>
          </w:tcPr>
          <w:p>
            <w:pPr>
              <w:spacing w:after="0"/>
              <w:rPr>
                <w:sz w:val="17"/>
                <w:szCs w:val="17"/>
                <w:color w:val="auto"/>
              </w:rPr>
            </w:pPr>
          </w:p>
        </w:tc>
        <w:tc>
          <w:tcPr>
            <w:tcW w:w="11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716</w:t>
            </w:r>
          </w:p>
        </w:tc>
        <w:tc>
          <w:tcPr>
            <w:tcW w:w="320" w:type="dxa"/>
            <w:vAlign w:val="bottom"/>
          </w:tcPr>
          <w:p>
            <w:pPr>
              <w:spacing w:after="0"/>
              <w:rPr>
                <w:sz w:val="17"/>
                <w:szCs w:val="17"/>
                <w:color w:val="auto"/>
              </w:rPr>
            </w:pP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1,162</w:t>
            </w: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68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Principal payments on debt</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6840" w:type="dxa"/>
            <w:vAlign w:val="bottom"/>
          </w:tcPr>
          <w:p>
            <w:pPr>
              <w:ind w:left="200"/>
              <w:spacing w:after="0" w:line="202" w:lineRule="exact"/>
              <w:rPr>
                <w:sz w:val="20"/>
                <w:szCs w:val="20"/>
                <w:color w:val="auto"/>
              </w:rPr>
            </w:pPr>
            <w:r>
              <w:rPr>
                <w:rFonts w:ascii="Arial" w:cs="Arial" w:eastAsia="Arial" w:hAnsi="Arial"/>
                <w:sz w:val="18"/>
                <w:szCs w:val="18"/>
                <w:color w:val="auto"/>
              </w:rPr>
              <w:t>Purchase of treasury stock</w:t>
            </w:r>
          </w:p>
        </w:tc>
        <w:tc>
          <w:tcPr>
            <w:tcW w:w="200" w:type="dxa"/>
            <w:vAlign w:val="bottom"/>
          </w:tcPr>
          <w:p>
            <w:pPr>
              <w:spacing w:after="0"/>
              <w:rPr>
                <w:sz w:val="17"/>
                <w:szCs w:val="17"/>
                <w:color w:val="auto"/>
              </w:rPr>
            </w:pPr>
          </w:p>
        </w:tc>
        <w:tc>
          <w:tcPr>
            <w:tcW w:w="11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(36,508)</w:t>
            </w:r>
          </w:p>
        </w:tc>
        <w:tc>
          <w:tcPr>
            <w:tcW w:w="1760" w:type="dxa"/>
            <w:vAlign w:val="bottom"/>
          </w:tcPr>
          <w:p>
            <w:pPr>
              <w:spacing w:after="0"/>
              <w:rPr>
                <w:sz w:val="17"/>
                <w:szCs w:val="17"/>
                <w:color w:val="auto"/>
              </w:rPr>
            </w:pPr>
          </w:p>
        </w:tc>
      </w:tr>
      <w:tr>
        <w:trPr>
          <w:trHeight w:val="202"/>
        </w:trPr>
        <w:tc>
          <w:tcPr>
            <w:tcW w:w="340" w:type="dxa"/>
            <w:vAlign w:val="bottom"/>
          </w:tcPr>
          <w:p>
            <w:pPr>
              <w:spacing w:after="0"/>
              <w:rPr>
                <w:sz w:val="17"/>
                <w:szCs w:val="17"/>
                <w:color w:val="auto"/>
              </w:rPr>
            </w:pPr>
          </w:p>
        </w:tc>
        <w:tc>
          <w:tcPr>
            <w:tcW w:w="68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Net income tax benefit from the exercise of stock options and deferred</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684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compensation distributions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173</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667</w:t>
            </w:r>
          </w:p>
        </w:tc>
        <w:tc>
          <w:tcPr>
            <w:tcW w:w="17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840" w:type="dxa"/>
            <w:vAlign w:val="bottom"/>
          </w:tcPr>
          <w:p>
            <w:pPr>
              <w:ind w:left="600"/>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(7,689)</w:t>
            </w:r>
          </w:p>
        </w:tc>
        <w:tc>
          <w:tcPr>
            <w:tcW w:w="3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(43,741)</w:t>
            </w:r>
          </w:p>
        </w:tc>
        <w:tc>
          <w:tcPr>
            <w:tcW w:w="1760" w:type="dxa"/>
            <w:vAlign w:val="bottom"/>
          </w:tcPr>
          <w:p>
            <w:pPr>
              <w:spacing w:after="0"/>
              <w:rPr>
                <w:sz w:val="18"/>
                <w:szCs w:val="18"/>
                <w:color w:val="auto"/>
              </w:rPr>
            </w:pPr>
          </w:p>
        </w:tc>
      </w:tr>
      <w:tr>
        <w:trPr>
          <w:trHeight w:val="203"/>
        </w:trPr>
        <w:tc>
          <w:tcPr>
            <w:tcW w:w="340" w:type="dxa"/>
            <w:vAlign w:val="bottom"/>
          </w:tcPr>
          <w:p>
            <w:pPr>
              <w:spacing w:after="0"/>
              <w:rPr>
                <w:sz w:val="17"/>
                <w:szCs w:val="17"/>
                <w:color w:val="auto"/>
              </w:rPr>
            </w:pPr>
          </w:p>
        </w:tc>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exchange rate changes on cash</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4,096</w:t>
            </w:r>
          </w:p>
        </w:tc>
        <w:tc>
          <w:tcPr>
            <w:tcW w:w="3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(25,972)</w:t>
            </w:r>
          </w:p>
        </w:tc>
        <w:tc>
          <w:tcPr>
            <w:tcW w:w="1760" w:type="dxa"/>
            <w:vAlign w:val="bottom"/>
          </w:tcPr>
          <w:p>
            <w:pPr>
              <w:spacing w:after="0"/>
              <w:rPr>
                <w:sz w:val="17"/>
                <w:szCs w:val="17"/>
                <w:color w:val="auto"/>
              </w:rPr>
            </w:pPr>
          </w:p>
        </w:tc>
      </w:tr>
      <w:tr>
        <w:trPr>
          <w:trHeight w:val="405"/>
        </w:trPr>
        <w:tc>
          <w:tcPr>
            <w:tcW w:w="340" w:type="dxa"/>
            <w:vAlign w:val="bottom"/>
          </w:tcPr>
          <w:p>
            <w:pPr>
              <w:spacing w:after="0"/>
              <w:rPr>
                <w:sz w:val="24"/>
                <w:szCs w:val="24"/>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tcPr>
          <w:p>
            <w:pPr>
              <w:spacing w:after="0"/>
              <w:rPr>
                <w:sz w:val="24"/>
                <w:szCs w:val="24"/>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19,482</w:t>
            </w:r>
          </w:p>
        </w:tc>
        <w:tc>
          <w:tcPr>
            <w:tcW w:w="32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(79,563)</w:t>
            </w:r>
          </w:p>
        </w:tc>
        <w:tc>
          <w:tcPr>
            <w:tcW w:w="176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beginning of period</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188,156</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258,355</w:t>
            </w:r>
          </w:p>
        </w:tc>
        <w:tc>
          <w:tcPr>
            <w:tcW w:w="17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207,638</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178,792</w:t>
            </w:r>
          </w:p>
        </w:tc>
        <w:tc>
          <w:tcPr>
            <w:tcW w:w="176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7"/>
        </w:trPr>
        <w:tc>
          <w:tcPr>
            <w:tcW w:w="34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Supplemental disclosures: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6840" w:type="dxa"/>
            <w:vAlign w:val="bottom"/>
          </w:tcPr>
          <w:p>
            <w:pPr>
              <w:spacing w:after="0" w:line="202" w:lineRule="exact"/>
              <w:rPr>
                <w:sz w:val="20"/>
                <w:szCs w:val="20"/>
                <w:color w:val="auto"/>
              </w:rPr>
            </w:pPr>
            <w:r>
              <w:rPr>
                <w:rFonts w:ascii="Arial" w:cs="Arial" w:eastAsia="Arial" w:hAnsi="Arial"/>
                <w:sz w:val="18"/>
                <w:szCs w:val="18"/>
                <w:color w:val="auto"/>
              </w:rPr>
              <w:t>Cash paid during the period for:</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68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Interest, net of capitalized interest</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7,904</w:t>
            </w:r>
          </w:p>
        </w:tc>
        <w:tc>
          <w:tcPr>
            <w:tcW w:w="3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9,298</w:t>
            </w:r>
          </w:p>
        </w:tc>
        <w:tc>
          <w:tcPr>
            <w:tcW w:w="1760" w:type="dxa"/>
            <w:vAlign w:val="bottom"/>
          </w:tcPr>
          <w:p>
            <w:pPr>
              <w:spacing w:after="0"/>
              <w:rPr>
                <w:sz w:val="17"/>
                <w:szCs w:val="17"/>
                <w:color w:val="auto"/>
              </w:rPr>
            </w:pPr>
          </w:p>
        </w:tc>
      </w:tr>
      <w:tr>
        <w:trPr>
          <w:trHeight w:val="217"/>
        </w:trPr>
        <w:tc>
          <w:tcPr>
            <w:tcW w:w="340" w:type="dxa"/>
            <w:vAlign w:val="bottom"/>
          </w:tcPr>
          <w:p>
            <w:pPr>
              <w:spacing w:after="0"/>
              <w:rPr>
                <w:sz w:val="18"/>
                <w:szCs w:val="18"/>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Income taxes, net of refunds</w:t>
            </w:r>
          </w:p>
        </w:tc>
        <w:tc>
          <w:tcPr>
            <w:tcW w:w="2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8,393</w:t>
            </w: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15,605</w:t>
            </w:r>
          </w:p>
        </w:tc>
        <w:tc>
          <w:tcPr>
            <w:tcW w:w="1760" w:type="dxa"/>
            <w:vAlign w:val="bottom"/>
          </w:tcPr>
          <w:p>
            <w:pPr>
              <w:spacing w:after="0"/>
              <w:rPr>
                <w:sz w:val="18"/>
                <w:szCs w:val="18"/>
                <w:color w:val="auto"/>
              </w:rPr>
            </w:pPr>
          </w:p>
        </w:tc>
      </w:tr>
      <w:tr>
        <w:trPr>
          <w:trHeight w:val="188"/>
        </w:trPr>
        <w:tc>
          <w:tcPr>
            <w:tcW w:w="34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03"/>
        </w:trPr>
        <w:tc>
          <w:tcPr>
            <w:tcW w:w="340" w:type="dxa"/>
            <w:vAlign w:val="bottom"/>
          </w:tcPr>
          <w:p>
            <w:pPr>
              <w:spacing w:after="0"/>
              <w:rPr>
                <w:sz w:val="17"/>
                <w:szCs w:val="17"/>
                <w:color w:val="auto"/>
              </w:rPr>
            </w:pPr>
          </w:p>
        </w:tc>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Acquisitions: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6840" w:type="dxa"/>
            <w:vAlign w:val="bottom"/>
          </w:tcPr>
          <w:p>
            <w:pPr>
              <w:ind w:left="200"/>
              <w:spacing w:after="0" w:line="202" w:lineRule="exact"/>
              <w:rPr>
                <w:sz w:val="20"/>
                <w:szCs w:val="20"/>
                <w:color w:val="auto"/>
              </w:rPr>
            </w:pPr>
            <w:r>
              <w:rPr>
                <w:rFonts w:ascii="Arial" w:cs="Arial" w:eastAsia="Arial" w:hAnsi="Arial"/>
                <w:sz w:val="18"/>
                <w:szCs w:val="18"/>
                <w:color w:val="auto"/>
              </w:rPr>
              <w:t>Fair value of assets acquired, net of cash</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1,104</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68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Liabilities assumed</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(42)</w:t>
            </w:r>
          </w:p>
        </w:tc>
        <w:tc>
          <w:tcPr>
            <w:tcW w:w="3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6840" w:type="dxa"/>
            <w:vAlign w:val="bottom"/>
          </w:tcPr>
          <w:p>
            <w:pPr>
              <w:ind w:left="200"/>
              <w:spacing w:after="0" w:line="202" w:lineRule="exact"/>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778</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760" w:type="dxa"/>
            <w:vAlign w:val="bottom"/>
          </w:tcPr>
          <w:p>
            <w:pPr>
              <w:spacing w:after="0"/>
              <w:rPr>
                <w:sz w:val="17"/>
                <w:szCs w:val="17"/>
                <w:color w:val="auto"/>
              </w:rPr>
            </w:pPr>
          </w:p>
        </w:tc>
      </w:tr>
      <w:tr>
        <w:trPr>
          <w:trHeight w:val="27"/>
        </w:trPr>
        <w:tc>
          <w:tcPr>
            <w:tcW w:w="34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03"/>
        </w:trPr>
        <w:tc>
          <w:tcPr>
            <w:tcW w:w="340" w:type="dxa"/>
            <w:vAlign w:val="bottom"/>
          </w:tcPr>
          <w:p>
            <w:pPr>
              <w:spacing w:after="0"/>
              <w:rPr>
                <w:sz w:val="17"/>
                <w:szCs w:val="17"/>
                <w:color w:val="auto"/>
              </w:rPr>
            </w:pPr>
          </w:p>
        </w:tc>
        <w:tc>
          <w:tcPr>
            <w:tcW w:w="684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Net cash paid for acquisitions</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1,840</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7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990"/>
        </w:trPr>
        <w:tc>
          <w:tcPr>
            <w:tcW w:w="340" w:type="dxa"/>
            <w:vAlign w:val="bottom"/>
            <w:tcBorders>
              <w:bottom w:val="single" w:sz="8" w:color="808080"/>
            </w:tcBorders>
          </w:tcPr>
          <w:p>
            <w:pPr>
              <w:spacing w:after="0"/>
              <w:rPr>
                <w:sz w:val="24"/>
                <w:szCs w:val="24"/>
                <w:color w:val="auto"/>
              </w:rPr>
            </w:pPr>
          </w:p>
        </w:tc>
        <w:tc>
          <w:tcPr>
            <w:tcW w:w="68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0" w:name="page11"/>
    <w:bookmarkEnd w:id="10"/>
    <w:p>
      <w:pPr>
        <w:ind w:left="340"/>
        <w:spacing w:after="0"/>
        <w:rPr>
          <w:sz w:val="20"/>
          <w:szCs w:val="20"/>
          <w:color w:val="auto"/>
        </w:rPr>
      </w:pPr>
      <w:r>
        <w:rPr>
          <w:rFonts w:ascii="Arial" w:cs="Arial" w:eastAsia="Arial" w:hAnsi="Arial"/>
          <w:sz w:val="18"/>
          <w:szCs w:val="18"/>
          <w:color w:val="auto"/>
        </w:rPr>
        <w:t>Information by regional segment for the three months ended October 31, 2009 and 2008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4"/>
          </w:tcPr>
          <w:p>
            <w:pPr>
              <w:spacing w:after="0"/>
              <w:rPr>
                <w:sz w:val="20"/>
                <w:szCs w:val="20"/>
                <w:color w:val="auto"/>
              </w:rPr>
            </w:pPr>
            <w:r>
              <w:rPr>
                <w:rFonts w:ascii="Arial" w:cs="Arial" w:eastAsia="Arial" w:hAnsi="Arial"/>
                <w:sz w:val="18"/>
                <w:szCs w:val="18"/>
                <w:color w:val="auto"/>
                <w:w w:val="99"/>
              </w:rPr>
              <w:t>Corporate and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2500" w:type="dxa"/>
            <w:vAlign w:val="bottom"/>
          </w:tcPr>
          <w:p>
            <w:pPr>
              <w:spacing w:after="0" w:line="203" w:lineRule="exact"/>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17"/>
                <w:szCs w:val="17"/>
                <w:color w:val="auto"/>
              </w:rPr>
            </w:pPr>
          </w:p>
        </w:tc>
        <w:tc>
          <w:tcPr>
            <w:tcW w:w="760" w:type="dxa"/>
            <w:vAlign w:val="bottom"/>
            <w:gridSpan w:val="2"/>
          </w:tcPr>
          <w:p>
            <w:pPr>
              <w:spacing w:after="0" w:line="203" w:lineRule="exact"/>
              <w:rPr>
                <w:sz w:val="20"/>
                <w:szCs w:val="20"/>
                <w:color w:val="auto"/>
              </w:rPr>
            </w:pPr>
            <w:r>
              <w:rPr>
                <w:rFonts w:ascii="Arial" w:cs="Arial" w:eastAsia="Arial" w:hAnsi="Arial"/>
                <w:sz w:val="18"/>
                <w:szCs w:val="18"/>
                <w:color w:val="auto"/>
                <w:w w:val="98"/>
              </w:rPr>
              <w:t>Americas</w:t>
            </w:r>
          </w:p>
        </w:tc>
        <w:tc>
          <w:tcPr>
            <w:tcW w:w="240" w:type="dxa"/>
            <w:vAlign w:val="bottom"/>
          </w:tcPr>
          <w:p>
            <w:pPr>
              <w:spacing w:after="0"/>
              <w:rPr>
                <w:sz w:val="17"/>
                <w:szCs w:val="17"/>
                <w:color w:val="auto"/>
              </w:rPr>
            </w:pPr>
          </w:p>
        </w:tc>
        <w:tc>
          <w:tcPr>
            <w:tcW w:w="760" w:type="dxa"/>
            <w:vAlign w:val="bottom"/>
            <w:gridSpan w:val="2"/>
          </w:tcPr>
          <w:p>
            <w:pPr>
              <w:ind w:left="80"/>
              <w:spacing w:after="0" w:line="203" w:lineRule="exact"/>
              <w:rPr>
                <w:sz w:val="20"/>
                <w:szCs w:val="20"/>
                <w:color w:val="auto"/>
              </w:rPr>
            </w:pPr>
            <w:r>
              <w:rPr>
                <w:rFonts w:ascii="Arial" w:cs="Arial" w:eastAsia="Arial" w:hAnsi="Arial"/>
                <w:sz w:val="18"/>
                <w:szCs w:val="18"/>
                <w:color w:val="auto"/>
              </w:rPr>
              <w:t>Europe</w:t>
            </w:r>
          </w:p>
        </w:tc>
        <w:tc>
          <w:tcPr>
            <w:tcW w:w="240" w:type="dxa"/>
            <w:vAlign w:val="bottom"/>
          </w:tcPr>
          <w:p>
            <w:pPr>
              <w:spacing w:after="0"/>
              <w:rPr>
                <w:sz w:val="17"/>
                <w:szCs w:val="17"/>
                <w:color w:val="auto"/>
              </w:rPr>
            </w:pPr>
          </w:p>
        </w:tc>
        <w:tc>
          <w:tcPr>
            <w:tcW w:w="1160" w:type="dxa"/>
            <w:vAlign w:val="bottom"/>
            <w:gridSpan w:val="3"/>
          </w:tcPr>
          <w:p>
            <w:pPr>
              <w:spacing w:after="0" w:line="203" w:lineRule="exact"/>
              <w:rPr>
                <w:sz w:val="20"/>
                <w:szCs w:val="20"/>
                <w:color w:val="auto"/>
              </w:rPr>
            </w:pPr>
            <w:r>
              <w:rPr>
                <w:rFonts w:ascii="Arial" w:cs="Arial" w:eastAsia="Arial" w:hAnsi="Arial"/>
                <w:sz w:val="18"/>
                <w:szCs w:val="18"/>
                <w:color w:val="auto"/>
              </w:rPr>
              <w:t>Asia-Pacific</w:t>
            </w:r>
          </w:p>
        </w:tc>
        <w:tc>
          <w:tcPr>
            <w:tcW w:w="1280" w:type="dxa"/>
            <w:vAlign w:val="bottom"/>
            <w:gridSpan w:val="4"/>
          </w:tcPr>
          <w:p>
            <w:pPr>
              <w:spacing w:after="0" w:line="203" w:lineRule="exact"/>
              <w:rPr>
                <w:sz w:val="20"/>
                <w:szCs w:val="20"/>
                <w:color w:val="auto"/>
              </w:rPr>
            </w:pPr>
            <w:r>
              <w:rPr>
                <w:rFonts w:ascii="Arial" w:cs="Arial" w:eastAsia="Arial" w:hAnsi="Arial"/>
                <w:sz w:val="18"/>
                <w:szCs w:val="18"/>
                <w:color w:val="auto"/>
              </w:rPr>
              <w:t>Total Region</w:t>
            </w:r>
          </w:p>
        </w:tc>
        <w:tc>
          <w:tcPr>
            <w:tcW w:w="1160" w:type="dxa"/>
            <w:vAlign w:val="bottom"/>
            <w:gridSpan w:val="4"/>
          </w:tcPr>
          <w:p>
            <w:pPr>
              <w:jc w:val="right"/>
              <w:ind w:right="100"/>
              <w:spacing w:after="0" w:line="203" w:lineRule="exact"/>
              <w:rPr>
                <w:sz w:val="20"/>
                <w:szCs w:val="20"/>
                <w:color w:val="auto"/>
              </w:rPr>
            </w:pPr>
            <w:r>
              <w:rPr>
                <w:rFonts w:ascii="Arial" w:cs="Arial" w:eastAsia="Arial" w:hAnsi="Arial"/>
                <w:sz w:val="18"/>
                <w:szCs w:val="18"/>
                <w:color w:val="auto"/>
              </w:rPr>
              <w:t>Eliminations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360"/>
              <w:spacing w:after="0" w:line="203" w:lineRule="exact"/>
              <w:rPr>
                <w:sz w:val="20"/>
                <w:szCs w:val="20"/>
                <w:color w:val="auto"/>
              </w:rPr>
            </w:pPr>
            <w:r>
              <w:rPr>
                <w:rFonts w:ascii="Arial" w:cs="Arial" w:eastAsia="Arial" w:hAnsi="Arial"/>
                <w:sz w:val="18"/>
                <w:szCs w:val="18"/>
                <w:color w:val="auto"/>
              </w:rPr>
              <w:t>Total</w:t>
            </w:r>
          </w:p>
        </w:tc>
        <w:tc>
          <w:tcPr>
            <w:tcW w:w="1760" w:type="dxa"/>
            <w:vAlign w:val="bottom"/>
          </w:tcPr>
          <w:p>
            <w:pPr>
              <w:spacing w:after="0"/>
              <w:rPr>
                <w:sz w:val="17"/>
                <w:szCs w:val="17"/>
                <w:color w:val="auto"/>
              </w:rPr>
            </w:pPr>
          </w:p>
        </w:tc>
      </w:tr>
      <w:tr>
        <w:trPr>
          <w:trHeight w:val="173"/>
        </w:trPr>
        <w:tc>
          <w:tcPr>
            <w:tcW w:w="340" w:type="dxa"/>
            <w:vAlign w:val="bottom"/>
          </w:tcPr>
          <w:p>
            <w:pPr>
              <w:spacing w:after="0"/>
              <w:rPr>
                <w:sz w:val="15"/>
                <w:szCs w:val="15"/>
                <w:color w:val="auto"/>
              </w:rPr>
            </w:pPr>
          </w:p>
        </w:tc>
        <w:tc>
          <w:tcPr>
            <w:tcW w:w="2500" w:type="dxa"/>
            <w:vAlign w:val="bottom"/>
            <w:tcBorders>
              <w:top w:val="single" w:sz="8" w:color="auto"/>
            </w:tcBorders>
            <w:shd w:val="clear" w:color="auto" w:fill="CCEEFF"/>
          </w:tcPr>
          <w:p>
            <w:pPr>
              <w:spacing w:after="0" w:line="173" w:lineRule="exact"/>
              <w:rPr>
                <w:sz w:val="20"/>
                <w:szCs w:val="20"/>
                <w:color w:val="auto"/>
              </w:rPr>
            </w:pPr>
            <w:r>
              <w:rPr>
                <w:rFonts w:ascii="Arial" w:cs="Arial" w:eastAsia="Arial" w:hAnsi="Arial"/>
                <w:sz w:val="18"/>
                <w:szCs w:val="18"/>
                <w:b w:val="1"/>
                <w:bCs w:val="1"/>
                <w:color w:val="auto"/>
              </w:rPr>
              <w:t>SALES TO EXTERNAL</w:t>
            </w:r>
          </w:p>
        </w:tc>
        <w:tc>
          <w:tcPr>
            <w:tcW w:w="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tcPr>
          <w:p>
            <w:pPr>
              <w:spacing w:after="0"/>
              <w:rPr>
                <w:sz w:val="15"/>
                <w:szCs w:val="15"/>
                <w:color w:val="auto"/>
              </w:rPr>
            </w:pPr>
          </w:p>
        </w:tc>
      </w:tr>
      <w:tr>
        <w:trPr>
          <w:trHeight w:val="225"/>
        </w:trPr>
        <w:tc>
          <w:tcPr>
            <w:tcW w:w="340" w:type="dxa"/>
            <w:vAlign w:val="bottom"/>
          </w:tcPr>
          <w:p>
            <w:pPr>
              <w:spacing w:after="0"/>
              <w:rPr>
                <w:sz w:val="19"/>
                <w:szCs w:val="19"/>
                <w:color w:val="auto"/>
              </w:rPr>
            </w:pPr>
          </w:p>
        </w:tc>
        <w:tc>
          <w:tcPr>
            <w:tcW w:w="258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CUSTOMERS</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tcPr>
          <w:p>
            <w:pPr>
              <w:spacing w:after="0"/>
              <w:rPr>
                <w:sz w:val="19"/>
                <w:szCs w:val="19"/>
                <w:color w:val="auto"/>
              </w:rPr>
            </w:pPr>
          </w:p>
        </w:tc>
      </w:tr>
      <w:tr>
        <w:trPr>
          <w:trHeight w:val="203"/>
        </w:trPr>
        <w:tc>
          <w:tcPr>
            <w:tcW w:w="340" w:type="dxa"/>
            <w:vAlign w:val="bottom"/>
          </w:tcPr>
          <w:p>
            <w:pPr>
              <w:spacing w:after="0"/>
              <w:rPr>
                <w:sz w:val="17"/>
                <w:szCs w:val="17"/>
                <w:color w:val="auto"/>
              </w:rPr>
            </w:pPr>
          </w:p>
        </w:tc>
        <w:tc>
          <w:tcPr>
            <w:tcW w:w="2580" w:type="dxa"/>
            <w:vAlign w:val="bottom"/>
            <w:gridSpan w:val="2"/>
          </w:tcPr>
          <w:p>
            <w:pPr>
              <w:spacing w:after="0" w:line="202" w:lineRule="exact"/>
              <w:rPr>
                <w:sz w:val="20"/>
                <w:szCs w:val="20"/>
                <w:color w:val="auto"/>
              </w:rPr>
            </w:pPr>
            <w:r>
              <w:rPr>
                <w:rFonts w:ascii="Arial" w:cs="Arial" w:eastAsia="Arial" w:hAnsi="Arial"/>
                <w:sz w:val="18"/>
                <w:szCs w:val="18"/>
                <w:color w:val="auto"/>
              </w:rPr>
              <w:t>Three months ended:</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25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October 31, 2009</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w w:val="98"/>
              </w:rPr>
              <w:t>136,239</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94,335</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87,912</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318,486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318,486</w:t>
            </w:r>
          </w:p>
        </w:tc>
        <w:tc>
          <w:tcPr>
            <w:tcW w:w="10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17"/>
        </w:trPr>
        <w:tc>
          <w:tcPr>
            <w:tcW w:w="340" w:type="dxa"/>
            <w:vAlign w:val="bottom"/>
          </w:tcPr>
          <w:p>
            <w:pPr>
              <w:spacing w:after="0"/>
              <w:rPr>
                <w:sz w:val="18"/>
                <w:szCs w:val="18"/>
                <w:color w:val="auto"/>
              </w:rPr>
            </w:pPr>
          </w:p>
        </w:tc>
        <w:tc>
          <w:tcPr>
            <w:tcW w:w="2580" w:type="dxa"/>
            <w:vAlign w:val="bottom"/>
            <w:gridSpan w:val="2"/>
          </w:tcPr>
          <w:p>
            <w:pPr>
              <w:ind w:left="200"/>
              <w:spacing w:after="0"/>
              <w:rPr>
                <w:sz w:val="20"/>
                <w:szCs w:val="20"/>
                <w:color w:val="auto"/>
              </w:rPr>
            </w:pPr>
            <w:r>
              <w:rPr>
                <w:rFonts w:ascii="Arial" w:cs="Arial" w:eastAsia="Arial" w:hAnsi="Arial"/>
                <w:sz w:val="18"/>
                <w:szCs w:val="18"/>
                <w:color w:val="auto"/>
              </w:rPr>
              <w:t>October 31, 2008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160,916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108,215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109,186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378,317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378,317</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188"/>
        </w:trPr>
        <w:tc>
          <w:tcPr>
            <w:tcW w:w="3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0"/>
        </w:trPr>
        <w:tc>
          <w:tcPr>
            <w:tcW w:w="340" w:type="dxa"/>
            <w:vAlign w:val="bottom"/>
          </w:tcPr>
          <w:p>
            <w:pPr>
              <w:spacing w:after="0"/>
              <w:rPr>
                <w:sz w:val="15"/>
                <w:szCs w:val="15"/>
                <w:color w:val="auto"/>
              </w:rPr>
            </w:pPr>
          </w:p>
        </w:tc>
        <w:tc>
          <w:tcPr>
            <w:tcW w:w="2580" w:type="dxa"/>
            <w:vAlign w:val="bottom"/>
            <w:gridSpan w:val="2"/>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SALES GROWTH</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tcPr>
          <w:p>
            <w:pPr>
              <w:spacing w:after="0"/>
              <w:rPr>
                <w:sz w:val="15"/>
                <w:szCs w:val="15"/>
                <w:color w:val="auto"/>
              </w:rPr>
            </w:pPr>
          </w:p>
        </w:tc>
      </w:tr>
      <w:tr>
        <w:trPr>
          <w:trHeight w:val="225"/>
        </w:trPr>
        <w:tc>
          <w:tcPr>
            <w:tcW w:w="340" w:type="dxa"/>
            <w:vAlign w:val="bottom"/>
          </w:tcPr>
          <w:p>
            <w:pPr>
              <w:spacing w:after="0"/>
              <w:rPr>
                <w:sz w:val="19"/>
                <w:szCs w:val="19"/>
                <w:color w:val="auto"/>
              </w:rPr>
            </w:pPr>
          </w:p>
        </w:tc>
        <w:tc>
          <w:tcPr>
            <w:tcW w:w="258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INFORMATION</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tcPr>
          <w:p>
            <w:pPr>
              <w:spacing w:after="0"/>
              <w:rPr>
                <w:sz w:val="19"/>
                <w:szCs w:val="19"/>
                <w:color w:val="auto"/>
              </w:rPr>
            </w:pPr>
          </w:p>
        </w:tc>
      </w:tr>
      <w:tr>
        <w:trPr>
          <w:trHeight w:val="202"/>
        </w:trPr>
        <w:tc>
          <w:tcPr>
            <w:tcW w:w="340" w:type="dxa"/>
            <w:vAlign w:val="bottom"/>
          </w:tcPr>
          <w:p>
            <w:pPr>
              <w:spacing w:after="0"/>
              <w:rPr>
                <w:sz w:val="17"/>
                <w:szCs w:val="17"/>
                <w:color w:val="auto"/>
              </w:rPr>
            </w:pPr>
          </w:p>
        </w:tc>
        <w:tc>
          <w:tcPr>
            <w:tcW w:w="2580" w:type="dxa"/>
            <w:vAlign w:val="bottom"/>
            <w:gridSpan w:val="2"/>
          </w:tcPr>
          <w:p>
            <w:pPr>
              <w:spacing w:after="0" w:line="201" w:lineRule="exact"/>
              <w:rPr>
                <w:sz w:val="20"/>
                <w:szCs w:val="20"/>
                <w:color w:val="auto"/>
              </w:rPr>
            </w:pPr>
            <w:r>
              <w:rPr>
                <w:rFonts w:ascii="Arial" w:cs="Arial" w:eastAsia="Arial" w:hAnsi="Arial"/>
                <w:sz w:val="18"/>
                <w:szCs w:val="18"/>
                <w:color w:val="auto"/>
              </w:rPr>
              <w:t>Three months ended</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2580" w:type="dxa"/>
            <w:vAlign w:val="bottom"/>
            <w:gridSpan w:val="2"/>
          </w:tcPr>
          <w:p>
            <w:pPr>
              <w:ind w:left="200"/>
              <w:spacing w:after="0" w:line="203" w:lineRule="exact"/>
              <w:rPr>
                <w:sz w:val="20"/>
                <w:szCs w:val="20"/>
                <w:color w:val="auto"/>
              </w:rPr>
            </w:pPr>
            <w:r>
              <w:rPr>
                <w:rFonts w:ascii="Arial" w:cs="Arial" w:eastAsia="Arial" w:hAnsi="Arial"/>
                <w:sz w:val="18"/>
                <w:szCs w:val="18"/>
                <w:color w:val="auto"/>
              </w:rPr>
              <w:t>October 31, 2009:</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25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Base</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-12.3%</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-20.4%</w:t>
            </w:r>
          </w:p>
        </w:tc>
        <w:tc>
          <w:tcPr>
            <w:tcW w:w="22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-15.9%</w:t>
            </w: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25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Currency</w:t>
            </w:r>
          </w:p>
        </w:tc>
        <w:tc>
          <w:tcPr>
            <w:tcW w:w="100" w:type="dxa"/>
            <w:vAlign w:val="bottom"/>
          </w:tcPr>
          <w:p>
            <w:pPr>
              <w:spacing w:after="0"/>
              <w:rPr>
                <w:sz w:val="17"/>
                <w:szCs w:val="17"/>
                <w:color w:val="auto"/>
              </w:rPr>
            </w:pP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-0.1%</w:t>
            </w:r>
          </w:p>
        </w:tc>
        <w:tc>
          <w:tcPr>
            <w:tcW w:w="100" w:type="dxa"/>
            <w:vAlign w:val="bottom"/>
          </w:tcPr>
          <w:p>
            <w:pPr>
              <w:spacing w:after="0"/>
              <w:rPr>
                <w:sz w:val="17"/>
                <w:szCs w:val="17"/>
                <w:color w:val="auto"/>
              </w:rPr>
            </w:pP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-0.7%</w:t>
            </w:r>
          </w:p>
        </w:tc>
        <w:tc>
          <w:tcPr>
            <w:tcW w:w="18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0.9%</w:t>
            </w:r>
          </w:p>
        </w:tc>
        <w:tc>
          <w:tcPr>
            <w:tcW w:w="220" w:type="dxa"/>
            <w:vAlign w:val="bottom"/>
          </w:tcPr>
          <w:p>
            <w:pPr>
              <w:spacing w:after="0"/>
              <w:rPr>
                <w:sz w:val="17"/>
                <w:szCs w:val="17"/>
                <w:color w:val="auto"/>
              </w:rPr>
            </w:pPr>
          </w:p>
        </w:tc>
        <w:tc>
          <w:tcPr>
            <w:tcW w:w="106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0.0%</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0.0%</w:t>
            </w: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25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Acquisitions</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0.0%</w:t>
            </w:r>
          </w:p>
        </w:tc>
        <w:tc>
          <w:tcPr>
            <w:tcW w:w="22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0.1%</w:t>
            </w:r>
          </w:p>
        </w:tc>
        <w:tc>
          <w:tcPr>
            <w:tcW w:w="17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2580" w:type="dxa"/>
            <w:vAlign w:val="bottom"/>
            <w:gridSpan w:val="2"/>
          </w:tcPr>
          <w:p>
            <w:pPr>
              <w:ind w:left="40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-19.5%</w:t>
            </w:r>
          </w:p>
        </w:tc>
        <w:tc>
          <w:tcPr>
            <w:tcW w:w="220" w:type="dxa"/>
            <w:vAlign w:val="bottom"/>
          </w:tcPr>
          <w:p>
            <w:pPr>
              <w:spacing w:after="0"/>
              <w:rPr>
                <w:sz w:val="19"/>
                <w:szCs w:val="19"/>
                <w:color w:val="auto"/>
              </w:rPr>
            </w:pPr>
          </w:p>
        </w:tc>
        <w:tc>
          <w:tcPr>
            <w:tcW w:w="1060" w:type="dxa"/>
            <w:vAlign w:val="bottom"/>
            <w:gridSpan w:val="3"/>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-15.8%</w:t>
            </w:r>
          </w:p>
        </w:tc>
        <w:tc>
          <w:tcPr>
            <w:tcW w:w="1760" w:type="dxa"/>
            <w:vAlign w:val="bottom"/>
          </w:tcPr>
          <w:p>
            <w:pPr>
              <w:spacing w:after="0"/>
              <w:rPr>
                <w:sz w:val="19"/>
                <w:szCs w:val="19"/>
                <w:color w:val="auto"/>
              </w:rPr>
            </w:pPr>
          </w:p>
        </w:tc>
      </w:tr>
      <w:tr>
        <w:trPr>
          <w:trHeight w:val="189"/>
        </w:trPr>
        <w:tc>
          <w:tcPr>
            <w:tcW w:w="3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02"/>
        </w:trPr>
        <w:tc>
          <w:tcPr>
            <w:tcW w:w="340" w:type="dxa"/>
            <w:vAlign w:val="bottom"/>
          </w:tcPr>
          <w:p>
            <w:pPr>
              <w:spacing w:after="0"/>
              <w:rPr>
                <w:sz w:val="17"/>
                <w:szCs w:val="17"/>
                <w:color w:val="auto"/>
              </w:rPr>
            </w:pPr>
          </w:p>
        </w:tc>
        <w:tc>
          <w:tcPr>
            <w:tcW w:w="25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Three months ended</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2580" w:type="dxa"/>
            <w:vAlign w:val="bottom"/>
            <w:gridSpan w:val="2"/>
            <w:shd w:val="clear" w:color="auto" w:fill="CCEEFF"/>
          </w:tcPr>
          <w:p>
            <w:pPr>
              <w:ind w:left="200"/>
              <w:spacing w:after="0" w:line="203" w:lineRule="exact"/>
              <w:rPr>
                <w:sz w:val="20"/>
                <w:szCs w:val="20"/>
                <w:color w:val="auto"/>
              </w:rPr>
            </w:pPr>
            <w:r>
              <w:rPr>
                <w:rFonts w:ascii="Arial" w:cs="Arial" w:eastAsia="Arial" w:hAnsi="Arial"/>
                <w:sz w:val="18"/>
                <w:szCs w:val="18"/>
                <w:color w:val="auto"/>
              </w:rPr>
              <w:t>October 31, 2008:</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25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Base</w:t>
            </w:r>
          </w:p>
        </w:tc>
        <w:tc>
          <w:tcPr>
            <w:tcW w:w="100" w:type="dxa"/>
            <w:vAlign w:val="bottom"/>
          </w:tcPr>
          <w:p>
            <w:pPr>
              <w:spacing w:after="0"/>
              <w:rPr>
                <w:sz w:val="17"/>
                <w:szCs w:val="17"/>
                <w:color w:val="auto"/>
              </w:rPr>
            </w:pP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-8.2%</w:t>
            </w:r>
          </w:p>
        </w:tc>
        <w:tc>
          <w:tcPr>
            <w:tcW w:w="100" w:type="dxa"/>
            <w:vAlign w:val="bottom"/>
          </w:tcPr>
          <w:p>
            <w:pPr>
              <w:spacing w:after="0"/>
              <w:rPr>
                <w:sz w:val="17"/>
                <w:szCs w:val="17"/>
                <w:color w:val="auto"/>
              </w:rPr>
            </w:pP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-5.3%</w:t>
            </w:r>
          </w:p>
        </w:tc>
        <w:tc>
          <w:tcPr>
            <w:tcW w:w="18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11.0%</w:t>
            </w:r>
          </w:p>
        </w:tc>
        <w:tc>
          <w:tcPr>
            <w:tcW w:w="220" w:type="dxa"/>
            <w:vAlign w:val="bottom"/>
          </w:tcPr>
          <w:p>
            <w:pPr>
              <w:spacing w:after="0"/>
              <w:rPr>
                <w:sz w:val="17"/>
                <w:szCs w:val="17"/>
                <w:color w:val="auto"/>
              </w:rPr>
            </w:pPr>
          </w:p>
        </w:tc>
        <w:tc>
          <w:tcPr>
            <w:tcW w:w="106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-2.5%</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-2.5%</w:t>
            </w: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25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Currency</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-0.1%</w:t>
            </w: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25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Acquisitions</w:t>
            </w:r>
          </w:p>
        </w:tc>
        <w:tc>
          <w:tcPr>
            <w:tcW w:w="100" w:type="dxa"/>
            <w:vAlign w:val="bottom"/>
          </w:tcPr>
          <w:p>
            <w:pPr>
              <w:spacing w:after="0"/>
              <w:rPr>
                <w:sz w:val="17"/>
                <w:szCs w:val="17"/>
                <w:color w:val="auto"/>
              </w:rPr>
            </w:pP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0.6%</w:t>
            </w:r>
          </w:p>
        </w:tc>
        <w:tc>
          <w:tcPr>
            <w:tcW w:w="100" w:type="dxa"/>
            <w:vAlign w:val="bottom"/>
          </w:tcPr>
          <w:p>
            <w:pPr>
              <w:spacing w:after="0"/>
              <w:rPr>
                <w:sz w:val="17"/>
                <w:szCs w:val="17"/>
                <w:color w:val="auto"/>
              </w:rPr>
            </w:pP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6.3%</w:t>
            </w:r>
          </w:p>
        </w:tc>
        <w:tc>
          <w:tcPr>
            <w:tcW w:w="18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0.0%</w:t>
            </w:r>
          </w:p>
        </w:tc>
        <w:tc>
          <w:tcPr>
            <w:tcW w:w="220" w:type="dxa"/>
            <w:vAlign w:val="bottom"/>
          </w:tcPr>
          <w:p>
            <w:pPr>
              <w:spacing w:after="0"/>
              <w:rPr>
                <w:sz w:val="17"/>
                <w:szCs w:val="17"/>
                <w:color w:val="auto"/>
              </w:rPr>
            </w:pPr>
          </w:p>
        </w:tc>
        <w:tc>
          <w:tcPr>
            <w:tcW w:w="106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2.1%</w:t>
            </w:r>
          </w:p>
        </w:tc>
        <w:tc>
          <w:tcPr>
            <w:tcW w:w="1760" w:type="dxa"/>
            <w:vAlign w:val="bottom"/>
          </w:tcPr>
          <w:p>
            <w:pPr>
              <w:spacing w:after="0"/>
              <w:rPr>
                <w:sz w:val="17"/>
                <w:szCs w:val="17"/>
                <w:color w:val="auto"/>
              </w:rPr>
            </w:pPr>
          </w:p>
        </w:tc>
      </w:tr>
      <w:tr>
        <w:trPr>
          <w:trHeight w:val="27"/>
        </w:trPr>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03"/>
        </w:trPr>
        <w:tc>
          <w:tcPr>
            <w:tcW w:w="340" w:type="dxa"/>
            <w:vAlign w:val="bottom"/>
          </w:tcPr>
          <w:p>
            <w:pPr>
              <w:spacing w:after="0"/>
              <w:rPr>
                <w:sz w:val="17"/>
                <w:szCs w:val="17"/>
                <w:color w:val="auto"/>
              </w:rPr>
            </w:pPr>
          </w:p>
        </w:tc>
        <w:tc>
          <w:tcPr>
            <w:tcW w:w="258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13.2%</w:t>
            </w:r>
          </w:p>
        </w:tc>
        <w:tc>
          <w:tcPr>
            <w:tcW w:w="22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-0.5%</w:t>
            </w:r>
          </w:p>
        </w:tc>
        <w:tc>
          <w:tcPr>
            <w:tcW w:w="1760" w:type="dxa"/>
            <w:vAlign w:val="bottom"/>
          </w:tcPr>
          <w:p>
            <w:pPr>
              <w:spacing w:after="0"/>
              <w:rPr>
                <w:sz w:val="17"/>
                <w:szCs w:val="17"/>
                <w:color w:val="auto"/>
              </w:rPr>
            </w:pPr>
          </w:p>
        </w:tc>
      </w:tr>
      <w:tr>
        <w:trPr>
          <w:trHeight w:val="405"/>
        </w:trPr>
        <w:tc>
          <w:tcPr>
            <w:tcW w:w="3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SEGMENT PROFIT (LOSS)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2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Three months ended:</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25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October 31, 2009</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32,801</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24,862</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15,127</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72,790</w:t>
            </w:r>
          </w:p>
        </w:tc>
        <w:tc>
          <w:tcPr>
            <w:tcW w:w="20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4"/>
          </w:tcPr>
          <w:p>
            <w:pPr>
              <w:jc w:val="right"/>
              <w:ind w:right="90"/>
              <w:spacing w:after="0" w:line="202" w:lineRule="exact"/>
              <w:rPr>
                <w:sz w:val="20"/>
                <w:szCs w:val="20"/>
                <w:color w:val="auto"/>
              </w:rPr>
            </w:pPr>
            <w:r>
              <w:rPr>
                <w:rFonts w:ascii="Arial" w:cs="Arial" w:eastAsia="Arial" w:hAnsi="Arial"/>
                <w:sz w:val="18"/>
                <w:szCs w:val="18"/>
                <w:color w:val="auto"/>
              </w:rPr>
              <w:t>(2,920)</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69,870</w:t>
            </w: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25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October 31, 2008</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35,524</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31,138</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22,401</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89,063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4"/>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(2,307)</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86,756</w:t>
            </w:r>
          </w:p>
        </w:tc>
        <w:tc>
          <w:tcPr>
            <w:tcW w:w="10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184"/>
        </w:trPr>
        <w:tc>
          <w:tcPr>
            <w:tcW w:w="340" w:type="dxa"/>
            <w:vAlign w:val="bottom"/>
          </w:tcPr>
          <w:p>
            <w:pPr>
              <w:spacing w:after="0"/>
              <w:rPr>
                <w:sz w:val="15"/>
                <w:szCs w:val="15"/>
                <w:color w:val="auto"/>
              </w:rPr>
            </w:pPr>
          </w:p>
        </w:tc>
        <w:tc>
          <w:tcPr>
            <w:tcW w:w="2580" w:type="dxa"/>
            <w:vAlign w:val="bottom"/>
            <w:gridSpan w:val="2"/>
          </w:tcPr>
          <w:p>
            <w:pPr>
              <w:ind w:left="400"/>
              <w:spacing w:after="0" w:line="184" w:lineRule="exact"/>
              <w:rPr>
                <w:sz w:val="20"/>
                <w:szCs w:val="20"/>
                <w:color w:val="auto"/>
              </w:rPr>
            </w:pPr>
            <w:r>
              <w:rPr>
                <w:rFonts w:ascii="Arial" w:cs="Arial" w:eastAsia="Arial" w:hAnsi="Arial"/>
                <w:sz w:val="18"/>
                <w:szCs w:val="18"/>
                <w:i w:val="1"/>
                <w:iCs w:val="1"/>
                <w:color w:val="auto"/>
              </w:rPr>
              <w:t>Percentage increase</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235"/>
        </w:trPr>
        <w:tc>
          <w:tcPr>
            <w:tcW w:w="340" w:type="dxa"/>
            <w:vAlign w:val="bottom"/>
          </w:tcPr>
          <w:p>
            <w:pPr>
              <w:spacing w:after="0"/>
              <w:rPr>
                <w:sz w:val="20"/>
                <w:szCs w:val="20"/>
                <w:color w:val="auto"/>
              </w:rPr>
            </w:pPr>
          </w:p>
        </w:tc>
        <w:tc>
          <w:tcPr>
            <w:tcW w:w="2580" w:type="dxa"/>
            <w:vAlign w:val="bottom"/>
            <w:gridSpan w:val="2"/>
          </w:tcPr>
          <w:p>
            <w:pPr>
              <w:ind w:left="600"/>
              <w:spacing w:after="0"/>
              <w:rPr>
                <w:sz w:val="20"/>
                <w:szCs w:val="20"/>
                <w:color w:val="auto"/>
              </w:rPr>
            </w:pPr>
            <w:r>
              <w:rPr>
                <w:rFonts w:ascii="Arial" w:cs="Arial" w:eastAsia="Arial" w:hAnsi="Arial"/>
                <w:sz w:val="18"/>
                <w:szCs w:val="18"/>
                <w:i w:val="1"/>
                <w:iCs w:val="1"/>
                <w:color w:val="auto"/>
              </w:rPr>
              <w:t>(decrease)</w:t>
            </w:r>
          </w:p>
        </w:tc>
        <w:tc>
          <w:tcPr>
            <w:tcW w:w="1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-20.2%</w:t>
            </w:r>
          </w:p>
        </w:tc>
        <w:tc>
          <w:tcPr>
            <w:tcW w:w="18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-32.5%</w:t>
            </w:r>
          </w:p>
        </w:tc>
        <w:tc>
          <w:tcPr>
            <w:tcW w:w="220" w:type="dxa"/>
            <w:vAlign w:val="bottom"/>
          </w:tcPr>
          <w:p>
            <w:pPr>
              <w:spacing w:after="0"/>
              <w:rPr>
                <w:sz w:val="20"/>
                <w:szCs w:val="20"/>
                <w:color w:val="auto"/>
              </w:rPr>
            </w:pPr>
          </w:p>
        </w:tc>
        <w:tc>
          <w:tcPr>
            <w:tcW w:w="1060" w:type="dxa"/>
            <w:vAlign w:val="bottom"/>
            <w:gridSpan w:val="3"/>
          </w:tcPr>
          <w:p>
            <w:pPr>
              <w:jc w:val="right"/>
              <w:ind w:right="3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0"/>
                <w:szCs w:val="20"/>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-19.5%</w:t>
            </w:r>
          </w:p>
        </w:tc>
        <w:tc>
          <w:tcPr>
            <w:tcW w:w="1760" w:type="dxa"/>
            <w:vAlign w:val="bottom"/>
          </w:tcPr>
          <w:p>
            <w:pPr>
              <w:spacing w:after="0"/>
              <w:rPr>
                <w:sz w:val="20"/>
                <w:szCs w:val="20"/>
                <w:color w:val="auto"/>
              </w:rPr>
            </w:pPr>
          </w:p>
        </w:tc>
      </w:tr>
      <w:tr>
        <w:trPr>
          <w:trHeight w:val="392"/>
        </w:trPr>
        <w:tc>
          <w:tcPr>
            <w:tcW w:w="340" w:type="dxa"/>
            <w:vAlign w:val="bottom"/>
          </w:tcPr>
          <w:p>
            <w:pPr>
              <w:spacing w:after="0"/>
              <w:rPr>
                <w:sz w:val="24"/>
                <w:szCs w:val="24"/>
                <w:color w:val="auto"/>
              </w:rPr>
            </w:pPr>
          </w:p>
        </w:tc>
        <w:tc>
          <w:tcPr>
            <w:tcW w:w="4580" w:type="dxa"/>
            <w:vAlign w:val="bottom"/>
            <w:gridSpan w:val="8"/>
          </w:tcPr>
          <w:p>
            <w:pPr>
              <w:spacing w:after="0"/>
              <w:rPr>
                <w:sz w:val="20"/>
                <w:szCs w:val="20"/>
                <w:color w:val="auto"/>
              </w:rPr>
            </w:pPr>
            <w:r>
              <w:rPr>
                <w:rFonts w:ascii="Arial" w:cs="Arial" w:eastAsia="Arial" w:hAnsi="Arial"/>
                <w:sz w:val="18"/>
                <w:szCs w:val="18"/>
                <w:b w:val="1"/>
                <w:bCs w:val="1"/>
                <w:color w:val="auto"/>
              </w:rPr>
              <w:t xml:space="preserve">NET INCOME RECONCILIATION </w:t>
            </w:r>
            <w:r>
              <w:rPr>
                <w:rFonts w:ascii="Arial" w:cs="Arial" w:eastAsia="Arial" w:hAnsi="Arial"/>
                <w:sz w:val="18"/>
                <w:szCs w:val="18"/>
                <w:color w:val="auto"/>
              </w:rPr>
              <w:t>(in thousands)</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92"/>
        </w:trPr>
        <w:tc>
          <w:tcPr>
            <w:tcW w:w="3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8"/>
          </w:tcPr>
          <w:p>
            <w:pPr>
              <w:jc w:val="right"/>
              <w:ind w:right="440"/>
              <w:spacing w:after="0"/>
              <w:rPr>
                <w:sz w:val="20"/>
                <w:szCs w:val="20"/>
                <w:color w:val="auto"/>
              </w:rPr>
            </w:pPr>
            <w:r>
              <w:rPr>
                <w:rFonts w:ascii="Arial" w:cs="Arial" w:eastAsia="Arial" w:hAnsi="Arial"/>
                <w:sz w:val="18"/>
                <w:szCs w:val="18"/>
                <w:color w:val="auto"/>
              </w:rPr>
              <w:t>Three months ended:</w:t>
            </w:r>
          </w:p>
        </w:tc>
        <w:tc>
          <w:tcPr>
            <w:tcW w:w="1760" w:type="dxa"/>
            <w:vAlign w:val="bottom"/>
          </w:tcPr>
          <w:p>
            <w:pPr>
              <w:spacing w:after="0"/>
              <w:rPr>
                <w:sz w:val="24"/>
                <w:szCs w:val="24"/>
                <w:color w:val="auto"/>
              </w:rPr>
            </w:pPr>
          </w:p>
        </w:tc>
      </w:tr>
      <w:tr>
        <w:trPr>
          <w:trHeight w:val="195"/>
        </w:trPr>
        <w:tc>
          <w:tcPr>
            <w:tcW w:w="3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Borders>
              <w:top w:val="single" w:sz="8" w:color="auto"/>
            </w:tcBorders>
            <w:gridSpan w:val="5"/>
          </w:tcPr>
          <w:p>
            <w:pPr>
              <w:jc w:val="right"/>
              <w:ind w:right="380"/>
              <w:spacing w:after="0" w:line="195" w:lineRule="exact"/>
              <w:rPr>
                <w:sz w:val="20"/>
                <w:szCs w:val="20"/>
                <w:color w:val="auto"/>
              </w:rPr>
            </w:pPr>
            <w:r>
              <w:rPr>
                <w:rFonts w:ascii="Arial" w:cs="Arial" w:eastAsia="Arial" w:hAnsi="Arial"/>
                <w:sz w:val="18"/>
                <w:szCs w:val="18"/>
                <w:color w:val="auto"/>
              </w:rPr>
              <w:t>October 31,</w:t>
            </w:r>
          </w:p>
        </w:tc>
        <w:tc>
          <w:tcPr>
            <w:tcW w:w="1040" w:type="dxa"/>
            <w:vAlign w:val="bottom"/>
            <w:tcBorders>
              <w:top w:val="single" w:sz="8" w:color="auto"/>
            </w:tcBorders>
            <w:gridSpan w:val="4"/>
          </w:tcPr>
          <w:p>
            <w:pPr>
              <w:jc w:val="right"/>
              <w:ind w:right="40"/>
              <w:spacing w:after="0" w:line="195" w:lineRule="exact"/>
              <w:rPr>
                <w:sz w:val="20"/>
                <w:szCs w:val="20"/>
                <w:color w:val="auto"/>
              </w:rPr>
            </w:pPr>
            <w:r>
              <w:rPr>
                <w:rFonts w:ascii="Arial" w:cs="Arial" w:eastAsia="Arial" w:hAnsi="Arial"/>
                <w:sz w:val="18"/>
                <w:szCs w:val="18"/>
                <w:color w:val="auto"/>
              </w:rPr>
              <w:t>October 31,</w:t>
            </w: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03"/>
        </w:trPr>
        <w:tc>
          <w:tcPr>
            <w:tcW w:w="3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94"/>
              </w:rPr>
              <w:t>2009</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2008</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3580" w:type="dxa"/>
            <w:vAlign w:val="bottom"/>
            <w:gridSpan w:val="5"/>
            <w:shd w:val="clear" w:color="auto" w:fill="CCEEFF"/>
          </w:tcPr>
          <w:p>
            <w:pPr>
              <w:spacing w:after="0" w:line="196" w:lineRule="exact"/>
              <w:rPr>
                <w:sz w:val="20"/>
                <w:szCs w:val="20"/>
                <w:color w:val="auto"/>
              </w:rPr>
            </w:pPr>
            <w:r>
              <w:rPr>
                <w:rFonts w:ascii="Arial" w:cs="Arial" w:eastAsia="Arial" w:hAnsi="Arial"/>
                <w:sz w:val="18"/>
                <w:szCs w:val="18"/>
                <w:color w:val="auto"/>
              </w:rPr>
              <w:t>Total profit for reportable segments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72,790</w:t>
            </w: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89,063</w:t>
            </w: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2580" w:type="dxa"/>
            <w:vAlign w:val="bottom"/>
            <w:gridSpan w:val="2"/>
          </w:tcPr>
          <w:p>
            <w:pPr>
              <w:spacing w:after="0" w:line="202" w:lineRule="exact"/>
              <w:rPr>
                <w:sz w:val="20"/>
                <w:szCs w:val="20"/>
                <w:color w:val="auto"/>
              </w:rPr>
            </w:pPr>
            <w:r>
              <w:rPr>
                <w:rFonts w:ascii="Arial" w:cs="Arial" w:eastAsia="Arial" w:hAnsi="Arial"/>
                <w:sz w:val="18"/>
                <w:szCs w:val="18"/>
                <w:color w:val="auto"/>
              </w:rPr>
              <w:t>Corporate and eliminations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(2,920)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(2,307)</w:t>
            </w: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2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Unallocated amounts: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25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Administrative costs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(30,712)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(28,923)</w:t>
            </w: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25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Restructuring charges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(3,601)</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(1,639)</w:t>
            </w: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25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Investment and other income</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1,852</w:t>
            </w:r>
          </w:p>
        </w:tc>
        <w:tc>
          <w:tcPr>
            <w:tcW w:w="176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25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(5,162)</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(6,361)</w:t>
            </w:r>
          </w:p>
        </w:tc>
        <w:tc>
          <w:tcPr>
            <w:tcW w:w="17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30,443</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51,685</w:t>
            </w:r>
          </w:p>
        </w:tc>
        <w:tc>
          <w:tcPr>
            <w:tcW w:w="1760" w:type="dxa"/>
            <w:vAlign w:val="bottom"/>
          </w:tcPr>
          <w:p>
            <w:pPr>
              <w:spacing w:after="0"/>
              <w:rPr>
                <w:sz w:val="18"/>
                <w:szCs w:val="18"/>
                <w:color w:val="auto"/>
              </w:rPr>
            </w:pPr>
          </w:p>
        </w:tc>
      </w:tr>
      <w:tr>
        <w:trPr>
          <w:trHeight w:val="203"/>
        </w:trPr>
        <w:tc>
          <w:tcPr>
            <w:tcW w:w="340" w:type="dxa"/>
            <w:vAlign w:val="bottom"/>
          </w:tcPr>
          <w:p>
            <w:pPr>
              <w:spacing w:after="0"/>
              <w:rPr>
                <w:sz w:val="17"/>
                <w:szCs w:val="17"/>
                <w:color w:val="auto"/>
              </w:rPr>
            </w:pPr>
          </w:p>
        </w:tc>
        <w:tc>
          <w:tcPr>
            <w:tcW w:w="2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(8,775)</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(14,575)</w:t>
            </w:r>
          </w:p>
        </w:tc>
        <w:tc>
          <w:tcPr>
            <w:tcW w:w="17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2580" w:type="dxa"/>
            <w:vAlign w:val="bottom"/>
            <w:gridSpan w:val="2"/>
          </w:tcPr>
          <w:p>
            <w:pPr>
              <w:ind w:left="40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21,668</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37,110</w:t>
            </w: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977"/>
        </w:trPr>
        <w:tc>
          <w:tcPr>
            <w:tcW w:w="340" w:type="dxa"/>
            <w:vAlign w:val="bottom"/>
            <w:tcBorders>
              <w:bottom w:val="single" w:sz="8" w:color="808080"/>
            </w:tcBorders>
          </w:tcPr>
          <w:p>
            <w:pPr>
              <w:spacing w:after="0"/>
              <w:rPr>
                <w:sz w:val="24"/>
                <w:szCs w:val="24"/>
                <w:color w:val="auto"/>
              </w:rPr>
            </w:pPr>
          </w:p>
        </w:tc>
        <w:tc>
          <w:tcPr>
            <w:tcW w:w="25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1" w:name="page12"/>
    <w:bookmarkEnd w:id="11"/>
    <w:p>
      <w:pPr>
        <w:ind w:left="8" w:right="4019"/>
        <w:spacing w:after="0" w:line="271" w:lineRule="auto"/>
        <w:rPr>
          <w:sz w:val="20"/>
          <w:szCs w:val="20"/>
          <w:color w:val="auto"/>
        </w:rPr>
      </w:pPr>
      <w:r>
        <w:rPr>
          <w:rFonts w:ascii="Arial" w:cs="Arial" w:eastAsia="Arial" w:hAnsi="Arial"/>
          <w:sz w:val="18"/>
          <w:szCs w:val="18"/>
          <w:b w:val="1"/>
          <w:bCs w:val="1"/>
          <w:color w:val="auto"/>
        </w:rPr>
        <w:t xml:space="preserve">RECONCILIATION OF GAAP MEASURES TO NON-GAAP MEASURES </w:t>
      </w:r>
      <w:r>
        <w:rPr>
          <w:rFonts w:ascii="Arial" w:cs="Arial" w:eastAsia="Arial" w:hAnsi="Arial"/>
          <w:sz w:val="18"/>
          <w:szCs w:val="18"/>
          <w:color w:val="auto"/>
        </w:rPr>
        <w:t>(in thousands)</w:t>
      </w:r>
    </w:p>
    <w:p>
      <w:pPr>
        <w:spacing w:after="0" w:line="159" w:lineRule="exact"/>
        <w:rPr>
          <w:sz w:val="20"/>
          <w:szCs w:val="20"/>
          <w:color w:val="auto"/>
        </w:rPr>
      </w:pPr>
    </w:p>
    <w:tbl>
      <w:tblPr>
        <w:tblLayout w:type="fixed"/>
        <w:tblInd w:w="8" w:type="dxa"/>
        <w:tblCellMar>
          <w:top w:w="0" w:type="dxa"/>
          <w:left w:w="0" w:type="dxa"/>
          <w:bottom w:w="0" w:type="dxa"/>
          <w:right w:w="0" w:type="dxa"/>
        </w:tblCellMar>
      </w:tblPr>
      <w:tr>
        <w:trPr>
          <w:trHeight w:val="207"/>
        </w:trPr>
        <w:tc>
          <w:tcPr>
            <w:tcW w:w="30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Fiscal 2010</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3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ind w:left="140"/>
              <w:spacing w:after="0" w:line="196" w:lineRule="exact"/>
              <w:rPr>
                <w:sz w:val="20"/>
                <w:szCs w:val="20"/>
                <w:color w:val="auto"/>
              </w:rPr>
            </w:pPr>
            <w:r>
              <w:rPr>
                <w:rFonts w:ascii="Arial" w:cs="Arial" w:eastAsia="Arial" w:hAnsi="Arial"/>
                <w:sz w:val="18"/>
                <w:szCs w:val="18"/>
                <w:color w:val="auto"/>
              </w:rPr>
              <w:t>Q1</w:t>
            </w:r>
          </w:p>
        </w:tc>
        <w:tc>
          <w:tcPr>
            <w:tcW w:w="240" w:type="dxa"/>
            <w:vAlign w:val="bottom"/>
          </w:tcPr>
          <w:p>
            <w:pPr>
              <w:spacing w:after="0"/>
              <w:rPr>
                <w:sz w:val="17"/>
                <w:szCs w:val="17"/>
                <w:color w:val="auto"/>
              </w:rPr>
            </w:pPr>
          </w:p>
        </w:tc>
        <w:tc>
          <w:tcPr>
            <w:tcW w:w="10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Q2</w:t>
            </w:r>
          </w:p>
        </w:tc>
        <w:tc>
          <w:tcPr>
            <w:tcW w:w="240" w:type="dxa"/>
            <w:vAlign w:val="bottom"/>
          </w:tcPr>
          <w:p>
            <w:pPr>
              <w:spacing w:after="0"/>
              <w:rPr>
                <w:sz w:val="17"/>
                <w:szCs w:val="17"/>
                <w:color w:val="auto"/>
              </w:rPr>
            </w:pPr>
          </w:p>
        </w:tc>
        <w:tc>
          <w:tcPr>
            <w:tcW w:w="10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Q3</w:t>
            </w:r>
          </w:p>
        </w:tc>
        <w:tc>
          <w:tcPr>
            <w:tcW w:w="220" w:type="dxa"/>
            <w:vAlign w:val="bottom"/>
          </w:tcPr>
          <w:p>
            <w:pPr>
              <w:spacing w:after="0"/>
              <w:rPr>
                <w:sz w:val="17"/>
                <w:szCs w:val="17"/>
                <w:color w:val="auto"/>
              </w:rPr>
            </w:pPr>
          </w:p>
        </w:tc>
        <w:tc>
          <w:tcPr>
            <w:tcW w:w="1080" w:type="dxa"/>
            <w:vAlign w:val="bottom"/>
            <w:gridSpan w:val="2"/>
          </w:tcPr>
          <w:p>
            <w:pPr>
              <w:ind w:left="140"/>
              <w:spacing w:after="0" w:line="196" w:lineRule="exact"/>
              <w:rPr>
                <w:sz w:val="20"/>
                <w:szCs w:val="20"/>
                <w:color w:val="auto"/>
              </w:rPr>
            </w:pPr>
            <w:r>
              <w:rPr>
                <w:rFonts w:ascii="Arial" w:cs="Arial" w:eastAsia="Arial" w:hAnsi="Arial"/>
                <w:sz w:val="18"/>
                <w:szCs w:val="18"/>
                <w:color w:val="auto"/>
              </w:rPr>
              <w:t>Q4</w:t>
            </w:r>
          </w:p>
        </w:tc>
        <w:tc>
          <w:tcPr>
            <w:tcW w:w="200" w:type="dxa"/>
            <w:vAlign w:val="bottom"/>
          </w:tcPr>
          <w:p>
            <w:pPr>
              <w:spacing w:after="0"/>
              <w:rPr>
                <w:sz w:val="17"/>
                <w:szCs w:val="17"/>
                <w:color w:val="auto"/>
              </w:rPr>
            </w:pPr>
          </w:p>
        </w:tc>
        <w:tc>
          <w:tcPr>
            <w:tcW w:w="740" w:type="dxa"/>
            <w:vAlign w:val="bottom"/>
          </w:tcPr>
          <w:p>
            <w:pPr>
              <w:ind w:left="80"/>
              <w:spacing w:after="0" w:line="196" w:lineRule="exact"/>
              <w:rPr>
                <w:sz w:val="20"/>
                <w:szCs w:val="20"/>
                <w:color w:val="auto"/>
              </w:rPr>
            </w:pPr>
            <w:r>
              <w:rPr>
                <w:rFonts w:ascii="Arial" w:cs="Arial" w:eastAsia="Arial" w:hAnsi="Arial"/>
                <w:sz w:val="18"/>
                <w:szCs w:val="18"/>
                <w:color w:val="auto"/>
              </w:rPr>
              <w:t>Total</w:t>
            </w:r>
          </w:p>
        </w:tc>
        <w:tc>
          <w:tcPr>
            <w:tcW w:w="80" w:type="dxa"/>
            <w:vAlign w:val="bottom"/>
          </w:tcPr>
          <w:p>
            <w:pPr>
              <w:spacing w:after="0"/>
              <w:rPr>
                <w:sz w:val="17"/>
                <w:szCs w:val="17"/>
                <w:color w:val="auto"/>
              </w:rPr>
            </w:pPr>
          </w:p>
        </w:tc>
      </w:tr>
      <w:tr>
        <w:trPr>
          <w:trHeight w:val="196"/>
        </w:trPr>
        <w:tc>
          <w:tcPr>
            <w:tcW w:w="3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EBITDA (1)</w:t>
            </w:r>
          </w:p>
        </w:tc>
        <w:tc>
          <w:tcPr>
            <w:tcW w:w="2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3080" w:type="dxa"/>
            <w:vAlign w:val="bottom"/>
          </w:tcPr>
          <w:p>
            <w:pPr>
              <w:ind w:left="200"/>
              <w:spacing w:after="0" w:line="202" w:lineRule="exact"/>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21,668</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21,668</w:t>
            </w:r>
          </w:p>
        </w:tc>
      </w:tr>
      <w:tr>
        <w:trPr>
          <w:trHeight w:val="203"/>
        </w:trPr>
        <w:tc>
          <w:tcPr>
            <w:tcW w:w="30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5,162</w:t>
            </w: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5,162</w:t>
            </w:r>
          </w:p>
        </w:tc>
      </w:tr>
      <w:tr>
        <w:trPr>
          <w:trHeight w:val="203"/>
        </w:trPr>
        <w:tc>
          <w:tcPr>
            <w:tcW w:w="3080" w:type="dxa"/>
            <w:vAlign w:val="bottom"/>
          </w:tcPr>
          <w:p>
            <w:pPr>
              <w:ind w:left="400"/>
              <w:spacing w:after="0" w:line="202" w:lineRule="exact"/>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8,775</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8,775</w:t>
            </w:r>
          </w:p>
        </w:tc>
      </w:tr>
      <w:tr>
        <w:trPr>
          <w:trHeight w:val="203"/>
        </w:trPr>
        <w:tc>
          <w:tcPr>
            <w:tcW w:w="30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13,817</w:t>
            </w: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13,817</w:t>
            </w:r>
          </w:p>
        </w:tc>
      </w:tr>
      <w:tr>
        <w:trPr>
          <w:trHeight w:val="20"/>
        </w:trPr>
        <w:tc>
          <w:tcPr>
            <w:tcW w:w="30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3080" w:type="dxa"/>
            <w:vAlign w:val="bottom"/>
          </w:tcPr>
          <w:p>
            <w:pPr>
              <w:ind w:left="200"/>
              <w:spacing w:after="0"/>
              <w:rPr>
                <w:sz w:val="20"/>
                <w:szCs w:val="20"/>
                <w:color w:val="auto"/>
              </w:rPr>
            </w:pPr>
            <w:r>
              <w:rPr>
                <w:rFonts w:ascii="Arial" w:cs="Arial" w:eastAsia="Arial" w:hAnsi="Arial"/>
                <w:sz w:val="18"/>
                <w:szCs w:val="18"/>
                <w:color w:val="auto"/>
              </w:rPr>
              <w:t>EBITDA (non-GAAP measure)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49,422</w:t>
            </w:r>
          </w:p>
        </w:tc>
        <w:tc>
          <w:tcPr>
            <w:tcW w:w="34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49,422</w:t>
            </w:r>
          </w:p>
        </w:tc>
      </w:tr>
      <w:tr>
        <w:trPr>
          <w:trHeight w:val="20"/>
        </w:trPr>
        <w:tc>
          <w:tcPr>
            <w:tcW w:w="3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9"/>
        </w:trPr>
        <w:tc>
          <w:tcPr>
            <w:tcW w:w="30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Fiscal 2009</w:t>
            </w: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3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ind w:left="140"/>
              <w:spacing w:after="0" w:line="196" w:lineRule="exact"/>
              <w:rPr>
                <w:sz w:val="20"/>
                <w:szCs w:val="20"/>
                <w:color w:val="auto"/>
              </w:rPr>
            </w:pPr>
            <w:r>
              <w:rPr>
                <w:rFonts w:ascii="Arial" w:cs="Arial" w:eastAsia="Arial" w:hAnsi="Arial"/>
                <w:sz w:val="18"/>
                <w:szCs w:val="18"/>
                <w:color w:val="auto"/>
              </w:rPr>
              <w:t>Q1</w:t>
            </w:r>
          </w:p>
        </w:tc>
        <w:tc>
          <w:tcPr>
            <w:tcW w:w="240" w:type="dxa"/>
            <w:vAlign w:val="bottom"/>
          </w:tcPr>
          <w:p>
            <w:pPr>
              <w:spacing w:after="0"/>
              <w:rPr>
                <w:sz w:val="17"/>
                <w:szCs w:val="17"/>
                <w:color w:val="auto"/>
              </w:rPr>
            </w:pPr>
          </w:p>
        </w:tc>
        <w:tc>
          <w:tcPr>
            <w:tcW w:w="10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Q2</w:t>
            </w:r>
          </w:p>
        </w:tc>
        <w:tc>
          <w:tcPr>
            <w:tcW w:w="240" w:type="dxa"/>
            <w:vAlign w:val="bottom"/>
          </w:tcPr>
          <w:p>
            <w:pPr>
              <w:spacing w:after="0"/>
              <w:rPr>
                <w:sz w:val="17"/>
                <w:szCs w:val="17"/>
                <w:color w:val="auto"/>
              </w:rPr>
            </w:pPr>
          </w:p>
        </w:tc>
        <w:tc>
          <w:tcPr>
            <w:tcW w:w="10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Q3</w:t>
            </w:r>
          </w:p>
        </w:tc>
        <w:tc>
          <w:tcPr>
            <w:tcW w:w="220" w:type="dxa"/>
            <w:vAlign w:val="bottom"/>
          </w:tcPr>
          <w:p>
            <w:pPr>
              <w:spacing w:after="0"/>
              <w:rPr>
                <w:sz w:val="17"/>
                <w:szCs w:val="17"/>
                <w:color w:val="auto"/>
              </w:rPr>
            </w:pPr>
          </w:p>
        </w:tc>
        <w:tc>
          <w:tcPr>
            <w:tcW w:w="1080" w:type="dxa"/>
            <w:vAlign w:val="bottom"/>
            <w:gridSpan w:val="2"/>
          </w:tcPr>
          <w:p>
            <w:pPr>
              <w:ind w:left="140"/>
              <w:spacing w:after="0" w:line="196" w:lineRule="exact"/>
              <w:rPr>
                <w:sz w:val="20"/>
                <w:szCs w:val="20"/>
                <w:color w:val="auto"/>
              </w:rPr>
            </w:pPr>
            <w:r>
              <w:rPr>
                <w:rFonts w:ascii="Arial" w:cs="Arial" w:eastAsia="Arial" w:hAnsi="Arial"/>
                <w:sz w:val="18"/>
                <w:szCs w:val="18"/>
                <w:color w:val="auto"/>
              </w:rPr>
              <w:t>Q4</w:t>
            </w:r>
          </w:p>
        </w:tc>
        <w:tc>
          <w:tcPr>
            <w:tcW w:w="200" w:type="dxa"/>
            <w:vAlign w:val="bottom"/>
          </w:tcPr>
          <w:p>
            <w:pPr>
              <w:spacing w:after="0"/>
              <w:rPr>
                <w:sz w:val="17"/>
                <w:szCs w:val="17"/>
                <w:color w:val="auto"/>
              </w:rPr>
            </w:pPr>
          </w:p>
        </w:tc>
        <w:tc>
          <w:tcPr>
            <w:tcW w:w="740" w:type="dxa"/>
            <w:vAlign w:val="bottom"/>
          </w:tcPr>
          <w:p>
            <w:pPr>
              <w:ind w:left="80"/>
              <w:spacing w:after="0" w:line="196" w:lineRule="exact"/>
              <w:rPr>
                <w:sz w:val="20"/>
                <w:szCs w:val="20"/>
                <w:color w:val="auto"/>
              </w:rPr>
            </w:pPr>
            <w:r>
              <w:rPr>
                <w:rFonts w:ascii="Arial" w:cs="Arial" w:eastAsia="Arial" w:hAnsi="Arial"/>
                <w:sz w:val="18"/>
                <w:szCs w:val="18"/>
                <w:color w:val="auto"/>
              </w:rPr>
              <w:t>Total</w:t>
            </w:r>
          </w:p>
        </w:tc>
        <w:tc>
          <w:tcPr>
            <w:tcW w:w="80" w:type="dxa"/>
            <w:vAlign w:val="bottom"/>
          </w:tcPr>
          <w:p>
            <w:pPr>
              <w:spacing w:after="0"/>
              <w:rPr>
                <w:sz w:val="17"/>
                <w:szCs w:val="17"/>
                <w:color w:val="auto"/>
              </w:rPr>
            </w:pPr>
          </w:p>
        </w:tc>
      </w:tr>
      <w:tr>
        <w:trPr>
          <w:trHeight w:val="196"/>
        </w:trPr>
        <w:tc>
          <w:tcPr>
            <w:tcW w:w="3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EBITDA (1)</w:t>
            </w:r>
          </w:p>
        </w:tc>
        <w:tc>
          <w:tcPr>
            <w:tcW w:w="2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3080" w:type="dxa"/>
            <w:vAlign w:val="bottom"/>
          </w:tcPr>
          <w:p>
            <w:pPr>
              <w:ind w:left="200"/>
              <w:spacing w:after="0" w:line="202" w:lineRule="exact"/>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37,110</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37,110</w:t>
            </w:r>
          </w:p>
        </w:tc>
      </w:tr>
      <w:tr>
        <w:trPr>
          <w:trHeight w:val="203"/>
        </w:trPr>
        <w:tc>
          <w:tcPr>
            <w:tcW w:w="30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6,361</w:t>
            </w: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6,361</w:t>
            </w:r>
          </w:p>
        </w:tc>
      </w:tr>
      <w:tr>
        <w:trPr>
          <w:trHeight w:val="203"/>
        </w:trPr>
        <w:tc>
          <w:tcPr>
            <w:tcW w:w="3080" w:type="dxa"/>
            <w:vAlign w:val="bottom"/>
          </w:tcPr>
          <w:p>
            <w:pPr>
              <w:ind w:left="400"/>
              <w:spacing w:after="0" w:line="202" w:lineRule="exact"/>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14,575</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14,575</w:t>
            </w:r>
          </w:p>
        </w:tc>
      </w:tr>
      <w:tr>
        <w:trPr>
          <w:trHeight w:val="203"/>
        </w:trPr>
        <w:tc>
          <w:tcPr>
            <w:tcW w:w="30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13,712</w:t>
            </w: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13,712</w:t>
            </w:r>
          </w:p>
        </w:tc>
      </w:tr>
      <w:tr>
        <w:trPr>
          <w:trHeight w:val="20"/>
        </w:trPr>
        <w:tc>
          <w:tcPr>
            <w:tcW w:w="30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3080" w:type="dxa"/>
            <w:vAlign w:val="bottom"/>
          </w:tcPr>
          <w:p>
            <w:pPr>
              <w:ind w:left="200"/>
              <w:spacing w:after="0"/>
              <w:rPr>
                <w:sz w:val="20"/>
                <w:szCs w:val="20"/>
                <w:color w:val="auto"/>
              </w:rPr>
            </w:pPr>
            <w:r>
              <w:rPr>
                <w:rFonts w:ascii="Arial" w:cs="Arial" w:eastAsia="Arial" w:hAnsi="Arial"/>
                <w:sz w:val="18"/>
                <w:szCs w:val="18"/>
                <w:color w:val="auto"/>
              </w:rPr>
              <w:t>EBITDA (non-GAAP measure)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71,758</w:t>
            </w:r>
          </w:p>
        </w:tc>
        <w:tc>
          <w:tcPr>
            <w:tcW w:w="34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71,758</w:t>
            </w:r>
          </w:p>
        </w:tc>
      </w:tr>
      <w:tr>
        <w:trPr>
          <w:trHeight w:val="20"/>
        </w:trPr>
        <w:tc>
          <w:tcPr>
            <w:tcW w:w="3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4" w:lineRule="exact"/>
        <w:rPr>
          <w:sz w:val="20"/>
          <w:szCs w:val="20"/>
          <w:color w:val="auto"/>
        </w:rPr>
      </w:pPr>
    </w:p>
    <w:p>
      <w:pPr>
        <w:ind w:left="348" w:right="579" w:hanging="348"/>
        <w:spacing w:after="0" w:line="236" w:lineRule="auto"/>
        <w:tabs>
          <w:tab w:leader="none" w:pos="348" w:val="left"/>
        </w:tabs>
        <w:numPr>
          <w:ilvl w:val="0"/>
          <w:numId w:val="2"/>
        </w:numPr>
        <w:rPr>
          <w:rFonts w:ascii="Arial" w:cs="Arial" w:eastAsia="Arial" w:hAnsi="Arial"/>
          <w:sz w:val="18"/>
          <w:szCs w:val="18"/>
          <w:color w:val="auto"/>
        </w:rPr>
      </w:pPr>
      <w:r>
        <w:rPr>
          <w:rFonts w:ascii="Arial" w:cs="Arial" w:eastAsia="Arial" w:hAnsi="Arial"/>
          <w:sz w:val="18"/>
          <w:szCs w:val="18"/>
          <w:color w:val="auto"/>
        </w:rPr>
        <w:t>Brady is presenting EBITDA because it is used by many of our investors and lenders, and is presented as a convenience to them. EBITDA represents net income before interest expense, income taxes and depreciation and amortization. EBITDA is not a calculation based on generally accepted accounting principles (GAAP). The amounts included in the EBITDA calculation, however, are derived from amounts included in the Condensed Consolidated Statements of Income data. EBITDA should not be considered as an alternative to net income or operating income as an indicator of the company’s operating performance, or as an alternative to operating cash flows as a measure of liquidity. The EBITDA measure presented may not always be comparable to similarly titled measures reported by other companies due to differences in the components of the calculation.</w:t>
      </w:r>
    </w:p>
    <w:sectPr>
      <w:pgSz w:w="11900" w:h="16838" w:orient="portrait"/>
      <w:cols w:equalWidth="0" w:num="1">
        <w:col w:w="9887"/>
      </w:cols>
      <w:pgMar w:left="572" w:top="9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4"/>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2019-12-10T06:02:53Z</dcterms:created>
  <dcterms:modified xsi:type="dcterms:W3CDTF">2019-12-10T06:02:53Z</dcterms:modified>
</cp:coreProperties>
</file>