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411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41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56.5292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2,791.7039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18.2352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7,889.0651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8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48.0537 shares acquired pursuant to a deferred compensation dividend on November 2, 2011.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Krista Ebbens, as Attorney 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6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2019-12-18T16:28:42Z</dcterms:created>
  <dcterms:modified xsi:type="dcterms:W3CDTF">2019-12-18T16:28:42Z</dcterms:modified>
</cp:coreProperties>
</file>