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62"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07" w:lineRule="exact"/>
        <w:rPr>
          <w:rFonts w:ascii="Times New Roman" w:cs="Times New Roman" w:eastAsia="Times New Roman" w:hAnsi="Times New Roman"/>
          <w:sz w:val="20"/>
          <w:szCs w:val="20"/>
          <w:color w:val="auto"/>
        </w:rPr>
      </w:pPr>
    </w:p>
    <w:p>
      <w:pPr>
        <w:ind w:left="4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 the fiscal year ended July 31, 2019</w:t>
      </w:r>
    </w:p>
    <w:p>
      <w:pPr>
        <w:spacing w:after="0" w:line="80" w:lineRule="exact"/>
        <w:rPr>
          <w:rFonts w:ascii="Times New Roman" w:cs="Times New Roman" w:eastAsia="Times New Roman" w:hAnsi="Times New Roman"/>
          <w:sz w:val="20"/>
          <w:szCs w:val="20"/>
          <w:color w:val="auto"/>
        </w:rPr>
      </w:pPr>
    </w:p>
    <w:p>
      <w:pPr>
        <w:ind w:left="5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w:t>
      </w:r>
    </w:p>
    <w:p>
      <w:pPr>
        <w:spacing w:after="0" w:line="16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380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71" w:lineRule="exact"/>
        <w:rPr>
          <w:sz w:val="24"/>
          <w:szCs w:val="24"/>
          <w:color w:val="auto"/>
        </w:rPr>
      </w:pPr>
    </w:p>
    <w:tbl>
      <w:tblPr>
        <w:tblLayout w:type="fixed"/>
        <w:tblInd w:w="1620" w:type="dxa"/>
        <w:tblCellMar>
          <w:top w:w="0" w:type="dxa"/>
          <w:left w:w="0" w:type="dxa"/>
          <w:bottom w:w="0" w:type="dxa"/>
          <w:right w:w="0" w:type="dxa"/>
        </w:tblCellMar>
      </w:tblPr>
      <w:tr>
        <w:trPr>
          <w:trHeight w:val="253"/>
        </w:trPr>
        <w:tc>
          <w:tcPr>
            <w:tcW w:w="6220" w:type="dxa"/>
            <w:vAlign w:val="bottom"/>
          </w:tcPr>
          <w:p>
            <w:pPr>
              <w:jc w:val="center"/>
              <w:ind w:left="1874"/>
              <w:spacing w:after="0"/>
              <w:rPr>
                <w:sz w:val="20"/>
                <w:szCs w:val="20"/>
                <w:color w:val="auto"/>
              </w:rPr>
            </w:pPr>
            <w:r>
              <w:rPr>
                <w:rFonts w:ascii="Times New Roman" w:cs="Times New Roman" w:eastAsia="Times New Roman" w:hAnsi="Times New Roman"/>
                <w:sz w:val="22"/>
                <w:szCs w:val="22"/>
                <w:b w:val="1"/>
                <w:bCs w:val="1"/>
                <w:color w:val="auto"/>
                <w:w w:val="97"/>
              </w:rPr>
              <w:t>BRADY CORPORATION</w:t>
            </w:r>
          </w:p>
        </w:tc>
        <w:tc>
          <w:tcPr>
            <w:tcW w:w="1380" w:type="dxa"/>
            <w:vAlign w:val="bottom"/>
          </w:tcPr>
          <w:p>
            <w:pPr>
              <w:spacing w:after="0"/>
              <w:rPr>
                <w:sz w:val="22"/>
                <w:szCs w:val="22"/>
                <w:color w:val="auto"/>
              </w:rPr>
            </w:pPr>
          </w:p>
        </w:tc>
      </w:tr>
      <w:tr>
        <w:trPr>
          <w:trHeight w:val="238"/>
        </w:trPr>
        <w:tc>
          <w:tcPr>
            <w:tcW w:w="622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380" w:type="dxa"/>
            <w:vAlign w:val="bottom"/>
          </w:tcPr>
          <w:p>
            <w:pPr>
              <w:spacing w:after="0"/>
              <w:rPr>
                <w:sz w:val="20"/>
                <w:szCs w:val="20"/>
                <w:color w:val="auto"/>
              </w:rPr>
            </w:pPr>
          </w:p>
        </w:tc>
      </w:tr>
      <w:tr>
        <w:trPr>
          <w:trHeight w:val="378"/>
        </w:trPr>
        <w:tc>
          <w:tcPr>
            <w:tcW w:w="6220" w:type="dxa"/>
            <w:vAlign w:val="bottom"/>
          </w:tcPr>
          <w:p>
            <w:pPr>
              <w:jc w:val="center"/>
              <w:ind w:right="3754"/>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78"/>
        </w:trPr>
        <w:tc>
          <w:tcPr>
            <w:tcW w:w="6220" w:type="dxa"/>
            <w:vAlign w:val="bottom"/>
          </w:tcPr>
          <w:p>
            <w:pPr>
              <w:jc w:val="center"/>
              <w:ind w:right="377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77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6220" w:type="dxa"/>
            <w:vAlign w:val="bottom"/>
          </w:tcPr>
          <w:p>
            <w:pPr>
              <w:jc w:val="center"/>
              <w:ind w:right="3774"/>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1380" w:type="dxa"/>
            <w:vAlign w:val="bottom"/>
          </w:tcPr>
          <w:p>
            <w:pPr>
              <w:spacing w:after="0"/>
              <w:rPr>
                <w:sz w:val="20"/>
                <w:szCs w:val="20"/>
                <w:color w:val="auto"/>
              </w:rPr>
            </w:pPr>
          </w:p>
        </w:tc>
      </w:tr>
      <w:tr>
        <w:trPr>
          <w:trHeight w:val="238"/>
        </w:trPr>
        <w:tc>
          <w:tcPr>
            <w:tcW w:w="6220" w:type="dxa"/>
            <w:vAlign w:val="bottom"/>
          </w:tcPr>
          <w:p>
            <w:pPr>
              <w:jc w:val="center"/>
              <w:ind w:right="3774"/>
              <w:spacing w:after="0"/>
              <w:rPr>
                <w:sz w:val="20"/>
                <w:szCs w:val="20"/>
                <w:color w:val="auto"/>
              </w:rPr>
            </w:pPr>
            <w:r>
              <w:rPr>
                <w:rFonts w:ascii="Times New Roman" w:cs="Times New Roman" w:eastAsia="Times New Roman" w:hAnsi="Times New Roman"/>
                <w:sz w:val="18"/>
                <w:szCs w:val="18"/>
                <w:b w:val="1"/>
                <w:bCs w:val="1"/>
                <w:color w:val="auto"/>
              </w:rPr>
              <w:t>Milwaukee, WI</w:t>
            </w: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220"/>
        </w:trPr>
        <w:tc>
          <w:tcPr>
            <w:tcW w:w="6220" w:type="dxa"/>
            <w:vAlign w:val="bottom"/>
          </w:tcPr>
          <w:p>
            <w:pPr>
              <w:jc w:val="center"/>
              <w:ind w:right="375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p>
      <w:pPr>
        <w:ind w:left="1980"/>
        <w:spacing w:after="0"/>
        <w:tabs>
          <w:tab w:leader="none" w:pos="5200" w:val="left"/>
          <w:tab w:leader="none" w:pos="75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1000"/>
        <w:spacing w:after="0"/>
        <w:tabs>
          <w:tab w:leader="none" w:pos="5520" w:val="left"/>
          <w:tab w:leader="none" w:pos="7880" w:val="left"/>
        </w:tabs>
        <w:rPr>
          <w:sz w:val="20"/>
          <w:szCs w:val="20"/>
          <w:color w:val="auto"/>
        </w:rPr>
      </w:pPr>
      <w:r>
        <w:rPr>
          <w:rFonts w:ascii="Times New Roman" w:cs="Times New Roman" w:eastAsia="Times New Roman" w:hAnsi="Times New Roman"/>
          <w:sz w:val="18"/>
          <w:szCs w:val="18"/>
          <w:b w:val="1"/>
          <w:bCs w:val="1"/>
          <w:color w:val="auto"/>
        </w:rPr>
        <w:t>Class A Nonvoting Common Stock, Par</w:t>
      </w:r>
      <w:r>
        <w:rPr>
          <w:sz w:val="20"/>
          <w:szCs w:val="20"/>
          <w:color w:val="auto"/>
        </w:rPr>
        <w:tab/>
      </w:r>
      <w:r>
        <w:rPr>
          <w:rFonts w:ascii="Times New Roman" w:cs="Times New Roman" w:eastAsia="Times New Roman" w:hAnsi="Times New Roman"/>
          <w:sz w:val="18"/>
          <w:szCs w:val="18"/>
          <w:b w:val="1"/>
          <w:bCs w:val="1"/>
          <w:color w:val="auto"/>
        </w:rPr>
        <w:t>BRC</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3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Value $.01 per share</w:t>
      </w:r>
    </w:p>
    <w:p>
      <w:pPr>
        <w:spacing w:after="0" w:line="9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93" w:lineRule="exact"/>
        <w:rPr>
          <w:sz w:val="24"/>
          <w:szCs w:val="24"/>
          <w:color w:val="auto"/>
        </w:rPr>
      </w:pPr>
    </w:p>
    <w:p>
      <w:pPr>
        <w:ind w:left="440" w:right="3020"/>
        <w:spacing w:after="0" w:line="24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405"/>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314" w:lineRule="exact"/>
        <w:rPr>
          <w:sz w:val="24"/>
          <w:szCs w:val="24"/>
          <w:color w:val="auto"/>
        </w:rPr>
      </w:pPr>
    </w:p>
    <w:p>
      <w:pPr>
        <w:ind w:left="60"/>
        <w:spacing w:after="0" w:line="161" w:lineRule="exact"/>
        <w:tabs>
          <w:tab w:leader="none" w:pos="2560" w:val="left"/>
          <w:tab w:leader="none" w:pos="3700" w:val="left"/>
          <w:tab w:leader="none" w:pos="6400" w:val="left"/>
          <w:tab w:leader="none" w:pos="75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109" w:lineRule="exact"/>
        <w:rPr>
          <w:sz w:val="24"/>
          <w:szCs w:val="24"/>
          <w:color w:val="auto"/>
        </w:rPr>
      </w:pPr>
    </w:p>
    <w:p>
      <w:pPr>
        <w:ind w:left="60"/>
        <w:spacing w:after="0" w:line="161" w:lineRule="exact"/>
        <w:tabs>
          <w:tab w:leader="none" w:pos="2560" w:val="left"/>
          <w:tab w:leader="none" w:pos="3700" w:val="left"/>
          <w:tab w:leader="none" w:pos="64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78" w:lineRule="exact"/>
        <w:rPr>
          <w:sz w:val="24"/>
          <w:szCs w:val="24"/>
          <w:color w:val="auto"/>
        </w:rPr>
      </w:pPr>
    </w:p>
    <w:p>
      <w:pPr>
        <w:ind w:left="60"/>
        <w:spacing w:after="0" w:line="26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7" w:lineRule="exact"/>
        <w:rPr>
          <w:sz w:val="24"/>
          <w:szCs w:val="24"/>
          <w:color w:val="auto"/>
        </w:rPr>
      </w:pPr>
    </w:p>
    <w:p>
      <w:pPr>
        <w:ind w:left="420"/>
        <w:spacing w:after="0" w:line="161" w:lineRule="exact"/>
        <w:tabs>
          <w:tab w:leader="none" w:pos="6460" w:val="left"/>
          <w:tab w:leader="none" w:pos="70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1" w:lineRule="exact"/>
        <w:rPr>
          <w:sz w:val="24"/>
          <w:szCs w:val="24"/>
          <w:color w:val="auto"/>
        </w:rPr>
      </w:pPr>
    </w:p>
    <w:p>
      <w:pPr>
        <w:sectPr>
          <w:pgSz w:w="11900" w:h="16838" w:orient="portrait"/>
          <w:cols w:equalWidth="0" w:num="2">
            <w:col w:w="9880" w:space="400"/>
            <w:col w:w="1140"/>
          </w:cols>
          <w:pgMar w:left="240" w:top="225" w:right="239" w:bottom="1440" w:gutter="0" w:footer="0" w:header="0"/>
          <w:type w:val="continuous"/>
        </w:sectPr>
      </w:pPr>
    </w:p>
    <w:p>
      <w:pPr>
        <w:jc w:val="both"/>
        <w:ind w:firstLine="405"/>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non-voting common stock held by non-affiliates of the registrant as of January 31, 2019, was approximately $2,066,417,510 based on the closing sale price of $44.71 per share on that date as reported for the New York Stock Exchange. As of September 3, 2019, there were 49,459,620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4660" w:type="dxa"/>
            <w:vAlign w:val="bottom"/>
            <w:gridSpan w:val="10"/>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Item.1 Business</w:t>
              </w:r>
            </w:hyperlink>
          </w:p>
        </w:tc>
        <w:tc>
          <w:tcPr>
            <w:tcW w:w="8620" w:type="dxa"/>
            <w:vAlign w:val="bottom"/>
            <w:gridSpan w:val="47"/>
            <w:vMerge w:val="restart"/>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8620" w:type="dxa"/>
            <w:vAlign w:val="bottom"/>
            <w:gridSpan w:val="47"/>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2"/>
          </w:tcPr>
          <w:p>
            <w:pPr>
              <w:spacing w:after="0"/>
              <w:rPr>
                <w:rFonts w:ascii="Times New Roman" w:cs="Times New Roman" w:eastAsia="Times New Roman" w:hAnsi="Times New Roman"/>
                <w:sz w:val="18"/>
                <w:szCs w:val="18"/>
                <w:color w:val="auto"/>
                <w:w w:val="99"/>
              </w:rPr>
            </w:pPr>
            <w:hyperlink w:anchor="page3">
              <w:r>
                <w:rPr>
                  <w:rFonts w:ascii="Times New Roman" w:cs="Times New Roman" w:eastAsia="Times New Roman" w:hAnsi="Times New Roman"/>
                  <w:sz w:val="18"/>
                  <w:szCs w:val="18"/>
                  <w:color w:val="auto"/>
                  <w:w w:val="99"/>
                </w:rPr>
                <w:t>General Development of Business</w:t>
              </w:r>
            </w:hyperlink>
          </w:p>
        </w:tc>
        <w:tc>
          <w:tcPr>
            <w:tcW w:w="7080" w:type="dxa"/>
            <w:vAlign w:val="bottom"/>
            <w:gridSpan w:val="29"/>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21"/>
          </w:tcPr>
          <w:p>
            <w:pPr>
              <w:spacing w:after="0"/>
              <w:rPr>
                <w:rFonts w:ascii="Times New Roman" w:cs="Times New Roman" w:eastAsia="Times New Roman" w:hAnsi="Times New Roman"/>
                <w:sz w:val="18"/>
                <w:szCs w:val="18"/>
                <w:color w:val="auto"/>
                <w:w w:val="99"/>
              </w:rPr>
            </w:pPr>
            <w:hyperlink w:anchor="page3">
              <w:r>
                <w:rPr>
                  <w:rFonts w:ascii="Times New Roman" w:cs="Times New Roman" w:eastAsia="Times New Roman" w:hAnsi="Times New Roman"/>
                  <w:sz w:val="18"/>
                  <w:szCs w:val="18"/>
                  <w:color w:val="auto"/>
                  <w:w w:val="99"/>
                </w:rPr>
                <w:t>Narrative Description of Business</w:t>
              </w:r>
            </w:hyperlink>
          </w:p>
        </w:tc>
        <w:tc>
          <w:tcPr>
            <w:tcW w:w="7100" w:type="dxa"/>
            <w:vAlign w:val="bottom"/>
            <w:gridSpan w:val="30"/>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Times New Roman" w:cs="Times New Roman" w:eastAsia="Times New Roman" w:hAnsi="Times New Roman"/>
                <w:sz w:val="18"/>
                <w:szCs w:val="18"/>
                <w:color w:val="auto"/>
                <w:w w:val="95"/>
              </w:rPr>
            </w:pPr>
            <w:hyperlink w:anchor="page3">
              <w:r>
                <w:rPr>
                  <w:rFonts w:ascii="Times New Roman" w:cs="Times New Roman" w:eastAsia="Times New Roman" w:hAnsi="Times New Roman"/>
                  <w:sz w:val="18"/>
                  <w:szCs w:val="18"/>
                  <w:color w:val="auto"/>
                  <w:w w:val="95"/>
                </w:rPr>
                <w:t>Overview</w:t>
              </w:r>
            </w:hyperlink>
          </w:p>
        </w:tc>
        <w:tc>
          <w:tcPr>
            <w:tcW w:w="8520" w:type="dxa"/>
            <w:vAlign w:val="bottom"/>
            <w:gridSpan w:val="46"/>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Research and Development</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Times New Roman" w:cs="Times New Roman" w:eastAsia="Times New Roman" w:hAnsi="Times New Roman"/>
                <w:sz w:val="18"/>
                <w:szCs w:val="18"/>
                <w:color w:val="auto"/>
                <w:w w:val="96"/>
              </w:rPr>
            </w:pPr>
            <w:hyperlink w:anchor="page5">
              <w:r>
                <w:rPr>
                  <w:rFonts w:ascii="Times New Roman" w:cs="Times New Roman" w:eastAsia="Times New Roman" w:hAnsi="Times New Roman"/>
                  <w:sz w:val="18"/>
                  <w:szCs w:val="18"/>
                  <w:color w:val="auto"/>
                  <w:w w:val="96"/>
                </w:rPr>
                <w:t>Operations</w:t>
              </w:r>
            </w:hyperlink>
          </w:p>
        </w:tc>
        <w:tc>
          <w:tcPr>
            <w:tcW w:w="1180" w:type="dxa"/>
            <w:vAlign w:val="bottom"/>
            <w:tcBorders>
              <w:top w:val="single" w:sz="8" w:color="auto"/>
            </w:tcBorders>
            <w:gridSpan w:val="13"/>
          </w:tcPr>
          <w:p>
            <w:pPr>
              <w:spacing w:after="0"/>
              <w:rPr>
                <w:sz w:val="21"/>
                <w:szCs w:val="21"/>
                <w:color w:val="auto"/>
              </w:rPr>
            </w:pPr>
          </w:p>
        </w:tc>
        <w:tc>
          <w:tcPr>
            <w:tcW w:w="7260" w:type="dxa"/>
            <w:vAlign w:val="bottom"/>
            <w:gridSpan w:val="32"/>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Environment</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Times New Roman" w:cs="Times New Roman" w:eastAsia="Times New Roman" w:hAnsi="Times New Roman"/>
                <w:sz w:val="18"/>
                <w:szCs w:val="18"/>
                <w:color w:val="auto"/>
                <w:w w:val="97"/>
              </w:rPr>
            </w:pPr>
            <w:hyperlink w:anchor="page6">
              <w:r>
                <w:rPr>
                  <w:rFonts w:ascii="Times New Roman" w:cs="Times New Roman" w:eastAsia="Times New Roman" w:hAnsi="Times New Roman"/>
                  <w:sz w:val="18"/>
                  <w:szCs w:val="18"/>
                  <w:color w:val="auto"/>
                  <w:w w:val="97"/>
                </w:rPr>
                <w:t>Employees</w:t>
              </w:r>
            </w:hyperlink>
          </w:p>
        </w:tc>
        <w:tc>
          <w:tcPr>
            <w:tcW w:w="120" w:type="dxa"/>
            <w:vAlign w:val="bottom"/>
            <w:tcBorders>
              <w:top w:val="single" w:sz="8" w:color="auto"/>
            </w:tcBorders>
            <w:gridSpan w:val="2"/>
          </w:tcPr>
          <w:p>
            <w:pPr>
              <w:spacing w:after="0"/>
              <w:rPr>
                <w:sz w:val="21"/>
                <w:szCs w:val="21"/>
                <w:color w:val="auto"/>
              </w:rPr>
            </w:pPr>
          </w:p>
        </w:tc>
        <w:tc>
          <w:tcPr>
            <w:tcW w:w="8300" w:type="dxa"/>
            <w:vAlign w:val="bottom"/>
            <w:gridSpan w:val="42"/>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4"/>
          </w:tcPr>
          <w:p>
            <w:pPr>
              <w:spacing w:after="0"/>
              <w:rPr>
                <w:rFonts w:ascii="Times New Roman" w:cs="Times New Roman" w:eastAsia="Times New Roman" w:hAnsi="Times New Roman"/>
                <w:sz w:val="18"/>
                <w:szCs w:val="18"/>
                <w:color w:val="auto"/>
                <w:w w:val="99"/>
              </w:rPr>
            </w:pPr>
            <w:hyperlink w:anchor="page6">
              <w:r>
                <w:rPr>
                  <w:rFonts w:ascii="Times New Roman" w:cs="Times New Roman" w:eastAsia="Times New Roman" w:hAnsi="Times New Roman"/>
                  <w:sz w:val="18"/>
                  <w:szCs w:val="18"/>
                  <w:color w:val="auto"/>
                  <w:w w:val="99"/>
                </w:rPr>
                <w:t>Information Available on the Internet</w:t>
              </w:r>
            </w:hyperlink>
          </w:p>
        </w:tc>
        <w:tc>
          <w:tcPr>
            <w:tcW w:w="6860" w:type="dxa"/>
            <w:vAlign w:val="bottom"/>
            <w:gridSpan w:val="27"/>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2"/>
          </w:tcPr>
          <w:p>
            <w:pP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Item 1A. Risk Factors</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21"/>
          </w:tcPr>
          <w:p>
            <w:pPr>
              <w:spacing w:after="0"/>
              <w:rPr>
                <w:rFonts w:ascii="Times New Roman" w:cs="Times New Roman" w:eastAsia="Times New Roman" w:hAnsi="Times New Roman"/>
                <w:sz w:val="18"/>
                <w:szCs w:val="18"/>
                <w:color w:val="auto"/>
                <w:w w:val="99"/>
              </w:rPr>
            </w:pPr>
            <w:hyperlink w:anchor="page10">
              <w:r>
                <w:rPr>
                  <w:rFonts w:ascii="Times New Roman" w:cs="Times New Roman" w:eastAsia="Times New Roman" w:hAnsi="Times New Roman"/>
                  <w:sz w:val="18"/>
                  <w:szCs w:val="18"/>
                  <w:color w:val="auto"/>
                  <w:w w:val="99"/>
                </w:rPr>
                <w:t>Item 1B. Unresolved Staff Comments</w:t>
              </w:r>
            </w:hyperlink>
          </w:p>
        </w:tc>
        <w:tc>
          <w:tcPr>
            <w:tcW w:w="7180" w:type="dxa"/>
            <w:vAlign w:val="bottom"/>
            <w:gridSpan w:val="31"/>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Times New Roman" w:cs="Times New Roman" w:eastAsia="Times New Roman" w:hAnsi="Times New Roman"/>
                <w:sz w:val="18"/>
                <w:szCs w:val="18"/>
                <w:color w:val="auto"/>
                <w:w w:val="98"/>
              </w:rPr>
            </w:pPr>
            <w:hyperlink w:anchor="page10">
              <w:r>
                <w:rPr>
                  <w:rFonts w:ascii="Times New Roman" w:cs="Times New Roman" w:eastAsia="Times New Roman" w:hAnsi="Times New Roman"/>
                  <w:sz w:val="18"/>
                  <w:szCs w:val="18"/>
                  <w:color w:val="auto"/>
                  <w:w w:val="98"/>
                </w:rPr>
                <w:t>Item 2. Properties</w:t>
              </w:r>
            </w:hyperlink>
          </w:p>
        </w:tc>
        <w:tc>
          <w:tcPr>
            <w:tcW w:w="1440" w:type="dxa"/>
            <w:vAlign w:val="bottom"/>
            <w:gridSpan w:val="16"/>
          </w:tcPr>
          <w:p>
            <w:pPr>
              <w:spacing w:after="0"/>
              <w:rPr>
                <w:sz w:val="21"/>
                <w:szCs w:val="21"/>
                <w:color w:val="auto"/>
              </w:rPr>
            </w:pPr>
          </w:p>
        </w:tc>
        <w:tc>
          <w:tcPr>
            <w:tcW w:w="7180" w:type="dxa"/>
            <w:vAlign w:val="bottom"/>
            <w:gridSpan w:val="31"/>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Item 3. Legal Proceedings</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Item 4. Mine Safety Disclosures</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6"/>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1"/>
          </w:tcPr>
          <w:p>
            <w:pPr>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4"/>
          </w:tcPr>
          <w:p>
            <w:pPr>
              <w:spacing w:after="0"/>
              <w:rPr>
                <w:rFonts w:ascii="Times New Roman" w:cs="Times New Roman" w:eastAsia="Times New Roman" w:hAnsi="Times New Roman"/>
                <w:sz w:val="18"/>
                <w:szCs w:val="18"/>
                <w:color w:val="auto"/>
                <w:w w:val="98"/>
              </w:rPr>
            </w:pPr>
            <w:hyperlink w:anchor="page13">
              <w:r>
                <w:rPr>
                  <w:rFonts w:ascii="Times New Roman" w:cs="Times New Roman" w:eastAsia="Times New Roman" w:hAnsi="Times New Roman"/>
                  <w:sz w:val="18"/>
                  <w:szCs w:val="18"/>
                  <w:color w:val="auto"/>
                  <w:w w:val="98"/>
                </w:rPr>
                <w:t>Item 6. Selected Financial Data</w:t>
              </w:r>
            </w:hyperlink>
          </w:p>
        </w:tc>
        <w:tc>
          <w:tcPr>
            <w:tcW w:w="6420" w:type="dxa"/>
            <w:vAlign w:val="bottom"/>
            <w:gridSpan w:val="37"/>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3">
              <w:r>
                <w:rPr>
                  <w:rFonts w:ascii="Times New Roman" w:cs="Times New Roman" w:eastAsia="Times New Roman" w:hAnsi="Times New Roman"/>
                  <w:sz w:val="18"/>
                  <w:szCs w:val="18"/>
                  <w:color w:val="auto"/>
                </w:rPr>
                <w:t>13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7"/>
          </w:tcPr>
          <w:p>
            <w:pPr>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40"/>
          </w:tcPr>
          <w:p>
            <w:pPr>
              <w:spacing w:after="0"/>
              <w:rPr>
                <w:rFonts w:ascii="Times New Roman" w:cs="Times New Roman" w:eastAsia="Times New Roman" w:hAnsi="Times New Roman"/>
                <w:sz w:val="18"/>
                <w:szCs w:val="18"/>
                <w:color w:val="auto"/>
                <w:w w:val="99"/>
              </w:rPr>
            </w:pPr>
            <w:hyperlink w:anchor="page22">
              <w:r>
                <w:rPr>
                  <w:rFonts w:ascii="Times New Roman" w:cs="Times New Roman" w:eastAsia="Times New Roman" w:hAnsi="Times New Roman"/>
                  <w:sz w:val="18"/>
                  <w:szCs w:val="18"/>
                  <w:color w:val="auto"/>
                  <w:w w:val="99"/>
                </w:rPr>
                <w:t>Item 7A. Quantitative and Qualitative Disclosures About Market Risk</w:t>
              </w:r>
            </w:hyperlink>
          </w:p>
        </w:tc>
        <w:tc>
          <w:tcPr>
            <w:tcW w:w="2020" w:type="dxa"/>
            <w:vAlign w:val="bottom"/>
            <w:gridSpan w:val="7"/>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30"/>
          </w:tcPr>
          <w:p>
            <w:pPr>
              <w:spacing w:after="0"/>
              <w:rPr>
                <w:rFonts w:ascii="Times New Roman" w:cs="Times New Roman" w:eastAsia="Times New Roman" w:hAnsi="Times New Roman"/>
                <w:sz w:val="18"/>
                <w:szCs w:val="18"/>
                <w:color w:val="auto"/>
                <w:w w:val="99"/>
              </w:rPr>
            </w:pPr>
            <w:hyperlink w:anchor="page23">
              <w:r>
                <w:rPr>
                  <w:rFonts w:ascii="Times New Roman" w:cs="Times New Roman" w:eastAsia="Times New Roman" w:hAnsi="Times New Roman"/>
                  <w:sz w:val="18"/>
                  <w:szCs w:val="18"/>
                  <w:color w:val="auto"/>
                  <w:w w:val="99"/>
                </w:rPr>
                <w:t>Item 8. Financial Statements and Supplementary Data</w:t>
              </w:r>
            </w:hyperlink>
          </w:p>
        </w:tc>
        <w:tc>
          <w:tcPr>
            <w:tcW w:w="1160" w:type="dxa"/>
            <w:vAlign w:val="bottom"/>
            <w:gridSpan w:val="10"/>
          </w:tcPr>
          <w:p>
            <w:pPr>
              <w:spacing w:after="0"/>
              <w:rPr>
                <w:sz w:val="21"/>
                <w:szCs w:val="21"/>
                <w:color w:val="auto"/>
              </w:rPr>
            </w:pPr>
          </w:p>
        </w:tc>
        <w:tc>
          <w:tcPr>
            <w:tcW w:w="4860" w:type="dxa"/>
            <w:vAlign w:val="bottom"/>
            <w:gridSpan w:val="12"/>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Item 9. Changes in and Disagreements With Accountants on Accounting and Financial Disclosure</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Times New Roman" w:cs="Times New Roman" w:eastAsia="Times New Roman" w:hAnsi="Times New Roman"/>
                <w:sz w:val="18"/>
                <w:szCs w:val="18"/>
                <w:color w:val="auto"/>
                <w:w w:val="97"/>
              </w:rPr>
            </w:pPr>
            <w:hyperlink w:anchor="page52">
              <w:r>
                <w:rPr>
                  <w:rFonts w:ascii="Times New Roman" w:cs="Times New Roman" w:eastAsia="Times New Roman" w:hAnsi="Times New Roman"/>
                  <w:sz w:val="18"/>
                  <w:szCs w:val="18"/>
                  <w:color w:val="auto"/>
                  <w:w w:val="97"/>
                </w:rPr>
                <w:t>Item 9A. Controls and Procedures</w:t>
              </w:r>
            </w:hyperlink>
          </w:p>
        </w:tc>
        <w:tc>
          <w:tcPr>
            <w:tcW w:w="4660" w:type="dxa"/>
            <w:vAlign w:val="bottom"/>
            <w:gridSpan w:val="30"/>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9B. Other Information</w:t>
              </w:r>
            </w:hyperlink>
          </w:p>
        </w:tc>
        <w:tc>
          <w:tcPr>
            <w:tcW w:w="7460" w:type="dxa"/>
            <w:vAlign w:val="bottom"/>
            <w:gridSpan w:val="34"/>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Borders>
              <w:bottom w:val="single" w:sz="8" w:color="auto"/>
            </w:tcBorders>
            <w:gridSpan w:val="11"/>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580" w:type="dxa"/>
            <w:vAlign w:val="bottom"/>
            <w:gridSpan w:val="7"/>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39"/>
          </w:tcPr>
          <w:p>
            <w:pP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Item 10. Directors, Executive Officers and Corporate Governance</w:t>
              </w:r>
            </w:hyperlink>
          </w:p>
        </w:tc>
        <w:tc>
          <w:tcPr>
            <w:tcW w:w="5160" w:type="dxa"/>
            <w:vAlign w:val="bottom"/>
            <w:gridSpan w:val="1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8"/>
          </w:tcPr>
          <w:p>
            <w:pPr>
              <w:spacing w:after="0"/>
              <w:rPr>
                <w:rFonts w:ascii="Times New Roman" w:cs="Times New Roman" w:eastAsia="Times New Roman" w:hAnsi="Times New Roman"/>
                <w:sz w:val="18"/>
                <w:szCs w:val="18"/>
                <w:color w:val="auto"/>
                <w:w w:val="97"/>
              </w:rPr>
            </w:pPr>
            <w:hyperlink w:anchor="page60">
              <w:r>
                <w:rPr>
                  <w:rFonts w:ascii="Times New Roman" w:cs="Times New Roman" w:eastAsia="Times New Roman" w:hAnsi="Times New Roman"/>
                  <w:sz w:val="18"/>
                  <w:szCs w:val="18"/>
                  <w:color w:val="auto"/>
                  <w:w w:val="97"/>
                </w:rPr>
                <w:t>Item 11. Executive Compensation</w:t>
              </w:r>
            </w:hyperlink>
          </w:p>
        </w:tc>
        <w:tc>
          <w:tcPr>
            <w:tcW w:w="2300" w:type="dxa"/>
            <w:vAlign w:val="bottom"/>
            <w:gridSpan w:val="21"/>
          </w:tcPr>
          <w:p>
            <w:pPr>
              <w:spacing w:after="0"/>
              <w:rPr>
                <w:sz w:val="21"/>
                <w:szCs w:val="21"/>
                <w:color w:val="auto"/>
              </w:rPr>
            </w:pPr>
          </w:p>
        </w:tc>
        <w:tc>
          <w:tcPr>
            <w:tcW w:w="5160" w:type="dxa"/>
            <w:vAlign w:val="bottom"/>
            <w:gridSpan w:val="1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Compensation Discussion and Analysis</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8"/>
          </w:tcPr>
          <w:p>
            <w:pPr>
              <w:spacing w:after="0"/>
              <w:rPr>
                <w:rFonts w:ascii="Times New Roman" w:cs="Times New Roman" w:eastAsia="Times New Roman" w:hAnsi="Times New Roman"/>
                <w:sz w:val="18"/>
                <w:szCs w:val="18"/>
                <w:color w:val="auto"/>
                <w:w w:val="99"/>
              </w:rPr>
            </w:pPr>
            <w:hyperlink w:anchor="page72">
              <w:r>
                <w:rPr>
                  <w:rFonts w:ascii="Times New Roman" w:cs="Times New Roman" w:eastAsia="Times New Roman" w:hAnsi="Times New Roman"/>
                  <w:sz w:val="18"/>
                  <w:szCs w:val="18"/>
                  <w:color w:val="auto"/>
                  <w:w w:val="99"/>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72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0"/>
          </w:tcPr>
          <w:p>
            <w:pPr>
              <w:spacing w:after="0"/>
              <w:rPr>
                <w:rFonts w:ascii="Times New Roman" w:cs="Times New Roman" w:eastAsia="Times New Roman" w:hAnsi="Times New Roman"/>
                <w:sz w:val="18"/>
                <w:szCs w:val="18"/>
                <w:color w:val="auto"/>
                <w:w w:val="99"/>
              </w:rPr>
            </w:pPr>
            <w:hyperlink w:anchor="page72">
              <w:r>
                <w:rPr>
                  <w:rFonts w:ascii="Times New Roman" w:cs="Times New Roman" w:eastAsia="Times New Roman" w:hAnsi="Times New Roman"/>
                  <w:sz w:val="18"/>
                  <w:szCs w:val="18"/>
                  <w:color w:val="auto"/>
                  <w:w w:val="99"/>
                </w:rPr>
                <w:t>Management Development and Compensation Committee Report</w:t>
              </w:r>
            </w:hyperlink>
          </w:p>
        </w:tc>
        <w:tc>
          <w:tcPr>
            <w:tcW w:w="2040" w:type="dxa"/>
            <w:vAlign w:val="bottom"/>
            <w:gridSpan w:val="8"/>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72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0"/>
          </w:tcPr>
          <w:p>
            <w:pPr>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Compensation Policies and Practices</w:t>
              </w:r>
            </w:hyperlink>
          </w:p>
        </w:tc>
        <w:tc>
          <w:tcPr>
            <w:tcW w:w="4820" w:type="dxa"/>
            <w:vAlign w:val="bottom"/>
            <w:gridSpan w:val="11"/>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72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8"/>
          </w:tcPr>
          <w:p>
            <w:pPr>
              <w:spacing w:after="0"/>
              <w:rPr>
                <w:rFonts w:ascii="Times New Roman" w:cs="Times New Roman" w:eastAsia="Times New Roman" w:hAnsi="Times New Roman"/>
                <w:sz w:val="18"/>
                <w:szCs w:val="18"/>
                <w:color w:val="auto"/>
                <w:w w:val="99"/>
              </w:rPr>
            </w:pPr>
            <w:hyperlink w:anchor="page73">
              <w:r>
                <w:rPr>
                  <w:rFonts w:ascii="Times New Roman" w:cs="Times New Roman" w:eastAsia="Times New Roman" w:hAnsi="Times New Roman"/>
                  <w:sz w:val="18"/>
                  <w:szCs w:val="18"/>
                  <w:color w:val="auto"/>
                  <w:w w:val="9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28"/>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3">
              <w:r>
                <w:rPr>
                  <w:rFonts w:ascii="Times New Roman" w:cs="Times New Roman" w:eastAsia="Times New Roman" w:hAnsi="Times New Roman"/>
                  <w:sz w:val="18"/>
                  <w:szCs w:val="18"/>
                  <w:color w:val="auto"/>
                </w:rPr>
                <w:t>73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gridSpan w:val="25"/>
          </w:tcPr>
          <w:p>
            <w:pPr>
              <w:spacing w:after="0"/>
              <w:rPr>
                <w:rFonts w:ascii="Times New Roman" w:cs="Times New Roman" w:eastAsia="Times New Roman" w:hAnsi="Times New Roman"/>
                <w:sz w:val="18"/>
                <w:szCs w:val="18"/>
                <w:color w:val="auto"/>
                <w:w w:val="98"/>
              </w:rPr>
            </w:pPr>
            <w:hyperlink w:anchor="page75">
              <w:r>
                <w:rPr>
                  <w:rFonts w:ascii="Times New Roman" w:cs="Times New Roman" w:eastAsia="Times New Roman" w:hAnsi="Times New Roman"/>
                  <w:sz w:val="18"/>
                  <w:szCs w:val="18"/>
                  <w:color w:val="auto"/>
                  <w:w w:val="98"/>
                </w:rPr>
                <w:t xml:space="preserve">Grants of Plan-Based Awards for </w:t>
              </w:r>
            </w:hyperlink>
            <w:r>
              <w:rPr>
                <w:rFonts w:ascii="Times New Roman" w:cs="Times New Roman" w:eastAsia="Times New Roman" w:hAnsi="Times New Roman"/>
                <w:sz w:val="18"/>
                <w:szCs w:val="18"/>
                <w:color w:val="auto"/>
                <w:w w:val="98"/>
              </w:rPr>
              <w:t>2019</w:t>
            </w:r>
          </w:p>
        </w:tc>
        <w:tc>
          <w:tcPr>
            <w:tcW w:w="6760" w:type="dxa"/>
            <w:vAlign w:val="bottom"/>
            <w:gridSpan w:val="26"/>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5">
              <w:r>
                <w:rPr>
                  <w:rFonts w:ascii="Times New Roman" w:cs="Times New Roman" w:eastAsia="Times New Roman" w:hAnsi="Times New Roman"/>
                  <w:sz w:val="18"/>
                  <w:szCs w:val="18"/>
                  <w:color w:val="auto"/>
                </w:rPr>
                <w:t>75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10"/>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Times New Roman" w:cs="Times New Roman" w:eastAsia="Times New Roman" w:hAnsi="Times New Roman"/>
                <w:sz w:val="18"/>
                <w:szCs w:val="18"/>
                <w:color w:val="auto"/>
              </w:rPr>
            </w:pPr>
            <w:hyperlink w:anchor="page75">
              <w:r>
                <w:rPr>
                  <w:rFonts w:ascii="Times New Roman" w:cs="Times New Roman" w:eastAsia="Times New Roman" w:hAnsi="Times New Roman"/>
                  <w:sz w:val="18"/>
                  <w:szCs w:val="18"/>
                  <w:color w:val="auto"/>
                </w:rPr>
                <w:t xml:space="preserve">Outstanding Equity Awards at </w:t>
              </w:r>
            </w:hyperlink>
            <w:r>
              <w:rPr>
                <w:rFonts w:ascii="Times New Roman" w:cs="Times New Roman" w:eastAsia="Times New Roman" w:hAnsi="Times New Roman"/>
                <w:sz w:val="18"/>
                <w:szCs w:val="18"/>
                <w:color w:val="auto"/>
              </w:rPr>
              <w:t>2019 Fiscal Year End</w:t>
            </w: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5">
              <w:r>
                <w:rPr>
                  <w:rFonts w:ascii="Times New Roman" w:cs="Times New Roman" w:eastAsia="Times New Roman" w:hAnsi="Times New Roman"/>
                  <w:sz w:val="18"/>
                  <w:szCs w:val="18"/>
                  <w:color w:val="auto"/>
                </w:rPr>
                <w:t>75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1"/>
          </w:tcPr>
          <w:p>
            <w:pPr>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 xml:space="preserve">Option Exercises and Stock Vested for Fiscal </w:t>
              </w:r>
            </w:hyperlink>
            <w:r>
              <w:rPr>
                <w:rFonts w:ascii="Times New Roman" w:cs="Times New Roman" w:eastAsia="Times New Roman" w:hAnsi="Times New Roman"/>
                <w:sz w:val="18"/>
                <w:szCs w:val="18"/>
                <w:color w:val="auto"/>
              </w:rPr>
              <w:t>2019</w:t>
            </w:r>
          </w:p>
        </w:tc>
        <w:tc>
          <w:tcPr>
            <w:tcW w:w="5800" w:type="dxa"/>
            <w:vAlign w:val="bottom"/>
            <w:gridSpan w:val="20"/>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60" w:type="dxa"/>
            <w:vAlign w:val="bottom"/>
            <w:gridSpan w:val="32"/>
          </w:tcPr>
          <w:p>
            <w:pPr>
              <w:spacing w:after="0"/>
              <w:rPr>
                <w:rFonts w:ascii="Times New Roman" w:cs="Times New Roman" w:eastAsia="Times New Roman" w:hAnsi="Times New Roman"/>
                <w:sz w:val="18"/>
                <w:szCs w:val="18"/>
                <w:color w:val="auto"/>
                <w:w w:val="99"/>
              </w:rPr>
            </w:pPr>
            <w:hyperlink w:anchor="page78">
              <w:r>
                <w:rPr>
                  <w:rFonts w:ascii="Times New Roman" w:cs="Times New Roman" w:eastAsia="Times New Roman" w:hAnsi="Times New Roman"/>
                  <w:sz w:val="18"/>
                  <w:szCs w:val="18"/>
                  <w:color w:val="auto"/>
                  <w:w w:val="99"/>
                </w:rPr>
                <w:t xml:space="preserve">Non-Qualified Deferred Compensation for Fiscal </w:t>
              </w:r>
            </w:hyperlink>
            <w:r>
              <w:rPr>
                <w:rFonts w:ascii="Times New Roman" w:cs="Times New Roman" w:eastAsia="Times New Roman" w:hAnsi="Times New Roman"/>
                <w:sz w:val="18"/>
                <w:szCs w:val="18"/>
                <w:color w:val="auto"/>
                <w:w w:val="99"/>
              </w:rPr>
              <w:t>2019</w:t>
            </w:r>
          </w:p>
        </w:tc>
        <w:tc>
          <w:tcPr>
            <w:tcW w:w="5600" w:type="dxa"/>
            <w:vAlign w:val="bottom"/>
            <w:gridSpan w:val="19"/>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Potential Payments Upon Termination or Change in Control</w:t>
              </w:r>
            </w:hyperlink>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gridSpan w:val="11"/>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40" w:type="dxa"/>
            <w:vAlign w:val="bottom"/>
            <w:gridSpan w:val="14"/>
          </w:tcPr>
          <w:p>
            <w:pPr>
              <w:spacing w:after="0"/>
              <w:rPr>
                <w:rFonts w:ascii="Times New Roman" w:cs="Times New Roman" w:eastAsia="Times New Roman" w:hAnsi="Times New Roman"/>
                <w:sz w:val="18"/>
                <w:szCs w:val="18"/>
                <w:color w:val="auto"/>
                <w:w w:val="99"/>
              </w:rPr>
            </w:pPr>
            <w:hyperlink w:anchor="page82">
              <w:r>
                <w:rPr>
                  <w:rFonts w:ascii="Times New Roman" w:cs="Times New Roman" w:eastAsia="Times New Roman" w:hAnsi="Times New Roman"/>
                  <w:sz w:val="18"/>
                  <w:szCs w:val="18"/>
                  <w:color w:val="auto"/>
                  <w:w w:val="99"/>
                </w:rPr>
                <w:t>CEO Pay Ratio Disclosure</w:t>
              </w:r>
            </w:hyperlink>
          </w:p>
        </w:tc>
        <w:tc>
          <w:tcPr>
            <w:tcW w:w="2380" w:type="dxa"/>
            <w:vAlign w:val="bottom"/>
            <w:gridSpan w:val="23"/>
          </w:tcPr>
          <w:p>
            <w:pPr>
              <w:spacing w:after="0"/>
              <w:rPr>
                <w:sz w:val="21"/>
                <w:szCs w:val="21"/>
                <w:color w:val="auto"/>
              </w:rPr>
            </w:pPr>
          </w:p>
        </w:tc>
        <w:tc>
          <w:tcPr>
            <w:tcW w:w="5240" w:type="dxa"/>
            <w:vAlign w:val="bottom"/>
            <w:gridSpan w:val="14"/>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gridSpan w:val="15"/>
          </w:tcPr>
          <w:p>
            <w:pPr>
              <w:spacing w:after="0"/>
              <w:rPr>
                <w:rFonts w:ascii="Times New Roman" w:cs="Times New Roman" w:eastAsia="Times New Roman" w:hAnsi="Times New Roman"/>
                <w:sz w:val="18"/>
                <w:szCs w:val="18"/>
                <w:color w:val="auto"/>
                <w:w w:val="99"/>
              </w:rPr>
            </w:pPr>
            <w:hyperlink w:anchor="page82">
              <w:r>
                <w:rPr>
                  <w:rFonts w:ascii="Times New Roman" w:cs="Times New Roman" w:eastAsia="Times New Roman" w:hAnsi="Times New Roman"/>
                  <w:sz w:val="18"/>
                  <w:szCs w:val="18"/>
                  <w:color w:val="auto"/>
                  <w:w w:val="99"/>
                </w:rPr>
                <w:t>Compensation of Directors</w:t>
              </w:r>
            </w:hyperlink>
          </w:p>
        </w:tc>
        <w:tc>
          <w:tcPr>
            <w:tcW w:w="7600" w:type="dxa"/>
            <w:vAlign w:val="bottom"/>
            <w:gridSpan w:val="36"/>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gridSpan w:val="27"/>
          </w:tcPr>
          <w:p>
            <w:pPr>
              <w:spacing w:after="0"/>
              <w:rPr>
                <w:rFonts w:ascii="Times New Roman" w:cs="Times New Roman" w:eastAsia="Times New Roman" w:hAnsi="Times New Roman"/>
                <w:sz w:val="18"/>
                <w:szCs w:val="18"/>
                <w:color w:val="auto"/>
                <w:w w:val="99"/>
              </w:rPr>
            </w:pPr>
            <w:hyperlink w:anchor="page83">
              <w:r>
                <w:rPr>
                  <w:rFonts w:ascii="Times New Roman" w:cs="Times New Roman" w:eastAsia="Times New Roman" w:hAnsi="Times New Roman"/>
                  <w:sz w:val="18"/>
                  <w:szCs w:val="18"/>
                  <w:color w:val="auto"/>
                  <w:w w:val="99"/>
                </w:rPr>
                <w:t xml:space="preserve">Director Compensation Table — Fiscal </w:t>
              </w:r>
            </w:hyperlink>
            <w:r>
              <w:rPr>
                <w:rFonts w:ascii="Times New Roman" w:cs="Times New Roman" w:eastAsia="Times New Roman" w:hAnsi="Times New Roman"/>
                <w:sz w:val="18"/>
                <w:szCs w:val="18"/>
                <w:color w:val="auto"/>
                <w:w w:val="99"/>
              </w:rPr>
              <w:t>2019</w:t>
            </w:r>
          </w:p>
        </w:tc>
        <w:tc>
          <w:tcPr>
            <w:tcW w:w="6320" w:type="dxa"/>
            <w:vAlign w:val="bottom"/>
            <w:gridSpan w:val="24"/>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3">
              <w:r>
                <w:rPr>
                  <w:rFonts w:ascii="Times New Roman" w:cs="Times New Roman" w:eastAsia="Times New Roman" w:hAnsi="Times New Roman"/>
                  <w:sz w:val="18"/>
                  <w:szCs w:val="18"/>
                  <w:color w:val="auto"/>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gridSpan w:val="50"/>
          </w:tcPr>
          <w:p>
            <w:pPr>
              <w:spacing w:after="0"/>
              <w:rPr>
                <w:rFonts w:ascii="Times New Roman" w:cs="Times New Roman" w:eastAsia="Times New Roman" w:hAnsi="Times New Roman"/>
                <w:sz w:val="18"/>
                <w:szCs w:val="18"/>
                <w:color w:val="auto"/>
                <w:w w:val="99"/>
              </w:rPr>
            </w:pPr>
            <w:hyperlink w:anchor="page84">
              <w:r>
                <w:rPr>
                  <w:rFonts w:ascii="Times New Roman" w:cs="Times New Roman" w:eastAsia="Times New Roman" w:hAnsi="Times New Roman"/>
                  <w:sz w:val="18"/>
                  <w:szCs w:val="18"/>
                  <w:color w:val="auto"/>
                  <w:w w:val="99"/>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84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00" w:type="dxa"/>
            <w:vAlign w:val="bottom"/>
            <w:gridSpan w:val="4"/>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6"/>
          </w:tcPr>
          <w:p>
            <w:pPr>
              <w:spacing w:after="0"/>
              <w:rPr>
                <w:rFonts w:ascii="Times New Roman" w:cs="Times New Roman" w:eastAsia="Times New Roman" w:hAnsi="Times New Roman"/>
                <w:sz w:val="18"/>
                <w:szCs w:val="18"/>
                <w:color w:val="auto"/>
                <w:w w:val="99"/>
              </w:rPr>
            </w:pPr>
            <w:hyperlink w:anchor="page85">
              <w:r>
                <w:rPr>
                  <w:rFonts w:ascii="Times New Roman" w:cs="Times New Roman" w:eastAsia="Times New Roman" w:hAnsi="Times New Roman"/>
                  <w:sz w:val="18"/>
                  <w:szCs w:val="18"/>
                  <w:color w:val="auto"/>
                  <w:w w:val="99"/>
                </w:rPr>
                <w:t>Item 13. Certain Relationships, Related Transactions, and Director Independence</w:t>
              </w:r>
            </w:hyperlink>
          </w:p>
        </w:tc>
        <w:tc>
          <w:tcPr>
            <w:tcW w:w="2100" w:type="dxa"/>
            <w:vAlign w:val="bottom"/>
            <w:gridSpan w:val="4"/>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85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6"/>
          </w:tcPr>
          <w:p>
            <w:pPr>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Item 14. Principal Accounting Fees and Services</w:t>
              </w:r>
            </w:hyperlink>
          </w:p>
        </w:tc>
        <w:tc>
          <w:tcPr>
            <w:tcW w:w="4060" w:type="dxa"/>
            <w:vAlign w:val="bottom"/>
            <w:gridSpan w:val="6"/>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86</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18"/>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gridSpan w:val="29"/>
          </w:tcPr>
          <w:p>
            <w:pPr>
              <w:spacing w:after="0"/>
              <w:rPr>
                <w:rFonts w:ascii="Times New Roman" w:cs="Times New Roman" w:eastAsia="Times New Roman" w:hAnsi="Times New Roman"/>
                <w:sz w:val="18"/>
                <w:szCs w:val="18"/>
                <w:color w:val="auto"/>
                <w:w w:val="99"/>
              </w:rPr>
            </w:pPr>
            <w:hyperlink w:anchor="page87">
              <w:r>
                <w:rPr>
                  <w:rFonts w:ascii="Times New Roman" w:cs="Times New Roman" w:eastAsia="Times New Roman" w:hAnsi="Times New Roman"/>
                  <w:sz w:val="18"/>
                  <w:szCs w:val="18"/>
                  <w:color w:val="auto"/>
                  <w:w w:val="99"/>
                </w:rPr>
                <w:t>Item 15. Exhibits and Financial Statement Schedules</w:t>
              </w:r>
            </w:hyperlink>
          </w:p>
        </w:tc>
        <w:tc>
          <w:tcPr>
            <w:tcW w:w="800" w:type="dxa"/>
            <w:vAlign w:val="bottom"/>
            <w:gridSpan w:val="6"/>
          </w:tcPr>
          <w:p>
            <w:pPr>
              <w:spacing w:after="0"/>
              <w:rPr>
                <w:sz w:val="21"/>
                <w:szCs w:val="21"/>
                <w:color w:val="auto"/>
              </w:rPr>
            </w:pPr>
          </w:p>
        </w:tc>
        <w:tc>
          <w:tcPr>
            <w:tcW w:w="700" w:type="dxa"/>
            <w:vAlign w:val="bottom"/>
            <w:tcBorders>
              <w:top w:val="single" w:sz="8" w:color="auto"/>
            </w:tcBorders>
            <w:gridSpan w:val="9"/>
          </w:tcPr>
          <w:p>
            <w:pPr>
              <w:spacing w:after="0"/>
              <w:rPr>
                <w:sz w:val="21"/>
                <w:szCs w:val="21"/>
                <w:color w:val="auto"/>
              </w:rPr>
            </w:pPr>
          </w:p>
        </w:tc>
        <w:tc>
          <w:tcPr>
            <w:tcW w:w="4600" w:type="dxa"/>
            <w:vAlign w:val="bottom"/>
            <w:gridSpan w:val="8"/>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87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620" w:type="dxa"/>
            <w:vAlign w:val="bottom"/>
            <w:gridSpan w:val="16"/>
            <w:shd w:val="clear" w:color="auto" w:fill="000000"/>
          </w:tcPr>
          <w:p>
            <w:pPr>
              <w:spacing w:after="0" w:line="20" w:lineRule="exact"/>
              <w:rPr>
                <w:sz w:val="1"/>
                <w:szCs w:val="1"/>
                <w:color w:val="auto"/>
              </w:rPr>
            </w:pPr>
          </w:p>
        </w:tc>
        <w:tc>
          <w:tcPr>
            <w:tcW w:w="6100" w:type="dxa"/>
            <w:vAlign w:val="bottom"/>
            <w:gridSpan w:val="23"/>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gridSpan w:val="29"/>
          </w:tcPr>
          <w:p>
            <w:pPr>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Item 16. Form 10-K Summary</w:t>
              </w:r>
            </w:hyperlink>
          </w:p>
        </w:tc>
        <w:tc>
          <w:tcPr>
            <w:tcW w:w="6100" w:type="dxa"/>
            <w:vAlign w:val="bottom"/>
            <w:gridSpan w:val="2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7720" w:type="dxa"/>
            <w:vAlign w:val="bottom"/>
            <w:gridSpan w:val="39"/>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Times New Roman" w:cs="Times New Roman" w:eastAsia="Times New Roman" w:hAnsi="Times New Roman"/>
                <w:sz w:val="18"/>
                <w:szCs w:val="18"/>
                <w:color w:val="auto"/>
                <w:w w:val="97"/>
              </w:rPr>
            </w:pPr>
            <w:hyperlink w:anchor="page92">
              <w:r>
                <w:rPr>
                  <w:rFonts w:ascii="Times New Roman" w:cs="Times New Roman" w:eastAsia="Times New Roman" w:hAnsi="Times New Roman"/>
                  <w:sz w:val="18"/>
                  <w:szCs w:val="18"/>
                  <w:color w:val="auto"/>
                  <w:w w:val="97"/>
                </w:rPr>
                <w:t>Signatures</w:t>
              </w:r>
            </w:hyperlink>
          </w:p>
        </w:tc>
        <w:tc>
          <w:tcPr>
            <w:tcW w:w="1420" w:type="dxa"/>
            <w:vAlign w:val="bottom"/>
            <w:gridSpan w:val="10"/>
          </w:tcPr>
          <w:p>
            <w:pPr>
              <w:spacing w:after="0"/>
              <w:rPr>
                <w:sz w:val="21"/>
                <w:szCs w:val="21"/>
                <w:color w:val="auto"/>
              </w:rPr>
            </w:pPr>
          </w:p>
        </w:tc>
        <w:tc>
          <w:tcPr>
            <w:tcW w:w="7720" w:type="dxa"/>
            <w:vAlign w:val="bottom"/>
            <w:gridSpan w:val="39"/>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92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Development of Business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08" w:lineRule="exact"/>
        <w:rPr>
          <w:sz w:val="20"/>
          <w:szCs w:val="20"/>
          <w:color w:val="auto"/>
        </w:rPr>
      </w:pPr>
    </w:p>
    <w:p>
      <w:pPr>
        <w:ind w:left="920" w:hanging="331"/>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Continuous productivity improvement, automation, and product customization capabilities.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Understanding customer needs and providing a high level of customer service.</w:t>
      </w:r>
    </w:p>
    <w:p>
      <w:pPr>
        <w:spacing w:after="0" w:line="9" w:lineRule="exact"/>
        <w:rPr>
          <w:rFonts w:ascii="Times New Roman" w:cs="Times New Roman" w:eastAsia="Times New Roman" w:hAnsi="Times New Roman"/>
          <w:sz w:val="18"/>
          <w:szCs w:val="18"/>
          <w:color w:val="auto"/>
        </w:rPr>
      </w:pPr>
    </w:p>
    <w:p>
      <w:pPr>
        <w:ind w:left="920" w:right="20" w:hanging="331"/>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advantage — Technologically-advanced, internally-developed proprietary products that drive revenue growth and sustain gross profit margins.</w:t>
      </w:r>
    </w:p>
    <w:p>
      <w:pPr>
        <w:ind w:left="920" w:hanging="331"/>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position in niche markets.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capabilities.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expertise.</w:t>
      </w:r>
    </w:p>
    <w:p>
      <w:pPr>
        <w:spacing w:after="0" w:line="153"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were key initiatives supporting the strategy in fiscal 2019:</w:t>
      </w:r>
    </w:p>
    <w:p>
      <w:pPr>
        <w:spacing w:after="0" w:line="171" w:lineRule="exact"/>
        <w:rPr>
          <w:sz w:val="20"/>
          <w:szCs w:val="20"/>
          <w:color w:val="auto"/>
        </w:rPr>
      </w:pPr>
    </w:p>
    <w:p>
      <w:pPr>
        <w:ind w:left="920" w:hanging="331"/>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innovation development process and the speed to deliver high-value, innovative products in alignment with our target markets.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920" w:hanging="331"/>
        <w:spacing w:after="0" w:line="250"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sustainable efficiency gains within our selling, general, and administrative structures as well as throughout our global operations by making investments in equipment and machinery to drive automation.</w:t>
      </w:r>
    </w:p>
    <w:p>
      <w:pPr>
        <w:ind w:left="920" w:hanging="331"/>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digital presence.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through focused sales and marketing actions in selected vertical markets and strategic accounts.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global employee development process to attract and retain key talent.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Description of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organized and managed on a global basis within two reportable segments: Identification Solutions and Workplace Safety.</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IDS segment includes high-performance and innovative industrial and healthcare identification products manufactured under multiple brands, including the Brady brand. Industrial identification products are sold through distribution to a broad range of maintenance, repair, and operations ("MRO") and original equipment manufacturing ("OEM") customers and through other channels, including direct sales, catalog marketing, and digital. Healthcare identification products are sold direct and through distribution via group purchasing organizations ("GPO").</w:t>
      </w:r>
    </w:p>
    <w:p>
      <w:pPr>
        <w:spacing w:after="0" w:line="12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WPS segment includes workplace safety and compliance products sold under multiple brand names primarily through catalog and digital channels to a broad range of MRO customers. Approximately half of the WPS business is derived from internally manufactured products and half is from externally sourced products.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summary of sales by reportable segment for the fiscal years ended July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IDS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WPS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 Solutions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Within the ID Solutions segment, the primary product categories include:</w:t>
      </w:r>
    </w:p>
    <w:p>
      <w:pPr>
        <w:spacing w:after="0" w:line="171" w:lineRule="exact"/>
        <w:rPr>
          <w:sz w:val="20"/>
          <w:szCs w:val="20"/>
          <w:color w:val="auto"/>
        </w:rPr>
      </w:pPr>
    </w:p>
    <w:p>
      <w:pPr>
        <w:ind w:left="740" w:right="560" w:hanging="327"/>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identification and protection, which includes safety signs, floor-marking tape, pipe markers, labeling systems, spill control products, lockout/tagout devices, and software and services for safety compliance auditing, procedure writing and training.</w:t>
      </w:r>
    </w:p>
    <w:p>
      <w:pPr>
        <w:ind w:left="740" w:right="60" w:hanging="327"/>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and access control software.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identification, which includes wristbands and labels used in hospitals for tracking and improving the safety of patients.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wristbands used in the leisure and entertainment industry such as theme parks, concerts and festivals.</w:t>
      </w:r>
    </w:p>
    <w:p>
      <w:pPr>
        <w:spacing w:after="0" w:line="1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Approximately 67%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Identicard, PromoVision, and Brady People ID brands. Wire identification products are marketed under the Modernotecnica brand in Italy and lockout/tagout products are offered under the Scafftag brand in the U.K.; identification and patient safety products in the healthcare industry are available under the PDC Healthcare brand in the U.S. and Europe; and custom wristbands for the leisure and entertainment industry are available under the PDC brand in the U.S. and the B.I.G. brand in Europe.</w:t>
      </w:r>
    </w:p>
    <w:p>
      <w:pPr>
        <w:spacing w:after="0" w:line="1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digital. The ID Solutions sales force partners with end-users and distributors by providing technical application and product expertise.</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This segment manufactures differentiated, proprietary products, most of which have been internally developed. These internally developed products include materials, printing systems, and software. IDS competes for business on several factors, including customer support, product innovation,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3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ID Solutions serves customers in many industries, which include industrial manufacturing, electronic manufacturing, healthcare, chemical, oil, gas, automotive, aerospace, governments, mass transit, electrical contractors, leisure and entertainment and telecommunications, among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Within the Workplace Safety segment, the primary product categories include:</w:t>
      </w:r>
    </w:p>
    <w:p>
      <w:pPr>
        <w:spacing w:after="0" w:line="171" w:lineRule="exact"/>
        <w:rPr>
          <w:sz w:val="20"/>
          <w:szCs w:val="20"/>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compliance signs, tags, and labels.</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Informational signage.</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tracking labels.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aid products.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law and other compliance posters.</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wire identification products marketed under the Carroll brand; and labor law and compliance posters under the Personnel Concepts and Clement Communications brands.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Many of our competitors extensively utilize e-commerce to promote the sale of their products. A consequence of e-commerce is price transparency, as prices on non-proprietary products can be easily compared. Therefore, to compete effectively, we continue to build out our e-commerce capabilities and focus on developing unique or customized solutions, enhancing customer experience, and providing compliance expertise as these are critical to retain existing customers and convert new customers. Workplace Safety primarily sells to businesses and serves many industries, including manufacturers, process industries, government, education, construction, and utilities.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focuses its R&amp;D efforts on pressure sensitive materials, printing systems, software, and the development of other workplace safety related products. Although there is an increasing amount of R&amp;D that supports the WPS segment, the majority of R&amp;D spend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R&amp;D team supports production and marketing efforts by providing application and technical expertise.</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spent $45.2 million, $45.3 million, and $39.6 million on its R&amp;D activities during the fiscal years ended July 31, 2019, 2018, and 2017, respectively. The marginal decrease in R&amp;D spending in fiscal 2019 compared to the prior year was due to the timing of expenditures related to ongoing new product developments within the IDS and WPS segments. As of July 31, 2019, 249 individuals were engaged in R&amp;D activities for the Company, which is essentially flat from 248 as of July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coating facilities manufacturing bulk rolls of label stock for internal and external customers. In addition, the Company purchases finished products for resale.</w:t>
      </w:r>
    </w:p>
    <w:p>
      <w:pPr>
        <w:spacing w:after="0" w:line="4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critical materials or components, the financial impact could be material.</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10 to 90 days from date of invoice and vary by geography.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 broad customer base, and no individual customer represents 10% or more of total net sales.</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Average time to fulfill customer orders varies from same-day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Compliance with federal, state and local environmental protection laws during fiscal 2019 did not have a material impact on the Company’s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July 31, 2019, the Company employed approximately 6,100 individuals. Brady has never experienced a material work stoppage due to a labor dispute and considers its relations with employees to be good.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Corporate Internet address is 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9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effectively or to successfully execute our strategy may have a negative impact on our business and financial results.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Additionally, throughout our global business, distributors and customers may seek lower cost sourcing opportunities, which could result in a loss of business that may adversely impact our business and financial results.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13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technologically advanced products that meet customer demands, including price expectations, could adversely impact our business and financial results.</w:t>
      </w:r>
    </w:p>
    <w:p>
      <w:pPr>
        <w:spacing w:after="0" w:line="10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1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business systems collect, maintain,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2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Numerous factors may affect the demand for our products, including:</w:t>
      </w:r>
    </w:p>
    <w:p>
      <w:pPr>
        <w:spacing w:after="0" w:line="171"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of major markets served.</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marketplace allowing competitors to be more efficient and more price competitive.</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entering the marketplace.</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product life cycles.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operational excellence.</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these factors occur, the demand for our products could suffer, and this could adversely impact our business and financial results.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other cost increases could adversely affect our business and financial results.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manufacture certain parts and components of our products and therefore require raw materials from suppliers, which could be interrupted for a variety of reasons, including availability and pricing. Prices for raw materials necessary for production have fluctuated in the past and significant increases could adversely affect our profit margins and results of operations. Changes in trade policies, the imposition of duties and tariffs and potential retaliatory countermeasures could adversely impact the price or availability of raw materials. In addition, labor shortages or an increase in the cost of labor could adversely affect our profit margins and results of operations. Due to pricing pressure or other factors, the Company may not be able to pass along increased raw material and component part costs to its customers in the form of price increases or its ability to do so could be delayed, which could adversely impact our business and financial results.</w:t>
      </w:r>
    </w:p>
    <w:p>
      <w:pPr>
        <w:spacing w:after="0" w:line="13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operations are subject to the risks of doing business domestically and globally, including the following:</w:t>
      </w:r>
    </w:p>
    <w:p>
      <w:pPr>
        <w:spacing w:after="0" w:line="171" w:lineRule="exact"/>
        <w:rPr>
          <w:sz w:val="20"/>
          <w:szCs w:val="20"/>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product deliveries and payments in connection with international manufacturing and sales.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resulting from political and economic instability and disruptions.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166"/>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change in existing, duties, tariffs and trade agreements, which could have a direct or indirect impact on our ability to manufacture products, on our customers' demand for our products, or on our suppliers' ability to deliver raw materials.</w:t>
      </w: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and economic sanction laws.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governmental policies, regulatory, and business environments.</w:t>
      </w:r>
    </w:p>
    <w:p>
      <w:pPr>
        <w:spacing w:after="0" w:line="9" w:lineRule="exact"/>
        <w:rPr>
          <w:rFonts w:ascii="Times New Roman" w:cs="Times New Roman" w:eastAsia="Times New Roman" w:hAnsi="Times New Roman"/>
          <w:sz w:val="18"/>
          <w:szCs w:val="18"/>
          <w:color w:val="auto"/>
        </w:rPr>
      </w:pPr>
    </w:p>
    <w:p>
      <w:pPr>
        <w:ind w:left="660" w:hanging="166"/>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from competing against companies from countries that are not subject to U.S. laws and regulations including the Foreign Corrupt Practices Act.</w:t>
      </w: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regulations.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climate change, air emissions, wastewater discharges, handling and disposal of hazardous materials and wastes.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product content, health, safety and the protection of the environment.</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country regulations where our products are manufactured or sold.</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compliance with data protection and privacy laws throughout our global business.</w:t>
      </w:r>
    </w:p>
    <w:p>
      <w:pPr>
        <w:spacing w:after="0" w:line="9" w:lineRule="exact"/>
        <w:rPr>
          <w:rFonts w:ascii="Times New Roman" w:cs="Times New Roman" w:eastAsia="Times New Roman" w:hAnsi="Times New Roman"/>
          <w:sz w:val="18"/>
          <w:szCs w:val="18"/>
          <w:color w:val="auto"/>
        </w:rPr>
      </w:pPr>
    </w:p>
    <w:p>
      <w:pPr>
        <w:ind w:left="660" w:right="20" w:hanging="166"/>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Further, these laws and regulations are constantly evolving and it is difficult to accurately predict the effect they may have upon our business and financial results.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employees and the loss of these individuals could have an adverse effect on our business and financial results.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business and financial results could be adversely affected.</w:t>
      </w:r>
    </w:p>
    <w:p>
      <w:pPr>
        <w:spacing w:after="0" w:line="12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contingent liabilities from divested businesses and the failure to properly identify, integrate and grow acquired companies could adversely affect our business and financial results.</w:t>
      </w:r>
    </w:p>
    <w:p>
      <w:pPr>
        <w:spacing w:after="0" w:line="1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and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favorable pattern will continue.</w:t>
      </w:r>
    </w:p>
    <w:p>
      <w:pPr>
        <w:spacing w:after="0" w:line="1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historical growth has included acquisitions, and our future growth strategy may include acquisitions. If our future growth strategy includes a focus on acquisitions, we may not be able to identify acquisition targets or successfully complete acquisitions due to the absence of quality companies in our target markets, economic conditions, or price expectations from sellers. Acquisitions place significant demands on management, operational, and financial resources.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business and financial results could be adversely affected if we do not successfully integrate the newly acquired businesses, or if our other businesses suffer due to the increased focus on the acquired businesses.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including product liability claims that could adversely impact our business, financial results, and reputation.</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business risk of exposure to product liability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Financial/Ownership Risks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global nature of our business exposes us to foreign currency fluctuations that could adversely affect our business and financial results.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Approximately 45%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which occurred during fiscal years 2017 and 2019.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3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0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Reform Act”). The changes included in the Tax Reform Act are broad and complex, and regulations have been issued to address implementation of the Tax Reform Act which may have an adverse impact on our business and financial results. Additionally, longstanding international tax norms that determine each country’s jurisdiction to tax cross-border international trade are evolving as a result of the Base Erosion and Profit Shifting reporting requirements recommended by the G7, G20 and Organization for Economic Cooperation and Development. As these and other tax laws and related regulations change, our financial results could be materially impacted.</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During the year ended July 31, 2018, we recorded a valuation allowance of $21.4 million against our foreign tax credit carryforwards primarily due to the passage of the Tax Reform Act, which changed our ability to utilize foreign tax credits in future periods. At any point in time, there are a number of tax proposals at various stages of legislation throughout the globe. While it is impossible for us to predict whether some or all of these proposals will be enacted, many will likely have an impact on our business and financial results.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execute our strategies could result in impairment of goodwill or other intangible assets, which may negatively impact income and profitability</w:t>
      </w:r>
      <w:r>
        <w:rPr>
          <w:rFonts w:ascii="Times New Roman" w:cs="Times New Roman" w:eastAsia="Times New Roman" w:hAnsi="Times New Roman"/>
          <w:sz w:val="18"/>
          <w:szCs w:val="18"/>
          <w:b w:val="1"/>
          <w:bCs w:val="1"/>
          <w:color w:val="auto"/>
        </w:rPr>
        <w:t>.</w:t>
      </w:r>
    </w:p>
    <w:p>
      <w:pPr>
        <w:spacing w:after="0" w:line="1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goodwill of $411.0 million and other intangible assets of $36.1 million as of July 31, 2019, which represents 38.6% of our total assets. We evaluate goodwill and other intangible assets for impairment on an annual basis, or more frequently if impairment indicators are present, based upon the fair value of each respective asset.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the income in such period.</w:t>
      </w:r>
    </w:p>
    <w:p>
      <w:pPr>
        <w:spacing w:after="0" w:line="131" w:lineRule="exact"/>
        <w:rPr>
          <w:sz w:val="20"/>
          <w:szCs w:val="20"/>
          <w:color w:val="auto"/>
        </w:rPr>
      </w:pPr>
    </w:p>
    <w:p>
      <w:pPr>
        <w:jc w:val="both"/>
        <w:ind w:firstLine="37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105"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mutual funds and index sponsors have implemented rules restricting ownership, or excluding from indices, companies with non-voting publicly traded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currently operates 39 manufacturing and distribution facilities across the globe and are split by reporting segment as follows: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IDS: </w:t>
      </w:r>
      <w:r>
        <w:rPr>
          <w:rFonts w:ascii="Times New Roman" w:cs="Times New Roman" w:eastAsia="Times New Roman" w:hAnsi="Times New Roman"/>
          <w:sz w:val="18"/>
          <w:szCs w:val="18"/>
          <w:color w:val="auto"/>
        </w:rPr>
        <w:t>Thirty manufacturing and distribution facilities are used for our IDS business. Six are located in China; five in the United States; four in Belgium;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 Mexico and the United Kingdom; two in Brazil; and one each in Canada, India, Japan, Malaysia, Netherlands, Singapore, and South Africa.</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WPS: </w:t>
      </w:r>
      <w:r>
        <w:rPr>
          <w:rFonts w:ascii="Times New Roman" w:cs="Times New Roman" w:eastAsia="Times New Roman" w:hAnsi="Times New Roman"/>
          <w:sz w:val="18"/>
          <w:szCs w:val="18"/>
          <w:color w:val="auto"/>
        </w:rPr>
        <w:t>Nine manufacturing and distribution facilities are used for our WPS business. Three are located in France; two are located in Australia; and one each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Norway, the United Kingdom, and the United States.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believes that its equipment and facilities are modern, well maintained, and adequate for present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Market Information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Brady Corporation Class A Nonvoting Common Stock trades on the New York Stock Exchange under the symbol BRC. There is no trading market for the Company’s Class B Voting Common Stock.</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 Holders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August 31, 2019, there were approximately 1,100 Class A Common Stock shareholders of record and approximately 9,000 beneficial shareholders. There are three Class B Common Stock shareholders.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  Dividends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two most recent fiscal years and for the first quarter of fiscal 2020, the Company declared the following dividends per share on its Class A and Class B Common Stock for the years ended July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4th Qtr</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0.2125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0.2125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0.2125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0.2075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0.2075</w:t>
            </w:r>
          </w:p>
        </w:tc>
        <w:tc>
          <w:tcPr>
            <w:tcW w:w="11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0.2075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0.2075</w:t>
            </w: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0.20085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0.19585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0.2125</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0.2125</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0.19085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0.2075</w:t>
            </w:r>
          </w:p>
        </w:tc>
        <w:tc>
          <w:tcPr>
            <w:tcW w:w="11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0.2075</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0.2075</w:t>
            </w:r>
          </w:p>
        </w:tc>
      </w:tr>
    </w:tbl>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 Issuer Purchases of Equity Securities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The Company did not repurchase any shares during the three months ended July 31, 2019. As of July 31, 2019, there were 1,879,218 shares authorized to purchase in connection with this share repurchase program.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  Common Stock Price Performance Graph</w:t>
      </w:r>
    </w:p>
    <w:p>
      <w:pPr>
        <w:spacing w:after="0" w:line="94" w:lineRule="exact"/>
        <w:rPr>
          <w:sz w:val="20"/>
          <w:szCs w:val="20"/>
          <w:color w:val="auto"/>
        </w:rPr>
      </w:pPr>
    </w:p>
    <w:p>
      <w:pPr>
        <w:jc w:val="both"/>
        <w:ind w:left="60" w:firstLine="432"/>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of the cumulative return over the last five fiscal years had $100 been invested at the close of business on July 31, 2014, in each of Brady Corporation Class A Common Stock, the Standard &amp; Poor’s ("S&amp;P") 500 Index,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140335</wp:posOffset>
            </wp:positionV>
            <wp:extent cx="5848985" cy="3730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Corporation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225.38</w:t>
            </w: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S&amp;P 500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170.86</w:t>
            </w:r>
          </w:p>
        </w:tc>
      </w:tr>
      <w:tr>
        <w:trPr>
          <w:trHeight w:val="33"/>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S&amp;P SmallCap 600 Index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160.11</w:t>
            </w: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Russell 2000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150.50</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(C) 2019, Standard &amp; Poor’s, Inc. and Russell Investments.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2015 through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data</w:t>
            </w:r>
            <w:r>
              <w:rPr>
                <w:rFonts w:ascii="Times New Roman" w:cs="Times New Roman" w:eastAsia="Times New Roman" w:hAnsi="Times New Roman"/>
                <w:sz w:val="21"/>
                <w:szCs w:val="21"/>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1,160,645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1,173,851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1,113,316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1,120,625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1,171,731</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578,678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588,291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558,432</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36,734</w:t>
            </w:r>
          </w:p>
        </w:tc>
        <w:tc>
          <w:tcPr>
            <w:tcW w:w="0" w:type="dxa"/>
            <w:vAlign w:val="bottom"/>
          </w:tcPr>
          <w:p>
            <w:pPr>
              <w:spacing w:after="0"/>
              <w:rPr>
                <w:sz w:val="1"/>
                <w:szCs w:val="1"/>
                <w:color w:val="auto"/>
              </w:rPr>
            </w:pPr>
          </w:p>
        </w:tc>
      </w:tr>
      <w:tr>
        <w:trPr>
          <w:trHeight w:val="270"/>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371,082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390,342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387,653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405,096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422,704</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16,821</w:t>
            </w:r>
          </w:p>
        </w:tc>
        <w:tc>
          <w:tcPr>
            <w:tcW w:w="0" w:type="dxa"/>
            <w:vAlign w:val="bottom"/>
          </w:tcPr>
          <w:p>
            <w:pPr>
              <w:spacing w:after="0"/>
              <w:rPr>
                <w:sz w:val="1"/>
                <w:szCs w:val="1"/>
                <w:color w:val="auto"/>
              </w:rPr>
            </w:pPr>
          </w:p>
        </w:tc>
      </w:tr>
      <w:tr>
        <w:trPr>
          <w:trHeight w:val="270"/>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Impairment charges</w:t>
            </w:r>
            <w:r>
              <w:rPr>
                <w:rFonts w:ascii="Times New Roman" w:cs="Times New Roman" w:eastAsia="Times New Roman" w:hAnsi="Times New Roman"/>
                <w:sz w:val="21"/>
                <w:szCs w:val="21"/>
                <w:color w:val="auto"/>
                <w:vertAlign w:val="superscript"/>
              </w:rPr>
              <w:t>(4)</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46,867</w:t>
            </w:r>
          </w:p>
        </w:tc>
        <w:tc>
          <w:tcPr>
            <w:tcW w:w="0" w:type="dxa"/>
            <w:vAlign w:val="bottom"/>
          </w:tcPr>
          <w:p>
            <w:pPr>
              <w:spacing w:after="0"/>
              <w:rPr>
                <w:sz w:val="1"/>
                <w:szCs w:val="1"/>
                <w:color w:val="auto"/>
              </w:rPr>
            </w:pPr>
          </w:p>
        </w:tc>
      </w:tr>
      <w:tr>
        <w:trPr>
          <w:trHeight w:val="250"/>
        </w:trPr>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435,595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440,895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523,126</w:t>
            </w: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152,696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131,015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117,878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35,306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Net other income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(10,311)</w:t>
            </w:r>
          </w:p>
        </w:tc>
        <w:tc>
          <w:tcPr>
            <w:tcW w:w="0" w:type="dxa"/>
            <w:vAlign w:val="bottom"/>
          </w:tcPr>
          <w:p>
            <w:pPr>
              <w:spacing w:after="0"/>
              <w:rPr>
                <w:sz w:val="1"/>
                <w:szCs w:val="1"/>
                <w:color w:val="auto"/>
              </w:rPr>
            </w:pPr>
          </w:p>
        </w:tc>
      </w:tr>
      <w:tr>
        <w:trPr>
          <w:trHeight w:val="33"/>
        </w:trPr>
        <w:tc>
          <w:tcPr>
            <w:tcW w:w="7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152,015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126,632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24,995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 expense</w:t>
            </w:r>
            <w:r>
              <w:rPr>
                <w:rFonts w:ascii="Times New Roman" w:cs="Times New Roman" w:eastAsia="Times New Roman" w:hAnsi="Times New Roman"/>
                <w:sz w:val="21"/>
                <w:szCs w:val="21"/>
                <w:b w:val="1"/>
                <w:bCs w:val="1"/>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33,386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60,955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30,987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20,093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 from discontinued operations, net of income taxes</w:t>
            </w:r>
            <w:r>
              <w:rPr>
                <w:rFonts w:ascii="Times New Roman" w:cs="Times New Roman" w:eastAsia="Times New Roman" w:hAnsi="Times New Roman"/>
                <w:sz w:val="21"/>
                <w:szCs w:val="21"/>
                <w:b w:val="1"/>
                <w:bCs w:val="1"/>
                <w:color w:val="auto"/>
                <w:vertAlign w:val="superscript"/>
              </w:rPr>
              <w:t>(6)</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Income from continuing operations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B voting</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Loss from discontinued operations per Common Share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8"/>
                <w:shd w:val="clear" w:color="auto" w:fill="CCEEFF"/>
              </w:rPr>
              <w:t>(Diluted):</w:t>
            </w:r>
          </w:p>
        </w:tc>
        <w:tc>
          <w:tcPr>
            <w:tcW w:w="3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A nonvoting</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Class B 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Dividends 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Class A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B common stock</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Balance Sheet at July 31: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1,157,308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1,056,931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1,050,223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1,043,964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1,062,897</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Long-term obligations,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52,618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200,774</w:t>
            </w: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850,774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752,112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603,598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587,688</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162,211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143,042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144,032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138,976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93,348</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(14,365)</w:t>
            </w: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(32,152)</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39,458</w:t>
            </w:r>
          </w:p>
        </w:tc>
        <w:tc>
          <w:tcPr>
            <w:tcW w:w="0" w:type="dxa"/>
            <w:vAlign w:val="bottom"/>
          </w:tcPr>
          <w:p>
            <w:pPr>
              <w:spacing w:after="0"/>
              <w:rPr>
                <w:sz w:val="1"/>
                <w:szCs w:val="1"/>
                <w:color w:val="auto"/>
              </w:rPr>
            </w:pPr>
          </w:p>
        </w:tc>
      </w:tr>
      <w:tr>
        <w:trPr>
          <w:trHeight w:val="237"/>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-6916420</wp:posOffset>
            </wp:positionV>
            <wp:extent cx="68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-6916420</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-6916420</wp:posOffset>
            </wp:positionV>
            <wp:extent cx="77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-6916420</wp:posOffset>
            </wp:positionV>
            <wp:extent cx="77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6" w:lineRule="exact"/>
        <w:rPr>
          <w:sz w:val="20"/>
          <w:szCs w:val="20"/>
          <w:color w:val="auto"/>
        </w:rPr>
      </w:pPr>
    </w:p>
    <w:p>
      <w:pPr>
        <w:ind w:left="54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data has been impacted by the reclassification of the Die-Cut businesses into discontinued operations in fiscal 2015. The Company has elected to not separately disclose the cash flows related to discontinued operations.</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40" w:hanging="316"/>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2018, the Company recognized a gain of $4.7 million on the sale of its Runelandhs Försäljnings AB business which was recorded as a reduction of selling, general and administrative expense.</w:t>
      </w:r>
    </w:p>
    <w:p>
      <w:pPr>
        <w:ind w:left="540" w:hanging="316"/>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2015 includes restructuring charges from a Company approved plan to consolidate facilities in the Americas, Europe, and Asia in order to enhance customer service, improve efficiency of operations, and reduce operating expenses executed in a prior year.</w:t>
      </w:r>
    </w:p>
    <w:p>
      <w:pPr>
        <w:ind w:left="540" w:hanging="316"/>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impairment charges of $46.9 million during the fiscal year ended July 31, 2015. The impairment charge primarily related to the WPS Americas and WPS APAC reporting units.</w:t>
      </w:r>
    </w:p>
    <w:p>
      <w:pPr>
        <w:jc w:val="both"/>
        <w:ind w:left="540" w:hanging="316"/>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was significantly impacted by the Tax Reform Act which resulted in total incremental tax expense of $21.1 million, which consisted of $1.0 million related to the recording of a deferred tax liability for future withholdings and income taxes on the distribution of foreign income, an income tax charge of $3.3 million related to the deemed repatriation of the historical income of foreign subsidiaries, and the impact of the Tax Reform Act on the revaluation of deferred tax assets and liabilities as well as the impact on the Company's fiscal 2018 income from the reduced tax rate was an additional income tax expense of $16.8 million. Fiscal 2015 was significantly impacted by the impairment charges of $46.9 million, of which $39.8 million was non-deductible for income tax purposes.</w:t>
      </w:r>
    </w:p>
    <w:p>
      <w:pPr>
        <w:spacing w:after="0" w:line="2"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Die-Cut business was sold in two phases. The second and final phase closed in the first quarter of fiscal 2015. The loss from discontinued operations in fiscal 2015 includes a $0.4 million net loss on the sale of the Die-Cut business, recorded during the three months ended October 31, 2014.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 Approximately 45% of our total sales are derived outside of the United States. Foreign sales within the IDS and WPS segments are approximately 40% and 70%, respectively.</w:t>
      </w:r>
    </w:p>
    <w:p>
      <w:pPr>
        <w:spacing w:after="0" w:line="2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increasing investments in R&amp;D. In our WPS business, our strategy for growth includes a focus on workplace safety critical industries, innovative new product offerings, compliance expertise, customization expertise, and improving our digital capabilities.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results of operating income for the fiscal years ended July 31, 2019, 2018, and 2017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1,113,316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3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578,678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588,291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558,292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3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371,082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390,342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387,653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17"/>
        </w:trPr>
        <w:tc>
          <w:tcPr>
            <w:tcW w:w="3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416,250</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435,595</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427,277</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33"/>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2018 compared to fiscal 2017 can be found under Item 7 in our Annual Report on Form 10-K for the fiscal year ended July 31, 2018, filed with the SEC on September 13, 2018, which is available free of charge on the SEC's website at www.sec.gov and our corporate website at www.bradycorp.com. References in this Form 10-K to “organic sales” refer to net sales calculated in accordance with U.S. GAAP, excluding the impact of foreign currency translation and divestitures. The Company’s organic sales disclosures exclude the effects of foreign currency translation as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 All analytical commentary within the Results of Operations section regarding the change in sales when compared to prior periods are in reference to organic sales unless otherwise noted.</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decreased 1.1% to $1,160.6 million in fiscal 2019, compared to $1,173.9 million in fiscal 2018, which consisted of organic sales growth of 2.8%, offset by a decrease from foreign currency translation of 2.6% and a decrease from a divestiture of a business in the prior year of 1.3%. Organic sales grew 4.1% in the IDS segment and declined 0.7% in the WPS segment. The IDS segment realized sales growth in the Product ID, Wire ID, Safety and Facility ID, and Healthcare ID product lines. WPS segment digital sales were approximately flat while sales through the catalog channel declined in the low-single digits.</w:t>
      </w:r>
    </w:p>
    <w:p>
      <w:pPr>
        <w:spacing w:after="0" w:line="13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Gross margin decreased 1.6% to $578.7 million in fiscal 2019, compared to $588.3 million in fiscal 2018. As a percentage of net sales, gross margin decreased to 49.9% in fiscal 2019, compared to 50.1% in fiscal 2018. The decrease in gross margin as a percentage of net sales was primarily due to increased input costs such as freight and personnel costs which were partially mitigated by selected price increases and our ongoing efforts to streamline manufacturing processes and drive operational efficiencies, including increased automation in our manufacturing facilities.</w:t>
      </w:r>
    </w:p>
    <w:p>
      <w:pPr>
        <w:spacing w:after="0" w:line="12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R&amp;D expenses decreased slightly to $45.2 million in fiscal 2019, compared to $45.3 million in fiscal 2018. The decrease in R&amp;D spending in fiscal 2019 compared to the prior year was primarily due to the timing of expenditures related to ongoing new product development projects. The Company remains committed to investing in new product development in connection with our focus on increasing new product sales within our IDS and WPS businesses. Investments in new printers and materials continue to be the primary focus of R&amp;D expenditures.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selling and administrative costs directly attributed to the IDS and WPS segments, as well as certain other corporate administrative expenses including finance, information technology, human resources, and other administrative expenses. SG&amp;A expenses decreased 4.9% to $371.1 million in fiscal 2019 compared to $390.3 million in fiscal 2018. Additionally, SG&amp;A expenses in fiscal 2018 include a gain of $4.7 million on the sale of Runelandhs. SG&amp;A expense as a percentage of net sales was 32.0% in fiscal 2019 compared to 33.3% in fiscal 2018. The decrease in both SG&amp;A expenses and SG&amp;A expenses as a percentage of net sales from the prior year was due to the Company's ongoing efficiency gains and continued efforts to reduce selling, general and administrative costs and the impact of foreign currency translation.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and (expense):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37"/>
        </w:trPr>
        <w:tc>
          <w:tcPr>
            <w:tcW w:w="3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9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Investment and other income was $5.0 million in fiscal 2019 compared to $2.5 million in fiscal 2018. The increase in investment and other income in 2019 was primarily due to an increase in interest income due to the Company's increase in cash and cash equivalents during fiscal 2019 and an increase in the market value of securities held in deferred compensation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decreased to $2.8 million in fiscal 2019 compared to $3.2 million in fiscal 2018. The decrease in interest expense in 2019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was due to the Company's declining principal balance under its outstanding debt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20.3% in fiscal 2019. The effective income tax rate was below the applicable U.S. statutory tax rate of 21.0% primarily due to adjustments to the reserve for uncertain tax positions and R&amp;D tax credits, partially offset by non-deductible executive compensation and the tax rate differential on foreign income.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40.1% in fiscal 2018. The effective income tax rate was significantly impacted by the U.S. Tax Reform Act enacted in fiscal 2018, which resulted in total incremental tax expense of $21.1 million during fiscal 2018. This incremental tax expense consisted of $1.0 million related to the recording of a deferred tax liability for future withholdings and income taxes on the distribution of foreign income, an income tax charge of $3.3 million related to the deemed repatriation of the historical income of foreign subsidiaries, and the impact of the Tax Reform Act on the revaluation of deferred tax assets and liabilities as well as the impact on the Company's fiscal 2018 income from the reduced tax rate was a net additional income tax expense of $16.8 million.</w:t>
      </w:r>
    </w:p>
    <w:p>
      <w:pPr>
        <w:spacing w:after="0" w:line="26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24.5% in fiscal 2017. The effective income tax rate was reduced from the applicable U.S. statutory tax rate of 35.0% due to the generation of foreign tax credits from cash repatriations that occurred during the year and geographic profit mix, partially offset by adjustments to the reserve for uncertain tax positions.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Operating Results</w:t>
      </w:r>
    </w:p>
    <w:p>
      <w:pPr>
        <w:spacing w:after="0" w:line="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two reportable segments: ID Solutions and Workplace Safety. The Company's internal measure of segment profit and loss reported to the chief operating decision maker for purposes of allocating resources to the segments and assessing performance includes certain administrative costs, such as the cost of finance, information technology, human resources, and certain other administrative costs. However, interest expense, investment and other income, income tax expense, and certain corporate administrative expenses are excluded when evaluating segment performance.</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is a summary of segment information for the fiscal years ended July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4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Divestitures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73"/>
        </w:trPr>
        <w:tc>
          <w:tcPr>
            <w:tcW w:w="54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Divestitures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237"/>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IDS net sales increased 2.0% to $863.1 million in fiscal 2019, compared to $846.1 million in fiscal 2018. The net sales increase consisted of organic sales growth of 4.1% and a decrease from foreign currency translation of 2.1% in fiscal 2019 compared to fiscal 2018.</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grew in the mid-single digits in fiscal 2019 compared to fiscal 2018. The increase was primarily due to growth in the Product ID, Wire ID, Safety and Facility ID, and Healthcare ID product lines. Organic sales grew in the mid-single digits in the United States and the rest of the Americas. Growth was driven by an increase in printer and consumable sales throughout the region compared to the same period in the prior year.</w:t>
      </w:r>
    </w:p>
    <w:p>
      <w:pPr>
        <w:spacing w:after="0" w:line="122"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Organic sales in Europe grew in the low-single digits in fiscal 2019 compared to fiscal 2018. The increase was primarily due to growth in the Wire ID, Product ID, and Safety and Facility ID product lines. Organic sales growth was led by businesses based in Western Europe and supplemented by businesses in emerging geographies. In particular, an increase in printer consumables and lockout/tagout device sales throughout the region drove the organic sales growth.</w:t>
      </w:r>
    </w:p>
    <w:p>
      <w:pPr>
        <w:sectPr>
          <w:pgSz w:w="11900" w:h="16838" w:orient="portrait"/>
          <w:cols w:equalWidth="0" w:num="1">
            <w:col w:w="11420"/>
          </w:cols>
          <w:pgMar w:left="240" w:top="118"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Asia grew in the low-single digits in fiscal 2019 compared to fiscal 2018. The increase was primarily due to growth in the Wire ID, Product ID, and Safety and Facility ID product lines. Organic sales increased throughout most of Asia, with organic sales increasing in the low-single digits in China and the mid-single digits in the rest of Asia.</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Segment profit increased to $165.0 million in fiscal 2019 from $143.4 million in fiscal 2018, an increase of $21.5 million million or 15.0%. As a percent of net sales, segment profit increased to 19.1% in fiscal 2019, compared to 16.9% in the prior year. The increase in segment profit was primarily driven by organic sales growth and efficiency gains throughout SG&amp;A.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Workplace Safety</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WPS sales decreased 9.2% to $297.5 million in fiscal 2019, compared to $327.8 million in fiscal 2018. The decrease consisted of an organic sales decline of 0.7%, a decrease from foreign currency translation of 3.7%, and a decrease from a divestiture of a business in the prior year of 4.8%, compared to the same period in the prior year.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grew in the low-single digits in fiscal 2019 compared to fiscal 2018. The growth in the region was driven primarily by businesses in France, Belgium, and Germany due to improvements in website functionality, growth in new customers, and key account management. WPS Europe experienced nearly 12% growth in digital channel sales, while catalog sales remained essentially flat during fiscal 2019 compared to fiscal 2018.</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the Americas decreased in the high-single digits in fiscal 2019 compared to fiscal 2018. WPS Americas continued to experience the negative impact from the digital platform implemented in fiscal 2018 resulting in a decline in sales. The business transitioned to a new digital platform during fiscal 2019 to address this decline. The functionality of the new digital platform is improved compared to the former digital platform; however, sales have not yet returned to the level experienced prior to the initial platform change in fiscal 2018. Catalog channel sales declined in the mid-single digits due to lower response rates to catalog promotions.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grew in the low-single digits in fiscal 2019 compared to fiscal 2018. The organic sales growth was driven by the digital and catalog channels as well as other direct channels. The Australian business is growing its customer base, and its diversified product offering continues to expand into additional target markets such as commercial and industrial construction.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profit decreased to $23.0 million in fiscal 2019 from $31.7 million in fiscal 2018, a decrease of $8.7 million, or 27.4%. As a percentage of net sales, segment profit decreased to 7.7% in fiscal 2019 compared to 9.7% in the prior year. The decrease in segment profit was primarily due to the decrease in sales volume in the North American business, the divestiture of a business in the prior year, and foreign currency translation.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were $279.1 million at July 31, 2019, an increase of $97.6 million from July 31, 2018. The following summarizes the cash flow statement for fiscal years ended July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144,032</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(15,253)</w:t>
            </w:r>
          </w:p>
        </w:tc>
      </w:tr>
      <w:tr>
        <w:trPr>
          <w:trHeight w:val="237"/>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(136,241)</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44"/>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(7,284)</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$162.2 million during fiscal 2019, compared to $143.0 million in the prior year. The increase was driven by growth in net income adjusted for non-cash items, while the impact of working capital was essentially flat between periods.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$34.5 million during fiscal 2019, compared to $2.9 million in the prior year. The increase in cash used in investing activities of $31.6 million was driven by an increase in capital expenditures for the purchase of facility upgrades, primarily in WPS, and manufacturing equipment. Capital expenditures of $21.8 million during fiscal 2018 were partially offset by cash received in the amount of $19.1 million from the sale of a business.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$27.6 million during fiscal 2019, compared to $90.7 million during the prior year. The change of $63.1 million was primarily due to a decrease of $55.3 million in net credit facility repayments and an increase of $11.4 million in proceeds from stock option exercises in fiscal 2019 when compared to the fiscal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July 31, 2019, approximately 52%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Item 8, Note 6, "Debt" and Note 16, "Subsequent Events" for information regarding the Company's debt holdings.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 Affecting Financial Condition</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Item 8, Note 16, "Subsequent Events" for information regarding the Company's subsequent events affecting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consolidated financial statements.</w:t>
      </w:r>
    </w:p>
    <w:p>
      <w:pPr>
        <w:spacing w:after="0" w:line="2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Operating Leases — The leases generally are entered into for investments in manufacturing facilities, warehouses, office space, equipment, and Company vehicles.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Contractual Obligations — The Company does not have material financial guarantees or other contractual commitments that are reasonably likely to adversely affect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Due Under Contractual Obligations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future commitments at July 31, 2019, for long-term debt, operating lease obligations, purchase obligations, interest obligations, and tax obligations are as follows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2"/>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Uncertain</w:t>
            </w:r>
          </w:p>
        </w:tc>
      </w:tr>
      <w:tr>
        <w:trPr>
          <w:trHeight w:val="21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50,166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18,450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14,841</w:t>
            </w:r>
          </w:p>
        </w:tc>
      </w:tr>
      <w:tr>
        <w:trPr>
          <w:trHeight w:val="217"/>
        </w:trPr>
        <w:tc>
          <w:tcPr>
            <w:tcW w:w="33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144,926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81,211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29,651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14,841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5620" w:right="5540" w:hanging="5396"/>
        <w:spacing w:after="0" w:line="564"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include all open purchase orders as of July 31, 2019. 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Changing Prices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3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While the Company has support for the positions it takes on tax returns, taxing authorities may assert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 The gross liability for unrecognized tax benefits, excluding interest and penalties, was $14.8 million and $20.4 million as of July 31, 2019 and 2018, respectively. If recognized, $12.0 million and $20.4 million of unrecognized tax benefits as of July 31, 2019 and 2018, respectively, would affect the income tax rate. Accrued interest and penalties related to unrecognized tax benefits were $2.4 million and $5.8 million as of July 31, 2019 and 2018, respectively. The Company recognizes interest and penalties related to unrecognized tax benefits in income tax expense on the Consolidated Statements of Income. The Company believes it is reasonably possible the amount of gross unrecognized tax benefits could be reduced by up to $5.4 million in the next twelve months as a result of the resolution of worldwide tax matters, tax audit settlements, amended tax filings, and/or statute expirations, which would be the maximum amount that would be recognized through the Consolidated Statements of Income as an income tax benefit.</w:t>
      </w:r>
    </w:p>
    <w:p>
      <w:pPr>
        <w:spacing w:after="0" w:line="13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w:t>
      </w:r>
    </w:p>
    <w:p>
      <w:pPr>
        <w:spacing w:after="0" w:line="3" w:lineRule="exact"/>
        <w:rPr>
          <w:sz w:val="20"/>
          <w:szCs w:val="20"/>
          <w:color w:val="auto"/>
        </w:rPr>
      </w:pPr>
    </w:p>
    <w:p>
      <w:pPr>
        <w:jc w:val="both"/>
        <w:ind w:firstLine="8"/>
        <w:spacing w:after="0" w:line="255"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taxable income or loss, and (iii) the impact of tax planning strategies. The Company recognized valuation allowances for its deferred tax assets of $60.1 million and $56.9 million as of July 31, 2019 and 2018, respectively, which were primarily related to foreign tax credit carryforwards and net operating loss carryforwards in its various tax jurisdictions.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2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identified six reporting units within its two reportable segments, IDS and WPS, with the following goodwill balances as of July 31, 2019: IDS Americas &amp; Europe, $285.7 million; People ID, $93.3 million; and WPS Europe, $32.0 million. The IDS APAC, WPS Americas, and WPS APAC reporting units each have a goodwill balance of zero. The Company believes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3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U.S. GDP growth, (ii) industry and market factors such as competition and changes in the market for the reporting unit's products, (iii) new product development, (iv) hospital admission rates, (v) competing technologies, (vi) overall financial performance such as cash flows, actual and planned revenue and profitability, and (vii)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 reporting unit’s fair value to be substantially in excess of its carrying value at 20% or greater. The annual impairment testing performed on May 1, 2019, in accordance with ASC 350, “Intangibles - Goodwill and Other” (“Step One”) indicated that all of the reporting units passed Step One of the goodwill impairment test, and each had a fair value substantially in excess of its carrying value.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Indefinite-Lived Intangible Assets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indefinite-lived intangible assets were analyzed in accordance with the Company's policy outlined above using the income approach. The valuation was based upon current sales projections and profitability for each asset group, and the relief from royalty method was applied. As a result of the analysis, an indefinite-lived tradename with a carrying amount of $2.1 million was written down to its estimated fair value of $1.6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provided in Note 1 of the Notes to Consolidated Financial Statements contained in Item 8 —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2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which are beyond Brady's control, that could cause actual results to differ materially from those expressed or implied by such forward-looking statements. For Brady, uncertainties arise from:</w:t>
      </w:r>
    </w:p>
    <w:p>
      <w:pPr>
        <w:spacing w:after="0" w:line="270" w:lineRule="exact"/>
        <w:rPr>
          <w:sz w:val="20"/>
          <w:szCs w:val="20"/>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compete effectively or to successfully execute our strategy</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our sites, networks, and systems against security breaches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other cost increases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 regulatory entities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contingent liabilities from divestitures and the failure to identify, integrate, and grow acquired companies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Brady's substantial intangible assets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3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To achieve this objective, the Company hedges a portion of known exposures using forward contracts. Main exposures are related to transactions denominated in the British Pound, the Euro, Canadian dollar, Australian dollar, Mexican Peso, the Malaysian Ringgit, the Chinese Yuan, and Singapore dollar. As of July 31, 2019, the notional amount of outstanding forward foreign exchange contracts designated as cash flow hedges was $26.0 million. The Company uses Euro-denominated debt of €45.0 million designated as a hedge instrument to hedge portions of the Company’s net investment in its Euro-denominated businesses. The Company's revolving credit facility allows it to borrow up to $150.0 million in currencies other than U.S. dollars under an alternative currency sub-limit. The Company has periodically borrowed funds in Euros and British Pounds under this sub-limit. Debt issued in currencies other than U.S. dollars acts as a natural hedge to the Company's exposure to the associated currency.</w:t>
      </w:r>
    </w:p>
    <w:p>
      <w:pPr>
        <w:spacing w:after="0" w:line="13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decreased fiscal 2019 sales by 2.6% compared to fiscal 2018 as the U.S. dollar appreciated, on average, against other major currencies throughout the year.</w:t>
      </w:r>
    </w:p>
    <w:p>
      <w:pPr>
        <w:spacing w:after="0" w:line="13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7"/>
          <w:szCs w:val="17"/>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Australian dollar, the Canadian dollar, the Mexican Peso, the Singapore dollar, the British Pound, the Malaysian Ringgit, and the Chinese Yuan. Changes in foreign currency exchange rates for the Company’s foreign subsidiaries reporting in local currencies are generally reported as a component of stockholders’ equity. The Company’s currency translation adjustment recorded in fiscal 2019, 2018, and 2017 as a separate component of stockholders’ equity was unfavorable by $13.2 million, unfavorable by $13.7 million, and favorable by $7.2 million, respectively. As of July 31, 2019 and 2018, the Company’s foreign subsidiaries had net current assets (defined as current assets less current liabilities) subject to foreign currency translation risk of $192.9 million and $170.0 million, respectively. The potential decrease in net current assets as of July 31, 2019, from a hypothetical 10 percent adverse change in quoted foreign currency exchange rates would be approximately $19.3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2019, the Company had no interest rate derivatives and no variable rate debt outstanding.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9"/>
        </w:trPr>
        <w:tc>
          <w:tcPr>
            <w:tcW w:w="4220" w:type="dxa"/>
            <w:vAlign w:val="bottom"/>
            <w:tcBorders>
              <w:bottom w:val="single" w:sz="8" w:color="auto"/>
            </w:tcBorders>
            <w:gridSpan w:val="3"/>
          </w:tcPr>
          <w:p>
            <w:pPr>
              <w:spacing w:after="0" w:line="170" w:lineRule="exact"/>
              <w:rPr>
                <w:rFonts w:ascii="Times New Roman" w:cs="Times New Roman" w:eastAsia="Times New Roman" w:hAnsi="Times New Roman"/>
                <w:sz w:val="18"/>
                <w:szCs w:val="18"/>
                <w:color w:val="auto"/>
                <w:w w:val="99"/>
              </w:rPr>
            </w:pPr>
            <w:hyperlink w:anchor="page24">
              <w:r>
                <w:rPr>
                  <w:rFonts w:ascii="Times New Roman" w:cs="Times New Roman" w:eastAsia="Times New Roman" w:hAnsi="Times New Roman"/>
                  <w:sz w:val="18"/>
                  <w:szCs w:val="18"/>
                  <w:color w:val="auto"/>
                  <w:w w:val="99"/>
                </w:rPr>
                <w:t>Report of Independent Registered Public Accounting Firm</w:t>
              </w:r>
            </w:hyperlink>
          </w:p>
        </w:tc>
        <w:tc>
          <w:tcPr>
            <w:tcW w:w="5220" w:type="dxa"/>
            <w:vAlign w:val="bottom"/>
            <w:gridSpan w:val="6"/>
          </w:tcPr>
          <w:p>
            <w:pPr>
              <w:spacing w:after="0"/>
              <w:rPr>
                <w:sz w:val="18"/>
                <w:szCs w:val="18"/>
                <w:color w:val="auto"/>
              </w:rPr>
            </w:pPr>
          </w:p>
        </w:tc>
        <w:tc>
          <w:tcPr>
            <w:tcW w:w="1940" w:type="dxa"/>
            <w:vAlign w:val="bottom"/>
            <w:gridSpan w:val="3"/>
          </w:tcPr>
          <w:p>
            <w:pPr>
              <w:jc w:val="right"/>
              <w:ind w:right="20"/>
              <w:spacing w:after="0" w:line="170" w:lineRule="exact"/>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44"/>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250"/>
        </w:trPr>
        <w:tc>
          <w:tcPr>
            <w:tcW w:w="4040" w:type="dxa"/>
            <w:vAlign w:val="bottom"/>
            <w:gridSpan w:val="2"/>
          </w:tcPr>
          <w:p>
            <w:pPr>
              <w:spacing w:after="0"/>
              <w:rPr>
                <w:rFonts w:ascii="Times New Roman" w:cs="Times New Roman" w:eastAsia="Times New Roman" w:hAnsi="Times New Roman"/>
                <w:sz w:val="18"/>
                <w:szCs w:val="18"/>
                <w:color w:val="auto"/>
                <w:w w:val="99"/>
              </w:rPr>
            </w:pPr>
            <w:hyperlink w:anchor="page26">
              <w:r>
                <w:rPr>
                  <w:rFonts w:ascii="Times New Roman" w:cs="Times New Roman" w:eastAsia="Times New Roman" w:hAnsi="Times New Roman"/>
                  <w:sz w:val="18"/>
                  <w:szCs w:val="18"/>
                  <w:color w:val="auto"/>
                  <w:w w:val="99"/>
                </w:rPr>
                <w:t>Consolidated Balance Sheets — July 31, 2019 and 2018</w:t>
              </w:r>
            </w:hyperlink>
          </w:p>
        </w:tc>
        <w:tc>
          <w:tcPr>
            <w:tcW w:w="5400" w:type="dxa"/>
            <w:vAlign w:val="bottom"/>
            <w:gridSpan w:val="7"/>
          </w:tcPr>
          <w:p>
            <w:pPr>
              <w:spacing w:after="0"/>
              <w:rPr>
                <w:sz w:val="21"/>
                <w:szCs w:val="21"/>
                <w:color w:val="auto"/>
              </w:rPr>
            </w:pPr>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r>
      <w:tr>
        <w:trPr>
          <w:trHeight w:val="20"/>
        </w:trPr>
        <w:tc>
          <w:tcPr>
            <w:tcW w:w="4040" w:type="dxa"/>
            <w:vAlign w:val="bottom"/>
            <w:gridSpan w:val="2"/>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Consolidated Statements of Income — Years Ended July 31, 2019, 2018, and 2017</w:t>
              </w:r>
            </w:hyperlink>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0"/>
        </w:trPr>
        <w:tc>
          <w:tcPr>
            <w:tcW w:w="596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140" w:type="dxa"/>
            <w:vAlign w:val="bottom"/>
            <w:gridSpan w:val="8"/>
          </w:tcPr>
          <w:p>
            <w:pPr>
              <w:spacing w:after="0"/>
              <w:rPr>
                <w:rFonts w:ascii="Times New Roman" w:cs="Times New Roman" w:eastAsia="Times New Roman" w:hAnsi="Times New Roman"/>
                <w:sz w:val="18"/>
                <w:szCs w:val="18"/>
                <w:color w:val="auto"/>
                <w:w w:val="99"/>
              </w:rPr>
            </w:pPr>
            <w:hyperlink w:anchor="page28">
              <w:r>
                <w:rPr>
                  <w:rFonts w:ascii="Times New Roman" w:cs="Times New Roman" w:eastAsia="Times New Roman" w:hAnsi="Times New Roman"/>
                  <w:sz w:val="18"/>
                  <w:szCs w:val="18"/>
                  <w:color w:val="auto"/>
                  <w:w w:val="99"/>
                </w:rPr>
                <w:t>Consolidated Statements of Comprehensive Income — Years Ended July 31, 2019, 2018, and 2017</w:t>
              </w:r>
            </w:hyperlink>
          </w:p>
        </w:tc>
        <w:tc>
          <w:tcPr>
            <w:tcW w:w="2300" w:type="dxa"/>
            <w:vAlign w:val="bottom"/>
          </w:tcPr>
          <w:p>
            <w:pPr>
              <w:spacing w:after="0"/>
              <w:rPr>
                <w:sz w:val="21"/>
                <w:szCs w:val="21"/>
                <w:color w:val="auto"/>
              </w:rPr>
            </w:pPr>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140" w:type="dxa"/>
            <w:vAlign w:val="bottom"/>
            <w:gridSpan w:val="8"/>
          </w:tcPr>
          <w:p>
            <w:pPr>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Consolidated Statements of Stockholders’ Equity — Years Ended July 31, 2019, 2018, and 2017</w:t>
              </w:r>
            </w:hyperlink>
          </w:p>
        </w:tc>
        <w:tc>
          <w:tcPr>
            <w:tcW w:w="2300" w:type="dxa"/>
            <w:vAlign w:val="bottom"/>
          </w:tcPr>
          <w:p>
            <w:pPr>
              <w:spacing w:after="0"/>
              <w:rPr>
                <w:sz w:val="21"/>
                <w:szCs w:val="21"/>
                <w:color w:val="auto"/>
              </w:rPr>
            </w:pPr>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7"/>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Consolidated Statements of Cash Flows — Years Ended July 31, 2019, 2018, and 2017</w:t>
              </w:r>
            </w:hyperlink>
          </w:p>
        </w:tc>
        <w:tc>
          <w:tcPr>
            <w:tcW w:w="2500" w:type="dxa"/>
            <w:vAlign w:val="bottom"/>
            <w:gridSpan w:val="2"/>
          </w:tcPr>
          <w:p>
            <w:pPr>
              <w:spacing w:after="0"/>
              <w:rPr>
                <w:sz w:val="21"/>
                <w:szCs w:val="21"/>
                <w:color w:val="auto"/>
              </w:rPr>
            </w:pPr>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Notes to Consolidated Financial Statements — Years Ended July 31, 2019, 2018, and 2017</w:t>
              </w:r>
            </w:hyperlink>
          </w:p>
        </w:tc>
        <w:tc>
          <w:tcPr>
            <w:tcW w:w="1940" w:type="dxa"/>
            <w:vAlign w:val="bottom"/>
            <w:gridSpan w:val="3"/>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507"/>
        </w:trPr>
        <w:tc>
          <w:tcPr>
            <w:tcW w:w="5960" w:type="dxa"/>
            <w:vAlign w:val="bottom"/>
            <w:tcBorders>
              <w:top w:val="single" w:sz="8" w:color="auto"/>
            </w:tcBorders>
            <w:gridSpan w:val="4"/>
          </w:tcPr>
          <w:p>
            <w:pPr>
              <w:ind w:left="558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Brady Corporation and subsidiaries (the "Company") as of July 31, 2019 and 2018, the related consolidated statements of earnings, comprehensive income, stockholders’ investment, and cash flows, for each of the three years in the period ended July 31, 2019, and the related notes and the schedule listed in the Index at Item 15 (collectively referred to as the "financial statements"). In our opinion, the financial statements present fairly, in all material respects, the financial position of the Company as of July 31, 2019 and 2018, and the results of its operations and its cash flows for each of the three years in the period ended July 31, 2019, in conformity with accounting principles generally accepted in the United States of America.</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July 31, 2019, based on criteria established in Internal Control - Integrated Framework (2013) issued by the Committee of Sponsoring Organizations of the Treadway Commission and our report dated September 6, 2019,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 Valuation Allowance - Refer to Note 5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$60 million as of July 31, 2019.</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determination of the valuation allowance involves estimates. Management’s primary estimate in determining whether a valuation allowance should be established is the projection of future sources of taxable income. Auditing management’s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estimate of future sources of taxable income, which affects the recorded valuation allowances, required a high degree of auditor judgment and an increased extent of effort, including the need to involve our income tax specialists.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27" w:lineRule="exact"/>
        <w:rPr>
          <w:sz w:val="20"/>
          <w:szCs w:val="20"/>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estimates of future sources of taxable income.</w:t>
      </w:r>
    </w:p>
    <w:p>
      <w:pPr>
        <w:spacing w:after="0" w:line="9" w:lineRule="exact"/>
        <w:rPr>
          <w:rFonts w:ascii="Times New Roman" w:cs="Times New Roman" w:eastAsia="Times New Roman" w:hAnsi="Times New Roman"/>
          <w:sz w:val="18"/>
          <w:szCs w:val="18"/>
          <w:color w:val="auto"/>
        </w:rPr>
      </w:pPr>
    </w:p>
    <w:p>
      <w:pPr>
        <w:ind w:left="440" w:right="260" w:hanging="324"/>
        <w:spacing w:after="0" w:line="250"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the appropriateness of management’s estimates of future sources of taxable income.</w:t>
      </w:r>
    </w:p>
    <w:p>
      <w:pPr>
        <w:ind w:left="440" w:right="400" w:hanging="324"/>
        <w:spacing w:after="0" w:line="250"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minutes of the Board of Directors.</w:t>
      </w:r>
    </w:p>
    <w:p>
      <w:pPr>
        <w:spacing w:after="0" w:line="1" w:lineRule="exact"/>
        <w:rPr>
          <w:rFonts w:ascii="Times New Roman" w:cs="Times New Roman" w:eastAsia="Times New Roman" w:hAnsi="Times New Roman"/>
          <w:sz w:val="18"/>
          <w:szCs w:val="18"/>
          <w:color w:val="auto"/>
        </w:rPr>
      </w:pPr>
    </w:p>
    <w:p>
      <w:pPr>
        <w:ind w:left="440" w:hanging="324"/>
        <w:spacing w:after="0" w:line="250"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whether the estimated future sources of taxable income were of the appropriate character to utilize the deferred tax assets under tax law.</w:t>
      </w:r>
    </w:p>
    <w:p>
      <w:pPr>
        <w:ind w:left="440" w:right="360" w:hanging="324"/>
        <w:spacing w:after="0" w:line="261"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net deferred tax assets.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at least since 1981; however, an earlier year cannot be reliably determined.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181,427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161,282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113,071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15,559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573,279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471,339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97,945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419,815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intangible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42,588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7,582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17,662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1,056,931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64,810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66,538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67,619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maturities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241,945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190,927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64,589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61,274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306,534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304,819</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Class A nonvoting common stock — Issued 51,261,487 shares at July 31, 2019 and 2018, respectively (aggregate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liquidation preference of $42,803 at July 31, 2019 and 2018)</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Class B voting common stock — Issued and outstanding 3,538,628 shares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325,631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637,843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553,454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—1,802,646 and 2,867,870 shares at July 31, 2019 and 2018, respectively, of Class A nonvoting</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at cost</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850,774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752,112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1,157,308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1,056,931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-6294120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July 31, 2019, 2018 and 2017</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1,160,645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1,173,851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1,113,316</w:t>
            </w: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581,967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585,560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555,024</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578,678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588,291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558,292</w:t>
            </w: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39,624</w:t>
            </w: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371,082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390,342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387,653</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427,277</w:t>
            </w:r>
          </w:p>
        </w:tc>
      </w:tr>
      <w:tr>
        <w:trPr>
          <w:trHeight w:val="21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152,696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131,015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1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164,644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152,015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126,632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30,987</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51,056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51,956</w:t>
            </w:r>
          </w:p>
        </w:tc>
      </w:tr>
      <w:tr>
        <w:trPr>
          <w:trHeight w:val="278"/>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-4660900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-4660900</wp:posOffset>
            </wp:positionV>
            <wp:extent cx="77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20"/>
          </w:cols>
          <w:pgMar w:left="24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2019, 2018 and 2017</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r>
      <w:tr>
        <w:trPr>
          <w:trHeight w:val="224"/>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7,217</w:t>
            </w: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gain (loss)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shd w:val="clear" w:color="auto" w:fill="CCEEFF"/>
              </w:rPr>
              <w:t>Reclassification adjustment for (gains) losses included in 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(loss)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shd w:val="clear" w:color="auto" w:fill="CCEEFF"/>
              </w:rPr>
              <w:t>Actuarial gain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2,421</w:t>
            </w:r>
          </w:p>
        </w:tc>
      </w:tr>
      <w:tr>
        <w:trPr>
          <w:trHeight w:val="21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10,063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116,405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105,708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-3129280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-3129280</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2019, 2018 and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2"/>
                <w:szCs w:val="12"/>
                <w:color w:val="auto"/>
              </w:rPr>
            </w:pPr>
          </w:p>
        </w:tc>
        <w:tc>
          <w:tcPr>
            <w:tcW w:w="9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July 31, 2016</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317,001</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453,371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(108,714)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0" w:type="dxa"/>
            <w:vAlign w:val="bottom"/>
          </w:tcPr>
          <w:p>
            <w:pPr>
              <w:spacing w:after="0"/>
              <w:rPr>
                <w:sz w:val="1"/>
                <w:szCs w:val="1"/>
                <w:color w:val="auto"/>
              </w:rPr>
            </w:pPr>
          </w:p>
        </w:tc>
      </w:tr>
      <w:tr>
        <w:trPr>
          <w:trHeight w:val="83"/>
        </w:trPr>
        <w:tc>
          <w:tcPr>
            <w:tcW w:w="3220" w:type="dxa"/>
            <w:vAlign w:val="bottom"/>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95,645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Issuance of 1,061,660 shares of Class A Common</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under stock plan</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(Note 7)</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3,863</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Tax shortfall from exercise of stock options and</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compensation distributions</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(Note 7)</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Class A — $0.82 per share</w:t>
            </w:r>
          </w:p>
        </w:tc>
        <w:tc>
          <w:tcPr>
            <w:tcW w:w="24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B — $0.80 per share</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July 31, 2017</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322,608</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507,136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3"/>
        </w:trPr>
        <w:tc>
          <w:tcPr>
            <w:tcW w:w="3220" w:type="dxa"/>
            <w:vAlign w:val="bottom"/>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91,060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Issuance of 842,305 shares of Class A Common</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16,234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under stock plan</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Tax benefit and withholdings from deferred</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distribution</w:t>
            </w: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(Note 7)</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9,980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Purchase of 40,694 shares of Class A Common</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Adoption of ASU 2018-02</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A — $0.83 per share</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Class B — $0.81 per share</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at July 31, 2018</w:t>
            </w: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325,631</w:t>
            </w:r>
          </w:p>
        </w:tc>
        <w:tc>
          <w:tcPr>
            <w:tcW w:w="120" w:type="dxa"/>
            <w:vAlign w:val="bottom"/>
          </w:tcPr>
          <w:p>
            <w:pPr>
              <w:spacing w:after="0"/>
              <w:rPr>
                <w:sz w:val="15"/>
                <w:szCs w:val="15"/>
                <w:color w:val="auto"/>
              </w:rPr>
            </w:pPr>
          </w:p>
        </w:tc>
        <w:tc>
          <w:tcPr>
            <w:tcW w:w="3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553,454</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(71,120)</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(56,401)</w:t>
            </w:r>
          </w:p>
        </w:tc>
        <w:tc>
          <w:tcPr>
            <w:tcW w:w="120" w:type="dxa"/>
            <w:vAlign w:val="bottom"/>
          </w:tcPr>
          <w:p>
            <w:pPr>
              <w:spacing w:after="0"/>
              <w:rPr>
                <w:sz w:val="15"/>
                <w:szCs w:val="15"/>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131,258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1,367,131 shares of Class A Common</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27,970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under stock plan</w:t>
            </w: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Tax benefit and withholdings from deferred</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distributions</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(Note 7)</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Purchase of 80,088 shares of Class A Common</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Adoption of ASU 2014-09, "Revenue from</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Contracts with Customers" (Note 8)</w:t>
            </w: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Class A — $0.85 per share</w:t>
            </w:r>
          </w:p>
        </w:tc>
        <w:tc>
          <w:tcPr>
            <w:tcW w:w="24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B — $0.83 per share</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July 31, 2019</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329,969</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637,843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32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-6311265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-6311265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-6311265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-6311265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-6311265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2019,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27,303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portion of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9,495</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business, net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divestitures):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37"/>
        </w:trPr>
        <w:tc>
          <w:tcPr>
            <w:tcW w:w="7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21,751</w:t>
            </w:r>
          </w:p>
        </w:tc>
        <w:tc>
          <w:tcPr>
            <w:tcW w:w="0" w:type="dxa"/>
            <w:vAlign w:val="bottom"/>
          </w:tcPr>
          <w:p>
            <w:pPr>
              <w:spacing w:after="0"/>
              <w:rPr>
                <w:sz w:val="1"/>
                <w:szCs w:val="1"/>
                <w:color w:val="auto"/>
              </w:rPr>
            </w:pPr>
          </w:p>
        </w:tc>
      </w:tr>
      <w:tr>
        <w:trPr>
          <w:trHeight w:val="237"/>
        </w:trPr>
        <w:tc>
          <w:tcPr>
            <w:tcW w:w="7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162,211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144,032</w:t>
            </w:r>
          </w:p>
        </w:tc>
        <w:tc>
          <w:tcPr>
            <w:tcW w:w="0" w:type="dxa"/>
            <w:vAlign w:val="bottom"/>
          </w:tcPr>
          <w:p>
            <w:pPr>
              <w:spacing w:after="0"/>
              <w:rPr>
                <w:sz w:val="1"/>
                <w:szCs w:val="1"/>
                <w:color w:val="auto"/>
              </w:rPr>
            </w:pPr>
          </w:p>
        </w:tc>
      </w:tr>
      <w:tr>
        <w:trPr>
          <w:trHeight w:val="224"/>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Sale of business, net of cash transferred with business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7"/>
        </w:trPr>
        <w:tc>
          <w:tcPr>
            <w:tcW w:w="754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19,728</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180,320</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(244,268)</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(49,302)</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(136,241)</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97,645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181,427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133,944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141,228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133,944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31,885</w:t>
            </w:r>
          </w:p>
        </w:tc>
        <w:tc>
          <w:tcPr>
            <w:tcW w:w="0" w:type="dxa"/>
            <w:vAlign w:val="bottom"/>
          </w:tcPr>
          <w:p>
            <w:pPr>
              <w:spacing w:after="0"/>
              <w:rPr>
                <w:sz w:val="1"/>
                <w:szCs w:val="1"/>
                <w:color w:val="auto"/>
              </w:rPr>
            </w:pPr>
          </w:p>
        </w:tc>
      </w:tr>
      <w:tr>
        <w:trPr>
          <w:trHeight w:val="27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-6718935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-6718935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2019, 2018 and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 </w:t>
      </w: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26"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Brady Corporation and its subsidiaries,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wholly-owned. All intercompany accounts and transactions have been eliminated in consolidation.</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Company believes the carrying amount of its financial instruments (cash and cash equivalents,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accounts payable, accrued liabilities and short-term debt) is a reasonable estimate of the fair value of these instruments due to their short-term nature. See Note 6 for more information regarding the fair value of long-term debt and Note 12 for fair value measurements.</w:t>
      </w:r>
    </w:p>
    <w:p>
      <w:pPr>
        <w:spacing w:after="0" w:line="120"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The Company considers all highly-liquid investments with original maturities of three months or less when acquired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which are recorded at cost.</w:t>
      </w:r>
    </w:p>
    <w:p>
      <w:pPr>
        <w:spacing w:after="0" w:line="10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Accounts Receivables — </w:t>
      </w:r>
      <w:r>
        <w:rPr>
          <w:rFonts w:ascii="Times New Roman" w:cs="Times New Roman" w:eastAsia="Times New Roman" w:hAnsi="Times New Roman"/>
          <w:sz w:val="18"/>
          <w:szCs w:val="18"/>
          <w:color w:val="auto"/>
        </w:rPr>
        <w:t>Accounts receivables are stated net of allowances for doubtful accounts of $5,005 and $4,471 as of July 31,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No single customer comprised more than 10% of the Company’s consolidated net sales in fiscal 2019, 2018, or 2017, or 10% of the Company’s consolidated accounts receivable as of July 31, 2019 or 2018.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accounts receivable and the Company’s historical collection experience.</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Inventories are stated at the lower of cost or net realizable value. Cost has been determined using the last-in, first-out (“LIFO”)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inventories in the U.S. (13.4% of total inventories at July 31, 2019, and 15.0% of total inventories at July 31, 2018) and the first-in, first-out (“FIFO”) or average cost methods for other inventories. Had all inventories been accounted for on a FIFO basis instead of on a LIFO basis, the carrying value of inventories would have increased by $7,259 and $7,015 as of July 31, 2019 and 2018, respectively.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 as of July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products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73,133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Work-in-process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20,035</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inventories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120,037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113,071</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Goodwill is tested for impairment annually or more frequently if events or changes in circumstances indicate that the asset might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2019, in accordance with ASC 350, "Intangibles - Goodwill and Other" ("Step One") indicated that all reporting units with remaining goodwill had a fair value substantially in excess of its carrying value. No goodwill impairment charges were recorded during the year ended July 31, 2019.</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Long-Lived and Other Intangible Assets — </w:t>
      </w:r>
      <w:r>
        <w:rPr>
          <w:rFonts w:ascii="Times New Roman" w:cs="Times New Roman" w:eastAsia="Times New Roman" w:hAnsi="Times New Roman"/>
          <w:sz w:val="18"/>
          <w:szCs w:val="18"/>
          <w:color w:val="auto"/>
        </w:rPr>
        <w:t>The cost of intangible assets with determinable useful lives is amortized to reflect the pattern of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12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fiscal 2019, long-lived and other intangible assets were analyzed for potential impairment. As a result of the analysis, no material impairment charges were recorded. Refer to Note 2, "Goodwill and Other Intangible Assets" for further information.</w:t>
      </w:r>
    </w:p>
    <w:p>
      <w:pPr>
        <w:spacing w:after="0" w:line="12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are recorded at cost. The cost of buildings and improvements, computer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machinery and equipment are depreciated over their estimated useful lives using primarily the straight-line method for financial reporting purposes. The estimated useful lives range from 3 to 33 years as shown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Computer Systems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to 10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July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6,994</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99,685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270,989</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equipment—gross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383,928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378,723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(280,778)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97,945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Fully depreciated assets are retained in property and accumulated depreciation accounts until disposal. Upon disposal, assets and related accumulated depreciation are removed from the accounts and the net amount, less any proceeds from disposal, is charged to operations. Leasehold improvements are depreciated over the shorter of the lease term or the estimated useful life of the respective asset. Depreciation expense was $18,023, $19,009, and $20,190 for the years ended July 31, 2019, 2018 and 2017, respectively.</w:t>
      </w:r>
    </w:p>
    <w:p>
      <w:pPr>
        <w:spacing w:after="0" w:line="12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Catalog Costs and Related Amortization — </w:t>
      </w:r>
      <w:r>
        <w:rPr>
          <w:rFonts w:ascii="Times New Roman" w:cs="Times New Roman" w:eastAsia="Times New Roman" w:hAnsi="Times New Roman"/>
          <w:sz w:val="18"/>
          <w:szCs w:val="18"/>
          <w:color w:val="auto"/>
        </w:rPr>
        <w:t>The Company accumulates all direct costs incurred, net of vendor cooperative advertising payments,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2019 and 2018, $5,617 and $6,154, respectively, of prepaid catalog costs were included in "Prepaid expenses and other current assets" in the accompanying Consolidated Balance Sheets.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majority of the Company’s revenue relates to the sale of identification solutions and workplace safety products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Prior to August 1, 2018, the Company's policy was to recognize revenue when title to the product and risk of loss had transferred to the customer, persuasive evidence of an arrangement existed, and collection of the sales proceeds was reasonably assured, most of which occurred upon shipment of goods to customers. Effective August 1, 2018, the Company’s policy is to recognize revenue when control of the product or service transfers to the customer in an amount that represents the consideration expected to be received in exchange for those products and services. The Company considers control to have transferred when legal title, physical possession, and the significant risks and rewards of ownership of the asset have transferred to the customer and the collection of the transaction price is reasonably assured, most of which occur upon shipment or delivery of goods to customers. Given the nature of the Company’s business, revenue recognition practices do not contain estimates that materially affect the results of operations, with the exception of estimated customer returns and credit memos. The Company records an allowance for estimated product returns and credit memos using the expected value method based on historical experience, which is recognized as a deduction from net sales at the time of sale. As of July 31, 2019 and 2018, the Company had a reserve for estimated product returns and credit memos of $5,796 and $4,546, respectively.</w:t>
      </w:r>
    </w:p>
    <w:p>
      <w:pPr>
        <w:spacing w:after="0" w:line="139"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Incentives — </w:t>
      </w:r>
      <w:r>
        <w:rPr>
          <w:rFonts w:ascii="Times New Roman" w:cs="Times New Roman" w:eastAsia="Times New Roman" w:hAnsi="Times New Roman"/>
          <w:sz w:val="18"/>
          <w:szCs w:val="18"/>
          <w:color w:val="auto"/>
        </w:rPr>
        <w:t>The Company accounts for cash consideration (such as sales incentives, rebates, and cash discounts) given to its customers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resellers as a reduction of revenue. Sales incentives for the years ended July 31, 2019, 2018, and 2017 were $40,811, $40,671, and $37,134, respectively.</w:t>
      </w:r>
    </w:p>
    <w:p>
      <w:pPr>
        <w:spacing w:after="0" w:line="104"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Fees and Costs — </w:t>
      </w:r>
      <w:r>
        <w:rPr>
          <w:rFonts w:ascii="Times New Roman" w:cs="Times New Roman" w:eastAsia="Times New Roman" w:hAnsi="Times New Roman"/>
          <w:sz w:val="18"/>
          <w:szCs w:val="18"/>
          <w:color w:val="auto"/>
        </w:rPr>
        <w:t>Amounts billed to a customer in a sale transaction related to shipping and handling fees are reported as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the related costs incurred for shipping and handling are reported as cost of goods sold.</w:t>
      </w:r>
    </w:p>
    <w:p>
      <w:pPr>
        <w:spacing w:after="0" w:line="104"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except catalog and mailing costs as outlined previously. Advertising expense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July 31, 2019, 2018, and 2017 was $62,454, $67,429, and $68,268, respectively.</w:t>
      </w:r>
    </w:p>
    <w:p>
      <w:pPr>
        <w:spacing w:after="0" w:line="10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In accordance with ASC 718 "Compensation - Stock Compensation," the Company measures and recognizes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2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includes as part of cash flows from operating activities the benefits of tax deductions in excess of the tax-effected compensation of the related stock-based awards for options exercised and restricted shares and RSUs vested during the period. See Note 7, “Stockholders' Equity” for more information regarding the Company’s incentive stock plans.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Amounts expended for R&amp;D are expensed as incurred.</w:t>
      </w:r>
    </w:p>
    <w:p>
      <w:pPr>
        <w:spacing w:after="0" w:line="171"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w:t>
      </w:r>
      <w:r>
        <w:rPr>
          <w:rFonts w:ascii="Times New Roman" w:cs="Times New Roman" w:eastAsia="Times New Roman" w:hAnsi="Times New Roman"/>
          <w:sz w:val="18"/>
          <w:szCs w:val="18"/>
          <w:color w:val="auto"/>
        </w:rPr>
        <w:t>Other comprehensive income consists of net unrealized gains and losses from cash flow hedges, the unamortized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defined-benefit pension plans net of their related tax effects, and foreign currency translation adjustments, which include net investment hedge and long-term intercompany loan translation adjustments,.</w:t>
      </w:r>
    </w:p>
    <w:p>
      <w:pPr>
        <w:spacing w:after="0" w:line="12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Foreign currency assets and liabilities are translated into United States dollars at end of period rates of exchange,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expense accounts are translated at the average rates of exchange for the period. Resulting translation adjustments are included in other comprehensive income.</w:t>
      </w:r>
    </w:p>
    <w:p>
      <w:pPr>
        <w:spacing w:after="0" w:line="12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Company accounts for income taxes in accordance with ASC 740 "Income Taxes", which requires an asset and liability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Hedging — </w:t>
      </w:r>
      <w:r>
        <w:rPr>
          <w:rFonts w:ascii="Times New Roman" w:cs="Times New Roman" w:eastAsia="Times New Roman" w:hAnsi="Times New Roman"/>
          <w:sz w:val="18"/>
          <w:szCs w:val="18"/>
          <w:color w:val="auto"/>
        </w:rPr>
        <w:t>The objective of the Company’s foreign currency exchange risk management is to minimize the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13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Income as "Investment and other income" or as a component of Accumulated Other Comprehensive Income ("AOCI") in the accompanying Consolidated Balance Sheets and in the Consolidated Statements of Comprehensive Income, as discussed below.</w:t>
      </w:r>
    </w:p>
    <w:p>
      <w:pPr>
        <w:spacing w:after="0" w:line="2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income. The amount of hedge ineffectiveness was not material for the fiscal years ended July 31, 2019, 2018, and 2017.</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13, "Derivatives and Hedging Activities" for more information regarding the Company’s derivative instruments and hedging activities.</w:t>
      </w:r>
    </w:p>
    <w:p>
      <w:pPr>
        <w:spacing w:after="0" w:line="16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New Accounting Standards — </w:t>
      </w:r>
      <w:r>
        <w:rPr>
          <w:rFonts w:ascii="Times New Roman" w:cs="Times New Roman" w:eastAsia="Times New Roman" w:hAnsi="Times New Roman"/>
          <w:sz w:val="18"/>
          <w:szCs w:val="18"/>
          <w:color w:val="auto"/>
        </w:rPr>
        <w:t>In August 2017, the Financial Accounting Standards Board ("FASB") issued ASU 2017-12, "Derivatives and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This new guidance will require a modified retrospective adoption approach to existing hedging relationships as of the adoption date. The Company adopted ASU 2017-12 effective August 1, 2019, which did not have a material impact on its consolidated financial statements.</w:t>
      </w:r>
    </w:p>
    <w:p>
      <w:pPr>
        <w:spacing w:after="0" w:line="13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 future impairment of goodwill.</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which changes the impairment model for most financial instruments. Current guidance requires the 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interim periods in fiscal years beginning after December 15, 2019. The Company is currently evaluating the impact that the adoption of this ASU will have on the consolidated financial statements and related disclosures.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("ASC 842"), which replaces the current lease accounting standards. The update requires, among other items, lessees to recognize the assets and liabilities that arise from most leases on the balance sheet and disclose key information about leasing arrangements. In July 2018, the FASB issued ASU 2018-11 "Leases (Topic 842): Targeted Improvements," which provides, among other items, an additional transition method allowing a cumulative effect adjustment to the opening balance of retained earnings during the period of adoption. ASC 842 is effective for interim periods in fiscal years beginning after December 15, 2018.</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adopted ASU 2016-02 (and related updates) effective August 1, 2019, using the optional transition method provided in ASU 2018-11 to apply this guidance to the impacted lease population at the date of initial application. Results for reporting periods beginning after August 1, 2019, will be presented under ASU 2016-02, while comparative prior period amounts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 not be restated and continue to be presented under accounting standards in effect during those periods. The Company elected the package of practical expedients permitted within the new standard, which among other things, allows the Company to carryforward the historical lease accounting of expired or existing leases with respect to lease identification, lease classification and accounting treatment for initial direct costs as of the adoption date. The Company also elected the practical expedient related to lease versus nonlease components, allowing the Company to recognize lease and nonlease components as a single lease. Lastly, the Company elected the hindsight practical expedient, allowing the Company to use hindsight in determining the lease term and assessing impairment of right-of-use assets when transitioning to ASC 842. The Company has made a policy election not to capitalize leases with an initial term of 12 months or less.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expects the adoption of ASC 842 to result in the recording of additional lease assets and liabilities of approximately $60,000 based on the present value of the remaining lease payments as of August 1, 2019, and does not expect the cumulative effect adjustment to the opening balance of retained earnings to be material due to the package of practical expedients elected. As the adoption of ASC 842 is non-cash in nature, the Company does not anticipate the standard will have a material impact on its cash flows or operations.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606"), which eliminates the transaction and industry-specific revenue recognition guidance and replaced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The Company adopted ASU 2014-09 (and related updates) effective August 1, 2018 using the modified retrospective method to apply this guidance to all contracts at the date of initial application. Results for reporting periods beginning after August 1, 2018 are presented under ASC 606, while comparative prior period amounts have not been restated and continue to be presented under accounting standards in effect in those periods.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adoption of ASC 606 did not have a material effect on the Company's consolidated financial condition, results of operations, cash flows, business processes, controls, or systems. Upon adoption, the Company recorded a cumulative adjustment to the opening balance of retained earnings as of August 1, 2018, which resulted in a decrease to retained earnings of $2,137, net of tax. The adjustment was primarily due to a change in timing of when revenue and the related costs for certain extended service warranties are recognized, as required per ASC 606.</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"Revenue Recognition" for additional information and required disclosures under the new standard.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 and Other Intangible Assets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July 31, 2019 and 2018,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WPS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2017</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437,697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Translation adjustments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July 31, 2018</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385,524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34,291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419,815</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380"/>
              <w:spacing w:after="0" w:line="177" w:lineRule="exact"/>
              <w:rPr>
                <w:sz w:val="20"/>
                <w:szCs w:val="20"/>
                <w:color w:val="auto"/>
              </w:rPr>
            </w:pPr>
            <w:r>
              <w:rPr>
                <w:rFonts w:ascii="Times New Roman" w:cs="Times New Roman" w:eastAsia="Times New Roman" w:hAnsi="Times New Roman"/>
                <w:sz w:val="16"/>
                <w:szCs w:val="16"/>
                <w:color w:val="auto"/>
              </w:rPr>
              <w:t>Translation 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(8,828)</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379,005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31,982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410,987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annual impairment testing performed on May 1, 2019, in accordance with ASC 350, “Intangibles - Goodwill and Other” (“Step One”) indicated that all of the reporting units with remaining goodwill (IDS Americas &amp; Europe, People ID, and WPS Europe) passed Step One of the goodwill impairment test as each had a fair value substantially in excess of its carrying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2018</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6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Customer relationships and other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46,595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61,944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(38,872)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23,072</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Tradenames</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18,871</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19,516</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65,466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36,123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81,460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42,588</w:t>
            </w:r>
          </w:p>
        </w:tc>
        <w:tc>
          <w:tcPr>
            <w:tcW w:w="0" w:type="dxa"/>
            <w:vAlign w:val="bottom"/>
          </w:tcPr>
          <w:p>
            <w:pPr>
              <w:spacing w:after="0"/>
              <w:rPr>
                <w:sz w:val="1"/>
                <w:szCs w:val="1"/>
                <w:color w:val="auto"/>
              </w:rPr>
            </w:pPr>
          </w:p>
        </w:tc>
      </w:tr>
      <w:tr>
        <w:trPr>
          <w:trHeight w:val="59"/>
        </w:trPr>
        <w:tc>
          <w:tcPr>
            <w:tcW w:w="264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other intangible assets as of July 31, 2019, compared to July 31, 2018, was primarily due to the effect of currency translations during the fiscal year.</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Amortization expense on intangible assets during the fiscal years ended July 31, 2019, 2018, and 2017 was $5,776, $6,433 and $7,113, respectively. Amortization expense over each of the next five fiscal years is projected to be $5,166, $5,165, $4,896, $2,025, and $0 for the fiscal years ending July 31, 2020, 2021, 2022, 2023,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Comprehensive (Loss) Income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comprehensive (loss) income consists of foreign currency translation adjustments, net investment hedge and long-term intercompany loan translation adjustments, net unrealized gains and losses from cash flow hedges, and the unamortized gain on defined-benefit pension plans net of their related tax effects.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 on</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 on cash flow</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 July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(44,682)</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Adoption of accounting standard ASU 2018-02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1,869</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 July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(56,401)</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July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July 31, 2019, compared to July 31, 2018, was primarily due to the appreciation of the U.S. dollar against certain other currencies during the fiscal year. The foreign currency translation adjustments column in the table above includes the impact of foreign currency translation, foreign currency translation on intercompany notes, and settlements of net investment hedges, net of tax. Of the $1,355 reclassified from AOCI, the $786 gain on cash flow hedges was reclassified into cost of goods sold, and the $569 net gain on post-retirement plans was reclassified into "Investment and other income" in the accompanying Consolidated Statements of Income in fiscal 2019.</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(loss)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4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flow hedges</w:t>
            </w:r>
          </w:p>
        </w:tc>
        <w:tc>
          <w:tcPr>
            <w:tcW w:w="9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705</w:t>
            </w:r>
          </w:p>
        </w:tc>
      </w:tr>
      <w:tr>
        <w:trPr>
          <w:trHeight w:val="33"/>
        </w:trPr>
        <w:tc>
          <w:tcPr>
            <w:tcW w:w="6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shd w:val="clear" w:color="auto" w:fill="CCEEFF"/>
              </w:rPr>
              <w:t>Pension and other post-retirement benefits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1,720</w:t>
            </w:r>
          </w:p>
        </w:tc>
      </w:tr>
      <w:tr>
        <w:trPr>
          <w:trHeight w:val="33"/>
        </w:trPr>
        <w:tc>
          <w:tcPr>
            <w:tcW w:w="6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shd w:val="clear" w:color="auto" w:fill="CCEEFF"/>
              </w:rPr>
              <w:t>Adoption of accounting standard ASU 2018-02</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2,421</w:t>
            </w: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Employee Benefit Plans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for purposes of disclosure. The liability is recorded in the accompanying Consolidated Balance Sheets as of July 31, 2019 and 2018. The unrecognized gain is reported as a component of AOCI.</w:t>
      </w:r>
    </w:p>
    <w:p>
      <w:pPr>
        <w:spacing w:after="0" w:line="2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sponsors statutory defined benefit pension plans that are primarily unfunded and provide an income benefit upon termination or retirement for certain of its international employees. As of July 31, 2019 and 2018, the accumulated pension obligation related to these plans was $5,314 and $5,383, respectively. As of July 31, 2019 and 2018, pre-tax amounts recognized in "Accumulated other comprehensive loss" in the accompanying Consolidated Balance Sheets were losses of $329 and $194, respectively. The net periodic benefit cost for these plans was $418, $341, and $665 during the years ended July 31, 2019, 2018 and 2017, respectively.</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also has an additional non-qualified deferred compensation plan, the Brady Restoration Plan, which allows an equivalent benefit to the Matched 401(k) Plan and the Funded Retirement Plan for executives' income exceeding the IRS limits of participation in a qualified 401(k) plan. At July 31, 2019 and 2018, $15,744 and $14,383, respectively, of deferred compensation was included in "Other liabilities" in the accompanying Consolidated Balance Sheets.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$3,342 and $3,844 were included in "Other current liabilities" on the accompanying Consolidated Balance Sheets as of July 31, 2019 and 2018, respectively. The amounts charged to expense for these retirement and profit sharing plans were $14,158, $14,395, and $13,750 during the years ended July 31, 2019, 2018 and 2017,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before income taxes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38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43,561</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Nations</w:t>
            </w: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109,567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103,112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83,071</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8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126,632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97"/>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15,279</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23,826</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1,163</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25,590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40,268</w:t>
            </w:r>
          </w:p>
        </w:tc>
      </w:tr>
      <w:tr>
        <w:trPr>
          <w:trHeight w:val="204"/>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7,796</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30,622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33,386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30,987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22, 2017, the U.S. Tax Cuts and Jobs Act (the “Tax Reform Act”) was enacted. Among the significant changes to the U.S. Internal Revenue Code, the Tax Reform Act reduced the U.S. federal corporate income tax rate from 35.0% to 21.0%, imposed a one-time tax on deemed repatriated income of foreign subsidiaries, eliminated the domestic manufacturing deduction and moved to a partial territorial system by providing a 100% dividend received deduction on certain qualified dividends from foreign subsidiaries.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temporary differences are as follows as of July 31,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3,855</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6,932</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7,352</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62,966</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7"/>
        </w:trPr>
        <w:tc>
          <w:tcPr>
            <w:tcW w:w="6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July 31, 2018</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3,042</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3,681</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10,656</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64,348</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(56,866)</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7"/>
        </w:trPr>
        <w:tc>
          <w:tcPr>
            <w:tcW w:w="6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41,693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carry-forwards at July 31, 2019 are comprised of:</w:t>
      </w:r>
    </w:p>
    <w:p>
      <w:pPr>
        <w:spacing w:after="0" w:line="171" w:lineRule="exact"/>
        <w:rPr>
          <w:sz w:val="20"/>
          <w:szCs w:val="20"/>
          <w:color w:val="auto"/>
        </w:rPr>
      </w:pPr>
    </w:p>
    <w:p>
      <w:pPr>
        <w:ind w:left="660" w:right="20" w:hanging="247"/>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net operating loss carry-forwards of $100,335, of which $83,826 have no expiration date and the remainder of which expire within the next five years.</w:t>
      </w: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net operating loss carry-forwards of $32,986, which expire from 2022 to 2038.</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credit carry-forwards of $27,343, which expire from 2021 to 2029.</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R&amp;D credit carry-forwards of $12,882, which expire from 2020 to 2034.</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tax rate computed by applying the statutory U.S. federal income tax rate to income before income taxes to the total income tax expense is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International rate differential</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Rate variances arising from foreign subsidiary distributions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Foreign tax credit carryforward valuation allowance</w:t>
      </w:r>
      <w:r>
        <w:rPr>
          <w:rFonts w:ascii="Times New Roman" w:cs="Times New Roman" w:eastAsia="Times New Roman" w:hAnsi="Times New Roman"/>
          <w:sz w:val="21"/>
          <w:szCs w:val="2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Divestiture of business</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Adjustments to tax accruals and reserves</w:t>
      </w:r>
      <w:r>
        <w:rPr>
          <w:rFonts w:ascii="Times New Roman" w:cs="Times New Roman" w:eastAsia="Times New Roman" w:hAnsi="Times New Roman"/>
          <w:sz w:val="21"/>
          <w:szCs w:val="21"/>
          <w:color w:val="auto"/>
          <w:vertAlign w:val="superscript"/>
        </w:rPr>
        <w:t>(4)</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Non-deductible executive compensation</w:t>
      </w:r>
      <w:r>
        <w:rPr>
          <w:rFonts w:ascii="Times New Roman" w:cs="Times New Roman" w:eastAsia="Times New Roman" w:hAnsi="Times New Roman"/>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Research and development tax credits and domestic manufacturer’s deduction</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Deferred tax and other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2478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6800" w:space="720"/>
            <w:col w:w="3900"/>
          </w:cols>
          <w:pgMar w:left="240" w:top="118" w:right="239" w:bottom="1440" w:gutter="0" w:footer="0" w:header="0"/>
          <w:type w:val="continuous"/>
        </w:sectPr>
      </w:pPr>
    </w:p>
    <w:p>
      <w:pPr>
        <w:ind w:left="720" w:hanging="320"/>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July 31, 2017, includes the generation of foreign tax credit carryforwards from cash repatriations that occurred during the fiscal year.</w:t>
      </w:r>
    </w:p>
    <w:p>
      <w:pPr>
        <w:ind w:left="720" w:right="20" w:hanging="320"/>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July 31, 2018, includes the establishment of a valuation allowance against foreign tax credit carryforwards as a result of the Tax Reform Act.</w:t>
      </w:r>
    </w:p>
    <w:p>
      <w:pPr>
        <w:ind w:left="720" w:hanging="320"/>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July 31, 2018, includes the divestiture of the Company's Runelandhs business based in Sweden. Refer to Note 14, "Divestiture" for additional information.</w:t>
      </w:r>
    </w:p>
    <w:p>
      <w:pPr>
        <w:ind w:left="720" w:hanging="320"/>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July 31, 2018 and 2017, include increases in uncertain tax positions, while the year ended July 31, 2019, includes reductions of uncertain tax positions resulting from the closure of audits and lapses in statutes of limitations.</w:t>
      </w:r>
    </w:p>
    <w:p>
      <w:pPr>
        <w:ind w:left="720" w:hanging="320"/>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July 31, 2019 and 2018, include non-deductible compensation such as salaries, bonuses, and other equity compensation of the Company's executives (as defined in Internal Revenue Service Code Section 162(m)).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740, "Income Taxes" regarding uncertain tax positions. The guidance requires application of a more likely than 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at July 31, 2016</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July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Balance as of July 31, 2018</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July 31, 2019</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344" w:hanging="1344"/>
        <w:spacing w:after="0"/>
        <w:tabs>
          <w:tab w:leader="none" w:pos="134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12261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2,500</w:t>
      </w:r>
    </w:p>
    <w:p>
      <w:pPr>
        <w:spacing w:after="0" w:line="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1,124</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(62)</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(663)</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(118)</w:t>
      </w:r>
    </w:p>
    <w:p>
      <w:pPr>
        <w:spacing w:after="0" w:line="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12261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66" w:lineRule="exact"/>
        <w:rPr>
          <w:sz w:val="20"/>
          <w:szCs w:val="20"/>
          <w:color w:val="auto"/>
        </w:rPr>
      </w:pPr>
    </w:p>
    <w:p>
      <w:pPr>
        <w:ind w:left="1344" w:hanging="1344"/>
        <w:spacing w:after="0"/>
        <w:tabs>
          <w:tab w:leader="none" w:pos="134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1226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2,467</w:t>
      </w:r>
    </w:p>
    <w:p>
      <w:pPr>
        <w:spacing w:after="0" w:line="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1,586</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(23)</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(489)</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(1,277)</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(196)</w:t>
      </w:r>
    </w:p>
    <w:p>
      <w:pPr>
        <w:spacing w:after="0" w:line="86" w:lineRule="exact"/>
        <w:rPr>
          <w:sz w:val="20"/>
          <w:szCs w:val="20"/>
          <w:color w:val="auto"/>
        </w:rPr>
      </w:pPr>
    </w:p>
    <w:p>
      <w:pPr>
        <w:ind w:left="1344" w:hanging="1344"/>
        <w:spacing w:after="0"/>
        <w:tabs>
          <w:tab w:leader="none" w:pos="134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12261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2,518</w:t>
      </w:r>
    </w:p>
    <w:p>
      <w:pPr>
        <w:spacing w:after="0" w:line="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612</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(378)</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(8,140)</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(201)</w:t>
      </w:r>
    </w:p>
    <w:p>
      <w:pPr>
        <w:spacing w:after="0" w:line="86" w:lineRule="exact"/>
        <w:rPr>
          <w:sz w:val="20"/>
          <w:szCs w:val="20"/>
          <w:color w:val="auto"/>
        </w:rPr>
      </w:pPr>
    </w:p>
    <w:p>
      <w:pPr>
        <w:ind w:left="1344" w:hanging="1344"/>
        <w:spacing w:after="0"/>
        <w:tabs>
          <w:tab w:leader="none" w:pos="134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12261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96" w:space="720"/>
            <w:col w:w="1904"/>
          </w:cols>
          <w:pgMar w:left="240" w:top="118" w:right="239" w:bottom="1440" w:gutter="0" w:footer="0" w:header="0"/>
          <w:type w:val="continuous"/>
        </w:sectPr>
      </w:pPr>
    </w:p>
    <w:p>
      <w:pPr>
        <w:spacing w:after="0" w:line="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Of the $14,841 of unrecognized tax benefits, if recognized, $12,037 would affect the Company's income tax rate. The Company has classified $10,218 and $13,238, excluding interest and penalties, of the reserve for uncertain tax positions in "Other liabilities" on the Consolidated Balance Sheets as of July 31, 2019 and 2018, respectively. The Company has classified $4,623 and $7,192, excluding interest and penalties, as a reduction of long-term deferred income tax assets on the accompanying Consolidated Balance Sheets as of July 31, 2019 and 2018, respectively.</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 decrease of $1,013, an increase of $556, and an increase of $674 in interest expense during the years ended July 31, 2019, 2018, and 2017, respectively. There was a $2,357 decrease to the reserve for uncertain tax positions for penalties during the year ended July 31, 2019, an increase of $83 during the year ended July 31, 2018, and an increase of $218 during the year end July 31, 2017. These amounts are net of reversals due to reductions for tax positions of prior years, statute of limitations, and settlements. At July 31, 2019 and 2018, the Company had $1,740 and $2,762, respectively, accrued for interest on unrecognized tax benefits. Penalties are accrued if the tax position does not meet the minimum statutory threshold to avoid the payment of a penalty. At July 31, 2019 and 2018, the Company had $663 and $3,027, respectively, accrued for penalties on unrecognized tax benefits. Interest expense and penalties are recorded as a component of "Income tax expense" in the Consolidated Statements of Income.</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estimates that it is reasonably possible that the unrecognized tax benefits may be reduced by $5,429 within 12 months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July 31, 2019, the Company recognized $9,797 of tax benefits (including interest and penalties) associated with the lapse of statutes of limitations. The Company also recognized $568 of tax benefits (including interest and penalties) associated with the reduction of tax positions for prior years due to the closure of certain tax audits.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7"/>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 — Federal</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F’16 — F’19</w:t>
            </w:r>
          </w:p>
        </w:tc>
      </w:tr>
      <w:tr>
        <w:trPr>
          <w:trHeight w:val="33"/>
        </w:trPr>
        <w:tc>
          <w:tcPr>
            <w:tcW w:w="8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$200,000 multi-currency revolving loan agreement with a group of five banks that replaced and terminated the Company's previous $300,000 revolving credit agreement that had been entered into on September 25, 2015. Refer to Item 8, Note 16, "Subsequent Events" for information regarding the Company's new revolving loan agreement.</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September 25, 2015, the Company and certain of its subsidiaries entered into an unsecured $300,000 multi-currency revolving loan agreement with a group of six banks. Under this revolving loan agreement, which had a final maturity date of September 25, 2020, the Company had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could have been increased from $300,000 up to $450,000. The maximum amount outstanding on the Company's revolving loan agreement during the fiscal year ended July 31, 2019 was $7,901. As of July 31, 2019, there were no borrowings outstanding on the credit facility. There was $296,729 available for future borrowing under the credit facility, which can be increased to $446,729 at the Company's option, subject to certain conditions. The revolving loan agreement had a final maturity date of September 25, 2020.</w:t>
      </w:r>
    </w:p>
    <w:p>
      <w:pPr>
        <w:spacing w:after="0" w:line="2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13, 2010, the Company completed a private placement of €75,000 aggregate principal amount of senior unsecured notes to accredited institutional investors. The €75,000 of senior notes consisted of €30,000 aggregate principal amount of 3.71% Series 2010-A Senior Notes, which were repaid during fiscal 2017, and €45,000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 The borrowing is included in "Current maturities on long-term debt" and "Long-term obligations" in the accompanying Consolidated Balance Sheets as of July 31, 2019 and 2018, respectively.</w:t>
      </w:r>
    </w:p>
    <w:p>
      <w:pPr>
        <w:spacing w:after="0" w:line="21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old debt agreements required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The Company’s new debt agreements require it to maintain certain financial covenants, including a ratio of debt to the trailing twelve months EBITDA, as defined in the debt agreements, of not more than a 3.50 to 1.0 ratio (leverage ratio) and the trailing twelve months EBITDA to interest expense of not less than a 3.0 to 1.0 ratio (interest expense coverage). As of July 31, 2019, the Company was in compliance with these financial covenants, with the ratio of debt to EBITDA, as defined by the agreements, equal to 0.3 to 1.0 and the interest expense coverage ratio equal to 71.9 to 1.0.</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debt consists of the following as of July 31:</w:t>
      </w:r>
    </w:p>
    <w:p>
      <w:pPr>
        <w:spacing w:after="0" w:line="187" w:lineRule="exact"/>
        <w:rPr>
          <w:sz w:val="20"/>
          <w:szCs w:val="20"/>
          <w:color w:val="auto"/>
        </w:rPr>
      </w:pPr>
    </w:p>
    <w:p>
      <w:pPr>
        <w:ind w:left="8420"/>
        <w:spacing w:after="0"/>
        <w:tabs>
          <w:tab w:leader="none" w:pos="103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5" w:lineRule="exact"/>
        <w:rPr>
          <w:sz w:val="20"/>
          <w:szCs w:val="20"/>
          <w:color w:val="auto"/>
        </w:rPr>
      </w:pPr>
    </w:p>
    <w:p>
      <w:pPr>
        <w:ind w:left="40"/>
        <w:spacing w:after="0"/>
        <w:tabs>
          <w:tab w:leader="none" w:pos="7680" w:val="left"/>
          <w:tab w:leader="none" w:pos="8920" w:val="left"/>
          <w:tab w:leader="none" w:pos="9620" w:val="left"/>
          <w:tab w:leader="none" w:pos="10840" w:val="left"/>
        </w:tabs>
        <w:rPr>
          <w:sz w:val="20"/>
          <w:szCs w:val="20"/>
          <w:color w:val="auto"/>
        </w:rPr>
      </w:pPr>
      <w:r>
        <w:rPr>
          <w:rFonts w:ascii="Times New Roman" w:cs="Times New Roman" w:eastAsia="Times New Roman" w:hAnsi="Times New Roman"/>
          <w:sz w:val="16"/>
          <w:szCs w:val="16"/>
          <w:color w:val="auto"/>
          <w:shd w:val="clear" w:color="auto" w:fill="CCEEFF"/>
        </w:rPr>
        <w:t>Euro-denominated notes payable in 2020 at a fixed rate of 4.24%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50,166</w:t>
        <w:tab/>
        <w:t>$</w:t>
      </w:r>
      <w:r>
        <w:rPr>
          <w:sz w:val="20"/>
          <w:szCs w:val="20"/>
          <w:color w:val="auto"/>
        </w:rPr>
        <w:tab/>
      </w:r>
      <w:r>
        <w:rPr>
          <w:rFonts w:ascii="Times New Roman" w:cs="Times New Roman" w:eastAsia="Times New Roman" w:hAnsi="Times New Roman"/>
          <w:sz w:val="16"/>
          <w:szCs w:val="16"/>
          <w:color w:val="auto"/>
        </w:rPr>
        <w:t>52,618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63500</wp:posOffset>
            </wp:positionV>
            <wp:extent cx="2383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outstanding letters of credit of $3,271 and $3,043 at July 31, 2019 and 2018, respectively.</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obligations, including current maturities, was $51,566 and $55,707 at July 31, 2019 and 2018, respectively, as compared to the carrying value of $50,166 and $52,618 at July 31, 2019 and 2018, respectively. The fair value of the long-term obligations, which was determined using the market approach based upon the interest rates available to the Company for borrowings with similar terms and maturities, was determined to be Level 2 under the fair value hierarchy.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Maturities on long-term debt are as follows:</w:t>
            </w:r>
          </w:p>
        </w:tc>
        <w:tc>
          <w:tcPr>
            <w:tcW w:w="4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Ending July 31,</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4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50,166</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4740" w:type="dxa"/>
            <w:vAlign w:val="bottom"/>
          </w:tcPr>
          <w:p>
            <w:pPr>
              <w:spacing w:after="0"/>
              <w:rPr>
                <w:sz w:val="18"/>
                <w:szCs w:val="18"/>
                <w:color w:val="auto"/>
              </w:rPr>
            </w:pPr>
          </w:p>
        </w:tc>
        <w:tc>
          <w:tcPr>
            <w:tcW w:w="8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50,166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vMerge w:val="restart"/>
          </w:tcPr>
          <w:p>
            <w:pPr>
              <w:jc w:val="right"/>
              <w:ind w:right="347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Information as to the Company’s capital stock at July 31, 2019 and 2018 is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Cumulative Preferred Stock:</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6% Cumulative</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1979 Series</w:t>
      </w:r>
    </w:p>
    <w:p>
      <w:pPr>
        <w:spacing w:after="0" w:line="86"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Common Stock, $.01 par value: Class A Nonvoting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31, 2018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12"/>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3773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377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3773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3773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2720" w:space="160"/>
            <w:col w:w="8540"/>
          </w:cols>
          <w:pgMar w:left="240" w:top="118" w:right="239" w:bottom="1440" w:gutter="0" w:footer="0" w:header="0"/>
          <w:type w:val="continuous"/>
        </w:sect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Upon liquidation, dissolution or winding up of the Company, and after distribution of any amounts due to holders of Preferred Stock, if any,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other activity in stockholders’ equity for the fiscal years ended July 31, 2019,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Deferred Compensation</w:t>
            </w:r>
          </w:p>
        </w:tc>
        <w:tc>
          <w:tcPr>
            <w:tcW w:w="14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July 31, 2016</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Shares at July 31, 2016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347,081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57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Sale of shares at cost</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plan amendment</w:t>
            </w: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w:t>
            </w:r>
          </w:p>
        </w:tc>
        <w:tc>
          <w:tcPr>
            <w:tcW w:w="0" w:type="dxa"/>
            <w:vAlign w:val="bottom"/>
          </w:tcPr>
          <w:p>
            <w:pPr>
              <w:spacing w:after="0"/>
              <w:rPr>
                <w:sz w:val="1"/>
                <w:szCs w:val="1"/>
                <w:color w:val="auto"/>
              </w:rPr>
            </w:pPr>
          </w:p>
        </w:tc>
      </w:tr>
      <w:tr>
        <w:trPr>
          <w:trHeight w:val="21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July 31, 2017</w:t>
            </w: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8,124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57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Shares at July 31, 2017</w:t>
            </w:r>
          </w:p>
        </w:tc>
        <w:tc>
          <w:tcPr>
            <w:tcW w:w="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314,082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314,082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Sale of shares at cost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20" w:type="dxa"/>
            <w:vAlign w:val="bottom"/>
            <w:vMerge w:val="continue"/>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977</w:t>
            </w:r>
          </w:p>
        </w:tc>
        <w:tc>
          <w:tcPr>
            <w:tcW w:w="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July 31, 2018</w:t>
            </w: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57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Shares at July 31, 2018</w:t>
            </w:r>
          </w:p>
        </w:tc>
        <w:tc>
          <w:tcPr>
            <w:tcW w:w="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299,916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299,916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Sale of shares at cost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20" w:type="dxa"/>
            <w:vAlign w:val="bottom"/>
            <w:vMerge w:val="continue"/>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928</w:t>
            </w:r>
          </w:p>
        </w:tc>
        <w:tc>
          <w:tcPr>
            <w:tcW w:w="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July 31, 2019</w:t>
            </w: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57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Shares at July 31, 2019</w:t>
            </w:r>
          </w:p>
        </w:tc>
        <w:tc>
          <w:tcPr>
            <w:tcW w:w="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285,533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285,533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Both the Director Deferred Compensation Plan and the Executive Deferred Compensation Plan disallow transfers from other investment funds into or out of the Company's Class A Nonvoting Common Stock.</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July 31, 2019,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2019, the Company has reserved 1,941,764 shares of Class A Nonvoting Common Stock for outstanding stock options, RSUs and restricted shares and 3,682,157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recognized by the Company during the years ended July 31, 2019, 2018, and 2017, was $12,092 ($10,628 net of taxes), $9,980 ($7,485 net of taxes), and $9,495 ($5,887 net of taxes), respectively. As of July 31, 2019, total unrecognized compensation cost related to share-based compensation awards that are expected to vest was $9,652 pre-tax, net of estimated forfeitures, which the Company expects to recognize over a weighted-average period of 1.8 years.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estimated the fair value of its time-based stock option awards granted during the years ended July 31, 2019, 2018, and 2017, using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 The weighted-average assumptions used in the Black-Scholes valuation model are reflected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6.11</w:t>
            </w:r>
          </w:p>
        </w:tc>
      </w:tr>
      <w:tr>
        <w:trPr>
          <w:trHeight w:val="23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3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35.14</w:t>
            </w:r>
          </w:p>
        </w:tc>
      </w:tr>
      <w:tr>
        <w:trPr>
          <w:trHeight w:val="23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35.14</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7.56</w:t>
            </w:r>
          </w:p>
        </w:tc>
      </w:tr>
      <w:tr>
        <w:trPr>
          <w:trHeight w:val="33"/>
        </w:trPr>
        <w:tc>
          <w:tcPr>
            <w:tcW w:w="7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fiscal year ended July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2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$38.83</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2,504,633</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Options granted</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41.70</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43.98</w:t>
            </w:r>
          </w:p>
        </w:tc>
        <w:tc>
          <w:tcPr>
            <w:tcW w:w="24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276,238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43.96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exercised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36.85</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Options canceled</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20.95</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43.98</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$43.98</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1,594,716</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during the fiscal years ended July 31, 2019, 2018, and 2017, was $2,864, $3,006, and $2,911, respectively. The total intrinsic value of options exercised during the fiscal years ended July 31, 2019, 2018, and 2017, was $20,969, $6,208, and $7,901, respectively.</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were 1,025,811, 1,722,229, and 1,859,959 options exercisable with a weighted average exercise price of $27.06, $26.82, and $28.20 at July 31, 2019, 2018, and 2017, respectively. The cash received from the exercise of stock options during the fiscal years ended July 31, 2019, 2018, and 2017, was $23,466, $12,099, and $19,728, respectively. The tax benefit on options exercised during the fiscal years ended July 31, 2019, 2018, and 2017, was $5,242, $1,893, and $3,002,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July 31,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80" w:type="dxa"/>
            <w:vAlign w:val="bottom"/>
          </w:tcPr>
          <w:p>
            <w:pPr>
              <w:spacing w:after="0"/>
              <w:rPr>
                <w:sz w:val="12"/>
                <w:szCs w:val="12"/>
                <w:color w:val="auto"/>
              </w:rPr>
            </w:pPr>
          </w:p>
        </w:tc>
        <w:tc>
          <w:tcPr>
            <w:tcW w:w="980" w:type="dxa"/>
            <w:vAlign w:val="bottom"/>
          </w:tcPr>
          <w:p>
            <w:pPr>
              <w:jc w:val="center"/>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980" w:type="dxa"/>
            <w:vAlign w:val="bottom"/>
          </w:tcPr>
          <w:p>
            <w:pPr>
              <w:jc w:val="center"/>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July 31,</w:t>
            </w: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380" w:type="dxa"/>
            <w:vAlign w:val="bottom"/>
          </w:tcPr>
          <w:p>
            <w:pPr>
              <w:spacing w:after="0"/>
              <w:rPr>
                <w:sz w:val="12"/>
                <w:szCs w:val="12"/>
                <w:color w:val="auto"/>
              </w:rPr>
            </w:pPr>
          </w:p>
        </w:tc>
        <w:tc>
          <w:tcPr>
            <w:tcW w:w="980" w:type="dxa"/>
            <w:vAlign w:val="bottom"/>
          </w:tcPr>
          <w:p>
            <w:pPr>
              <w:jc w:val="center"/>
              <w:ind w:right="30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$19.96 - $26.99</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476,603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476,603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$27.00 - $32.99</w:t>
            </w: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285,513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Pr>
          <w:p>
            <w:pPr>
              <w:spacing w:after="0"/>
              <w:rPr>
                <w:sz w:val="20"/>
                <w:szCs w:val="20"/>
                <w:color w:val="auto"/>
              </w:rPr>
            </w:pP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285,150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29.71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$33.00 - $43.98</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832,600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264,058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44"/>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1,594,716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1,025,811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27.06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July 31, 2019, the aggregate intrinsic value (defined as the amount by which the fair value of the underlying stock exceeds the exercise price of an option) of options outstanding and the options exercisable was $31,955 and $25,246, respectively.</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fair market value of the underlying stock at the date of grant. Shares issued under the plan are referred to herein as either "time-based" or "performance-based" RSUs. The time-based RSUs issued under the plan generally vest ratably over a three-year period, with one-third becoming exercisable one year after the grant date and one-third additional in each of the succeeding two years. The performance-based RSUs granted under the plan vest at the end of a three-year service period provided specified financial performance metrics are met.</w:t>
      </w:r>
    </w:p>
    <w:p>
      <w:pPr>
        <w:sectPr>
          <w:pgSz w:w="11900" w:h="16838" w:orient="portrait"/>
          <w:cols w:equalWidth="0" w:num="1">
            <w:col w:w="11420"/>
          </w:cols>
          <w:pgMar w:left="240" w:top="118" w:right="23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RSU activity for the fiscal year ended July 31, 2019:</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377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July 31, 2018</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377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3773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July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12"/>
        </w:trPr>
        <w:tc>
          <w:tcPr>
            <w:tcW w:w="18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342,856</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29.05</w:t>
            </w:r>
          </w:p>
        </w:tc>
      </w:tr>
      <w:tr>
        <w:trPr>
          <w:trHeight w:val="270"/>
        </w:trPr>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84,231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44.20</w:t>
            </w:r>
          </w:p>
        </w:tc>
      </w:tr>
      <w:tr>
        <w:trPr>
          <w:trHeight w:val="270"/>
        </w:trPr>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26.73</w:t>
            </w:r>
          </w:p>
        </w:tc>
      </w:tr>
      <w:tr>
        <w:trPr>
          <w:trHeight w:val="270"/>
        </w:trPr>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31.07</w:t>
            </w:r>
          </w:p>
        </w:tc>
      </w:tr>
      <w:tr>
        <w:trPr>
          <w:trHeight w:val="33"/>
        </w:trPr>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1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188,638</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38.15</w:t>
            </w: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6940" w:space="720"/>
            <w:col w:w="3760"/>
          </w:cols>
          <w:pgMar w:left="240" w:top="118" w:right="239" w:bottom="1440" w:gutter="0" w:footer="0" w:header="0"/>
          <w:type w:val="continuous"/>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time-based RSUs granted during the fiscal year ended July 31, 2018, had a weighted-average grant-date fair value of $36.80. The total fair value of time-based RSUs vested during the years ended July 31, 2019 and 2018, was $9,859 and $8,237,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03"/>
        </w:trPr>
        <w:tc>
          <w:tcPr>
            <w:tcW w:w="7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12"/>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 RSUs</w:t>
            </w:r>
          </w:p>
        </w:tc>
        <w:tc>
          <w:tcPr>
            <w:tcW w:w="18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7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2018</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108,097</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32.57</w:t>
            </w:r>
          </w:p>
        </w:tc>
      </w:tr>
      <w:tr>
        <w:trPr>
          <w:trHeight w:val="237"/>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50.70</w:t>
            </w:r>
          </w:p>
        </w:tc>
      </w:tr>
      <w:tr>
        <w:trPr>
          <w:trHeight w:val="33"/>
        </w:trPr>
        <w:tc>
          <w:tcPr>
            <w:tcW w:w="7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158,410</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38.33</w:t>
            </w:r>
          </w:p>
        </w:tc>
      </w:tr>
      <w:tr>
        <w:trPr>
          <w:trHeight w:val="20"/>
        </w:trPr>
        <w:tc>
          <w:tcPr>
            <w:tcW w:w="7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during the fiscal year ended July 31, 2019, had a weighted-average grant-date fair value determined by a third-party valuation involving the use of a Monte Carlo simulation. The performance-based RSUs granted during the fiscal year ended July 31, 2018, had a weighted-average grant-date fair value of $33.12. The aggregate intrinsic value of unvested time-based and performance-based RSUs outstanding at July 31, 2019 and 2018, and expected to vest, was $17,953 and $17,249,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 Recognition</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9 “Segment Information” for the Company’s disaggregated revenue disclosure.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customer is able to direct and obtain substantially all of the remaining benefits associated with use of the asset.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and Variable Consideration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considerations generally include discounts, returns, credits, rebates, or other allowances that reduce the transaction price. Certain discounts and price assurances are fixed and known at the time of sale.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 and typically defined in the master supply or distributor agreement.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has elected the practical expedient applicable to such contracts and does not consider the time value of money.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$2,782 and $2,796 as of July 31, 2019 and 2018,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fiscal year ended July 31, 2019, the Company recognized revenue of $1,163 that was included in the contract liability balance at the beginning of the period from the amortization of extended service warranties. Of the contract liability balance outstanding at July 31, 2019, the Company expects to recognize 41% by the end of fiscal 2020, an additional 28% by the end of fiscal 2021, and the balance thereafter.</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practical expedients the Company has elected to apply under ASC 606.</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the exception of the performance obligations related to the extended service warranties, the Company's contracts have an original expected duration of one year or less. As a result, the Company has elected to use the practical expedient to not disclose its remaining performance obligations for contracts that have an original expected length of one year or less.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applied the portfolio approach to its ship-and-bill contracts that have similar characteristics as it reasonably expects that the effects on the financial statements of applying this guidance to the portfolio of contracts would not differ materially from applying this guidance to the individual contracts within the portfolio.</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Sales and use tax, value-added tax, and other similar taxes assessed by governmental authorities and collected concurrent with revenue-producing activities are excluded from the transaction price.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shipping and handling activities that occur after control of the related products transfers to the customer as fulfillment activities and are therefore recognized as revenue at time of shipping.</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internal measure of segment profit and loss reported to the chief operating decision maker for purposes of allocating resources to the segments and assessing performance includes certain administrative costs, such as the cost of finance, information technology, human resources, and certain other administrative costs. However, interest expense, investment and other income (expense), income tax expense, and certain corporate administrative expenses are excluded when evaluating segment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segment information for the years ended July 31, 2019,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577,156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544,330</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193,852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197,737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172,776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Asia</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92,092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83,286</w:t>
            </w:r>
          </w:p>
        </w:tc>
        <w:tc>
          <w:tcPr>
            <w:tcW w:w="0" w:type="dxa"/>
            <w:vAlign w:val="bottom"/>
          </w:tcPr>
          <w:p>
            <w:pPr>
              <w:spacing w:after="0"/>
              <w:rPr>
                <w:sz w:val="1"/>
                <w:szCs w:val="1"/>
                <w:color w:val="auto"/>
              </w:rPr>
            </w:pPr>
          </w:p>
        </w:tc>
      </w:tr>
      <w:tr>
        <w:trPr>
          <w:trHeight w:val="21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863,100</w:t>
            </w:r>
          </w:p>
        </w:tc>
        <w:tc>
          <w:tcPr>
            <w:tcW w:w="14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846,087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800,392</w:t>
            </w:r>
          </w:p>
        </w:tc>
        <w:tc>
          <w:tcPr>
            <w:tcW w:w="0" w:type="dxa"/>
            <w:vAlign w:val="bottom"/>
          </w:tcPr>
          <w:p>
            <w:pPr>
              <w:spacing w:after="0"/>
              <w:rPr>
                <w:sz w:val="1"/>
                <w:szCs w:val="1"/>
                <w:color w:val="auto"/>
              </w:rPr>
            </w:pPr>
          </w:p>
        </w:tc>
      </w:tr>
      <w:tr>
        <w:trPr>
          <w:trHeight w:val="73"/>
        </w:trPr>
        <w:tc>
          <w:tcPr>
            <w:tcW w:w="7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98,788</w:t>
            </w: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106,910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109,176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150,480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155,957</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48,277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47,791</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297,545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312,924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675,944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663,082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653,506</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344,332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328,733</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140,369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142,767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131,077</w:t>
            </w:r>
          </w:p>
        </w:tc>
        <w:tc>
          <w:tcPr>
            <w:tcW w:w="0" w:type="dxa"/>
            <w:vAlign w:val="bottom"/>
          </w:tcPr>
          <w:p>
            <w:pPr>
              <w:spacing w:after="0"/>
              <w:rPr>
                <w:sz w:val="1"/>
                <w:szCs w:val="1"/>
                <w:color w:val="auto"/>
              </w:rPr>
            </w:pPr>
          </w:p>
        </w:tc>
      </w:tr>
      <w:tr>
        <w:trPr>
          <w:trHeight w:val="21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1,160,645</w:t>
            </w:r>
          </w:p>
        </w:tc>
        <w:tc>
          <w:tcPr>
            <w:tcW w:w="14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1,173,851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1,113,316</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21,387</w:t>
            </w: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22,075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23,092</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WPS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23,799</w:t>
            </w:r>
          </w:p>
        </w:tc>
        <w:tc>
          <w:tcPr>
            <w:tcW w:w="14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25,442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27,303</w:t>
            </w:r>
          </w:p>
        </w:tc>
        <w:tc>
          <w:tcPr>
            <w:tcW w:w="0" w:type="dxa"/>
            <w:vAlign w:val="bottom"/>
          </w:tcPr>
          <w:p>
            <w:pPr>
              <w:spacing w:after="0"/>
              <w:rPr>
                <w:sz w:val="1"/>
                <w:szCs w:val="1"/>
                <w:color w:val="auto"/>
              </w:rPr>
            </w:pPr>
          </w:p>
        </w:tc>
      </w:tr>
      <w:tr>
        <w:trPr>
          <w:trHeight w:val="73"/>
        </w:trPr>
        <w:tc>
          <w:tcPr>
            <w:tcW w:w="7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Segment profit: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164,953</w:t>
            </w: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143,411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130,572</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WPS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23,025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25,554</w:t>
            </w:r>
          </w:p>
        </w:tc>
        <w:tc>
          <w:tcPr>
            <w:tcW w:w="0" w:type="dxa"/>
            <w:vAlign w:val="bottom"/>
          </w:tcPr>
          <w:p>
            <w:pPr>
              <w:spacing w:after="0"/>
              <w:rPr>
                <w:sz w:val="1"/>
                <w:szCs w:val="1"/>
                <w:color w:val="auto"/>
              </w:rPr>
            </w:pPr>
          </w:p>
        </w:tc>
      </w:tr>
      <w:tr>
        <w:trPr>
          <w:trHeight w:val="21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187,978</w:t>
            </w:r>
          </w:p>
        </w:tc>
        <w:tc>
          <w:tcPr>
            <w:tcW w:w="14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175,123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156,126</w:t>
            </w:r>
          </w:p>
        </w:tc>
        <w:tc>
          <w:tcPr>
            <w:tcW w:w="0" w:type="dxa"/>
            <w:vAlign w:val="bottom"/>
          </w:tcPr>
          <w:p>
            <w:pPr>
              <w:spacing w:after="0"/>
              <w:rPr>
                <w:sz w:val="1"/>
                <w:szCs w:val="1"/>
                <w:color w:val="auto"/>
              </w:rPr>
            </w:pPr>
          </w:p>
        </w:tc>
      </w:tr>
      <w:tr>
        <w:trPr>
          <w:trHeight w:val="73"/>
        </w:trPr>
        <w:tc>
          <w:tcPr>
            <w:tcW w:w="7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Assets: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740,437</w:t>
            </w: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737,174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761,448</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WPS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137,799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154,827</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Corporate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279,072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181,428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133,948</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1,157,308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1,056,931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1,050,223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12,347</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WPS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14,976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32,825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15,167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Following is a reconciliation of segment profit to income before income taxes for the years</w:t>
            </w: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00" w:type="dxa"/>
            <w:vAlign w:val="bottom"/>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ended July 31, 2019,</w:t>
            </w:r>
          </w:p>
        </w:tc>
        <w:tc>
          <w:tcPr>
            <w:tcW w:w="140" w:type="dxa"/>
            <w:vAlign w:val="bottom"/>
            <w:vMerge w:val="continue"/>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 and 2017:</w:t>
            </w:r>
          </w:p>
        </w:tc>
        <w:tc>
          <w:tcPr>
            <w:tcW w:w="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segment profit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187,978</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156,126</w:t>
            </w: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Unallocated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25,111</w:t>
            </w:r>
          </w:p>
        </w:tc>
      </w:tr>
      <w:tr>
        <w:trPr>
          <w:trHeight w:val="27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sale of business</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164,644</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126,632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 Gain on sale of business relates to the WPS segment during the year ended July 31, 2018.</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As of July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674,924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663,935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651,294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365,205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366,638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367,418</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521,791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221,458</w:t>
            </w:r>
          </w:p>
        </w:tc>
      </w:tr>
      <w:tr>
        <w:trPr>
          <w:trHeight w:val="237"/>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1,160,645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1,173,851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1,113,316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557,158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560,348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588,876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Revenues are attributed based on country of origin.</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Long-lived assets consist of property, plant and equipment, other intangible assets and goodwill.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per Common Share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(after deducting the applicable preferential Class A Common Stock dividends) by the weighted average Common Shares outstanding of 52,596 for fiscal 2019, 51,677 for fiscal 2018, and 51,056 for fiscal 2017. The Company utilizes the two-class method to calculate income per share.</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7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Numerator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0" w:type="dxa"/>
            <w:vAlign w:val="bottom"/>
          </w:tcPr>
          <w:p>
            <w:pPr>
              <w:spacing w:after="0"/>
              <w:rPr>
                <w:sz w:val="5"/>
                <w:szCs w:val="5"/>
                <w:color w:val="auto"/>
              </w:rPr>
            </w:pPr>
          </w:p>
        </w:tc>
        <w:tc>
          <w:tcPr>
            <w:tcW w:w="6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(Numerator for basic and diluted income per Class A Nonvoting Common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131,258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95,645</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shd w:val="clear" w:color="auto" w:fill="CCEEFF"/>
              </w:rPr>
              <w:t>Preferential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Numerator for basic and diluted income per Class B Voting Common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130,430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94,843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Denominator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6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Denominator for basic income per share for both Class A and Class B</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51,056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Denominator for diluted income per share for both Class A and Class B</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51,956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shd w:val="clear" w:color="auto" w:fill="CCEEFF"/>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Net income per Class B Voting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shd w:val="clear" w:color="auto" w:fill="CCEEFF"/>
              </w:rPr>
              <w:t>Diluted</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41"/>
        </w:trPr>
        <w:tc>
          <w:tcPr>
            <w:tcW w:w="3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Options to purchase 372,255, 751,200, and 669,036 shares of Class A Nonvoting Common Stock for the fiscal years ended July 31, 2019, 2018, and 2017, respectively, were not included in the computation of diluted net income per share as the impact of the inclusion of the options would have been anti-dilutive.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Rental expense charged to operating expenses on a straight-line basis was $19,984, $15,938, and $17,495 for the years ended July 31, 2019, 2018, and 2017, respectively. Future minimum lease payments required under such leases in effect at July 31, 2019,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13,439</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accounting guidance on fair value measurements establishes a fair market value hierarchy for the pricing inputs used to measure fair market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assets and liabilities measured at fair market value are classified in one of the following categories: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 Assets or liabilities for which fair value is based on unadjusted quoted prices in active markets for identical instruments that are accessible as of the measurement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Assets or liabilities for which fair value is based on other significant pricing inputs that are either directly or indirectly observable.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that were accounted for at fair value on a recurring basis at July 31, 2019 and July 31, 2018, according to the valuation techniques the Company used to determine their fair values.</w:t>
      </w:r>
    </w:p>
    <w:p>
      <w:pPr>
        <w:spacing w:after="0" w:line="110"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Inputs</w:t>
      </w:r>
    </w:p>
    <w:p>
      <w:pPr>
        <w:spacing w:after="0" w:line="28"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33020</wp:posOffset>
            </wp:positionV>
            <wp:extent cx="1981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Values</w:t>
            </w:r>
          </w:p>
        </w:tc>
        <w:tc>
          <w:tcPr>
            <w:tcW w:w="120" w:type="dxa"/>
            <w:vAlign w:val="bottom"/>
          </w:tcPr>
          <w:p>
            <w:pPr>
              <w:spacing w:after="0"/>
              <w:rPr>
                <w:sz w:val="18"/>
                <w:szCs w:val="18"/>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Balance Sheet Classifications</w:t>
            </w:r>
          </w:p>
        </w:tc>
      </w:tr>
      <w:tr>
        <w:trPr>
          <w:trHeight w:val="33"/>
        </w:trPr>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04"/>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July 31, 2018</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60"/>
        </w:trPr>
        <w:tc>
          <w:tcPr>
            <w:tcW w:w="2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40" w:type="dxa"/>
            <w:vAlign w:val="bottom"/>
            <w:shd w:val="clear" w:color="auto" w:fill="CCEEFF"/>
          </w:tcPr>
          <w:p>
            <w:pPr>
              <w:spacing w:after="0"/>
              <w:rPr>
                <w:sz w:val="5"/>
                <w:szCs w:val="5"/>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14,383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14,383</w:t>
            </w: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14,383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15,460</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73"/>
        </w:trPr>
        <w:tc>
          <w:tcPr>
            <w:tcW w:w="29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40" w:type="dxa"/>
            <w:vAlign w:val="bottom"/>
            <w:tcBorders>
              <w:bottom w:val="single" w:sz="8" w:color="CCEEFF"/>
            </w:tcBorders>
          </w:tcPr>
          <w:p>
            <w:pPr>
              <w:spacing w:after="0"/>
              <w:rPr>
                <w:sz w:val="6"/>
                <w:szCs w:val="6"/>
                <w:color w:val="auto"/>
              </w:rPr>
            </w:pPr>
          </w:p>
        </w:tc>
      </w:tr>
      <w:tr>
        <w:trPr>
          <w:trHeight w:val="237"/>
        </w:trPr>
        <w:tc>
          <w:tcPr>
            <w:tcW w:w="298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73"/>
        </w:trPr>
        <w:tc>
          <w:tcPr>
            <w:tcW w:w="29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40" w:type="dxa"/>
            <w:vAlign w:val="bottom"/>
            <w:tcBorders>
              <w:bottom w:val="single" w:sz="8" w:color="CCEEFF"/>
            </w:tcBorders>
          </w:tcPr>
          <w:p>
            <w:pPr>
              <w:spacing w:after="0"/>
              <w:rPr>
                <w:sz w:val="6"/>
                <w:szCs w:val="6"/>
                <w:color w:val="auto"/>
              </w:rPr>
            </w:pPr>
          </w:p>
        </w:tc>
      </w:tr>
      <w:tr>
        <w:trPr>
          <w:trHeight w:val="177"/>
        </w:trPr>
        <w:tc>
          <w:tcPr>
            <w:tcW w:w="298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July 31, 2019</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r>
      <w:tr>
        <w:trPr>
          <w:trHeight w:val="74"/>
        </w:trPr>
        <w:tc>
          <w:tcPr>
            <w:tcW w:w="2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40" w:type="dxa"/>
            <w:vAlign w:val="bottom"/>
            <w:shd w:val="clear" w:color="auto" w:fill="CCEEFF"/>
          </w:tcPr>
          <w:p>
            <w:pPr>
              <w:spacing w:after="0"/>
              <w:rPr>
                <w:sz w:val="6"/>
                <w:szCs w:val="6"/>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16,218</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73"/>
        </w:trPr>
        <w:tc>
          <w:tcPr>
            <w:tcW w:w="29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40" w:type="dxa"/>
            <w:vAlign w:val="bottom"/>
            <w:tcBorders>
              <w:bottom w:val="single" w:sz="8" w:color="CCEEFF"/>
            </w:tcBorders>
          </w:tcPr>
          <w:p>
            <w:pPr>
              <w:spacing w:after="0"/>
              <w:rPr>
                <w:sz w:val="6"/>
                <w:szCs w:val="6"/>
                <w:color w:val="auto"/>
              </w:rPr>
            </w:pPr>
          </w:p>
        </w:tc>
      </w:tr>
      <w:tr>
        <w:trPr>
          <w:trHeight w:val="237"/>
        </w:trPr>
        <w:tc>
          <w:tcPr>
            <w:tcW w:w="298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The Company’s deferred compensation investments consist of investments in mutual funds. These investments were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1 as the shares of these investments trade with sufficient frequency and volume to enable the Company to obtain pricing information on an ongoing basis.</w:t>
      </w:r>
    </w:p>
    <w:p>
      <w:pPr>
        <w:spacing w:after="0" w:line="12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13, “Derivatives and Hedging Activities” for additional information.</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fiscal years ended July 31, 2019 and July 31, 2018.</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other than those presented in the disclosures above, include cash and cash equivalents, accounts receivable, accounts payable, accrued liabilities and short-term and long-term debt. The fair values of cash and cash equivalents, accounts receivable, accounts payable, and accrued liabilities approximated carrying values because of the short-term nature of these instruments. See Note 6 for information regarding the fair value of the Company's short-term and long-term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and Hedging Activities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2019 and 2018, the notional amount of outstanding forward foreign exchange contracts was $29,389 and $32,667, respectively.</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hedges a portion of known exposures using forward foreign exchange contracts. Main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in the accompanying Consolidated Balance Sheets. For these instruments, the effective portion of the gain or loss on the derivative is reported as a component of other comprehensive income (“OCI”) and in the cash flow hedge section of the Consolidated Statements of Comprehensive Income, and reclassified into income in the same period or periods during which the hedged transaction affects income. At July 31, 2019 and 2018, unrealized gains of $805 and $1,017 have been included in OCI, respectively. These balances are expected to be reclassified from OCI to income during the next twelve months when the hedged transactions impact income. For the years ended July 31, 2019, 2018, and 2017, the Company reclassified gains of $1,048, losses of $552, and losses of $486 from OCI into cost of goods sold, respectively.</w:t>
      </w:r>
    </w:p>
    <w:p>
      <w:pPr>
        <w:spacing w:after="0" w:line="29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July 31, 2019 and 2018, the notional amount of outstanding forward foreign exchange contracts designated as cash flow hedges was $26,013 and $27,150, respectively.</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also designated certain third party-foreign currency denominated debt instruments as net investment hedges. On May 13, 2010, the Company completed the private placement of €75,000 aggregate principal amount of senior unsecured notes consisting of €30,000 aggregate principal amount of 3.71% Series 2010-A Senior Notes, which were repaid during fiscal 2017, and €45,000 aggregate principal amount of 4.24% Series 2010-A Senior Notes, due May 13, 2020. This Euro-denominated debt obligation was designated as a net investment hedge to selectively hedge portions of the Company's net investment in European foreign operations. The Company’s foreign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Statements of Comprehensive Income. As of July 31, 2019 and 2018, the cumulative balance recognized in accumulated other comprehensive income were gains of $12,440 and $9,961, respectively, on the Euro-denominated debt obligations. The changes recognized in other comprehensive income during the years ended July 31, 2019, 2018 and 2017, were gains of $2,480, $612, and losses of $1,792, respectively, on the Euro-denominated debt obligations.</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fiscal years ended July 31, 2019, 2018, and 2017, the Company recognized losses of $52, gains of $24, and losses of $2,508, respectively, in “Investment and other income” in the accompanying Consolidated Statements of Income related to non-designated hedges.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Fair values of derivative and hedging instruments in the accompanying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102870</wp:posOffset>
            </wp:positionV>
            <wp:extent cx="4707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Foreign exchange contracts (cash flow hedges)</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Foreign currency denominated debt (net investment hedges)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Foreign exchange contracts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July 31, 2018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Prepaid expenses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Prepaid expenses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current</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maturities on</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current</w:t>
            </w:r>
          </w:p>
        </w:tc>
        <w:tc>
          <w:tcPr>
            <w:tcW w:w="16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9"/>
        </w:trPr>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and other current</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529"/>
        </w:trPr>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52,668</w:t>
            </w:r>
          </w:p>
        </w:tc>
        <w:tc>
          <w:tcPr>
            <w:tcW w:w="0" w:type="dxa"/>
            <w:vAlign w:val="bottom"/>
          </w:tcPr>
          <w:p>
            <w:pPr>
              <w:spacing w:after="0"/>
              <w:rPr>
                <w:sz w:val="1"/>
                <w:szCs w:val="1"/>
                <w:color w:val="auto"/>
              </w:rPr>
            </w:pPr>
          </w:p>
        </w:tc>
      </w:tr>
      <w:tr>
        <w:trPr>
          <w:trHeight w:val="545"/>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7"/>
        </w:trPr>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50,189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52,668</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-1054100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-702310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-359410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260"/>
            <w:col w:w="7420"/>
          </w:cols>
          <w:pgMar w:left="240" w:top="118"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Divestiture</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31, 2018, the Company sold Runelandhs Försäljnings AB (“Runelandhs”), a business based in Kalmar, Sweden. Runelandhs is a direct marketer of industrial and office equipment. Its products include lifting, transporting, and warehouse equipment; workbenches and material handling supplies; products for environmental protection; and entrance, reception, and office furnishings. The Runelandhs business was part of the Company’s WPS segment and its income was not material. The Company received proceeds of $19,141, net of cash transferred with the business. The transaction resulted in a pre-tax and after-tax gain of $4,666, which was included in SG&amp;A expenses in the accompanying Consolidated Statements of Income for the year ended July 31, 2018. The divestiture of the Runelandhs business was part of the Company’s continued long-term growth strategy to focus the Company’s energies and resources on growth of the Company’s core businesses.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Unaudited Quarterly Financial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Quarters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2018</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290,151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287,780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298,421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297,499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1,173,851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588,291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152,696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91,060</w:t>
            </w: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293,196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282,426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289,745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295,278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1,160,645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146,580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578,678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162,428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131,258</w:t>
            </w: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quarters does not equal the year-to-date total due to the quarterly changes in weighted-average shares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August 1, 2019, the Company entered into a $200,000 multi-currency revolving loan agreement with a group of five banks that replaced and terminated the Company's previous loan agreement that had been entered into on September 25, 2015. Under the new revolving loan agreement, which has a final maturity date of August 1, 2024, the Company has the option to select either a base interest rate (based upon the higher of the federal funds rate plus one-half of 1%, the prime rate of Bank of Montreal plus a margin based on the Company’s consolidated net leverage ratio, or the one-month LIBOR rate plus 1%) or a Eurocurrency interest rate (at the LIBOR rate plus a margin based on the Company’s consolidated net leverage ratio). At the Company’s option, and subject to certain conditions, the available amount under the revolving loan agreement may be increased from $200,000 up to $400,000. The new credit agreement is guaranteed by certain of the Corporation’s domestic subsidiaries and contains various financial covenants, including a debt-to-EBITDA ratio of 3.50-to-1.0 and an interest coverage ratio of 3.0-to-1.0.</w:t>
      </w:r>
    </w:p>
    <w:p>
      <w:pPr>
        <w:spacing w:after="0" w:line="5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September 5, 2019, the Company announced an increase in the annual dividend to shareholders of the Company's Class A Common Stock, from $0.85 to $0.87 per share. A quarterly dividend of $0.2175 will be paid on October 31, 2019, to shareholders of record at the close of business on October 10, 2019. This dividend represents an increase of 2.4% and is the 34th consecutive annual increase in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ectPr>
          <w:pgSz w:w="11900" w:h="16838" w:orient="portrait"/>
          <w:cols w:equalWidth="0" w:num="1">
            <w:col w:w="11420"/>
          </w:cols>
          <w:pgMar w:left="240" w:top="118"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With the participation of the President and Chief Executive Officer and Chief Financial Officer and Treasurer, management conducted an evaluation of the effectiveness of our internal control over financial reporting as of July 31, 2019, based on the framework and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as of July 31, 2019, the Company’s internal control over financial reporting is effective based on those criteria.</w:t>
      </w:r>
    </w:p>
    <w:p>
      <w:pPr>
        <w:spacing w:after="0" w:line="2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July 31, 2019, has been audited by Deloitte &amp; Touche LLP, an independent registered public accounting firm, as stated in their report, which is included herein.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Brady Corporation and subsidiaries (the “Company”) as of July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July 31, 2019, based on criteria established in Internal Control - Integrated Framework (2013)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July 31, 2019, of the Company and our report dated September 6, 2019, expressed an unqualified opinion on those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Aaron J. Pearce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Louis T. Bolognini</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V.P., General Counsel and Secretary</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Bentley N. Curran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 Digital Business and Chief Information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Felmer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V.P., President - Workplace Safety</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Helena R. Nelligan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V.P. - Human Resources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Russell R. Shaller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V.P., President - Identification Solutions</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 E. Thornton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W. Allender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Gary S. Balkema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S. Bem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Elizabeth P. Bruno</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Nancy L. Gioia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Conrad G. Goodkind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Frank W. Harris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Bradley C. Richardson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Michelle E. Williams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21"/>
                <w:szCs w:val="21"/>
                <w:color w:val="auto"/>
              </w:rPr>
            </w:pPr>
          </w:p>
        </w:tc>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 Michael Nauman - </w:t>
      </w:r>
      <w:r>
        <w:rPr>
          <w:rFonts w:ascii="Times New Roman" w:cs="Times New Roman" w:eastAsia="Times New Roman" w:hAnsi="Times New Roman"/>
          <w:sz w:val="18"/>
          <w:szCs w:val="18"/>
          <w:color w:val="auto"/>
        </w:rPr>
        <w:t>Mr. Nauman has served on the Company’s Board of Directors and as the Company’s President and CEO since August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the Company, Mr. Nauman spent 20 years at Molex Incorporated, where he led global businesses in the automotive, data communications, industrial, medical, military/aerospace and mobile sectors. In 2007, he became Molex's Senior Vice President leading its Global Integrated Products Division and was named Executive Vice President in 2009. Before joining Molex in 1994, Mr. Nauman was a tax accountant and auditor for Arthur Andersen and Company and Controller and then President of Ohio Associated Enterprises, Inc. Mr. Nauman’s broad operational and financial experience and perspective as the Company's CEO, as well as his leadership and strategic perspective, provide the Board with insight and expertise to drive the Company’s growth and performance. Mr. Nauman holds a bachelor’s of science degree in management from Case Western Reserve University. He is a certified public accountant and chartered global management accountant. He is a board member of the Arkansas Science, Technology, Engineering and Math Coalition, Museum of Discovery, and the Quapaw area council of the Boy Scouts of America.</w:t>
      </w:r>
    </w:p>
    <w:p>
      <w:pPr>
        <w:spacing w:after="0" w:line="13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Aaron J. Pearce </w:t>
      </w:r>
      <w:r>
        <w:rPr>
          <w:rFonts w:ascii="Times New Roman" w:cs="Times New Roman" w:eastAsia="Times New Roman" w:hAnsi="Times New Roman"/>
          <w:sz w:val="18"/>
          <w:szCs w:val="18"/>
          <w:color w:val="auto"/>
        </w:rPr>
        <w:t>- Mr. Pearce joined the Company in 2004 as Director of Internal Audit and currently serves as Chief Financial Officer and Treasurer.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Pearce was appointed Senior Vice President and Chief Financial Officer in September 2014, and Chief Accounting Officer in July 2015. From 2006 to 2008, he served as Finance Director for the Company’s Asia Pacific region, and from 2008 to 2010, served as Global Tax Director. In January 2010, Mr. Pearce was appointed Vice President, Treasurer, and Director of Investor Relations, and in April 2013, was named Vice President - Finance, with responsibility for finance support to</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Workplace Safety and Identification Solutions businesses, financial planning and analysis, and investor relations. Prior to joining the Company, Mr. Pearce was an auditor with Deloitte &amp; Touche LLP. He holds a bachelor’s degree in business administration from the University of Wisconsin-Milwaukee and is a certified public accountant.</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Louis T. Bolognini - </w:t>
      </w:r>
      <w:r>
        <w:rPr>
          <w:rFonts w:ascii="Times New Roman" w:cs="Times New Roman" w:eastAsia="Times New Roman" w:hAnsi="Times New Roman"/>
          <w:sz w:val="18"/>
          <w:szCs w:val="18"/>
          <w:color w:val="auto"/>
        </w:rPr>
        <w:t>Mr. Bolognini joined the Company as Senior Vice President, General Counsel and Secretary in January 2013.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He holds a bachelor's degree in political science from Miami University and a Juris Doctor degree from the University of Toledo.</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Bentley N. Curran - </w:t>
      </w:r>
      <w:r>
        <w:rPr>
          <w:rFonts w:ascii="Times New Roman" w:cs="Times New Roman" w:eastAsia="Times New Roman" w:hAnsi="Times New Roman"/>
          <w:sz w:val="18"/>
          <w:szCs w:val="18"/>
          <w:color w:val="auto"/>
        </w:rPr>
        <w:t>Mr. Curran joined the Company in 1999 and has served as Vice President of Digital Business and Chief Information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Thomas J. Felmer - </w:t>
      </w:r>
      <w:r>
        <w:rPr>
          <w:rFonts w:ascii="Times New Roman" w:cs="Times New Roman" w:eastAsia="Times New Roman" w:hAnsi="Times New Roman"/>
          <w:sz w:val="18"/>
          <w:szCs w:val="18"/>
          <w:color w:val="auto"/>
        </w:rPr>
        <w:t>Mr. Felmer joined the Company in 1989 and has served as Senior Vice President and President - Workplace Safety since 2014.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several sales and marketing positions until being named Vice President and General Manager of Brady's U.S. Signmark Division in 1994. In 1999, Mr. Felmer assumed responsibility for the European Signmark business and then led the European direct marketing business. In 2003, Mr. Felmer assumed responsibility for Brady's global sales and marketing processes, Brady Software businesses, and integration leader of the Emedco acquisition. In June 2004, he was appointed President - Direct Marketing Americas, and was named Chief Financial Officer in January 2008. In October 2013, Mr. Felmer was appointed Interim President and CEO, and served in these positions until August 2014. Mr. Felmer received a bachelor's degree in business administration from the University of Wisconsin - Green Bay.</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Helena R. Nelligan - </w:t>
      </w:r>
      <w:r>
        <w:rPr>
          <w:rFonts w:ascii="Times New Roman" w:cs="Times New Roman" w:eastAsia="Times New Roman" w:hAnsi="Times New Roman"/>
          <w:sz w:val="18"/>
          <w:szCs w:val="18"/>
          <w:color w:val="auto"/>
        </w:rPr>
        <w:t>Ms. Nelligan joined the Company as Senior Vice President - Human Resources in November 2013.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was employed by Eaton Corporation beginning in 2005. At Eaton, she served as Vice President of Human Resources - Electrical Products Group, Vice President - Human Resources, Electrical Sector and Director Human Resources - Electrical Components Division. From 1997 to 2005, Ms. Nelligan served in human resources leadership roles with Merisant Worldwide, Inc. and British Petroleum. She holds a bachelor’s degree in criminal justice and a master’s degree in human resources and labor relations from Michigan State University.</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Russell R. Shaller - </w:t>
      </w:r>
      <w:r>
        <w:rPr>
          <w:rFonts w:ascii="Times New Roman" w:cs="Times New Roman" w:eastAsia="Times New Roman" w:hAnsi="Times New Roman"/>
          <w:sz w:val="18"/>
          <w:szCs w:val="18"/>
          <w:color w:val="auto"/>
        </w:rPr>
        <w:t>Mr. Shaller joined the Company in June 2015 as Senior Vice President and President - Identification Solutions. From 2008 to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Ann E. Thornton - </w:t>
      </w:r>
      <w:r>
        <w:rPr>
          <w:rFonts w:ascii="Times New Roman" w:cs="Times New Roman" w:eastAsia="Times New Roman" w:hAnsi="Times New Roman"/>
          <w:sz w:val="18"/>
          <w:szCs w:val="18"/>
          <w:color w:val="auto"/>
        </w:rPr>
        <w:t>Ms. Thornton joined the Company in 2009 and has served as Chief Accounting Officer since 2016 and as Corporate Controller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Patrick W. Allender - </w:t>
      </w:r>
      <w:r>
        <w:rPr>
          <w:rFonts w:ascii="Times New Roman" w:cs="Times New Roman" w:eastAsia="Times New Roman" w:hAnsi="Times New Roman"/>
          <w:sz w:val="18"/>
          <w:szCs w:val="18"/>
          <w:color w:val="auto"/>
        </w:rPr>
        <w:t>Mr. Allender was elected to the Board of Directors in 2007. He serves as the Chair of the Finance Committee and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and Corporate Governance Committees. He served as Executive Vice President and CFO of Danaher Corporation from 1998 to 2005 and Executive Vice President from 2005 to 2007. He has served as a director of Colfax Corporation since 2008 and Diebold Nixdorf, Inc. since 2011. Mr. Allender's strong background in finance and accounting, as well as his past experience as the CFO of a public company, provides the Board with financial expertise and insight.</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Gary S. Balkema - </w:t>
      </w:r>
      <w:r>
        <w:rPr>
          <w:rFonts w:ascii="Times New Roman" w:cs="Times New Roman" w:eastAsia="Times New Roman" w:hAnsi="Times New Roman"/>
          <w:sz w:val="18"/>
          <w:szCs w:val="18"/>
          <w:color w:val="auto"/>
        </w:rPr>
        <w:t>Mr. Balkema was elected to the Board of Directors in 2010. He serves as the Chair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is a member of the Audit Committee. From 2000 to 2011, he served as the President of Bayer Healthcare LLC and Worldwide Consumer Care Division. He was also responsible for overseeing Bayer LLC USA's compliance program. He has over 20 years of general management experience. Mr. Balkema has served as a director of PLx Pharma, Inc. since 2016. Mr. Balkema brings strong experience in consumer marketing skills and mergers, acquisitions and integrations. His broad operating and functional experience are valuable to the Company given the diverse nature of the Company's portfolio.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S. Bem, Ph.D - </w:t>
      </w:r>
      <w:r>
        <w:rPr>
          <w:rFonts w:ascii="Times New Roman" w:cs="Times New Roman" w:eastAsia="Times New Roman" w:hAnsi="Times New Roman"/>
          <w:sz w:val="18"/>
          <w:szCs w:val="18"/>
          <w:color w:val="auto"/>
        </w:rPr>
        <w:t>Dr. Bem was elected to the Board of Directors in 2019. He serves as a member of the Technology Committee. Dr. Bem is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Dr. Bem’s extensive experience in technology and research and development provides the Board with important expertise in new product development and innovation.</w:t>
      </w:r>
    </w:p>
    <w:p>
      <w:pPr>
        <w:spacing w:after="0" w:line="12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Elizabeth P. Bruno, Ph.D - </w:t>
      </w:r>
      <w:r>
        <w:rPr>
          <w:rFonts w:ascii="Times New Roman" w:cs="Times New Roman" w:eastAsia="Times New Roman" w:hAnsi="Times New Roman"/>
          <w:sz w:val="18"/>
          <w:szCs w:val="18"/>
          <w:color w:val="auto"/>
        </w:rPr>
        <w:t>Dr. Bruno was elected to the Board of Directors in 2003. She serves as a member of the Corporate Governance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Committees. Dr. Bruno is the President of the Brady Education Foundation in Chapel Hill, North Carolina.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Nancy L. Gioia - </w:t>
      </w:r>
      <w:r>
        <w:rPr>
          <w:rFonts w:ascii="Times New Roman" w:cs="Times New Roman" w:eastAsia="Times New Roman" w:hAnsi="Times New Roman"/>
          <w:sz w:val="18"/>
          <w:szCs w:val="18"/>
          <w:color w:val="auto"/>
        </w:rPr>
        <w:t>Ms. Gioia was elected to the Board of Directors in 2013. She serves as the Chair of the Technology Committee and is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Development and Compensation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Meggit PLC since 2017 and as the Executive Director of Blue Current since 2019, and previously served as director of Exelon Corporation. Ms. Gioia's extensive experience in strategy, technology and engineering solutions, as well as her general business experience, provides the Board with important expertise in product development and operations.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Conrad G. Goodkind - </w:t>
      </w:r>
      <w:r>
        <w:rPr>
          <w:rFonts w:ascii="Times New Roman" w:cs="Times New Roman" w:eastAsia="Times New Roman" w:hAnsi="Times New Roman"/>
          <w:sz w:val="18"/>
          <w:szCs w:val="18"/>
          <w:color w:val="auto"/>
        </w:rPr>
        <w:t>Mr. Goodkind was elected to the Board of Directors in 2007. He serves as the Chair of the Board of Directors,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2009.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3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Frank W. Harris, Ph.D - </w:t>
      </w:r>
      <w:r>
        <w:rPr>
          <w:rFonts w:ascii="Times New Roman" w:cs="Times New Roman" w:eastAsia="Times New Roman" w:hAnsi="Times New Roman"/>
          <w:sz w:val="18"/>
          <w:szCs w:val="18"/>
          <w:color w:val="auto"/>
        </w:rPr>
        <w:t>Dr. Harris was elected to the Board of Directors in 1991. He serves as a member of the Technology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Committees. He is the founder of several technology-based companies including Akron Polymer Systems, where he serves as Chair of the Board of Directors. Dr. Harris is the inventor of several commercialized products. He is an Emeritus Distinguished Professor of Polymer Science and Biomedical Engineering at The University of Akron, where he previously served as Director of the Maurice Morton Institute of Polymer Science. Dr. Harris’ extensive experience in technology and engineering solutions provides the Board with important expertise in new product development.</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Bradley C. Richardson - </w:t>
      </w:r>
      <w:r>
        <w:rPr>
          <w:rFonts w:ascii="Times New Roman" w:cs="Times New Roman" w:eastAsia="Times New Roman" w:hAnsi="Times New Roman"/>
          <w:sz w:val="18"/>
          <w:szCs w:val="18"/>
          <w:color w:val="auto"/>
        </w:rPr>
        <w:t>Mr. Richardson was elected to the Board of Directors in 2007. He serves as the Chair of the Audit Committee and is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Finance and Management Development and Compensation Committees. He is the Executive Vice President and CFO of PolyOne Corporation.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He brings to the Company extensive knowledge and global experience in the areas of operations, strategy, accounting, tax accounting and finance, which are areas of critical importance to the Company as a global company.</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Michelle E. Williams, Ph.D - </w:t>
      </w:r>
      <w:r>
        <w:rPr>
          <w:rFonts w:ascii="Times New Roman" w:cs="Times New Roman" w:eastAsia="Times New Roman" w:hAnsi="Times New Roman"/>
          <w:sz w:val="18"/>
          <w:szCs w:val="18"/>
          <w:color w:val="auto"/>
        </w:rPr>
        <w:t>Dr. Williams was elected to the Board of Directors in 2019. She serves as a member of the Technology Committee.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is Global Group President of Altuglas International, a subsidiary of Arkema S.A. Prior to Arkema, she spent 23 years with Rohm and Haas Company and Dow Chemical in manufacturing, commercial, strategy and general management positions. She was General Manager, Chemical Mechanical Polishing Technologies, and later, General Manager, Adhesives and Sealants. Dr. Williams’ experience in commercial, technology and business leadership roles provides the Board with important expertise in innovation, new product development and operations.</w:t>
      </w:r>
    </w:p>
    <w:p>
      <w:pPr>
        <w:spacing w:after="0" w:line="12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 </w:t>
      </w:r>
      <w:r>
        <w:rPr>
          <w:rFonts w:ascii="Times New Roman" w:cs="Times New Roman" w:eastAsia="Times New Roman" w:hAnsi="Times New Roman"/>
          <w:sz w:val="18"/>
          <w:szCs w:val="18"/>
          <w:color w:val="auto"/>
        </w:rPr>
        <w:t>The Board does not have a formal policy regarding the separation of the roles of Chief Executive Officer and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as the Board believes it is in the best interest of the Company to make that determination based on the position and direction of the Company and the membership of the Board. Since September 2015, the Board’s leadership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structure has included a non-executive Chair. Mr. Goodkind, an independent Director, has served in that position since its creation.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24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 Oversight - </w:t>
      </w:r>
      <w:r>
        <w:rPr>
          <w:rFonts w:ascii="Times New Roman" w:cs="Times New Roman" w:eastAsia="Times New Roman" w:hAnsi="Times New Roman"/>
          <w:sz w:val="18"/>
          <w:szCs w:val="18"/>
          <w:color w:val="auto"/>
        </w:rPr>
        <w:t>The Board oversees the Company's risk management processes directly and through its committees. In general, the Board oversees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 management as a part of the disclosure process. The significance of the risk is assessed by executive management and escalation to the respective board committee and Board of Directors is determined. The Company reviews its risk assessment with the Audit Committee annually.</w:t>
      </w:r>
    </w:p>
    <w:p>
      <w:pPr>
        <w:spacing w:after="0" w:line="12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 </w:t>
      </w:r>
      <w:r>
        <w:rPr>
          <w:rFonts w:ascii="Times New Roman" w:cs="Times New Roman" w:eastAsia="Times New Roman" w:hAnsi="Times New Roman"/>
          <w:sz w:val="18"/>
          <w:szCs w:val="18"/>
          <w:color w:val="auto"/>
        </w:rPr>
        <w:t>The Company's Board of Directors has determined that at least one Audit Committee financial expert is serving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Audit Committee. Messrs. Richardson, Chair of the Audit Committee, and Allender and Balkema, members of the Audit Committee, are financial experts and are independent under the rules of the SEC and the New York Stock Exchange (“NYSE”).</w:t>
      </w:r>
    </w:p>
    <w:p>
      <w:pPr>
        <w:spacing w:after="0" w:line="12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 </w:t>
      </w:r>
      <w:r>
        <w:rPr>
          <w:rFonts w:ascii="Times New Roman" w:cs="Times New Roman" w:eastAsia="Times New Roman" w:hAnsi="Times New Roman"/>
          <w:sz w:val="18"/>
          <w:szCs w:val="18"/>
          <w:color w:val="auto"/>
        </w:rPr>
        <w:t>A majority of the Directors must meet the criteria for independence established by the Board in accordance with the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2019.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132" w:lineRule="exact"/>
        <w:rPr>
          <w:sz w:val="20"/>
          <w:szCs w:val="20"/>
          <w:color w:val="auto"/>
        </w:rPr>
      </w:pPr>
    </w:p>
    <w:p>
      <w:pPr>
        <w:jc w:val="both"/>
        <w:ind w:firstLine="51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Meetings of Non-management Directors - </w:t>
      </w:r>
      <w:r>
        <w:rPr>
          <w:rFonts w:ascii="Times New Roman" w:cs="Times New Roman" w:eastAsia="Times New Roman" w:hAnsi="Times New Roman"/>
          <w:sz w:val="18"/>
          <w:szCs w:val="18"/>
          <w:color w:val="auto"/>
        </w:rPr>
        <w:t>The non-management Directors of the Board regularly meet alone without any members of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As Chair of the Board, Mr. Goodkind is the presiding Director at these sessions. In fiscal 2019, there were five executive sessions. Interested parties can raise concerns to be addressed at these meetings by calling the confidential Brady hotline at 1-800-368-3613.</w:t>
      </w:r>
    </w:p>
    <w:p>
      <w:pPr>
        <w:spacing w:after="0" w:line="120"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Members - </w:t>
      </w:r>
      <w:r>
        <w:rPr>
          <w:rFonts w:ascii="Times New Roman" w:cs="Times New Roman" w:eastAsia="Times New Roman" w:hAnsi="Times New Roman"/>
          <w:sz w:val="18"/>
          <w:szCs w:val="18"/>
          <w:color w:val="auto"/>
        </w:rPr>
        <w:t>The Audit Committee, which is a separately-designated standing committee of the Board of Directors, is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Richardson (Chair), Allender, Balkema, and Goodkind. Each member of the Audit Committee has been determined by the Board to be independent under the rules of the SEC and NYSE.</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of Ethics - </w:t>
      </w:r>
      <w:r>
        <w:rPr>
          <w:rFonts w:ascii="Times New Roman" w:cs="Times New Roman" w:eastAsia="Times New Roman" w:hAnsi="Times New Roman"/>
          <w:sz w:val="18"/>
          <w:szCs w:val="18"/>
          <w:color w:val="auto"/>
        </w:rPr>
        <w:t>The Company has a code of ethics. This code of ethics applies to all of the Company's employees, officers and Directors. The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26"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 </w:t>
      </w:r>
      <w:r>
        <w:rPr>
          <w:rFonts w:ascii="Times New Roman" w:cs="Times New Roman" w:eastAsia="Times New Roman" w:hAnsi="Times New Roman"/>
          <w:sz w:val="18"/>
          <w:szCs w:val="18"/>
          <w:color w:val="auto"/>
        </w:rPr>
        <w:t>Brady's Corporate Governance Principles, as well as the charters of the Audit, Corporate Governance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Development and Compensation Committees, are available on the Company's Corporate website, www.bradycorp.com. Shareholders may request printed copies of these documents from Brady Corporation, Investor Relations, P.O. Box 571, Milwaukee, WI 53201.</w:t>
      </w:r>
    </w:p>
    <w:p>
      <w:pPr>
        <w:spacing w:after="0" w:line="12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 </w:t>
      </w:r>
      <w:r>
        <w:rPr>
          <w:rFonts w:ascii="Times New Roman" w:cs="Times New Roman" w:eastAsia="Times New Roman" w:hAnsi="Times New Roman"/>
          <w:sz w:val="18"/>
          <w:szCs w:val="18"/>
          <w:color w:val="auto"/>
        </w:rPr>
        <w:t>Brady's Corporate Governance Committee reviews the individual skills and characteristics of the Directors,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possess the appropriate talent, skills and expertise to oversee the Company's businesses. The Board does not discriminate on the basis of race, national origin, gender, religion, disability, or sexual orientation in selecting director candidates.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9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Company’s knowledge, based solely on a review of the Section 16(a) filings and written representations that no other reports were required, during the fiscal year ended July 31, 2019, all Section 16(a) filing requirements were complied with other than with respect to the following:</w:t>
      </w:r>
    </w:p>
    <w:p>
      <w:pPr>
        <w:spacing w:after="0" w:line="189" w:lineRule="exact"/>
        <w:rPr>
          <w:sz w:val="20"/>
          <w:szCs w:val="20"/>
          <w:color w:val="auto"/>
        </w:rPr>
      </w:pPr>
    </w:p>
    <w:p>
      <w:pPr>
        <w:jc w:val="both"/>
        <w:ind w:firstLine="494"/>
        <w:spacing w:after="0" w:line="313" w:lineRule="auto"/>
        <w:tabs>
          <w:tab w:leader="none" w:pos="7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4 for Messrs. Allender, Goodkind and Richardson were not filed on or before October 11, 2018, to report the receipt of 626, 955 and 166 shares of Class A Nonvoting Common Stock, respectively, that were granted as compensation for their services as a director on October 9, 2018. These transactions were reported on Forms 4 that were filed on November 9, 2018; and</w:t>
      </w:r>
    </w:p>
    <w:p>
      <w:pPr>
        <w:spacing w:after="0" w:line="176" w:lineRule="exact"/>
        <w:rPr>
          <w:rFonts w:ascii="Times New Roman" w:cs="Times New Roman" w:eastAsia="Times New Roman" w:hAnsi="Times New Roman"/>
          <w:sz w:val="18"/>
          <w:szCs w:val="18"/>
          <w:color w:val="auto"/>
        </w:rPr>
      </w:pPr>
    </w:p>
    <w:p>
      <w:pPr>
        <w:ind w:firstLine="494"/>
        <w:spacing w:after="0" w:line="329" w:lineRule="auto"/>
        <w:tabs>
          <w:tab w:leader="none" w:pos="7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Mr. Bolognini of 1,368 shares of Class A Nonvoting Common Stock on June 5, 2019, that was omitted from the Form 4 filed for Mr. Bolognini on June 6, 2019, due to an administrative error. This sale was reported on a Form 4/A that was filed on July 23,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Compensation Discussion and Analysis focuses on the Company's total compensation philosophy, the role of the Management Development and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fiscal 2019, the following named executive officers' compensation is disclosed and discussed in this section (the “NEOs”):</w:t>
      </w:r>
    </w:p>
    <w:p>
      <w:pPr>
        <w:spacing w:after="0" w:line="171" w:lineRule="exact"/>
        <w:rPr>
          <w:sz w:val="20"/>
          <w:szCs w:val="20"/>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Nauman, President, Chief Executive Officer and Director;</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J. Pearce, Chief Financial Officer and Treasurer;</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T. Bolognini, Senior Vice President, General Counsel and Secretary;</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Helena R. Nelligan, Senior Vice President, Human Resources;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R. Shaller, Senior Vice President and President - Identification Solutions.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Business Highlights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Item 1(a) "General Development of Business" for a business overview and key initiatives during fiscal 2019. Highlights for fiscal 2019 include:</w:t>
      </w:r>
    </w:p>
    <w:p>
      <w:pPr>
        <w:spacing w:after="0" w:line="171" w:lineRule="exact"/>
        <w:rPr>
          <w:sz w:val="20"/>
          <w:szCs w:val="20"/>
          <w:color w:val="auto"/>
        </w:rPr>
      </w:pPr>
    </w:p>
    <w:p>
      <w:pPr>
        <w:jc w:val="both"/>
        <w:ind w:left="660" w:hanging="166"/>
        <w:spacing w:after="0" w:line="25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2019 income before income taxes was $164.6 million, an increase of $12.6 million over fiscal 2018 income before income taxes of $152.0 million. Additionally, fiscal 2018 income before income taxes includes the gain on the sale of the Company's Runelandhs business in Sweden of $4.7 million.</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was $162.2 million during fiscal 2019, an increase of $19.2 million compared to fiscal 2018.</w:t>
      </w:r>
    </w:p>
    <w:p>
      <w:pPr>
        <w:spacing w:after="0" w:line="9" w:lineRule="exact"/>
        <w:rPr>
          <w:rFonts w:ascii="Times New Roman" w:cs="Times New Roman" w:eastAsia="Times New Roman" w:hAnsi="Times New Roman"/>
          <w:sz w:val="18"/>
          <w:szCs w:val="18"/>
          <w:color w:val="auto"/>
        </w:rPr>
      </w:pPr>
    </w:p>
    <w:p>
      <w:pPr>
        <w:ind w:left="660" w:hanging="166"/>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$1,160.6 million in fiscal 2019 compared to $1,173.9 million in fiscal 2018, a decrease of 1.1%. Organic sales increased 2.8%, while foreign currency translation decreased sales by 2.6% and the divestiture of Runelandhs decreased sales by 1.3%.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Executive Summary</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fiscal 2019, the Board of Directors approved a 4.0% increase in base salary for Mr. Nauman. In addition, Mr. Nauman recommended and the Committee approved increases in base salary for Messrs. Pearce, Shaller, Bolognini and Ms. Nelligan. All increases were made to recognize the performance, current scope of responsibilities and peer company data for each executive and, with regard to Messrs. Pearce and Shaller, to better align their base salary with individuals holding comparable positions at peer companies.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Fiscal 2019 equity grants were made in the form of time-based stock options, time-based restricted stock units ("RSUs") and performance-based RSUs, of which the quantity was based upon the average stock price on the grant date. Generally, one-third of the award granted was in the form of stock options, which are inherently performance-based and have value only to the extent that the price of our stock increases. Another one-third of the equity award granted was in the form of RSUs that vest equally over three years and are intended to facilitate retention and align with the creation of long-term shareholder value. The final one-third of the equity award granted was in the form of performance-based RSUs, which reinforce the Company's pay-for-performance philosophy where the level of rewards is aligned to Company performance. The performance-based RSU awards granted in fiscal 2019 have a three-year performance period with the number of shares issued at vesting determined by the Company's total shareholder return ("TSR") relative to the S&amp;P 600 SmallCap Industrials Index. Payout opportunities will range from 0% to 200% of the target award.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part of the Company's pay-for-performance philosophy, the Company's compensation program includes several features that maintain alignment with shareholders:</w:t>
      </w:r>
    </w:p>
    <w:p>
      <w:pPr>
        <w:sectPr>
          <w:pgSz w:w="11900" w:h="16838" w:orient="portrait"/>
          <w:cols w:equalWidth="0" w:num="1">
            <w:col w:w="11400"/>
          </w:cols>
          <w:pgMar w:left="240" w:top="118" w:right="259" w:bottom="1440" w:gutter="0" w:footer="0" w:header="0"/>
        </w:sectPr>
      </w:pP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Emphasis on Variable Compensation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the NEOs' possible compensation is tied to Company performance, which is intended to drive shareholder value.</w:t>
      </w:r>
    </w:p>
    <w:p>
      <w:pPr>
        <w:spacing w:after="0" w:line="162" w:lineRule="exact"/>
        <w:rPr>
          <w:sz w:val="20"/>
          <w:szCs w:val="20"/>
          <w:color w:val="auto"/>
        </w:rPr>
      </w:pPr>
    </w:p>
    <w:p>
      <w:pPr>
        <w:sectPr>
          <w:pgSz w:w="11900" w:h="16838" w:orient="portrait"/>
          <w:cols w:equalWidth="0" w:num="2">
            <w:col w:w="2680" w:space="560"/>
            <w:col w:w="8160"/>
          </w:cols>
          <w:pgMar w:left="240" w:top="118"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Ownership Requirements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Mr. Nauman is required to own shares in the Company at a value equal to five times his base salary. Messrs. Pearce and Shaller are required to own shares in the Company at a value equal to three times their base salaries. Mr. Bolognini and Ms. Nelligan are required to own shares in the Company at a value equal to two times their base salary. Our NEOs are expected to obtain the required ownership levels within five years and may not sell shares, other than to cover tax withholding requirements associated with the vesting or exercise of the equity award, until such time as they meet the requirements.</w:t>
      </w:r>
    </w:p>
    <w:p>
      <w:pPr>
        <w:spacing w:after="0" w:line="188" w:lineRule="exact"/>
        <w:rPr>
          <w:sz w:val="20"/>
          <w:szCs w:val="20"/>
          <w:color w:val="auto"/>
        </w:rPr>
      </w:pPr>
    </w:p>
    <w:p>
      <w:pPr>
        <w:sectPr>
          <w:pgSz w:w="11900" w:h="16838" w:orient="portrait"/>
          <w:cols w:equalWidth="0" w:num="2">
            <w:col w:w="2520" w:space="720"/>
            <w:col w:w="8160"/>
          </w:cols>
          <w:pgMar w:left="240" w:top="118"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Clawback Provisions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a review and analysis of relevant governance and incentive compensation practices and policies across our compensation peer group and other public companies, the Committee instituted a recoupment policy in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believes that this policy enhances the Company's compensation risk mitigation efforts. While the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194" w:lineRule="exact"/>
        <w:rPr>
          <w:sz w:val="20"/>
          <w:szCs w:val="20"/>
          <w:color w:val="auto"/>
        </w:rPr>
      </w:pPr>
    </w:p>
    <w:p>
      <w:pPr>
        <w:sectPr>
          <w:pgSz w:w="11900" w:h="16838" w:orient="portrait"/>
          <w:cols w:equalWidth="0" w:num="2">
            <w:col w:w="2520" w:space="720"/>
            <w:col w:w="8160"/>
          </w:cols>
          <w:pgMar w:left="240" w:top="118"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Performance Thresholds and Caps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cash incentive awards are determined based on financial results for organic revenue, income before income taxes, division organic revenue, division operating income, and achievement of fiscal year objectives, which aggregate to a maximum payout of 185% of target. Executive officers then receive a performance rating that results in a multiplier ranging from 0% to 150%, resulting in a maximum cash incentive award payout of 278% of target opportunities.</w:t>
      </w:r>
    </w:p>
    <w:p>
      <w:pPr>
        <w:spacing w:after="0" w:line="184" w:lineRule="exact"/>
        <w:rPr>
          <w:sz w:val="20"/>
          <w:szCs w:val="20"/>
          <w:color w:val="auto"/>
        </w:rPr>
      </w:pPr>
    </w:p>
    <w:p>
      <w:pPr>
        <w:sectPr>
          <w:pgSz w:w="11900" w:h="16838" w:orient="portrait"/>
          <w:cols w:equalWidth="0" w:num="2">
            <w:col w:w="2520" w:space="720"/>
            <w:col w:w="8160"/>
          </w:cols>
          <w:pgMar w:left="240" w:top="118" w:right="259" w:bottom="1440" w:gutter="0" w:footer="0" w:header="0"/>
          <w:type w:val="continuous"/>
        </w:sectPr>
      </w:pPr>
    </w:p>
    <w:p>
      <w:pPr>
        <w:jc w:val="both"/>
        <w:ind w:left="3240"/>
        <w:spacing w:after="0" w:line="258" w:lineRule="auto"/>
        <w:rPr>
          <w:sz w:val="20"/>
          <w:szCs w:val="20"/>
          <w:color w:val="auto"/>
        </w:rPr>
      </w:pPr>
      <w:r>
        <w:rPr>
          <w:rFonts w:ascii="Times New Roman" w:cs="Times New Roman" w:eastAsia="Times New Roman" w:hAnsi="Times New Roman"/>
          <w:sz w:val="18"/>
          <w:szCs w:val="18"/>
          <w:color w:val="auto"/>
        </w:rPr>
        <w:t>We grant equity compensation to executive officers that promotes long-term financial and operating performance by delivering incremental value to the extent our stock price increases over time. In fiscal 2017, we incorporated an annual grant of performance-based RSUs to executive officers with the number of shares issued at vesting determined by the achievement of certain financial performance goals or Company performance relative to a benchmark over a three-year period.</w:t>
      </w:r>
    </w:p>
    <w:p>
      <w:pPr>
        <w:sectPr>
          <w:pgSz w:w="11900" w:h="16838" w:orient="portrait"/>
          <w:cols w:equalWidth="0" w:num="1">
            <w:col w:w="11400"/>
          </w:cols>
          <w:pgMar w:left="240" w:top="118" w:right="259" w:bottom="1440" w:gutter="0" w:footer="0" w:header="0"/>
          <w:type w:val="continuous"/>
        </w:sectPr>
      </w:pP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Trading Policy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188" w:lineRule="exact"/>
        <w:rPr>
          <w:sz w:val="20"/>
          <w:szCs w:val="20"/>
          <w:color w:val="auto"/>
        </w:rPr>
      </w:pPr>
    </w:p>
    <w:p>
      <w:pPr>
        <w:sectPr>
          <w:pgSz w:w="11900" w:h="16838" w:orient="portrait"/>
          <w:cols w:equalWidth="0" w:num="2">
            <w:col w:w="2520" w:space="720"/>
            <w:col w:w="8160"/>
          </w:cols>
          <w:pgMar w:left="240" w:top="118"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Annual Risk Reviews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conducts an annual compensation-related risk review and presents findings and suggested risk mitigation actions to both the Audit and Management Development and Compensation Committees.</w:t>
      </w:r>
    </w:p>
    <w:p>
      <w:pPr>
        <w:spacing w:after="0" w:line="200" w:lineRule="exact"/>
        <w:rPr>
          <w:sz w:val="20"/>
          <w:szCs w:val="20"/>
          <w:color w:val="auto"/>
        </w:rPr>
      </w:pPr>
    </w:p>
    <w:p>
      <w:pPr>
        <w:sectPr>
          <w:pgSz w:w="11900" w:h="16838" w:orient="portrait"/>
          <w:cols w:equalWidth="0" w:num="2">
            <w:col w:w="2520" w:space="720"/>
            <w:col w:w="8160"/>
          </w:cols>
          <w:pgMar w:left="240" w:top="118" w:right="259" w:bottom="1440" w:gutter="0" w:footer="0" w:header="0"/>
          <w:type w:val="continuous"/>
        </w:sectPr>
      </w:pP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18" w:right="259" w:bottom="1440" w:gutter="0" w:footer="0" w:header="0"/>
          <w:type w:val="continuous"/>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20" w:val="left"/>
          <w:tab w:leader="none" w:pos="1320" w:val="left"/>
          <w:tab w:leader="none" w:pos="2040" w:val="left"/>
          <w:tab w:leader="none" w:pos="2380" w:val="left"/>
          <w:tab w:leader="none" w:pos="3220" w:val="left"/>
        </w:tabs>
        <w:rPr>
          <w:sz w:val="20"/>
          <w:szCs w:val="20"/>
          <w:color w:val="auto"/>
        </w:rPr>
      </w:pPr>
      <w:r>
        <w:rPr>
          <w:rFonts w:ascii="Times New Roman" w:cs="Times New Roman" w:eastAsia="Times New Roman" w:hAnsi="Times New Roman"/>
          <w:sz w:val="18"/>
          <w:szCs w:val="18"/>
          <w:color w:val="auto"/>
        </w:rPr>
        <w:t>No</w:t>
        <w:tab/>
        <w:t>Excessive</w:t>
        <w:tab/>
        <w:t>Change</w:t>
        <w:tab/>
        <w:t>of</w:t>
        <w:tab/>
        <w:t>Control</w:t>
      </w:r>
      <w:r>
        <w:rPr>
          <w:sz w:val="20"/>
          <w:szCs w:val="20"/>
          <w:color w:val="auto"/>
        </w:rPr>
        <w:tab/>
      </w:r>
      <w:r>
        <w:rPr>
          <w:rFonts w:ascii="Times New Roman" w:cs="Times New Roman" w:eastAsia="Times New Roman" w:hAnsi="Times New Roman"/>
          <w:sz w:val="17"/>
          <w:szCs w:val="17"/>
          <w:color w:val="auto"/>
        </w:rPr>
        <w:t>Mr. Nauman's maximum cash benefit is equal to two times salary and two times target annual cash incentive plus</w:t>
      </w:r>
    </w:p>
    <w:p>
      <w:pPr>
        <w:spacing w:after="0" w:line="27"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18"/>
          <w:szCs w:val="18"/>
          <w:color w:val="auto"/>
        </w:rPr>
        <w:t>Payments</w:t>
      </w:r>
      <w:r>
        <w:rPr>
          <w:sz w:val="20"/>
          <w:szCs w:val="20"/>
          <w:color w:val="auto"/>
        </w:rPr>
        <w:tab/>
      </w:r>
      <w:r>
        <w:rPr>
          <w:rFonts w:ascii="Times New Roman" w:cs="Times New Roman" w:eastAsia="Times New Roman" w:hAnsi="Times New Roman"/>
          <w:sz w:val="18"/>
          <w:szCs w:val="18"/>
          <w:color w:val="auto"/>
        </w:rPr>
        <w:t>a prorated target annual cash incentive in the year in which the termination occurs. For all other NEOs,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maximum cash benefit is equal to two times salary and two times the average annual cash incentive payment</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received in the three years immediately prior to the date the change of control occurs. In the event of a change of</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control, unexercised stock options become fully exercisable or, if canceled, each named executive officer shall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be given cash or stock equal to the in-the-money value of the canceled stock options. In the event of a change of</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control, performance-based (at target) and time-based RSUs become unrestricted and fully vested.</w:t>
      </w:r>
    </w:p>
    <w:p>
      <w:pPr>
        <w:spacing w:after="0" w:line="207"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18"/>
          <w:szCs w:val="18"/>
          <w:color w:val="auto"/>
        </w:rPr>
        <w:t>No Employment Agreements</w:t>
      </w:r>
      <w:r>
        <w:rPr>
          <w:sz w:val="20"/>
          <w:szCs w:val="20"/>
          <w:color w:val="auto"/>
        </w:rPr>
        <w:tab/>
      </w:r>
      <w:r>
        <w:rPr>
          <w:rFonts w:ascii="Times New Roman" w:cs="Times New Roman" w:eastAsia="Times New Roman" w:hAnsi="Times New Roman"/>
          <w:sz w:val="17"/>
          <w:szCs w:val="17"/>
          <w:color w:val="auto"/>
        </w:rPr>
        <w:t>The Company does not maintain any employment agreements with its executives. Both Mr. Nauman's offer letter</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 Mr. Shaller's offer letter provide that each is deemed an at-will employee, but will receive a severance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benefit in the event his employment is terminated by the Company without cause or for good reason as described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in the respective offer letter.</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 options issued are not repriced, replaced, or regranted through cancellation or by lowering the option price of a previously granted option.</w:t>
      </w:r>
    </w:p>
    <w:p>
      <w:pPr>
        <w:spacing w:after="0" w:line="131" w:lineRule="exact"/>
        <w:rPr>
          <w:sz w:val="20"/>
          <w:szCs w:val="20"/>
          <w:color w:val="auto"/>
        </w:rPr>
      </w:pPr>
    </w:p>
    <w:p>
      <w:pPr>
        <w:sectPr>
          <w:pgSz w:w="11900" w:h="16838" w:orient="portrait"/>
          <w:cols w:equalWidth="0" w:num="2">
            <w:col w:w="2540" w:space="700"/>
            <w:col w:w="8180"/>
          </w:cols>
          <w:pgMar w:left="240" w:top="11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108" w:lineRule="exact"/>
        <w:rPr>
          <w:sz w:val="20"/>
          <w:szCs w:val="20"/>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compete for, retain and motivate talented executives;</w:t>
      </w:r>
    </w:p>
    <w:p>
      <w:pPr>
        <w:spacing w:after="0" w:line="27" w:lineRule="exact"/>
        <w:rPr>
          <w:rFonts w:ascii="Times New Roman" w:cs="Times New Roman" w:eastAsia="Times New Roman" w:hAnsi="Times New Roman"/>
          <w:sz w:val="18"/>
          <w:szCs w:val="18"/>
          <w:color w:val="auto"/>
        </w:rPr>
      </w:pPr>
    </w:p>
    <w:p>
      <w:pPr>
        <w:ind w:left="660" w:right="820" w:hanging="166"/>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short- and long-term incentive opportunities;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compensation programs aligned to the Company’s annual and long-term financial goals and realized performance;</w:t>
      </w:r>
    </w:p>
    <w:p>
      <w:pPr>
        <w:spacing w:after="0" w:line="9" w:lineRule="exact"/>
        <w:rPr>
          <w:rFonts w:ascii="Times New Roman" w:cs="Times New Roman" w:eastAsia="Times New Roman" w:hAnsi="Times New Roman"/>
          <w:sz w:val="18"/>
          <w:szCs w:val="18"/>
          <w:color w:val="auto"/>
        </w:rPr>
      </w:pPr>
    </w:p>
    <w:p>
      <w:pPr>
        <w:ind w:left="660" w:right="200" w:hanging="166"/>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pay-for-performance philosophy where level of rewards are aligned to Company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Development &amp; Compensation Committee’s Role</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Committee is responsible for monitoring and approving the compensation of the Company's NEOs.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and consults with management regarding employee compensation generally. With respect to executive officers, each fiscal year, the Committee approves base salary adjustments, equity incentive awards, the annual cash incentive paid for performance target achievement in the prior fiscal year, and the annual cash incentive performance targets for the upcoming fiscal year. The Committee reviews a summary of the components of compensation for each executive officer annually. Reviewing this information allows the Committee to evaluate how a potential change to an element of our compensation program would affect the respective executive officer's overall compensation. When a new executive officer is hired, the Committee is involved in reviewing and approving base salary, annual incentive opportunity, sign-on incentives, annual equity awards, and other aspects of the executive's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 Role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programs. In fiscal 2019, the Committee utilized the services of Meridian Compensation Partners and Compensation Strategies, Inc. as compensation consultants and Quarles &amp; Brady LLP, as legal counsel, each of which were determined to be independent by the Corporate Governance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To aid in determining compensation for fiscal 2019, management obtained compensation data on peer group executive officer compensation through a standard data subscription with Equilar, Inc. and published survey data from Aon Hewitt. For fiscal 2019, Mr. Nauman used this data to make recommendations to the Committee concerning compensation for each named executive officer ("NEO") other than himself. In setting compensation for NEOs, the Committee takes into consideration these recommendations, along with Company results during the previous fiscal year, the level of responsibility, demonstrated leadership capability, the compensation levels of executives in comparable roles from within our peer group and the results of annual performance reviews which, for our chief executive officer, included a self-assessment and feedback from his direct reports and each member of the Board of Directors. In addition, during fiscal 2019, the Committee took into consideration the recommendations of Meridian Compensation Partners, particularly with respect to compensation elements for the chief executive officer. Mr. Nauman did not attend the portion of any committee meeting during which the Committee discussed matters related specifically to his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total compensation program includes five components: base salary, annual cash incentives, long-term equity incentives, employee benefits and perquisites. We use these components of compensation to attract, retain, motivate, develop and reward our executives.</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fiscal 2019, equity incentive awards comprised approximately 61% of Mr. Nauman’s total target compensation and approximately 52% of the total target compensation of the other NEOs. Our compensation philosophy is to allocate a significant portion of total compensation to long-term compensation (equity incentive awards) in order to align the achievement of performance goals for our executives with the interests of our shareholders.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total of base salary, annual cash and long-term equity incentive components, in general, is targeted at market median for the achievement of performance goals, with an opportunity for upper quartile pay when upper quartile performance is achieved. Our compensation structure is balanced by the payment of below market median compensation to our NEOs when actual financial results or individual performance do not meet expected results. The following table describes the purpose of each component of compensation and how that component is related to our pay-for-performance approach:</w:t>
      </w:r>
    </w:p>
    <w:p>
      <w:pPr>
        <w:spacing w:after="0" w:line="201" w:lineRule="exact"/>
        <w:rPr>
          <w:sz w:val="20"/>
          <w:szCs w:val="20"/>
          <w:color w:val="auto"/>
        </w:rPr>
      </w:pPr>
    </w:p>
    <w:p>
      <w:pPr>
        <w:ind w:left="340"/>
        <w:spacing w:after="0"/>
        <w:tabs>
          <w:tab w:leader="none" w:pos="2880" w:val="left"/>
          <w:tab w:leader="none" w:pos="6940" w:val="left"/>
        </w:tabs>
        <w:rPr>
          <w:sz w:val="20"/>
          <w:szCs w:val="20"/>
          <w:color w:val="auto"/>
        </w:rPr>
      </w:pPr>
      <w:r>
        <w:rPr>
          <w:rFonts w:ascii="Times New Roman" w:cs="Times New Roman" w:eastAsia="Times New Roman" w:hAnsi="Times New Roman"/>
          <w:sz w:val="14"/>
          <w:szCs w:val="14"/>
          <w:b w:val="1"/>
          <w:bCs w:val="1"/>
          <w:color w:val="auto"/>
        </w:rPr>
        <w:t>Compensation Component</w:t>
      </w:r>
      <w:r>
        <w:rPr>
          <w:sz w:val="20"/>
          <w:szCs w:val="20"/>
          <w:color w:val="auto"/>
        </w:rPr>
        <w:tab/>
      </w:r>
      <w:r>
        <w:rPr>
          <w:rFonts w:ascii="Times New Roman" w:cs="Times New Roman" w:eastAsia="Times New Roman" w:hAnsi="Times New Roman"/>
          <w:sz w:val="14"/>
          <w:szCs w:val="14"/>
          <w:b w:val="1"/>
          <w:bCs w:val="1"/>
          <w:color w:val="auto"/>
        </w:rPr>
        <w:t>Purpose of Compensation Component</w:t>
      </w:r>
      <w:r>
        <w:rPr>
          <w:sz w:val="20"/>
          <w:szCs w:val="20"/>
          <w:color w:val="auto"/>
        </w:rPr>
        <w:tab/>
      </w:r>
      <w:r>
        <w:rPr>
          <w:rFonts w:ascii="Times New Roman" w:cs="Times New Roman" w:eastAsia="Times New Roman" w:hAnsi="Times New Roman"/>
          <w:sz w:val="14"/>
          <w:szCs w:val="14"/>
          <w:b w:val="1"/>
          <w:bCs w:val="1"/>
          <w:color w:val="auto"/>
        </w:rPr>
        <w:t>Compensation Component in Relation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61" w:lineRule="exact"/>
        <w:rPr>
          <w:sz w:val="20"/>
          <w:szCs w:val="20"/>
          <w:color w:val="auto"/>
        </w:rPr>
      </w:pPr>
    </w:p>
    <w:p>
      <w:pPr>
        <w:ind w:left="40"/>
        <w:spacing w:after="0"/>
        <w:tabs>
          <w:tab w:leader="none" w:pos="2420" w:val="left"/>
        </w:tabs>
        <w:rPr>
          <w:sz w:val="20"/>
          <w:szCs w:val="20"/>
          <w:color w:val="auto"/>
        </w:rPr>
      </w:pPr>
      <w:r>
        <w:rPr>
          <w:rFonts w:ascii="Times New Roman" w:cs="Times New Roman" w:eastAsia="Times New Roman" w:hAnsi="Times New Roman"/>
          <w:sz w:val="18"/>
          <w:szCs w:val="18"/>
          <w:color w:val="auto"/>
        </w:rPr>
        <w:t>Base salary</w:t>
      </w:r>
      <w:r>
        <w:rPr>
          <w:sz w:val="20"/>
          <w:szCs w:val="20"/>
          <w:color w:val="auto"/>
        </w:rPr>
        <w:tab/>
      </w:r>
      <w:r>
        <w:rPr>
          <w:rFonts w:ascii="Times New Roman" w:cs="Times New Roman" w:eastAsia="Times New Roman" w:hAnsi="Times New Roman"/>
          <w:sz w:val="17"/>
          <w:szCs w:val="17"/>
          <w:color w:val="auto"/>
        </w:rPr>
        <w:t>A fixed level of income used to attract and</w:t>
      </w:r>
    </w:p>
    <w:p>
      <w:pPr>
        <w:spacing w:after="0" w:line="27" w:lineRule="exact"/>
        <w:rPr>
          <w:sz w:val="20"/>
          <w:szCs w:val="20"/>
          <w:color w:val="auto"/>
        </w:rPr>
      </w:pPr>
    </w:p>
    <w:p>
      <w:pPr>
        <w:ind w:left="2440"/>
        <w:spacing w:after="0" w:line="255" w:lineRule="auto"/>
        <w:rPr>
          <w:sz w:val="20"/>
          <w:szCs w:val="20"/>
          <w:color w:val="auto"/>
        </w:rPr>
      </w:pPr>
      <w:r>
        <w:rPr>
          <w:rFonts w:ascii="Times New Roman" w:cs="Times New Roman" w:eastAsia="Times New Roman" w:hAnsi="Times New Roman"/>
          <w:sz w:val="18"/>
          <w:szCs w:val="18"/>
          <w:color w:val="auto"/>
        </w:rPr>
        <w:t>retain executives by compensating for the primary functions and responsibilities of the position.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 salary increase depends upon individual performance, displayed skills and competencies and market competitiveness.</w:t>
      </w:r>
    </w:p>
    <w:p>
      <w:pPr>
        <w:spacing w:after="0" w:line="593" w:lineRule="exact"/>
        <w:rPr>
          <w:sz w:val="20"/>
          <w:szCs w:val="20"/>
          <w:color w:val="auto"/>
        </w:rPr>
      </w:pPr>
    </w:p>
    <w:p>
      <w:pPr>
        <w:sectPr>
          <w:pgSz w:w="11900" w:h="16838" w:orient="portrait"/>
          <w:cols w:equalWidth="0" w:num="2">
            <w:col w:w="5620" w:space="240"/>
            <w:col w:w="5560"/>
          </w:cols>
          <w:pgMar w:left="240" w:top="11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Annual equity incentive award: Time-based stock options, time-based RSUs and performance-based RSUs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To attract, retain, motivate and reward executives for achieving or exceeding annual performance goals at total Company and division levels.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To attract, retain, motivate and reward executives for the successful creation of long-term shareholder value.</w:t>
      </w:r>
    </w:p>
    <w:p>
      <w:pPr>
        <w:spacing w:after="0" w:line="20" w:lineRule="exact"/>
        <w:rPr>
          <w:sz w:val="20"/>
          <w:szCs w:val="20"/>
          <w:color w:val="auto"/>
        </w:rPr>
      </w:pPr>
      <w:r>
        <w:rPr>
          <w:sz w:val="20"/>
          <w:szCs w:val="20"/>
          <w:color w:val="auto"/>
        </w:rPr>
        <w:br w:type="column"/>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Financial performance, achievement of fiscal year objectives and individual performance of each executive determines the amount of the executive's annual cash incentive award.</w:t>
      </w:r>
    </w:p>
    <w:p>
      <w:pPr>
        <w:spacing w:after="0" w:line="3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 assessment of executive leadership, experience and expected future contribution, combined with market data, are used to determine the amount of equity granted to each executive.</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Stock options are inherently performance-based in that the value is dependent upon the increase in the stock price.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Time-based RSUs are intended to facilitate retention and to align executives with the creation of long-term shareholder value.</w:t>
      </w:r>
    </w:p>
    <w:p>
      <w:pPr>
        <w:spacing w:after="0" w:line="16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Performance-based 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3">
            <w:col w:w="2220" w:space="220"/>
            <w:col w:w="3260" w:space="160"/>
            <w:col w:w="5560"/>
          </w:cols>
          <w:pgMar w:left="240" w:top="118" w:right="2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 Total Compensation</w:t>
      </w:r>
    </w:p>
    <w:p>
      <w:pPr>
        <w:spacing w:after="0" w:line="25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Committee uses peer group data to test the reasonableness and competitiveness of several components of compensation, including base salaries, annual cash incentives, and long-term equity awards of positions similar to those of our NEOs. The following 19 companies were included in the fiscal 2019 total compensation analysis conducted using publicly available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Actuant Corporation</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Graco Inc.</w:t>
            </w:r>
          </w:p>
        </w:tc>
        <w:tc>
          <w:tcPr>
            <w:tcW w:w="2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Myers Industries Inc.</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HB Fuller Company</w:t>
            </w:r>
          </w:p>
        </w:tc>
        <w:tc>
          <w:tcPr>
            <w:tcW w:w="2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Nordson Corporation</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Barnes Group Inc.</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Hexcel Corporation</w:t>
            </w:r>
          </w:p>
        </w:tc>
        <w:tc>
          <w:tcPr>
            <w:tcW w:w="2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IDEX Corporation</w:t>
            </w:r>
          </w:p>
        </w:tc>
        <w:tc>
          <w:tcPr>
            <w:tcW w:w="2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Watts Water Technologies, Inc.</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Entegris, Inc.</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II-VI Incorporated</w:t>
            </w:r>
          </w:p>
        </w:tc>
        <w:tc>
          <w:tcPr>
            <w:tcW w:w="28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Zebra Technologies Corporation</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Modine Manufacturing Company</w:t>
            </w:r>
          </w:p>
        </w:tc>
        <w:tc>
          <w:tcPr>
            <w:tcW w:w="2880" w:type="dxa"/>
            <w:vAlign w:val="bottom"/>
          </w:tcPr>
          <w:p>
            <w:pPr>
              <w:spacing w:after="0"/>
              <w:rPr>
                <w:sz w:val="23"/>
                <w:szCs w:val="23"/>
                <w:color w:val="auto"/>
              </w:rPr>
            </w:pP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Federal Signal Corp.</w:t>
            </w:r>
          </w:p>
        </w:tc>
        <w:tc>
          <w:tcPr>
            <w:tcW w:w="4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Mine Safety Appliances Company</w:t>
            </w:r>
          </w:p>
        </w:tc>
        <w:tc>
          <w:tcPr>
            <w:tcW w:w="2880" w:type="dxa"/>
            <w:vAlign w:val="bottom"/>
          </w:tcPr>
          <w:p>
            <w:pPr>
              <w:spacing w:after="0"/>
              <w:rPr>
                <w:sz w:val="23"/>
                <w:szCs w:val="23"/>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2019 Named Executive Officer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reflects the base salary for each NEO in effect at the end of each fiscal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Percentage Increase</w:t>
            </w:r>
          </w:p>
        </w:tc>
      </w:tr>
      <w:tr>
        <w:trPr>
          <w:trHeight w:val="249"/>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2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775,000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Aaron J. Pearce</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374,000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3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Louis T. Bolognini</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341,734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Helena R. Nelligan</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309,060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Russell R. Shaller</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360,887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9"/>
        </w:trPr>
        <w:tc>
          <w:tcPr>
            <w:tcW w:w="3600" w:type="dxa"/>
            <w:vAlign w:val="bottom"/>
          </w:tcPr>
          <w:p>
            <w:pPr>
              <w:spacing w:after="0"/>
              <w:rPr>
                <w:sz w:val="24"/>
                <w:szCs w:val="24"/>
                <w:color w:val="auto"/>
              </w:rPr>
            </w:pP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managed on a global basis with three business divisions, ID Solutions, Workplace Safety and People ID, which aggregate into two reportable segments: ID Solutions and Workplace Safety. All executives participate in an annual cash incentive plan, which is based on fiscal year financial results of the Company or a division. Management and the Committee evaluates the performance metrics of the cash incentive award program on an annual basis, and concluded that the components of the fiscal 2019 plan represent critical elements of the Company’s performance that combined are designed to result in sustainable long-term growth in sales and profit. Set forth below is a description of the fiscal 2019 financial performance metrics for the annual cash incentive plan:</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120" w:type="dxa"/>
            <w:vAlign w:val="bottom"/>
          </w:tcPr>
          <w:p>
            <w:pPr>
              <w:spacing w:after="0"/>
              <w:rPr>
                <w:sz w:val="16"/>
                <w:szCs w:val="16"/>
                <w:color w:val="auto"/>
              </w:rPr>
            </w:pPr>
          </w:p>
        </w:tc>
        <w:tc>
          <w:tcPr>
            <w:tcW w:w="6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w:t>
            </w:r>
          </w:p>
        </w:tc>
      </w:tr>
      <w:tr>
        <w:trPr>
          <w:trHeight w:val="22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organic sales</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organic sales is measured as total net sales calculated in accordance with U.S.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GAAP, excluding the impact of foreign currency translation, acquisitions and</w:t>
            </w: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Nauman,</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divestitures.</w:t>
            </w: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Pearce,</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Bolognini</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and Ms.</w:t>
            </w: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Nelligan</w:t>
            </w:r>
          </w:p>
        </w:tc>
      </w:tr>
      <w:tr>
        <w:trPr>
          <w:trHeight w:val="252"/>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 is defined as total net sales minus total expenses before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w:t>
            </w:r>
          </w:p>
        </w:tc>
      </w:tr>
      <w:tr>
        <w:trPr>
          <w:trHeight w:val="216"/>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deducting income tax expense calculated in accordance with U.S. GAAP, excluding</w:t>
            </w: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Nauman,</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impact of foreign currency translation. Income before income taxes excludes the</w:t>
            </w: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Pearce,</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impact of acquisitions or divestitures.</w:t>
            </w:r>
          </w:p>
        </w:tc>
        <w:tc>
          <w:tcPr>
            <w:tcW w:w="9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Bolognini</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and Ms.</w:t>
            </w: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Nelligan</w:t>
            </w:r>
          </w:p>
        </w:tc>
      </w:tr>
      <w:tr>
        <w:trPr>
          <w:trHeight w:val="252"/>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Division organic sales</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Division organic sales is measured as division net sales calculated in accordance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Mr. Shaller</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with U.S. GAAP, excluding the impact of foreign currency translation, acquisitions</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divestitures.</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Division operating income is measured as division net sales less cost of goods sold,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Mr. Shaller</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expenses, research and development expenses, and administrative expenses</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calculated in accordance with U.S. GAAP, excluding the impact of foreign currency</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translation, acquisitions and divestitures.</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objectives</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fiscal 2019, the Company had six fiscal year objectives that were established at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NEOs</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beginning of the fiscal year and viewed as critical to the execution of the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Company's strategy.</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funding of the fiscal 2019 annual cash incentive plan was determined by the achievement of certain sales and profit metrics compared to stated thresholds, as well as the achievement of six fiscal year objectives that were established at the beginning of the fiscal year. The annual cash incentive plan includes a minimum profit threshold that must be exceeded in order for any cash incentive amount to be funded, regardless of the achievement of revenue or fiscal year objectives.</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Individual contribution is determined by assessing the level of achievement of each NEO’s individual annual goals combined with their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and developing our people. Individual annual goals and competencies are included in each NEO’s assessment to ensure they are focused on initiatives within their area of responsibility that will increase both sales and profitability and drive long-term value for our shareholders.</w:t>
      </w:r>
    </w:p>
    <w:p>
      <w:pPr>
        <w:spacing w:after="0" w:line="2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While our objective is to set goals that are quantitative and measurable, certain elements of the performance assessment may be subjective. Assessments and rating recommendations for all NEOs, except the CEO, are delivered to the Committee by the CEO in July. The CEO provides the Committee with a self-assessment of his own performance without a rating recommendation and the Committee determines the rating of the CEO.</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rating system consists of five performance levels, each with a predetermined maximum multiplier that is applied to the available annual cash incentive that is earned and payable to the NEO based upon their contribution to the fiscal year objectives and their individual annual goals: Unsatisfactory - 0%; Needs Improvement - 50%; Fully Meets Objectives - 100%; Exceeds Objectives - 125%; and Outstanding - 150%. The target annual cash incentive award that would be payable to each NEO is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incorporated resulting in the annual cash incentive award. The following section details this calculation for each NEO.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Nauman, Pearce, Bolognini and Ms. Nelligan</w:t>
      </w:r>
    </w:p>
    <w:p>
      <w:pPr>
        <w:spacing w:after="0" w:line="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cash incentive payable to Messrs. Nauman, Pearce, Bolognini and Ms. Nelligan for fiscal 2019 was based on total organic sales, income before income taxes and the achievement of fiscal year objectives. For fiscal 2019, an annual cash incentive was funded for the achievement of total organic sales, income before income taxes, and for the achievement of certain fiscal year objectives. The multiplier for individual performance was applied to the achievement of the three components to arrive at the final cash incentive award achieved.</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threshold, target, maximum and actual cash incentive award earned for Messrs. Nauman, Pearce, Bolognini and Ms. Nelligan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2019 Actual Results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Performance Measure </w:t>
            </w:r>
            <w:r>
              <w:rPr>
                <w:rFonts w:ascii="Times New Roman" w:cs="Times New Roman" w:eastAsia="Times New Roman" w:hAnsi="Times New Roman"/>
                <w:sz w:val="14"/>
                <w:szCs w:val="14"/>
                <w:color w:val="auto"/>
              </w:rPr>
              <w:t>(weighting)</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242"/>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Organic Sales (30%)(millions)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tcPr>
          <w:p>
            <w:pPr>
              <w:spacing w:after="0"/>
              <w:rPr>
                <w:sz w:val="21"/>
                <w:szCs w:val="21"/>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$1,206.4 or more</w:t>
            </w:r>
          </w:p>
        </w:tc>
        <w:tc>
          <w:tcPr>
            <w:tcW w:w="13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 (50%)</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$176.3 or more</w:t>
            </w:r>
          </w:p>
        </w:tc>
        <w:tc>
          <w:tcPr>
            <w:tcW w:w="1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Objectives (20%)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Varies</w:t>
            </w:r>
          </w:p>
        </w:tc>
        <w:tc>
          <w:tcPr>
            <w:tcW w:w="0" w:type="dxa"/>
            <w:vAlign w:val="bottom"/>
          </w:tcPr>
          <w:p>
            <w:pPr>
              <w:spacing w:after="0"/>
              <w:rPr>
                <w:sz w:val="1"/>
                <w:szCs w:val="1"/>
                <w:color w:val="auto"/>
              </w:rPr>
            </w:pPr>
          </w:p>
        </w:tc>
      </w:tr>
      <w:tr>
        <w:trPr>
          <w:trHeight w:val="225"/>
        </w:trPr>
        <w:tc>
          <w:tcPr>
            <w:tcW w:w="2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Fiscal   2019   Annual   Cash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 of Base</w:t>
            </w:r>
          </w:p>
        </w:tc>
        <w:tc>
          <w:tcPr>
            <w:tcW w:w="13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20" w:type="dxa"/>
            <w:vAlign w:val="bottom"/>
          </w:tcPr>
          <w:p>
            <w:pPr>
              <w:spacing w:after="0"/>
              <w:rPr>
                <w:sz w:val="19"/>
                <w:szCs w:val="19"/>
                <w:color w:val="auto"/>
              </w:rPr>
            </w:pPr>
          </w:p>
        </w:tc>
        <w:tc>
          <w:tcPr>
            <w:tcW w:w="15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61"/>
        </w:trPr>
        <w:tc>
          <w:tcPr>
            <w:tcW w:w="29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Incentive Award:</w:t>
            </w: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vMerge w:val="restart"/>
          </w:tcPr>
          <w:p>
            <w:pPr>
              <w:spacing w:after="0"/>
              <w:rPr>
                <w:sz w:val="5"/>
                <w:szCs w:val="5"/>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vMerge w:val="restart"/>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CCEEFF"/>
            </w:tcBorders>
            <w:gridSpan w:val="2"/>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29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J.M. Nauman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$1,290,375</w:t>
            </w:r>
          </w:p>
        </w:tc>
        <w:tc>
          <w:tcPr>
            <w:tcW w:w="0" w:type="dxa"/>
            <w:vAlign w:val="bottom"/>
          </w:tcPr>
          <w:p>
            <w:pPr>
              <w:spacing w:after="0"/>
              <w:rPr>
                <w:sz w:val="1"/>
                <w:szCs w:val="1"/>
                <w:color w:val="auto"/>
              </w:rPr>
            </w:pPr>
          </w:p>
        </w:tc>
      </w:tr>
      <w:tr>
        <w:trPr>
          <w:trHeight w:val="243"/>
        </w:trPr>
        <w:tc>
          <w:tcPr>
            <w:tcW w:w="2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A.J. Pearce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L.T. Bolognini</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$338,316</w:t>
            </w:r>
          </w:p>
        </w:tc>
        <w:tc>
          <w:tcPr>
            <w:tcW w:w="0" w:type="dxa"/>
            <w:vAlign w:val="bottom"/>
          </w:tcPr>
          <w:p>
            <w:pPr>
              <w:spacing w:after="0"/>
              <w:rPr>
                <w:sz w:val="1"/>
                <w:szCs w:val="1"/>
                <w:color w:val="auto"/>
              </w:rPr>
            </w:pPr>
          </w:p>
        </w:tc>
      </w:tr>
      <w:tr>
        <w:trPr>
          <w:trHeight w:val="243"/>
        </w:trPr>
        <w:tc>
          <w:tcPr>
            <w:tcW w:w="2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H.R. Nelligan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Mr. Nauman's individual performance multiplier was the result of his contribution to several fiscal year objectives and individual annual goals as follows:</w:t>
      </w:r>
    </w:p>
    <w:p>
      <w:pPr>
        <w:spacing w:after="0" w:line="108" w:lineRule="exact"/>
        <w:rPr>
          <w:sz w:val="20"/>
          <w:szCs w:val="20"/>
          <w:color w:val="auto"/>
        </w:rPr>
      </w:pPr>
    </w:p>
    <w:p>
      <w:pPr>
        <w:jc w:val="both"/>
        <w:ind w:left="660" w:hanging="166"/>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 Objective focused on defining and aligning the Company’s corporate and divisional strategies, establishing the strategic direction and financial goals for each division, and executing the established strategy. The Company’s corporate and divisional strategies are focused on delivering long-term shareholder value through sustainable improvements in organic sales, operating income, and cash generation.</w:t>
      </w:r>
    </w:p>
    <w:p>
      <w:pPr>
        <w:spacing w:after="0" w:line="1" w:lineRule="exact"/>
        <w:rPr>
          <w:rFonts w:ascii="Times New Roman" w:cs="Times New Roman" w:eastAsia="Times New Roman" w:hAnsi="Times New Roman"/>
          <w:sz w:val="18"/>
          <w:szCs w:val="18"/>
          <w:color w:val="auto"/>
        </w:rPr>
      </w:pPr>
    </w:p>
    <w:p>
      <w:pPr>
        <w:ind w:left="660" w:hanging="166"/>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sales growth - Objective focused on delivering organic sales growth. The Company’s organic sales growth rate accelerated from 2.6% in fiscal 2018 to 2.8% in fiscal 2019.</w:t>
      </w:r>
    </w:p>
    <w:p>
      <w:pPr>
        <w:jc w:val="both"/>
        <w:ind w:left="660" w:hanging="166"/>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 Objective focused on increasing income before income taxes while making the investments necessary for sustainable long-term organic sales growth. Excluding the $4.7 million gain on the sale of Runelandhs in fiscal 2018, income before income taxes increased from $147.3 million in fiscal 2018 to $164.6 million in fiscal 2019 and from 12.6% of net sales in fiscal 2018 to 14.0% of net sales in fiscal 2019.</w:t>
      </w:r>
    </w:p>
    <w:p>
      <w:pPr>
        <w:spacing w:after="0" w:line="13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After a review of Mr. Nauman’s performance, the Committee determined that Mr. Nauman’s resulting performance level was 125% for his individual performance multiplier.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Pearce's individual performance multiplier was the result of his contribution to several fiscal year objectives and individual annual goals as follows:</w:t>
      </w:r>
    </w:p>
    <w:p>
      <w:pPr>
        <w:spacing w:after="0" w:line="171" w:lineRule="exact"/>
        <w:rPr>
          <w:sz w:val="20"/>
          <w:szCs w:val="20"/>
          <w:color w:val="auto"/>
        </w:rPr>
      </w:pPr>
    </w:p>
    <w:p>
      <w:pPr>
        <w:ind w:left="660" w:hanging="166"/>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 Objective focused on delivering strong cash flow in relation to net income. The Company’s cash flow from operating activities was $162.2 million in fiscal 2019, which equates to 123.6% of net income.</w:t>
      </w:r>
    </w:p>
    <w:p>
      <w:pPr>
        <w:jc w:val="both"/>
        <w:ind w:left="660" w:hanging="166"/>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 Objective focused on reducing selling, general and administrative expenses throughout the Company, with a specific focus on general and administrative expenses. Excluding the impact of the gain on the sale of a business in fiscal 2018, selling, general and administrative expenses were reduced by 6.1% from fiscal 2018 to fiscal 2019 through ongoing efficiency gains and sustainable process improvement initiatives.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660" w:hanging="166"/>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 Objective focused on improving income before income taxes while making the investments necessary for sustainable long-term organic sales growth in future years. Excluding the $4.7 million gain on the sale of Runelandhs in fiscal 2018, income before income taxes improved from $147.3 million in fiscal 2018 to $164.6 million in fiscal 2019 and from 12.6% of net sales in fiscal 2018 to 14.0% of net sales in fiscal 2019.</w:t>
      </w:r>
    </w:p>
    <w:p>
      <w:pPr>
        <w:spacing w:after="0" w:line="12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After a review of Mr. Pearce's performance, the Committee determined that Mr. Pearce's resulting performance level was 100% for his individual performance multiplier.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Mr. Bolognini's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166"/>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 Objective focused on ensuring continued compliance with domestic and international laws and regulations, as well as maintaining internal compliance programs.</w:t>
      </w:r>
    </w:p>
    <w:p>
      <w:pPr>
        <w:ind w:left="660" w:hanging="166"/>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 Objective focused on the continued reduction of facility costs such as utilities and space used in production, distribution and selling activities.</w:t>
      </w:r>
    </w:p>
    <w:p>
      <w:pPr>
        <w:ind w:left="660" w:hanging="166"/>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Risk Review - Objective focused on the completion of an expanded production equipment risk review as well as the completion of actions to mitigate identified risks.</w:t>
      </w:r>
    </w:p>
    <w:p>
      <w:pPr>
        <w:spacing w:after="0" w:line="12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After a review of Mr. Bolognini's performance, the Committee determined that Mr. Bolognini's resulting performance level was 125% for his individual performance multiplier.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Ms. Nelligan's individual performance multiplier was the result of her contribution to several fiscal year objectives and individual annual goals as follows:</w:t>
      </w:r>
    </w:p>
    <w:p>
      <w:pPr>
        <w:spacing w:after="0" w:line="108" w:lineRule="exact"/>
        <w:rPr>
          <w:sz w:val="20"/>
          <w:szCs w:val="20"/>
          <w:color w:val="auto"/>
        </w:rPr>
      </w:pPr>
    </w:p>
    <w:p>
      <w:pPr>
        <w:ind w:left="660" w:right="20" w:hanging="166"/>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Engagement - Objective focused on the implementation of a social media strategy and the completion of a global employee engagement survey with the goal of improving overall employee engagement within the Company.</w:t>
      </w:r>
    </w:p>
    <w:p>
      <w:pPr>
        <w:ind w:left="660" w:hanging="166"/>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and Diversity - Objective focused on the implementation of a diversity council and the execution of tangible actions including training and the formation of affinity groups with the common goal of increasing inclusion and diversity within the Company.</w:t>
      </w:r>
    </w:p>
    <w:p>
      <w:pPr>
        <w:ind w:left="660" w:hanging="166"/>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Rewards and Recognition - Objective focused on the implementation of a revised employee reward and recognition system process to enable a stronger connection between performance and monetary rewards.</w:t>
      </w:r>
    </w:p>
    <w:p>
      <w:pPr>
        <w:spacing w:after="0" w:line="12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After a review of Ms. Nelligan's performance, the Committee determined that Ms. Nelligan's resulting performance level was 100% for her individual performance multiplier.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Shaller</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Shaller for fiscal 2019 was based on achievement of IDS division organic sales, IDS division operating income, and the achievement of fiscal year objectives. For fiscal 2019, an annual cash incentive was funded for the achievement of IDS division organic sales, IDS division operating income, and for the achievement of certain fiscal year objectives. The multiplier for individual performance was applied to the achievement of the three components to arrive at the final cash incentive award achieved.</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Shaller were as follows:</w:t>
      </w:r>
    </w:p>
    <w:p>
      <w:pPr>
        <w:spacing w:after="0" w:line="23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Fiscal 2019 Actual Results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54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auto"/>
            </w:tcBorders>
            <w:shd w:val="clear" w:color="auto" w:fill="CCEEFF"/>
          </w:tcPr>
          <w:p>
            <w:pPr>
              <w:spacing w:after="0"/>
              <w:rPr>
                <w:sz w:val="23"/>
                <w:szCs w:val="23"/>
                <w:color w:val="auto"/>
              </w:rPr>
            </w:pPr>
          </w:p>
        </w:tc>
        <w:tc>
          <w:tcPr>
            <w:tcW w:w="16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2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IDS Division Organic Sales (30%)(millions)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$663.9 or more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IDS Division Operating Income (50%)</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$164.5 or more</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Objectives (20%)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 (% of Base</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3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Fiscal 2019 Annual Cash Incentive Award:</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9"/>
        </w:trPr>
        <w:tc>
          <w:tcPr>
            <w:tcW w:w="3640" w:type="dxa"/>
            <w:vAlign w:val="bottom"/>
            <w:tcBorders>
              <w:top w:val="single" w:sz="8" w:color="CCEEFF"/>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R.R. Shaller</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$337,582</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Shaller's individual performance multiplier was the result of his contribution to several fiscal year objectives and individual annual goals as follows:</w:t>
      </w:r>
    </w:p>
    <w:p>
      <w:pPr>
        <w:spacing w:after="0" w:line="171" w:lineRule="exact"/>
        <w:rPr>
          <w:sz w:val="20"/>
          <w:szCs w:val="20"/>
          <w:color w:val="auto"/>
        </w:rPr>
      </w:pPr>
    </w:p>
    <w:p>
      <w:pPr>
        <w:jc w:val="both"/>
        <w:ind w:left="660" w:hanging="166"/>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development process - Objective focused on implementing sustainable processes to grow the Company’s pipeline of new products and deliver to market in a timely and cost-effective manner. Numerous new products were launched during fiscal 2019, including several printers introducing expanded software and mobile capabilities. The new product pipeline was streamlined and improved which has reduced the time frame and cost to move from new product idea to product launch.</w:t>
      </w:r>
    </w:p>
    <w:p>
      <w:pPr>
        <w:spacing w:after="0" w:line="2" w:lineRule="exact"/>
        <w:rPr>
          <w:rFonts w:ascii="Times New Roman" w:cs="Times New Roman" w:eastAsia="Times New Roman" w:hAnsi="Times New Roman"/>
          <w:sz w:val="18"/>
          <w:szCs w:val="18"/>
          <w:color w:val="auto"/>
        </w:rPr>
      </w:pPr>
    </w:p>
    <w:p>
      <w:pPr>
        <w:ind w:left="660" w:hanging="166"/>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IDS organic sales growth - Objective focused on accelerating organic sales growth in the IDS segment. Organic sales within the IDS segment increased by 3.4% in fiscal 2018 and organic growth accelerated to 4.1% in fiscal 2019.</w:t>
      </w:r>
    </w:p>
    <w:p>
      <w:pPr>
        <w:jc w:val="both"/>
        <w:ind w:left="660" w:hanging="166"/>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Objective focused on our manufacturing facilities while reducing division SG&amp;A in a sustainable manner to deliver improved IDS segment profit. Improvements resulted in an improved gross profit margin and a 15.0% increase in segment profit in the IDS segment when compared to fiscal 2018.</w:t>
      </w:r>
    </w:p>
    <w:p>
      <w:pPr>
        <w:spacing w:after="0" w:line="13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After a review of Mr. Shaller's performance, the Committee determined that Mr. Shaller's resulting performance level was 125% for his individual performance multiplier.</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Committee regularly evaluates the impact of unusual events on a case-by-case basis along with compensation policies and practices in light of ongoing developments and best practices in the area of incentive compensation. For fiscal 2019, no adjustments were made to the financial results for unusual and unforeseen events that would have an impact on the Company's annual cash incentive for its NEOs.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utilizes a variety of long-term equity incentive vehicles including time-based stock options, time-based RSUs and performance-based RSUs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granted to the chief executive officer, the Committee uses its discretion in combination with peer group data, analysis of actual pay and performance, and advice from its independent compensation consultant.</w:t>
      </w:r>
    </w:p>
    <w:p>
      <w:pPr>
        <w:spacing w:after="0" w:line="13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For fiscal 2019, the Committee reviewed historical award sizes and median levels of equity awarded to similar positions at our peer companies. The Committee then approved fiscal 2019 awards consisting of a combination of time-based stock options, time-based RSUs and performance-based RSUs.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Time-based Stock Options: </w:t>
      </w:r>
      <w:r>
        <w:rPr>
          <w:rFonts w:ascii="Times New Roman" w:cs="Times New Roman" w:eastAsia="Times New Roman" w:hAnsi="Times New Roman"/>
          <w:sz w:val="18"/>
          <w:szCs w:val="18"/>
          <w:color w:val="auto"/>
        </w:rPr>
        <w:t>Stock options generally vest one-third annually for three years and have a ten-year term. The Committee has the ability to vary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term and vesting schedule for new stock option grants in accordance with the terms of the plan. All stock options are granted to the NEOs during the first quarter of each fiscal year following the Committee's approval, with an exercise price equal to the average of the high and low stock price on the grant date. No dividends are paid or accrued prior to the issuance of shares.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Time-based RSUs: </w:t>
      </w:r>
      <w:r>
        <w:rPr>
          <w:rFonts w:ascii="Times New Roman" w:cs="Times New Roman" w:eastAsia="Times New Roman" w:hAnsi="Times New Roman"/>
          <w:sz w:val="18"/>
          <w:szCs w:val="18"/>
          <w:color w:val="auto"/>
        </w:rPr>
        <w:t>RSUs generally vest one-third annually for three years. The Committee has the ability to vary both the term and vesting schedule for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grants in accordance with the terms of the plan. All RSUs are granted following the Committee's approval, with a fair value equal to the average of the high and low stock price on the grant date.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Performance-based RSUs: </w:t>
      </w:r>
      <w:r>
        <w:rPr>
          <w:rFonts w:ascii="Times New Roman" w:cs="Times New Roman" w:eastAsia="Times New Roman" w:hAnsi="Times New Roman"/>
          <w:sz w:val="18"/>
          <w:szCs w:val="18"/>
          <w:color w:val="auto"/>
        </w:rPr>
        <w:t>Performance-based RSUs granted in fiscal years 2017 and 2018 ("PRSUs") vest based upon the achievement of average organic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growth and average operating income growth over a three-year performance period. The organic revenue and operating income growth metrics are based on consideration of the Company's three-year operating plan, overall strategy and stretch goals in order to emphasize the importance of long-term decision-making to both the financial success of the Company and to improve shareholder value. The PRSUs have a fair value equal to the average of the high and low stock price on the date of grant, and will vest between 40% and 200% of target if the combination of average organic sales growth and average operating income growth over the three-year performance period are met. If the minimum vesting threshold of 40% is not achieved, then the PRSUs will be forfeited.</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Performance-based RSUs granted in fiscal 2019 ("TSR PRSUs") vest based upon the Company’s total shareholder return ("TSR") relative to the S&amp;P 600 SmallCap Industrials Index over a three-year performance period. The TSR PRSUs have a fair value determined by a third-party valuation involving a Monte Carlo simulation. The TSR PRSUs will vest between 25% and 200% of target depending on the relative three-year TSR performance. If the minimum vesting threshold of 25% is not achieved, then the TSR PRSUs will be forfeited.</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dividends are paid or accrued on the performance-based or time-based RSUs prior to the issuance of shares.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long-term equity incentive awards granted during fiscal 2019:</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Fiscal 2019 Annual Equity Awards</w:t>
      </w:r>
    </w:p>
    <w:p>
      <w:pPr>
        <w:spacing w:after="0" w:line="15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Performance-based RSUs (at</w:t>
            </w:r>
          </w:p>
        </w:tc>
        <w:tc>
          <w:tcPr>
            <w:tcW w:w="340" w:type="dxa"/>
            <w:vAlign w:val="bottom"/>
          </w:tcPr>
          <w:p>
            <w:pPr>
              <w:spacing w:after="0"/>
              <w:rPr>
                <w:sz w:val="13"/>
                <w:szCs w:val="13"/>
                <w:color w:val="auto"/>
              </w:rPr>
            </w:pPr>
          </w:p>
        </w:tc>
        <w:tc>
          <w:tcPr>
            <w:tcW w:w="152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49"/>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Officers</w:t>
            </w:r>
          </w:p>
        </w:tc>
        <w:tc>
          <w:tcPr>
            <w:tcW w:w="100" w:type="dxa"/>
            <w:vAlign w:val="bottom"/>
            <w:vMerge w:val="restart"/>
          </w:tcPr>
          <w:p>
            <w:pPr>
              <w:spacing w:after="0"/>
              <w:rPr>
                <w:sz w:val="12"/>
                <w:szCs w:val="12"/>
                <w:color w:val="auto"/>
              </w:rPr>
            </w:pP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Grant Date Fair Value</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4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J.M. Nauman</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869,998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1,170,004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869,913</w:t>
            </w:r>
          </w:p>
        </w:tc>
        <w:tc>
          <w:tcPr>
            <w:tcW w:w="0" w:type="dxa"/>
            <w:vAlign w:val="bottom"/>
          </w:tcPr>
          <w:p>
            <w:pPr>
              <w:spacing w:after="0"/>
              <w:rPr>
                <w:sz w:val="1"/>
                <w:szCs w:val="1"/>
                <w:color w:val="auto"/>
              </w:rPr>
            </w:pPr>
          </w:p>
        </w:tc>
      </w:tr>
      <w:tr>
        <w:trPr>
          <w:trHeight w:val="243"/>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5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394,497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293,313</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108,338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145,712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108,354</w:t>
            </w:r>
          </w:p>
        </w:tc>
        <w:tc>
          <w:tcPr>
            <w:tcW w:w="0" w:type="dxa"/>
            <w:vAlign w:val="bottom"/>
          </w:tcPr>
          <w:p>
            <w:pPr>
              <w:spacing w:after="0"/>
              <w:rPr>
                <w:sz w:val="1"/>
                <w:szCs w:val="1"/>
                <w:color w:val="auto"/>
              </w:rPr>
            </w:pPr>
          </w:p>
        </w:tc>
      </w:tr>
      <w:tr>
        <w:trPr>
          <w:trHeight w:val="243"/>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5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134,507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499,973</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5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216,675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291,424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216,665</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Performance-based RSUs Earned for the Fiscal 2017 - 2019 Performance Period: </w:t>
      </w:r>
      <w:r>
        <w:rPr>
          <w:rFonts w:ascii="Times New Roman" w:cs="Times New Roman" w:eastAsia="Times New Roman" w:hAnsi="Times New Roman"/>
          <w:sz w:val="18"/>
          <w:szCs w:val="18"/>
          <w:color w:val="auto"/>
        </w:rPr>
        <w:t>The performance metrics for the performance-based RSUs granted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2017 are described above. Target payout of 100% could be achieved through one of the following four combinations of average annual organic sales growth and average annual operating income growth:</w:t>
      </w:r>
    </w:p>
    <w:p>
      <w:pPr>
        <w:spacing w:after="0" w:line="264"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annual organic sales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annual operating</w:t>
            </w:r>
          </w:p>
        </w:tc>
      </w:tr>
      <w:tr>
        <w:trPr>
          <w:trHeight w:val="195"/>
        </w:trPr>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growth (decline)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growth</w:t>
            </w:r>
          </w:p>
        </w:tc>
      </w:tr>
      <w:tr>
        <w:trPr>
          <w:trHeight w:val="249"/>
        </w:trPr>
        <w:tc>
          <w:tcPr>
            <w:tcW w:w="188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r>
      <w:tr>
        <w:trPr>
          <w:trHeight w:val="243"/>
        </w:trPr>
        <w:tc>
          <w:tcPr>
            <w:tcW w:w="188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r>
      <w:tr>
        <w:trPr>
          <w:trHeight w:val="243"/>
        </w:trPr>
        <w:tc>
          <w:tcPr>
            <w:tcW w:w="18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outlines the performance metrics, performance levels and actual performance achievement for the fiscal 2017 - 2019 performance-based RSU cycle:</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Threshold (40%)</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Maximum (200%)</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Actual Performance</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Payout Achieved</w:t>
            </w:r>
          </w:p>
        </w:tc>
      </w:tr>
      <w:tr>
        <w:trPr>
          <w:trHeight w:val="249"/>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annual organic sales growth</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annual operating income growth</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We provide subsidized health and welfare benefits which include medical, dental, life and accidental death or dismemberment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maintains a supplemental disability policy for executives. The supplemental disability policy provides for an additional 15% of compensation, up to a maximum additional benefit of $5,000 per month. Brady Corporation pays the premiums for these benefits; therefore, these benefits represent taxable benefits to the executive.</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Brady employees (including NEOs) in the United States and certain expatriate employees working for its international subsidiaries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to participate in the Brady Corporation Matched 401(k) Plan (the “Matched 401(k) Plan”). In addition, NEOs in the United States and employees at certain of our United States locations are also eligible to participate in the Brady Corporation Funded Retirement Plan (“Funded Retirement Plan”).</w:t>
      </w:r>
    </w:p>
    <w:p>
      <w:pPr>
        <w:spacing w:after="0" w:line="2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29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w:t>
      </w:r>
    </w:p>
    <w:p>
      <w:pPr>
        <w:sectPr>
          <w:pgSz w:w="11900" w:h="16838" w:orient="portrait"/>
          <w:cols w:equalWidth="0" w:num="1">
            <w:col w:w="11420"/>
          </w:cols>
          <w:pgMar w:left="240" w:top="118"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Under certain specified circumstances, the Matched 401(k) Plan allows a participant to withdraw loans on their account.</w:t>
      </w: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Arrangements: </w:t>
      </w:r>
      <w:r>
        <w:rPr>
          <w:rFonts w:ascii="Times New Roman" w:cs="Times New Roman" w:eastAsia="Times New Roman" w:hAnsi="Times New Roman"/>
          <w:sz w:val="18"/>
          <w:szCs w:val="18"/>
          <w:color w:val="auto"/>
        </w:rPr>
        <w:t>The Company has two deferred compensation plans, the Executive Deferred Compensation Plan and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Plan that allow for compensation to be deferred into either the Company’s Class A Nonvoting Common Stock or in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in cash.</w:t>
      </w:r>
    </w:p>
    <w:p>
      <w:pPr>
        <w:spacing w:after="0" w:line="29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Brady provides executives with the following perquisites:</w:t>
      </w:r>
    </w:p>
    <w:p>
      <w:pPr>
        <w:spacing w:after="0" w:line="175" w:lineRule="exact"/>
        <w:rPr>
          <w:sz w:val="20"/>
          <w:szCs w:val="20"/>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and tax preparation;</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 allowance;</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examination;</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care insurance; and</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liability insurance.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has established the following stock ownership requirements for our NEOs: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J.M. Nauman</w:t>
            </w:r>
          </w:p>
        </w:tc>
        <w:tc>
          <w:tcPr>
            <w:tcW w:w="30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5 times base salary</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3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 times base salary</w:t>
            </w:r>
          </w:p>
        </w:tc>
      </w:tr>
      <w:tr>
        <w:trPr>
          <w:trHeight w:val="27"/>
        </w:trPr>
        <w:tc>
          <w:tcPr>
            <w:tcW w:w="842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30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3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7"/>
        </w:trPr>
        <w:tc>
          <w:tcPr>
            <w:tcW w:w="842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30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3 times base salary</w:t>
            </w:r>
          </w:p>
        </w:tc>
      </w:tr>
      <w:tr>
        <w:trPr>
          <w:trHeight w:val="378"/>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stock ownership requirement for each director is five times the annual cash retainer.</w:t>
            </w:r>
          </w:p>
        </w:tc>
        <w:tc>
          <w:tcPr>
            <w:tcW w:w="3000" w:type="dxa"/>
            <w:vAlign w:val="bottom"/>
          </w:tcPr>
          <w:p>
            <w:pPr>
              <w:spacing w:after="0"/>
              <w:rPr>
                <w:sz w:val="24"/>
                <w:szCs w:val="24"/>
                <w:color w:val="auto"/>
              </w:rPr>
            </w:pPr>
          </w:p>
        </w:tc>
      </w:tr>
    </w:tbl>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NEOs are expected to meet their ownership requirement within five years and may not sell shares, other than to cover tax withholding requirements associated with the vesting or exercise of an equity award, until such time as they meet the requirements. All NEOs met their respective ownership requirements as of July 31, 2019.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Actual stock ownership of each of the NEOs are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Company stock held in the Matched 401(k) Plan, time-based RSUs, and the value of vested and “in the money” stock options. The fair market value of performance-based RSUs are excluded from the determination of executive ownership levels.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fiscal 2019, the Company did not have employment agreements with our executives. The offer letter entered into with Mr. Nauman on August 1, 2014, provides that he is deemed an at-will employee, but will receive a severance benefit equal to two times the sum of his base salary and target annual cash incentive in the event his employment is terminated without cause or he resigns for good reason as described therein. The offer letter also contains 24-month non-competition and non-solicitation provisions, as well as standard confidentiality, waiver and non-disparagement provisions. The offer letter entered into with Mr. Shaller on June 22, 2015, provides that he is deemed an at-will employee, but will receive a severance benefit equal to his base salary plus target annual cash incentive in the event his employment is terminated without cause or he resigns for good reason as described therein.</w:t>
      </w:r>
    </w:p>
    <w:p>
      <w:pPr>
        <w:spacing w:after="0" w:line="29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of Brady Corporation approved change of control agreements for all of the NEOs of the Company. The agreements applicable to the NEOs, other than Mr. Nauman, provide a payment of an amount equal to two times their annual base salary and two times the average annual cash incentive payment received in the three years immediately prior to the date the change of control occurs in the event of termination or resignation for good cause (as defined in the change of control agreement)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annual cash incentive, and the amount of his target annual cash incentive prorated based on when the termination occurs. All of the NEO's agreements provide for up to $25,000 of attorney fees to enforce the executive's rights under the agreement. Payments under the agreement will be spread over two years.</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accelerated vesting of stock options and RSUs upon termination due to retirement, for which the eligibility criteria is 60 years of age and 5 years of service.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Non-Compete/Non-Solicitation/Confidentiality</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Agreements memorializing 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federal income tax deduction to publicly traded companies for compensation in excess of $1 million per year paid to certain executive officers and, beginning in 2018, certain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29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deductible for tax purposes. Moreover, even if we have in the past intended to grant qualifying performance-based compensation for purposes of Section 162(m), we cannot guarantee that such compensation will so qualify or ultimately will be deductible by 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fiscal 2019, the Board's Management Development and Compensation Committee was composed of Messrs. Balkema, Harris and Richardson, and Ms. Gioia.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Balkema,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Gioia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Harris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Richardson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compensation policies for executive officers and all other employees are designed to avoid incentives that create undue risks to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6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compensation awarded to, earned by, or paid to the NEOs, who served as executive officers during the fiscal year ended July 31, 2019, for services rendered to the Company and its subsidiaries during the fiscal years ended July 31, 2019, July 31, 2018 and July 31,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Time-based and</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based RSUs</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2"/>
        </w:trPr>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J.M. Nauman, President, CEO</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794,077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2,039,917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869,998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1,290,375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5,240,929</w:t>
            </w:r>
          </w:p>
        </w:tc>
        <w:tc>
          <w:tcPr>
            <w:tcW w:w="0" w:type="dxa"/>
            <w:vAlign w:val="bottom"/>
          </w:tcPr>
          <w:p>
            <w:pPr>
              <w:spacing w:after="0"/>
              <w:rPr>
                <w:sz w:val="1"/>
                <w:szCs w:val="1"/>
                <w:color w:val="auto"/>
              </w:rPr>
            </w:pPr>
          </w:p>
        </w:tc>
      </w:tr>
      <w:tr>
        <w:trPr>
          <w:trHeight w:val="154"/>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759,616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1,666,728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833,340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1,712,933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202,808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5,175,425</w:t>
            </w:r>
          </w:p>
        </w:tc>
        <w:tc>
          <w:tcPr>
            <w:tcW w:w="0" w:type="dxa"/>
            <w:vAlign w:val="bottom"/>
          </w:tcPr>
          <w:p>
            <w:pPr>
              <w:spacing w:after="0"/>
              <w:rPr>
                <w:sz w:val="1"/>
                <w:szCs w:val="1"/>
                <w:color w:val="auto"/>
              </w:rPr>
            </w:pPr>
          </w:p>
        </w:tc>
      </w:tr>
      <w:tr>
        <w:trPr>
          <w:trHeight w:val="116"/>
        </w:trPr>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 Director</w:t>
            </w:r>
          </w:p>
        </w:tc>
        <w:tc>
          <w:tcPr>
            <w:tcW w:w="12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721,538</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1,666,702</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833,338</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1,259,987</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143,598</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4,625,163</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7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387,810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687,810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293,336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327,699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96,023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1,792,678</w:t>
            </w: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A.J. Pearce, CFO &amp; Treasurer</w:t>
            </w:r>
          </w:p>
        </w:tc>
        <w:tc>
          <w:tcPr>
            <w:tcW w:w="7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360,923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586,707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488,329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97,767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1,827,064</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7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332,308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586,712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293,337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417,811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74,651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1,704,819</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L.T. Bolognini, Senior VP,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346,991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338,316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1,143,435</w:t>
            </w:r>
          </w:p>
        </w:tc>
        <w:tc>
          <w:tcPr>
            <w:tcW w:w="0" w:type="dxa"/>
            <w:vAlign w:val="bottom"/>
          </w:tcPr>
          <w:p>
            <w:pPr>
              <w:spacing w:after="0"/>
              <w:rPr>
                <w:sz w:val="1"/>
                <w:szCs w:val="1"/>
                <w:color w:val="auto"/>
              </w:rPr>
            </w:pPr>
          </w:p>
        </w:tc>
      </w:tr>
      <w:tr>
        <w:trPr>
          <w:trHeight w:val="154"/>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340,432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216,675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108,335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368,484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90,113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1,124,039</w:t>
            </w:r>
          </w:p>
        </w:tc>
        <w:tc>
          <w:tcPr>
            <w:tcW w:w="0" w:type="dxa"/>
            <w:vAlign w:val="bottom"/>
          </w:tcPr>
          <w:p>
            <w:pPr>
              <w:spacing w:after="0"/>
              <w:rPr>
                <w:sz w:val="1"/>
                <w:szCs w:val="1"/>
                <w:color w:val="auto"/>
              </w:rPr>
            </w:pPr>
          </w:p>
        </w:tc>
      </w:tr>
      <w:tr>
        <w:trPr>
          <w:trHeight w:val="116"/>
        </w:trPr>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337,062</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216,694</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108,334</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282,525</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77,981</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1,022,596</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H.R. Nelligan, Senior VP,</w:t>
            </w:r>
          </w:p>
        </w:tc>
        <w:tc>
          <w:tcPr>
            <w:tcW w:w="7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313,815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634,480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203,980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71,199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1,323,474</w:t>
            </w:r>
          </w:p>
        </w:tc>
        <w:tc>
          <w:tcPr>
            <w:tcW w:w="0" w:type="dxa"/>
            <w:vAlign w:val="bottom"/>
          </w:tcPr>
          <w:p>
            <w:pPr>
              <w:spacing w:after="0"/>
              <w:rPr>
                <w:sz w:val="1"/>
                <w:szCs w:val="1"/>
                <w:color w:val="auto"/>
              </w:rPr>
            </w:pPr>
          </w:p>
        </w:tc>
      </w:tr>
      <w:tr>
        <w:trPr>
          <w:trHeight w:val="154"/>
        </w:trPr>
        <w:tc>
          <w:tcPr>
            <w:tcW w:w="2180" w:type="dxa"/>
            <w:vAlign w:val="bottom"/>
            <w:vMerge w:val="continue"/>
          </w:tcPr>
          <w:p>
            <w:pPr>
              <w:spacing w:after="0"/>
              <w:rPr>
                <w:sz w:val="13"/>
                <w:szCs w:val="13"/>
                <w:color w:val="auto"/>
              </w:rPr>
            </w:pPr>
          </w:p>
        </w:tc>
        <w:tc>
          <w:tcPr>
            <w:tcW w:w="70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306,729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200,033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138,335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84,631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829,729</w:t>
            </w:r>
          </w:p>
        </w:tc>
        <w:tc>
          <w:tcPr>
            <w:tcW w:w="0" w:type="dxa"/>
            <w:vAlign w:val="bottom"/>
          </w:tcPr>
          <w:p>
            <w:pPr>
              <w:spacing w:after="0"/>
              <w:rPr>
                <w:sz w:val="1"/>
                <w:szCs w:val="1"/>
                <w:color w:val="auto"/>
              </w:rPr>
            </w:pPr>
          </w:p>
        </w:tc>
      </w:tr>
      <w:tr>
        <w:trPr>
          <w:trHeight w:val="116"/>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Human Resources</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70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301,846</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8"/>
                <w:szCs w:val="8"/>
                <w:color w:val="auto"/>
              </w:rPr>
            </w:pPr>
          </w:p>
        </w:tc>
        <w:tc>
          <w:tcPr>
            <w:tcW w:w="10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200,038</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100,006</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263,550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68,666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934,106</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R.R. Shaller, Senior VP &amp;</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371,991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508,088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216,675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337,582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114,333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1,548,669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President - Identification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355,548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539,722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1,558,470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344,312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425,140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125,664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1,445,155</w:t>
            </w:r>
          </w:p>
        </w:tc>
        <w:tc>
          <w:tcPr>
            <w:tcW w:w="0" w:type="dxa"/>
            <w:vAlign w:val="bottom"/>
          </w:tcPr>
          <w:p>
            <w:pPr>
              <w:spacing w:after="0"/>
              <w:rPr>
                <w:sz w:val="1"/>
                <w:szCs w:val="1"/>
                <w:color w:val="auto"/>
              </w:rPr>
            </w:pPr>
          </w:p>
        </w:tc>
      </w:tr>
      <w:tr>
        <w:trPr>
          <w:trHeight w:val="94"/>
        </w:trPr>
        <w:tc>
          <w:tcPr>
            <w:tcW w:w="2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hanging="316"/>
        <w:spacing w:after="0" w:line="253"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in accordance with accounting guidance for equity grants made or modified in the applicable year for time-based RSUs and performance-based RSUs. The grant date fair value is calculated based on the number of shares of Class A Common Stock underlying the time-based RSUs and fiscal years 2017 and 2018 performance-based RSUs (at target), times the average of the high and low stock price of Class A Common Stock on the date of grant. The grant date fair value for the fiscal year 2019 performance-based RSUs is calculated based on the number of shares of Class A Common Stock underlying the performance-based RSUs (at target), times a fair value per unit derived from a third-party valuation using a Monte Carlo simulation due to the presence of a market condition in the award. The actual value of a RSU will depend on the market value of the Class A Common Stock on the date the stock is sold. The table reflects the grant date fair value at target level of performance-based RSUs (100%).</w:t>
      </w:r>
    </w:p>
    <w:p>
      <w:pPr>
        <w:spacing w:after="0" w:line="1"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contained in Item 8 of this Form 10-K, for the fiscal year ended July 31, 2019. The actual value, if any, which an option holder will realize upon the exercise of an option will depend on the excess of the market value of the Class A Common Stock over the exercise price on the date the option is exercised.</w:t>
      </w:r>
    </w:p>
    <w:p>
      <w:pPr>
        <w:spacing w:after="0" w:line="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 earned during the listed fiscal years, which was paid during the next fiscal year.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540" w:hanging="316"/>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include: matching contributions to the Company’s Matched 401(k) Plan, Funded Retirement Plan and Restoration Plan, the costs of group term life insurance for each NEO, car allowance, and associated expenses, the cost of long-term care insurance, the cost of personal liability insurance, the cost of disability insurance and other perquisites. The perquisites may include relocation assistance and annual allowances for financial and tax planning. Refer to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Car</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Relocation</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202,230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246,562</w:t>
            </w: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J.M. Nauman</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159,522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202,808</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99,097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143,598</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69,833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96,023</w:t>
            </w:r>
          </w:p>
        </w:tc>
      </w:tr>
      <w:tr>
        <w:trPr>
          <w:trHeight w:val="270"/>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A.J. Pearce</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61,988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97,767</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74,651</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95,724</w:t>
            </w: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L.T. Bolognini</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90,113</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36,646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77,981</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34,766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11,382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71,199</w:t>
            </w:r>
          </w:p>
        </w:tc>
      </w:tr>
      <w:tr>
        <w:trPr>
          <w:trHeight w:val="270"/>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H.R. Nelligan</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84,631</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68,666</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72,465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114,333</w:t>
            </w: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R.R. Shaller</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113,141</w:t>
            </w:r>
          </w:p>
        </w:tc>
      </w:tr>
      <w:tr>
        <w:trPr>
          <w:trHeight w:val="28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41,106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125,664</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2019</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grants of plan-based awards made during fiscal 2019 to the NEOs.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7"/>
          </w:tcPr>
          <w:p>
            <w:pPr>
              <w:ind w:left="440"/>
              <w:spacing w:after="0"/>
              <w:rPr>
                <w:sz w:val="20"/>
                <w:szCs w:val="20"/>
                <w:color w:val="auto"/>
              </w:rPr>
            </w:pPr>
            <w:r>
              <w:rPr>
                <w:rFonts w:ascii="Times New Roman" w:cs="Times New Roman" w:eastAsia="Times New Roman" w:hAnsi="Times New Roman"/>
                <w:sz w:val="11"/>
                <w:szCs w:val="11"/>
                <w:b w:val="1"/>
                <w:bCs w:val="1"/>
                <w:color w:val="auto"/>
              </w:rPr>
              <w:t>Estimated Future Payouts Under</w:t>
            </w: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7"/>
          </w:tcPr>
          <w:p>
            <w:pPr>
              <w:ind w:left="340"/>
              <w:spacing w:after="0"/>
              <w:rPr>
                <w:sz w:val="20"/>
                <w:szCs w:val="20"/>
                <w:color w:val="auto"/>
              </w:rPr>
            </w:pPr>
            <w:r>
              <w:rPr>
                <w:rFonts w:ascii="Times New Roman" w:cs="Times New Roman" w:eastAsia="Times New Roman" w:hAnsi="Times New Roman"/>
                <w:sz w:val="11"/>
                <w:szCs w:val="11"/>
                <w:b w:val="1"/>
                <w:bCs w:val="1"/>
                <w:color w:val="auto"/>
              </w:rPr>
              <w:t>Non-Equity Incentive Plan Awards (1)</w:t>
            </w: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w w:val="96"/>
              </w:rPr>
              <w:t>Equity Incentive Plan Awards (2)</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Committee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8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12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Approval</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Target ($)</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Target (#)</w:t>
            </w:r>
          </w:p>
        </w:tc>
        <w:tc>
          <w:tcPr>
            <w:tcW w:w="4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2"/>
        </w:trPr>
        <w:tc>
          <w:tcPr>
            <w:tcW w:w="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J.M.</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Nauman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794,077</w:t>
            </w:r>
          </w:p>
        </w:tc>
        <w:tc>
          <w:tcPr>
            <w:tcW w:w="12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$ 2,203,564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8/1/2018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5,769</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9"/>
              </w:rPr>
              <w:t>46,154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A.J. Pearce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252,076</w:t>
            </w:r>
          </w:p>
        </w:tc>
        <w:tc>
          <w:tcPr>
            <w:tcW w:w="120" w:type="dxa"/>
            <w:vAlign w:val="bottom"/>
          </w:tcPr>
          <w:p>
            <w:pPr>
              <w:spacing w:after="0"/>
              <w:rPr>
                <w:sz w:val="15"/>
                <w:szCs w:val="15"/>
                <w:color w:val="auto"/>
              </w:rPr>
            </w:pPr>
          </w:p>
        </w:tc>
        <w:tc>
          <w:tcPr>
            <w:tcW w:w="6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699,512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8/1/2018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1,945</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9"/>
              </w:rPr>
              <w:t>15,562</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L.T.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Bolognini</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208,195</w:t>
            </w:r>
          </w:p>
        </w:tc>
        <w:tc>
          <w:tcPr>
            <w:tcW w:w="12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577,740</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8/1/2018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H.R.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Nelligan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156,907</w:t>
            </w:r>
          </w:p>
        </w:tc>
        <w:tc>
          <w:tcPr>
            <w:tcW w:w="12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435,418</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8/1/2018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663</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5,306</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9/20/2018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9/20/2018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R.R.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Shaller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223,194</w:t>
            </w:r>
          </w:p>
        </w:tc>
        <w:tc>
          <w:tcPr>
            <w:tcW w:w="12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619,364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8/1/2018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1,437</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9"/>
              </w:rPr>
              <w:t>11,496</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9/25/2018</w:t>
            </w:r>
          </w:p>
        </w:tc>
        <w:tc>
          <w:tcPr>
            <w:tcW w:w="120" w:type="dxa"/>
            <w:vAlign w:val="bottom"/>
          </w:tcPr>
          <w:p>
            <w:pPr>
              <w:spacing w:after="0"/>
              <w:rPr>
                <w:sz w:val="23"/>
                <w:szCs w:val="23"/>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98"/>
              </w:rPr>
              <w:t>7/13/2018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-3655695</wp:posOffset>
            </wp:positionV>
            <wp:extent cx="721233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-3295650</wp:posOffset>
            </wp:positionV>
            <wp:extent cx="72123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-2952750</wp:posOffset>
            </wp:positionV>
            <wp:extent cx="72123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-2609850</wp:posOffset>
            </wp:positionV>
            <wp:extent cx="721233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-2266315</wp:posOffset>
            </wp:positionV>
            <wp:extent cx="721233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-1906270</wp:posOffset>
            </wp:positionV>
            <wp:extent cx="721233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-1563370</wp:posOffset>
            </wp:positionV>
            <wp:extent cx="721233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721233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-860425</wp:posOffset>
            </wp:positionV>
            <wp:extent cx="72123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21233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1233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r>
      <w:tr>
        <w:trPr>
          <w:trHeight w:val="122"/>
        </w:trPr>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Date Fair</w:t>
            </w:r>
          </w:p>
        </w:tc>
      </w:tr>
      <w:tr>
        <w:trPr>
          <w:trHeight w:val="122"/>
        </w:trPr>
        <w:tc>
          <w:tcPr>
            <w:tcW w:w="9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1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Value</w:t>
            </w:r>
          </w:p>
        </w:tc>
      </w:tr>
      <w:tr>
        <w:trPr>
          <w:trHeight w:val="122"/>
        </w:trPr>
        <w:tc>
          <w:tcPr>
            <w:tcW w:w="9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 Awards:</w:t>
            </w: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22"/>
        </w:trPr>
        <w:tc>
          <w:tcPr>
            <w:tcW w:w="9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1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or</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r>
      <w:tr>
        <w:trPr>
          <w:trHeight w:val="122"/>
        </w:trPr>
        <w:tc>
          <w:tcPr>
            <w:tcW w:w="9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 Stock</w:t>
            </w:r>
          </w:p>
        </w:tc>
        <w:tc>
          <w:tcPr>
            <w:tcW w:w="11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2"/>
        </w:trPr>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or Units</w:t>
            </w:r>
          </w:p>
        </w:tc>
        <w:tc>
          <w:tcPr>
            <w:tcW w:w="110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r>
      <w:tr>
        <w:trPr>
          <w:trHeight w:val="142"/>
        </w:trPr>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(3)</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 (4)</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r>
      <w:tr>
        <w:trPr>
          <w:trHeight w:val="22"/>
        </w:trPr>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50.70</w:t>
            </w:r>
          </w:p>
        </w:tc>
        <w:tc>
          <w:tcPr>
            <w:tcW w:w="1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   1,170,004</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19,782</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869,913</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88,383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869,998</w:t>
            </w:r>
          </w:p>
        </w:tc>
      </w:tr>
      <w:tr>
        <w:trPr>
          <w:trHeight w:val="540"/>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50.70</w:t>
            </w:r>
          </w:p>
        </w:tc>
        <w:tc>
          <w:tcPr>
            <w:tcW w:w="1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394,497</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6,670</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293,313</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29,800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293,336</w:t>
            </w:r>
          </w:p>
        </w:tc>
      </w:tr>
      <w:tr>
        <w:trPr>
          <w:trHeight w:val="5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50.70</w:t>
            </w:r>
          </w:p>
        </w:tc>
        <w:tc>
          <w:tcPr>
            <w:tcW w:w="1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145,712</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2,464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108,354</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11,006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108,338</w:t>
            </w:r>
          </w:p>
        </w:tc>
      </w:tr>
      <w:tr>
        <w:trPr>
          <w:trHeight w:val="5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50.70</w:t>
            </w:r>
          </w:p>
        </w:tc>
        <w:tc>
          <w:tcPr>
            <w:tcW w:w="1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134,507</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8,963</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44.63</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399,974</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2,274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99,999</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100,000</w:t>
            </w:r>
          </w:p>
        </w:tc>
      </w:tr>
      <w:tr>
        <w:trPr>
          <w:trHeight w:val="5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50.70</w:t>
            </w:r>
          </w:p>
        </w:tc>
        <w:tc>
          <w:tcPr>
            <w:tcW w:w="1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291,424</w:t>
            </w:r>
          </w:p>
        </w:tc>
      </w:tr>
      <w:tr>
        <w:trPr>
          <w:trHeight w:val="270"/>
        </w:trPr>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4,927</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216,665</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22,012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43.98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216,675</w:t>
            </w:r>
          </w:p>
        </w:tc>
      </w:tr>
    </w:tbl>
    <w:p>
      <w:pPr>
        <w:spacing w:after="0" w:line="85" w:lineRule="exact"/>
        <w:rPr>
          <w:sz w:val="20"/>
          <w:szCs w:val="20"/>
          <w:color w:val="auto"/>
        </w:rPr>
      </w:pPr>
    </w:p>
    <w:p>
      <w:pPr>
        <w:sectPr>
          <w:pgSz w:w="11900" w:h="16838" w:orient="portrait"/>
          <w:cols w:equalWidth="0" w:num="2">
            <w:col w:w="7820" w:space="100"/>
            <w:col w:w="3500"/>
          </w:cols>
          <w:pgMar w:left="240" w:top="118" w:right="239" w:bottom="1440" w:gutter="0" w:footer="0" w:header="0"/>
          <w:type w:val="continuous"/>
        </w:sectPr>
      </w:pPr>
    </w:p>
    <w:p>
      <w:pPr>
        <w:jc w:val="both"/>
        <w:ind w:left="540" w:hanging="316"/>
        <w:spacing w:after="0" w:line="257"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May 2018 meeting, the Management Development and Compensation Committee approved the values of the annual cash incentive award under the Company's annual cash incentive plan. The structure of the plan is described in the Compensation Discussion and Analysis above and was set prior to the beginning of the fiscal year.</w:t>
      </w:r>
    </w:p>
    <w:p>
      <w:pPr>
        <w:spacing w:after="0" w:line="1"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restricted stock units awarded on August 1, 2018, as part of the annual fiscal 2019 equity grant. Payout opportunities will range from 0% to 200% of the target award. Target payout is set at 100% of award value, with threshold and maximum payouts set at 25% and 200% of target award value, respectively.</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time-based RSU awards vest equally over three years.</w:t>
      </w:r>
    </w:p>
    <w:p>
      <w:pPr>
        <w:spacing w:after="0" w:line="9"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base price for awards granted August 1, 2018, is based on a third-party valuation involving the use of a Monte Carlo simulation. The remaining awards' exercise price or base price is the average of the high and low prices of the Company’s Class A Common Stock as reported by the New York Stock Exchange on the date of the grant.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type w:val="continuous"/>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July 31,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J.M.</w:t>
      </w:r>
    </w:p>
    <w:p>
      <w:pPr>
        <w:ind w:left="40"/>
        <w:spacing w:after="0"/>
        <w:rPr>
          <w:sz w:val="20"/>
          <w:szCs w:val="20"/>
          <w:color w:val="auto"/>
        </w:rPr>
      </w:pPr>
      <w:r>
        <w:rPr>
          <w:rFonts w:ascii="Times New Roman" w:cs="Times New Roman" w:eastAsia="Times New Roman" w:hAnsi="Times New Roman"/>
          <w:sz w:val="13"/>
          <w:szCs w:val="13"/>
          <w:color w:val="auto"/>
        </w:rPr>
        <w:t>Nauman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A.J. Pearce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L.T.</w:t>
      </w:r>
    </w:p>
    <w:p>
      <w:pPr>
        <w:ind w:left="40"/>
        <w:spacing w:after="0"/>
        <w:rPr>
          <w:sz w:val="20"/>
          <w:szCs w:val="20"/>
          <w:color w:val="auto"/>
        </w:rPr>
      </w:pPr>
      <w:r>
        <w:rPr>
          <w:rFonts w:ascii="Times New Roman" w:cs="Times New Roman" w:eastAsia="Times New Roman" w:hAnsi="Times New Roman"/>
          <w:sz w:val="13"/>
          <w:szCs w:val="13"/>
          <w:color w:val="auto"/>
        </w:rPr>
        <w:t>Bolognini</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4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r>
      <w:tr>
        <w:trPr>
          <w:trHeight w:val="135"/>
        </w:trPr>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r>
      <w:tr>
        <w:trPr>
          <w:trHeight w:val="135"/>
        </w:trPr>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Payout Value of</w:t>
            </w:r>
          </w:p>
        </w:tc>
      </w:tr>
      <w:tr>
        <w:trPr>
          <w:trHeight w:val="135"/>
        </w:trPr>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r>
      <w:tr>
        <w:trPr>
          <w:trHeight w:val="135"/>
        </w:trPr>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Value of Units of</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Units Or Other</w:t>
            </w:r>
          </w:p>
        </w:tc>
      </w:tr>
      <w:tr>
        <w:trPr>
          <w:trHeight w:val="135"/>
        </w:trPr>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Units of Stock That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Rights That Have</w:t>
            </w:r>
          </w:p>
        </w:tc>
        <w:tc>
          <w:tcPr>
            <w:tcW w:w="44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 That Have Not</w:t>
            </w:r>
          </w:p>
        </w:tc>
      </w:tr>
      <w:tr>
        <w:trPr>
          <w:trHeight w:val="135"/>
        </w:trPr>
        <w:tc>
          <w:tcPr>
            <w:tcW w:w="12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76"/>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5"/>
        </w:trPr>
        <w:tc>
          <w:tcPr>
            <w:tcW w:w="11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180,839</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19.96</w:t>
            </w:r>
          </w:p>
        </w:tc>
        <w:tc>
          <w:tcPr>
            <w:tcW w:w="12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9/25/2025</w:t>
            </w: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64,297</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35,720</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32,264</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64,528</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88,383</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17,889</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925,398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7,905</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408,926</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15,076</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779,881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19,782</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1,023,323</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26,018</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1,345,911</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25,162</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1,301,630</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23,077</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1,193,773</w:t>
            </w:r>
          </w:p>
        </w:tc>
      </w:tr>
      <w:tr>
        <w:trPr>
          <w:trHeight w:val="567"/>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9,000</w:t>
            </w:r>
          </w:p>
        </w:tc>
        <w:tc>
          <w:tcPr>
            <w:tcW w:w="120" w:type="dxa"/>
            <w:vAlign w:val="bottom"/>
          </w:tcPr>
          <w:p>
            <w:pPr>
              <w:spacing w:after="0"/>
              <w:rPr>
                <w:sz w:val="24"/>
                <w:szCs w:val="2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30.21</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9/21/2022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4,523</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31.07</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9/20/2023</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34,825</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22.66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9/25/2024</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51,375</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19.96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9/25/2025</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25,148</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12,573</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11,357</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22,714</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29,800</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2,782</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143,913</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5,307</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274,531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6,670</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345,039</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9,159</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473,795</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8,857</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458,173</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7,781</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402,511</w:t>
            </w:r>
          </w:p>
        </w:tc>
      </w:tr>
      <w:tr>
        <w:trPr>
          <w:trHeight w:val="621"/>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4,643</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4,195</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8,388</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11,006</w:t>
            </w: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1,027</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53,127</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1,960</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101,391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2,464</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127,463</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3,383</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175,003</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3,271</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169,209</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2,874</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148,672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-6095365</wp:posOffset>
            </wp:positionV>
            <wp:extent cx="72466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-5717540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-5374640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-5031740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-4688840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-4345940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-3985260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-3642360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-3299460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-2956560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-2613660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-2270125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-1927225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-1567180</wp:posOffset>
            </wp:positionV>
            <wp:extent cx="724662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-1189990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-847090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-503555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-160655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220"/>
            <w:col w:w="1060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type w:val="continuous"/>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H.R.</w:t>
            </w: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760" w:type="dxa"/>
            <w:vAlign w:val="bottom"/>
          </w:tcPr>
          <w:p>
            <w:pPr>
              <w:spacing w:after="0"/>
              <w:rPr>
                <w:sz w:val="12"/>
                <w:szCs w:val="12"/>
                <w:color w:val="auto"/>
              </w:rPr>
            </w:pPr>
          </w:p>
        </w:tc>
      </w:tr>
      <w:tr>
        <w:trPr>
          <w:trHeight w:val="172"/>
        </w:trPr>
        <w:tc>
          <w:tcPr>
            <w:tcW w:w="1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Nelligan</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8,574</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4,286</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35.14</w:t>
            </w:r>
          </w:p>
        </w:tc>
        <w:tc>
          <w:tcPr>
            <w:tcW w:w="6760" w:type="dxa"/>
            <w:vAlign w:val="bottom"/>
          </w:tcPr>
          <w:p>
            <w:pPr>
              <w:jc w:val="right"/>
              <w:ind w:right="5817"/>
              <w:spacing w:after="0"/>
              <w:rPr>
                <w:sz w:val="20"/>
                <w:szCs w:val="20"/>
                <w:color w:val="auto"/>
              </w:rPr>
            </w:pPr>
            <w:r>
              <w:rPr>
                <w:rFonts w:ascii="Times New Roman" w:cs="Times New Roman" w:eastAsia="Times New Roman" w:hAnsi="Times New Roman"/>
                <w:sz w:val="13"/>
                <w:szCs w:val="13"/>
                <w:color w:val="auto"/>
              </w:rPr>
              <w:t>9/23/2026</w:t>
            </w:r>
          </w:p>
        </w:tc>
      </w:tr>
      <w:tr>
        <w:trPr>
          <w:trHeight w:val="278"/>
        </w:trPr>
        <w:tc>
          <w:tcPr>
            <w:tcW w:w="10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3,872</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7,743</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36.85</w:t>
            </w:r>
          </w:p>
        </w:tc>
        <w:tc>
          <w:tcPr>
            <w:tcW w:w="6760" w:type="dxa"/>
            <w:vAlign w:val="bottom"/>
            <w:shd w:val="clear" w:color="auto" w:fill="CCEEFF"/>
          </w:tcPr>
          <w:p>
            <w:pPr>
              <w:jc w:val="right"/>
              <w:ind w:right="5817"/>
              <w:spacing w:after="0"/>
              <w:rPr>
                <w:sz w:val="20"/>
                <w:szCs w:val="20"/>
                <w:color w:val="auto"/>
              </w:rPr>
            </w:pPr>
            <w:r>
              <w:rPr>
                <w:rFonts w:ascii="Times New Roman" w:cs="Times New Roman" w:eastAsia="Times New Roman" w:hAnsi="Times New Roman"/>
                <w:sz w:val="13"/>
                <w:szCs w:val="13"/>
                <w:color w:val="auto"/>
              </w:rPr>
              <w:t>9/22/2027</w:t>
            </w:r>
          </w:p>
        </w:tc>
      </w:tr>
      <w:tr>
        <w:trPr>
          <w:trHeight w:val="254"/>
        </w:trPr>
        <w:tc>
          <w:tcPr>
            <w:tcW w:w="1020" w:type="dxa"/>
            <w:vAlign w:val="bottom"/>
          </w:tcPr>
          <w:p>
            <w:pPr>
              <w:spacing w:after="0"/>
              <w:rPr>
                <w:sz w:val="22"/>
                <w:szCs w:val="22"/>
                <w:color w:val="auto"/>
              </w:rPr>
            </w:pP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10,159</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43.98</w:t>
            </w:r>
          </w:p>
        </w:tc>
        <w:tc>
          <w:tcPr>
            <w:tcW w:w="6760" w:type="dxa"/>
            <w:vAlign w:val="bottom"/>
          </w:tcPr>
          <w:p>
            <w:pPr>
              <w:jc w:val="right"/>
              <w:ind w:right="5817"/>
              <w:spacing w:after="0"/>
              <w:rPr>
                <w:sz w:val="20"/>
                <w:szCs w:val="20"/>
                <w:color w:val="auto"/>
              </w:rPr>
            </w:pPr>
            <w:r>
              <w:rPr>
                <w:rFonts w:ascii="Times New Roman" w:cs="Times New Roman" w:eastAsia="Times New Roman" w:hAnsi="Times New Roman"/>
                <w:sz w:val="13"/>
                <w:szCs w:val="13"/>
                <w:color w:val="auto"/>
              </w:rPr>
              <w:t>9/25/2028</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3760" w:type="dxa"/>
            <w:vAlign w:val="bottom"/>
            <w:shd w:val="clear" w:color="auto" w:fill="CCEEFF"/>
          </w:tcPr>
          <w:p>
            <w:pPr>
              <w:jc w:val="right"/>
              <w:ind w:right="2977"/>
              <w:spacing w:after="0"/>
              <w:rPr>
                <w:sz w:val="20"/>
                <w:szCs w:val="20"/>
                <w:color w:val="auto"/>
              </w:rPr>
            </w:pPr>
            <w:r>
              <w:rPr>
                <w:rFonts w:ascii="Times New Roman" w:cs="Times New Roman" w:eastAsia="Times New Roman" w:hAnsi="Times New Roman"/>
                <w:sz w:val="13"/>
                <w:szCs w:val="13"/>
                <w:color w:val="auto"/>
              </w:rPr>
              <w:t>49,040</w:t>
            </w:r>
          </w:p>
        </w:tc>
      </w:tr>
      <w:tr>
        <w:trPr>
          <w:trHeight w:val="262"/>
        </w:trPr>
        <w:tc>
          <w:tcPr>
            <w:tcW w:w="6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w:t>
            </w:r>
          </w:p>
        </w:tc>
        <w:tc>
          <w:tcPr>
            <w:tcW w:w="500" w:type="dxa"/>
            <w:vAlign w:val="bottom"/>
          </w:tcPr>
          <w:p>
            <w:pPr>
              <w:spacing w:after="0"/>
              <w:rPr>
                <w:sz w:val="22"/>
                <w:szCs w:val="22"/>
                <w:color w:val="auto"/>
              </w:rPr>
            </w:pPr>
          </w:p>
        </w:tc>
        <w:tc>
          <w:tcPr>
            <w:tcW w:w="3760" w:type="dxa"/>
            <w:vAlign w:val="bottom"/>
          </w:tcPr>
          <w:p>
            <w:pPr>
              <w:jc w:val="right"/>
              <w:ind w:right="2977"/>
              <w:spacing w:after="0"/>
              <w:rPr>
                <w:sz w:val="20"/>
                <w:szCs w:val="20"/>
                <w:color w:val="auto"/>
              </w:rPr>
            </w:pPr>
            <w:r>
              <w:rPr>
                <w:rFonts w:ascii="Times New Roman" w:cs="Times New Roman" w:eastAsia="Times New Roman" w:hAnsi="Times New Roman"/>
                <w:sz w:val="13"/>
                <w:szCs w:val="13"/>
                <w:color w:val="auto"/>
              </w:rPr>
              <w:t>93,580</w:t>
            </w:r>
          </w:p>
        </w:tc>
      </w:tr>
      <w:tr>
        <w:trPr>
          <w:trHeight w:val="278"/>
        </w:trPr>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(11)</w:t>
            </w:r>
          </w:p>
        </w:tc>
        <w:tc>
          <w:tcPr>
            <w:tcW w:w="50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977"/>
              <w:spacing w:after="0"/>
              <w:rPr>
                <w:sz w:val="20"/>
                <w:szCs w:val="20"/>
                <w:color w:val="auto"/>
              </w:rPr>
            </w:pPr>
            <w:r>
              <w:rPr>
                <w:rFonts w:ascii="Times New Roman" w:cs="Times New Roman" w:eastAsia="Times New Roman" w:hAnsi="Times New Roman"/>
                <w:sz w:val="13"/>
                <w:szCs w:val="13"/>
                <w:color w:val="auto"/>
              </w:rPr>
              <w:t>463,656</w:t>
            </w:r>
          </w:p>
        </w:tc>
      </w:tr>
      <w:tr>
        <w:trPr>
          <w:trHeight w:val="254"/>
        </w:trPr>
        <w:tc>
          <w:tcPr>
            <w:tcW w:w="6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(7)</w:t>
            </w:r>
          </w:p>
        </w:tc>
        <w:tc>
          <w:tcPr>
            <w:tcW w:w="500" w:type="dxa"/>
            <w:vAlign w:val="bottom"/>
          </w:tcPr>
          <w:p>
            <w:pPr>
              <w:spacing w:after="0"/>
              <w:rPr>
                <w:sz w:val="22"/>
                <w:szCs w:val="22"/>
                <w:color w:val="auto"/>
              </w:rPr>
            </w:pPr>
          </w:p>
        </w:tc>
        <w:tc>
          <w:tcPr>
            <w:tcW w:w="3760" w:type="dxa"/>
            <w:vAlign w:val="bottom"/>
          </w:tcPr>
          <w:p>
            <w:pPr>
              <w:jc w:val="right"/>
              <w:ind w:right="2977"/>
              <w:spacing w:after="0"/>
              <w:rPr>
                <w:sz w:val="20"/>
                <w:szCs w:val="20"/>
                <w:color w:val="auto"/>
              </w:rPr>
            </w:pPr>
            <w:r>
              <w:rPr>
                <w:rFonts w:ascii="Times New Roman" w:cs="Times New Roman" w:eastAsia="Times New Roman" w:hAnsi="Times New Roman"/>
                <w:sz w:val="13"/>
                <w:szCs w:val="13"/>
                <w:color w:val="auto"/>
              </w:rPr>
              <w:t>117,634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3,123</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(8)</w:t>
            </w:r>
          </w:p>
        </w:tc>
        <w:tc>
          <w:tcPr>
            <w:tcW w:w="5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161,553</w:t>
            </w:r>
          </w:p>
        </w:tc>
      </w:tr>
      <w:tr>
        <w:trPr>
          <w:trHeight w:val="262"/>
        </w:trPr>
        <w:tc>
          <w:tcPr>
            <w:tcW w:w="9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3,020</w:t>
            </w:r>
          </w:p>
        </w:tc>
        <w:tc>
          <w:tcPr>
            <w:tcW w:w="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(9)</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156,225</w:t>
            </w:r>
          </w:p>
        </w:tc>
      </w:tr>
      <w:tr>
        <w:trPr>
          <w:trHeight w:val="278"/>
        </w:trPr>
        <w:tc>
          <w:tcPr>
            <w:tcW w:w="9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2,653</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137,240</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R.R. Shaller</w:t>
            </w:r>
          </w:p>
        </w:tc>
        <w:tc>
          <w:tcPr>
            <w:tcW w:w="1240" w:type="dxa"/>
            <w:vAlign w:val="bottom"/>
            <w:vMerge w:val="restart"/>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15,718</w:t>
            </w:r>
          </w:p>
        </w:tc>
        <w:tc>
          <w:tcPr>
            <w:tcW w:w="9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7,858</w:t>
            </w:r>
          </w:p>
        </w:tc>
        <w:tc>
          <w:tcPr>
            <w:tcW w:w="3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35.14</w:t>
            </w:r>
          </w:p>
        </w:tc>
        <w:tc>
          <w:tcPr>
            <w:tcW w:w="6760" w:type="dxa"/>
            <w:vAlign w:val="bottom"/>
            <w:vMerge w:val="restart"/>
            <w:shd w:val="clear" w:color="auto" w:fill="CCEEFF"/>
          </w:tcPr>
          <w:p>
            <w:pPr>
              <w:jc w:val="right"/>
              <w:ind w:right="5817"/>
              <w:spacing w:after="0"/>
              <w:rPr>
                <w:sz w:val="20"/>
                <w:szCs w:val="20"/>
                <w:color w:val="auto"/>
              </w:rPr>
            </w:pPr>
            <w:r>
              <w:rPr>
                <w:rFonts w:ascii="Times New Roman" w:cs="Times New Roman" w:eastAsia="Times New Roman" w:hAnsi="Times New Roman"/>
                <w:sz w:val="13"/>
                <w:szCs w:val="13"/>
                <w:color w:val="auto"/>
              </w:rPr>
              <w:t>9/23/2026</w:t>
            </w:r>
          </w:p>
        </w:tc>
        <w:tc>
          <w:tcPr>
            <w:tcW w:w="0" w:type="dxa"/>
            <w:vAlign w:val="bottom"/>
          </w:tcPr>
          <w:p>
            <w:pPr>
              <w:spacing w:after="0"/>
              <w:rPr>
                <w:sz w:val="1"/>
                <w:szCs w:val="1"/>
                <w:color w:val="auto"/>
              </w:rPr>
            </w:pPr>
          </w:p>
        </w:tc>
      </w:tr>
      <w:tr>
        <w:trPr>
          <w:trHeight w:val="86"/>
        </w:trPr>
        <w:tc>
          <w:tcPr>
            <w:tcW w:w="108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6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2"/>
                <w:szCs w:val="22"/>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7,099</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14,196</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36.85</w:t>
            </w:r>
          </w:p>
        </w:tc>
        <w:tc>
          <w:tcPr>
            <w:tcW w:w="6760" w:type="dxa"/>
            <w:vAlign w:val="bottom"/>
          </w:tcPr>
          <w:p>
            <w:pPr>
              <w:jc w:val="right"/>
              <w:ind w:right="5817"/>
              <w:spacing w:after="0"/>
              <w:rPr>
                <w:sz w:val="20"/>
                <w:szCs w:val="20"/>
                <w:color w:val="auto"/>
              </w:rPr>
            </w:pPr>
            <w:r>
              <w:rPr>
                <w:rFonts w:ascii="Times New Roman" w:cs="Times New Roman" w:eastAsia="Times New Roman" w:hAnsi="Times New Roman"/>
                <w:sz w:val="13"/>
                <w:szCs w:val="13"/>
                <w:color w:val="auto"/>
              </w:rPr>
              <w:t>9/22/2027</w:t>
            </w:r>
          </w:p>
        </w:tc>
        <w:tc>
          <w:tcPr>
            <w:tcW w:w="0" w:type="dxa"/>
            <w:vAlign w:val="bottom"/>
          </w:tcPr>
          <w:p>
            <w:pPr>
              <w:spacing w:after="0"/>
              <w:rPr>
                <w:sz w:val="1"/>
                <w:szCs w:val="1"/>
                <w:color w:val="auto"/>
              </w:rPr>
            </w:pPr>
          </w:p>
        </w:tc>
      </w:tr>
      <w:tr>
        <w:trPr>
          <w:trHeight w:val="278"/>
        </w:trPr>
        <w:tc>
          <w:tcPr>
            <w:tcW w:w="10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22,012</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43.98</w:t>
            </w:r>
          </w:p>
        </w:tc>
        <w:tc>
          <w:tcPr>
            <w:tcW w:w="6760" w:type="dxa"/>
            <w:vAlign w:val="bottom"/>
            <w:shd w:val="clear" w:color="auto" w:fill="CCEEFF"/>
          </w:tcPr>
          <w:p>
            <w:pPr>
              <w:jc w:val="right"/>
              <w:ind w:right="5817"/>
              <w:spacing w:after="0"/>
              <w:rPr>
                <w:sz w:val="20"/>
                <w:szCs w:val="20"/>
                <w:color w:val="auto"/>
              </w:rPr>
            </w:pPr>
            <w:r>
              <w:rPr>
                <w:rFonts w:ascii="Times New Roman" w:cs="Times New Roman" w:eastAsia="Times New Roman" w:hAnsi="Times New Roman"/>
                <w:sz w:val="13"/>
                <w:szCs w:val="13"/>
                <w:color w:val="auto"/>
              </w:rPr>
              <w:t>9/25/2028</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w:t>
            </w: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(12)</w:t>
            </w:r>
          </w:p>
        </w:tc>
        <w:tc>
          <w:tcPr>
            <w:tcW w:w="5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3760" w:type="dxa"/>
            <w:vAlign w:val="bottom"/>
          </w:tcPr>
          <w:p>
            <w:pPr>
              <w:jc w:val="right"/>
              <w:ind w:right="2977"/>
              <w:spacing w:after="0"/>
              <w:rPr>
                <w:sz w:val="20"/>
                <w:szCs w:val="20"/>
                <w:color w:val="auto"/>
              </w:rPr>
            </w:pPr>
            <w:r>
              <w:rPr>
                <w:rFonts w:ascii="Times New Roman" w:cs="Times New Roman" w:eastAsia="Times New Roman" w:hAnsi="Times New Roman"/>
                <w:sz w:val="13"/>
                <w:szCs w:val="13"/>
                <w:color w:val="auto"/>
              </w:rPr>
              <w:t>217,163</w:t>
            </w:r>
          </w:p>
        </w:tc>
      </w:tr>
      <w:tr>
        <w:trPr>
          <w:trHeight w:val="278"/>
        </w:trPr>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977"/>
              <w:spacing w:after="0"/>
              <w:rPr>
                <w:sz w:val="20"/>
                <w:szCs w:val="20"/>
                <w:color w:val="auto"/>
              </w:rPr>
            </w:pPr>
            <w:r>
              <w:rPr>
                <w:rFonts w:ascii="Times New Roman" w:cs="Times New Roman" w:eastAsia="Times New Roman" w:hAnsi="Times New Roman"/>
                <w:sz w:val="13"/>
                <w:szCs w:val="13"/>
                <w:color w:val="auto"/>
              </w:rPr>
              <w:t>89,958</w:t>
            </w:r>
          </w:p>
        </w:tc>
      </w:tr>
      <w:tr>
        <w:trPr>
          <w:trHeight w:val="262"/>
        </w:trPr>
        <w:tc>
          <w:tcPr>
            <w:tcW w:w="6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3,317</w:t>
            </w: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(6)</w:t>
            </w:r>
          </w:p>
        </w:tc>
        <w:tc>
          <w:tcPr>
            <w:tcW w:w="500" w:type="dxa"/>
            <w:vAlign w:val="bottom"/>
          </w:tcPr>
          <w:p>
            <w:pPr>
              <w:spacing w:after="0"/>
              <w:rPr>
                <w:sz w:val="22"/>
                <w:szCs w:val="22"/>
                <w:color w:val="auto"/>
              </w:rPr>
            </w:pPr>
          </w:p>
        </w:tc>
        <w:tc>
          <w:tcPr>
            <w:tcW w:w="3760" w:type="dxa"/>
            <w:vAlign w:val="bottom"/>
          </w:tcPr>
          <w:p>
            <w:pPr>
              <w:jc w:val="right"/>
              <w:ind w:right="2977"/>
              <w:spacing w:after="0"/>
              <w:rPr>
                <w:sz w:val="20"/>
                <w:szCs w:val="20"/>
                <w:color w:val="auto"/>
              </w:rPr>
            </w:pPr>
            <w:r>
              <w:rPr>
                <w:rFonts w:ascii="Times New Roman" w:cs="Times New Roman" w:eastAsia="Times New Roman" w:hAnsi="Times New Roman"/>
                <w:sz w:val="13"/>
                <w:szCs w:val="13"/>
                <w:color w:val="auto"/>
              </w:rPr>
              <w:t>171,588</w:t>
            </w:r>
          </w:p>
        </w:tc>
      </w:tr>
      <w:tr>
        <w:trPr>
          <w:trHeight w:val="278"/>
        </w:trPr>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4,927</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(7)</w:t>
            </w:r>
          </w:p>
        </w:tc>
        <w:tc>
          <w:tcPr>
            <w:tcW w:w="50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977"/>
              <w:spacing w:after="0"/>
              <w:rPr>
                <w:sz w:val="20"/>
                <w:szCs w:val="20"/>
                <w:color w:val="auto"/>
              </w:rPr>
            </w:pPr>
            <w:r>
              <w:rPr>
                <w:rFonts w:ascii="Times New Roman" w:cs="Times New Roman" w:eastAsia="Times New Roman" w:hAnsi="Times New Roman"/>
                <w:sz w:val="13"/>
                <w:szCs w:val="13"/>
                <w:color w:val="auto"/>
              </w:rPr>
              <w:t>254,874</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5,724</w:t>
            </w:r>
          </w:p>
        </w:tc>
        <w:tc>
          <w:tcPr>
            <w:tcW w:w="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w:t>
            </w:r>
          </w:p>
        </w:tc>
        <w:tc>
          <w:tcPr>
            <w:tcW w:w="5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296,103</w:t>
            </w:r>
          </w:p>
        </w:tc>
      </w:tr>
      <w:tr>
        <w:trPr>
          <w:trHeight w:val="278"/>
        </w:trPr>
        <w:tc>
          <w:tcPr>
            <w:tcW w:w="9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5,536</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(9)</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286,377</w:t>
            </w:r>
          </w:p>
        </w:tc>
      </w:tr>
      <w:tr>
        <w:trPr>
          <w:trHeight w:val="254"/>
        </w:trPr>
        <w:tc>
          <w:tcPr>
            <w:tcW w:w="9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5,748</w:t>
            </w:r>
          </w:p>
        </w:tc>
        <w:tc>
          <w:tcPr>
            <w:tcW w:w="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297,344</w:t>
            </w:r>
          </w:p>
        </w:tc>
      </w:tr>
    </w:tbl>
    <w:p>
      <w:pPr>
        <w:spacing w:after="0" w:line="79" w:lineRule="exact"/>
        <w:rPr>
          <w:sz w:val="20"/>
          <w:szCs w:val="20"/>
          <w:color w:val="auto"/>
        </w:rPr>
      </w:pPr>
    </w:p>
    <w:p>
      <w:pPr>
        <w:ind w:left="540" w:hanging="316"/>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23,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options vest on September 22, 2019 and the remaining options vest on September 22, 2020.</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options vest on September 25, 2019, one-third of the options vest on September 25, 2020, and one-third of the options vest on September 25, 2021.</w:t>
      </w:r>
    </w:p>
    <w:p>
      <w:pPr>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Nauman was awarded 53,668 shares of time-based restricted stock units effective August 4, 2014, the date of his appointment as Chief Executive Officer and Director of the Company. The remaining units vested on August 4, 2019.</w:t>
      </w:r>
    </w:p>
    <w:p>
      <w:pPr>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23, 2016, as part of the annual fiscal 2017 equity grant. The remaining units vest on September 23, 2019.</w:t>
      </w:r>
    </w:p>
    <w:p>
      <w:pPr>
        <w:ind w:left="540" w:right="2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22, 2017, as part of the annual fiscal 2018 equity grant. One-half of the units vest on September 22, 2019, and the remaining units vest on September 22, 2020.</w:t>
      </w:r>
    </w:p>
    <w:p>
      <w:pPr>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25, 2018, as part of the annual fiscal 2019 equity grant. One-third of the units vest on September 25, 2019, one-third of the units vest on September 25, 2020, and one-third of the units vest on September 25, 2021.</w:t>
      </w:r>
    </w:p>
    <w:p>
      <w:pPr>
        <w:jc w:val="both"/>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2016, as part of the annual fiscal 2017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2017, as part of the annual fiscal 2018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2018, as part of the annual fiscal 2019 equity grant. These performance-based 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20, 2018, Ms. Nelligan was awarded 8,963 shares of time-based restricted stock units for retention purposes. The restricted stock units vest in increments of 20%, 30%, and 50% upon the first, second and third anniversaries of the grant date.</w:t>
      </w:r>
    </w:p>
    <w:p>
      <w:pPr>
        <w:ind w:left="540" w:hanging="316"/>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Shaller was awarded 20,992 shares of time-based restricted stock units on June 22, 2015, the date he joined the Company as an officer. The remaining units vest on June 22, 2020.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for Fiscal 2019</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option exercises and the vesting of restricted stock during fiscal 2019 to the NEOs.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380" w:type="dxa"/>
            <w:vAlign w:val="bottom"/>
          </w:tcPr>
          <w:p>
            <w:pPr>
              <w:spacing w:after="0"/>
              <w:rPr>
                <w:sz w:val="16"/>
                <w:szCs w:val="16"/>
                <w:color w:val="auto"/>
              </w:rPr>
            </w:pP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J.M. Nauman</w:t>
            </w:r>
          </w:p>
        </w:tc>
        <w:tc>
          <w:tcPr>
            <w:tcW w:w="16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3,062,012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1,892,793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673,518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1,200,367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209,307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69,294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1,494,449</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431,364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1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46,238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1,145,715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519,883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for Fiscal 2019</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Executive Deferred Compensation Plan and the Brady Restoration Plan during fiscal 2019 for the NEOs.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6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 in Fiscal</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116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200" w:type="dxa"/>
            <w:vAlign w:val="bottom"/>
          </w:tcPr>
          <w:p>
            <w:pPr>
              <w:jc w:val="right"/>
              <w:ind w:right="517"/>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 2019</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Fiscal 2019</w:t>
            </w:r>
          </w:p>
        </w:tc>
        <w:tc>
          <w:tcPr>
            <w:tcW w:w="116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J.M. Nauman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938,147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180,030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89,823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1,597,054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70,263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47,055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61,694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1,147,125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34,844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218,302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119,312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25,052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50,104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172,939</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executive contribution amounts included in this table are derived from the Salary and Non-Equity Incentive Plan Compensation columns of the Summary Compensation Table. The registrant contribution amounts included in this table are reported in the All Other Compensation columns of the Summary Compensation Table, and amounts reported in the aggregate balance at July 31, 2019, previously were reported as compensation to the NEO in the Summary Compensation Table for previous years. See discussion of the Company's nonqualified deferred compensation plan in the Compensation Discussion and Analysis.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described in the Employment and Change of Control Agreements section of the Compensation Discussion and Analysis above, the Company has entered into separate severance agreements and change of control agreements with certain NEOs.</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terms of severance arrangements are triggered if (i) the executive’s employment with the Company is involuntarily terminated by the Company without cause or (ii) the executive’s employment with the Company is voluntarily terminated by the executive subsequent to (a) a material reduction in the total of the executive’s annual base salary and target annual cash incentive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or from the executive’s principal place of residence, without the executive’s prior written agreement. Should Messrs. Nauman’s or Shaller’s employment be terminated under the circumstances described above, the Company would pay Mr. Nauman a severance benefit equal to two times the sum of his base salary plus target annual cash incentive and would pay Mr. Shaller a severance benefit equal to his base salary plus target annual cash incentive. The other NEOs are not covered by severance arrangements.</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Following termination due to a change in control, executives shall be paid a multiplier of their annual base salary in effect immediately prior to the date the change of control occurs, plus a multiplier of their average annual cash incentive payment received over a three-year period prior to the date the change of control occurs. For Mr. Nauman, a multiplier of the target annual cash incentive amount in effect immediately prior to the date the change of control applies instead of the average annual cash incentive payment received over the prior three-year period. If the payments upon termination due to change of control result in any excise tax incurred by Messrs. Nauman, Pearce, Bolognini, Shaller and Ms. Nelligan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NEO in the event of termination of employment as a result of a change of control. No other employment agreements have been entered into between the Company and any of the NEOs in fiscal year 2019.</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Assumptions and General Principles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166"/>
        <w:spacing w:after="0" w:line="25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the tables assume that each NEO terminated employment on July 31, 2019. Accordingly, the tables reflect amounts earned as of July 31, 2019, and include estimates of amounts that would be paid to the NEO upon the termination or occurrence of a change in control. The actual amounts that would be paid to an NEO can only be determined at the time of termination.</w:t>
      </w:r>
    </w:p>
    <w:p>
      <w:pPr>
        <w:spacing w:after="0" w:line="1" w:lineRule="exact"/>
        <w:rPr>
          <w:rFonts w:ascii="Times New Roman" w:cs="Times New Roman" w:eastAsia="Times New Roman" w:hAnsi="Times New Roman"/>
          <w:sz w:val="18"/>
          <w:szCs w:val="18"/>
          <w:color w:val="auto"/>
        </w:rPr>
      </w:pPr>
    </w:p>
    <w:p>
      <w:pPr>
        <w:jc w:val="both"/>
        <w:ind w:left="660" w:hanging="166"/>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include amounts the Company is obligated to pay the NEO as a result of the severance agreement and executed change in control agreement.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Times New Roman" w:cs="Times New Roman" w:eastAsia="Times New Roman" w:hAnsi="Times New Roman"/>
          <w:sz w:val="18"/>
          <w:szCs w:val="18"/>
          <w:color w:val="auto"/>
        </w:rPr>
      </w:pPr>
    </w:p>
    <w:p>
      <w:pPr>
        <w:ind w:left="660" w:right="20" w:hanging="166"/>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J. Michael Nauman</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2019, and the NEO was required to legally enforce the terms of the agreement.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40" w:type="dxa"/>
            <w:vAlign w:val="bottom"/>
          </w:tcPr>
          <w:p>
            <w:pPr>
              <w:spacing w:after="0"/>
              <w:rPr>
                <w:sz w:val="13"/>
                <w:szCs w:val="13"/>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30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40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4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30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1,612,000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1,612,000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7,786,400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2,237,740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13,273,140</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2019.</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150,520 unvested time-based and performance-based RSUs that would vest due to the change in control.</w:t>
      </w:r>
    </w:p>
    <w:p>
      <w:pPr>
        <w:ind w:left="540" w:right="20" w:hanging="316"/>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188,631 unvested, in-the-money stock options that would vest due to change in control.</w:t>
      </w:r>
    </w:p>
    <w:p>
      <w:pPr>
        <w:ind w:left="540" w:hanging="316"/>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severance terms of Mr. Nauman's offer letter were triggered on July 31, 2019, and the NEO was required to legally enforce the severance terms of the agreement.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480" w:type="dxa"/>
            <w:vAlign w:val="bottom"/>
          </w:tcPr>
          <w:p>
            <w:pPr>
              <w:spacing w:after="0"/>
              <w:rPr>
                <w:sz w:val="12"/>
                <w:szCs w:val="12"/>
                <w:color w:val="auto"/>
              </w:rPr>
            </w:pPr>
          </w:p>
        </w:tc>
        <w:tc>
          <w:tcPr>
            <w:tcW w:w="2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600" w:type="dxa"/>
            <w:vAlign w:val="bottom"/>
          </w:tcPr>
          <w:p>
            <w:pPr>
              <w:spacing w:after="0"/>
              <w:rPr>
                <w:sz w:val="12"/>
                <w:szCs w:val="12"/>
                <w:color w:val="auto"/>
              </w:rPr>
            </w:pPr>
          </w:p>
        </w:tc>
        <w:tc>
          <w:tcPr>
            <w:tcW w:w="2100" w:type="dxa"/>
            <w:vAlign w:val="bottom"/>
            <w:vMerge w:val="restart"/>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0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6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20" w:type="dxa"/>
            <w:vAlign w:val="bottom"/>
            <w:tcBorders>
              <w:top w:val="single" w:sz="8" w:color="auto"/>
            </w:tcBorders>
            <w:shd w:val="clear" w:color="auto" w:fill="CCEEFF"/>
          </w:tcPr>
          <w:p>
            <w:pPr>
              <w:jc w:val="right"/>
              <w:ind w:right="18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1,612,000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1,612,000</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925,398</w:t>
            </w: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4,149,398</w:t>
            </w: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2019.</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17,889 unvested time-based RSUs that would vest due to termination without cause.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Aaron J. Pearce</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2019, and the NEO was required to legally enforce the terms of the agreement.</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792,880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700,169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2,382,270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777,520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4,677,839</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2019, 2018 and 2017.</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46,052 unvested time-based and performance-based RSUs that would vest due to the change in control.</w:t>
      </w:r>
    </w:p>
    <w:p>
      <w:pPr>
        <w:ind w:left="540" w:hanging="316"/>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65,087 unvested, in-the-money stock options that would vest due to change in control.</w:t>
      </w: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Louis T. Bolognini</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2019, and the NEO was required to legally enforce the terms of the agreement.</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700,554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515,435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879,876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287,137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2,408,002</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2019, 2018 and 2017.</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17,009 unvested time-based and performance-based RSUs that would vest due to the change in control.</w:t>
      </w:r>
    </w:p>
    <w:p>
      <w:pPr>
        <w:ind w:left="540" w:hanging="316"/>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24,037 unvested, in-the-money stock options that would vest due to change in control.</w:t>
      </w:r>
    </w:p>
    <w:p>
      <w:pPr>
        <w:ind w:left="540" w:hanging="316"/>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Helena R. Nelligan</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2019, and the NEO was required to legally enforce the terms of the agreement.</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316,787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164,188</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1,275,869</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265,053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2,046,897</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annual cash incentive payment received in the last three fiscal years ended July 31, 2019, 2018 and 2017.</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24,664 unvested time-based and performance-based RSUs that would vest due to the change in control.</w:t>
      </w:r>
    </w:p>
    <w:p>
      <w:pPr>
        <w:ind w:left="540" w:hanging="316"/>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22,188 unvested, in-the-money stock options that would vest due to change in control.</w:t>
      </w: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Russell R. Shaller</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2019, and the NEO was required to legally enforce the terms of the agreement.</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757,862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757,778</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1,791,100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512,194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3,843,934</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316"/>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2019, 2018 and 2017.</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34,624 unvested time-based and performance-based RSUs that would vest due to the change in control.</w:t>
      </w:r>
    </w:p>
    <w:p>
      <w:pPr>
        <w:ind w:left="540" w:hanging="316"/>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44,066 unvested, in-the-money stock options that would vest due to change in control.</w:t>
      </w:r>
    </w:p>
    <w:p>
      <w:pPr>
        <w:ind w:left="540" w:hanging="316"/>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severance terms of Mr. Shaller's offer letter were triggered on July 31, 2019, and the NEO was required to legally enforce the severance terms of the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30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540" w:type="dxa"/>
            <w:vAlign w:val="bottom"/>
          </w:tcPr>
          <w:p>
            <w:pPr>
              <w:spacing w:after="0"/>
              <w:rPr>
                <w:sz w:val="16"/>
                <w:szCs w:val="16"/>
                <w:color w:val="auto"/>
              </w:rPr>
            </w:pPr>
          </w:p>
        </w:tc>
        <w:tc>
          <w:tcPr>
            <w:tcW w:w="3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60" w:type="dxa"/>
            <w:vAlign w:val="bottom"/>
          </w:tcPr>
          <w:p>
            <w:pPr>
              <w:spacing w:after="0"/>
              <w:rPr>
                <w:sz w:val="16"/>
                <w:szCs w:val="16"/>
                <w:color w:val="auto"/>
              </w:rPr>
            </w:pPr>
          </w:p>
        </w:tc>
        <w:tc>
          <w:tcPr>
            <w:tcW w:w="2860" w:type="dxa"/>
            <w:vAlign w:val="bottom"/>
          </w:tcPr>
          <w:p>
            <w:pPr>
              <w:jc w:val="right"/>
              <w:ind w:right="151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42"/>
        </w:trPr>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378,931</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223,194</w:t>
            </w:r>
          </w:p>
        </w:tc>
        <w:tc>
          <w:tcPr>
            <w:tcW w:w="12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602,125</w:t>
            </w:r>
          </w:p>
        </w:tc>
      </w:tr>
      <w:tr>
        <w:trPr>
          <w:trHeight w:val="27"/>
        </w:trPr>
        <w:tc>
          <w:tcPr>
            <w:tcW w:w="6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540" w:hanging="316"/>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 times the base salary in effect at July 31, 2019.</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 times the target annual cash incentive amount in effect at July 31,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Due to Death or Disability</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200" w:type="dxa"/>
            <w:vAlign w:val="bottom"/>
          </w:tcPr>
          <w:p>
            <w:pPr>
              <w:spacing w:after="0"/>
              <w:rPr>
                <w:sz w:val="13"/>
                <w:szCs w:val="13"/>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Unvested, In-the-Money</w:t>
            </w:r>
          </w:p>
        </w:tc>
        <w:tc>
          <w:tcPr>
            <w:tcW w:w="260" w:type="dxa"/>
            <w:vAlign w:val="bottom"/>
          </w:tcPr>
          <w:p>
            <w:pPr>
              <w:spacing w:after="0"/>
              <w:rPr>
                <w:sz w:val="13"/>
                <w:szCs w:val="13"/>
                <w:color w:val="auto"/>
              </w:rPr>
            </w:pPr>
          </w:p>
        </w:tc>
        <w:tc>
          <w:tcPr>
            <w:tcW w:w="142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as of</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 $ (1)</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6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Gain $ (2)</w:t>
            </w: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17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7,786,400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188,631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2,237,740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17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46,052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2,382,270</w:t>
            </w:r>
          </w:p>
        </w:tc>
        <w:tc>
          <w:tcPr>
            <w:tcW w:w="12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65,087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777,520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1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879,876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287,137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17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24,664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1,275,869</w:t>
            </w:r>
          </w:p>
        </w:tc>
        <w:tc>
          <w:tcPr>
            <w:tcW w:w="12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22,188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265,053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1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34,624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1,791,100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44,066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512,194</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80" w:hanging="329"/>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$51.73 on unvested awards that would vest due to death or disability.</w:t>
      </w:r>
    </w:p>
    <w:p>
      <w:pPr>
        <w:spacing w:after="0" w:line="27" w:lineRule="exact"/>
        <w:rPr>
          <w:rFonts w:ascii="Times New Roman" w:cs="Times New Roman" w:eastAsia="Times New Roman" w:hAnsi="Times New Roman"/>
          <w:sz w:val="18"/>
          <w:szCs w:val="18"/>
          <w:color w:val="auto"/>
        </w:rPr>
      </w:pPr>
    </w:p>
    <w:p>
      <w:pPr>
        <w:ind w:left="580" w:right="140" w:hanging="329"/>
        <w:spacing w:after="0" w:line="261"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$51.73 and the exercise price on unvested, in-the-money stock options that would vest due to death or disability.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Without Cause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event of termination without cause, as defined in the NEO's offer letter or in the officer's equity agreements, as applicable, certain restricted stock awards would immediately become unrestricted and fully vested. The following table shows the amount payable to the NEOs should this event occur on July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200" w:type="dxa"/>
            <w:vAlign w:val="bottom"/>
          </w:tcPr>
          <w:p>
            <w:pPr>
              <w:spacing w:after="0"/>
              <w:rPr>
                <w:sz w:val="13"/>
                <w:szCs w:val="13"/>
                <w:color w:val="auto"/>
              </w:rPr>
            </w:pPr>
          </w:p>
        </w:tc>
        <w:tc>
          <w:tcPr>
            <w:tcW w:w="1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0" w:type="dxa"/>
            <w:vAlign w:val="bottom"/>
          </w:tcPr>
          <w:p>
            <w:pPr>
              <w:spacing w:after="0"/>
              <w:rPr>
                <w:sz w:val="1"/>
                <w:szCs w:val="1"/>
                <w:color w:val="auto"/>
              </w:rPr>
            </w:pPr>
          </w:p>
        </w:tc>
      </w:tr>
      <w:tr>
        <w:trPr>
          <w:trHeight w:val="149"/>
        </w:trPr>
        <w:tc>
          <w:tcPr>
            <w:tcW w:w="7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as of</w:t>
            </w:r>
          </w:p>
        </w:tc>
        <w:tc>
          <w:tcPr>
            <w:tcW w:w="200" w:type="dxa"/>
            <w:vAlign w:val="bottom"/>
          </w:tcPr>
          <w:p>
            <w:pPr>
              <w:spacing w:after="0"/>
              <w:rPr>
                <w:sz w:val="12"/>
                <w:szCs w:val="12"/>
                <w:color w:val="auto"/>
              </w:rPr>
            </w:pPr>
          </w:p>
        </w:tc>
        <w:tc>
          <w:tcPr>
            <w:tcW w:w="16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0" w:type="dxa"/>
            <w:vAlign w:val="bottom"/>
          </w:tcPr>
          <w:p>
            <w:pPr>
              <w:spacing w:after="0"/>
              <w:rPr>
                <w:sz w:val="1"/>
                <w:szCs w:val="1"/>
                <w:color w:val="auto"/>
              </w:rPr>
            </w:pPr>
          </w:p>
        </w:tc>
      </w:tr>
      <w:tr>
        <w:trPr>
          <w:trHeight w:val="195"/>
        </w:trPr>
        <w:tc>
          <w:tcPr>
            <w:tcW w:w="7580" w:type="dxa"/>
            <w:vAlign w:val="bottom"/>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00" w:type="dxa"/>
            <w:vAlign w:val="bottom"/>
          </w:tcPr>
          <w:p>
            <w:pPr>
              <w:spacing w:after="0"/>
              <w:rPr>
                <w:sz w:val="16"/>
                <w:szCs w:val="16"/>
                <w:color w:val="auto"/>
              </w:rPr>
            </w:pPr>
          </w:p>
        </w:tc>
        <w:tc>
          <w:tcPr>
            <w:tcW w:w="1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Gain $ (1)</w:t>
            </w:r>
          </w:p>
        </w:tc>
        <w:tc>
          <w:tcPr>
            <w:tcW w:w="0" w:type="dxa"/>
            <w:vAlign w:val="bottom"/>
          </w:tcPr>
          <w:p>
            <w:pPr>
              <w:spacing w:after="0"/>
              <w:rPr>
                <w:sz w:val="1"/>
                <w:szCs w:val="1"/>
                <w:color w:val="auto"/>
              </w:rPr>
            </w:pPr>
          </w:p>
        </w:tc>
      </w:tr>
      <w:tr>
        <w:trPr>
          <w:trHeight w:val="24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18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925,398</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A.J. Pearce</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Bolognini</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H.R. Nelligan</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R.R. Shaller</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Represents the closing market price of $51.73 on unvested awards that would vest due to termination without cause.</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type w:val="continuous"/>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the Company is providing the following disclosure detailing the ratio of the total compensation of Michael Nauman, our CEO, to the total compensation of our median employee.</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first determined our median employee during and for fiscal 2018 for purposes of determining our CEO pay ratio by identifying the employee whose compensation was at the median our employee population (other than the CEO). The applicable SEC rules require us to identify a “median employee” at least once every three years, as long as there have been no material changes in our employee population or employee compensation arrangements that we reasonably believe would result in a significant change to our CEO pay ratio disclosure.</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elected to use the same median employee from fiscal 2018, updated with the compensation earned by the employee in fiscal 2019, for our 2019 CEO Pay Ratio, as there have been no material changes in our employee population or employee compensation arrangements that we believe would significantly impact the Company’s CEO pay ratio disclosure.</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Pay Ratio Methodology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used the following methodology and material assumptions to identify the median employee of its workforce:</w:t>
      </w:r>
    </w:p>
    <w:p>
      <w:pPr>
        <w:spacing w:after="0" w:line="171" w:lineRule="exact"/>
        <w:rPr>
          <w:sz w:val="20"/>
          <w:szCs w:val="20"/>
          <w:color w:val="auto"/>
        </w:rPr>
      </w:pPr>
    </w:p>
    <w:p>
      <w:pPr>
        <w:ind w:left="660" w:hanging="166"/>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date of May 31, 2018 was used, which is within three months of the Company's fiscal year end, to identify the median employee. On this date, the Company's employee population consisted of 6,212 individuals; 1,778 in the United States and 4,434 outside of the United States.</w:t>
      </w:r>
    </w:p>
    <w:p>
      <w:pPr>
        <w:ind w:left="660" w:hanging="166"/>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annual total cash compensation earned by our employees, as compiled from our payroll records. This reflects the principal forms of compensation delivered to all of our employees and this information is readily available in each country.</w:t>
      </w:r>
    </w:p>
    <w:p>
      <w:pPr>
        <w:ind w:left="660" w:right="20" w:hanging="166"/>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compensation was calculated in the same manner as we calculated total compensation for each of the NEOs in the Summary Compensation Table and also includes contributions to health and welfare benefits.</w:t>
      </w:r>
    </w:p>
    <w:p>
      <w:pPr>
        <w:ind w:left="660" w:hanging="16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employees to cover the full fiscal year ending July 31, 2018.</w:t>
      </w:r>
    </w:p>
    <w:p>
      <w:pPr>
        <w:spacing w:after="0" w:line="9" w:lineRule="exact"/>
        <w:rPr>
          <w:rFonts w:ascii="Times New Roman" w:cs="Times New Roman" w:eastAsia="Times New Roman" w:hAnsi="Times New Roman"/>
          <w:sz w:val="18"/>
          <w:szCs w:val="18"/>
          <w:color w:val="auto"/>
        </w:rPr>
      </w:pPr>
    </w:p>
    <w:p>
      <w:pPr>
        <w:ind w:left="660" w:right="20" w:hanging="166"/>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applied the “de minimis” exemption to exclude 308 employees from the following countries: Brazil (126), Malaysia (167), Philippines (4), and Turkey (11).</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median of the annual total compensation of all employees, except the CEO, is $35,878. The annual total compensation of the CEO is $5,240.929.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CEO pay ratio is 146:1.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 regarding Director compensation. Directors who are employees of the Company receive no additional compensation for service on the Board or on any committee of the Board.</w:t>
      </w:r>
    </w:p>
    <w:p>
      <w:pPr>
        <w:spacing w:after="0" w:line="2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fiscal 2019, the annual cash retainer paid to non-management Directors was $60,000. Each member of the Audit Committee received an annual retainer of $15,000, and an additional annual retainer of $15,000 was paid to the Chair;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as required by the Board. No such special assignment fees were paid in fiscal year 2019.</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fiscal 2019, the Chair of the Board was paid an annual fee of $60,000, consistent with the evolving role of independent board leadership and the enhanced responsibilities of the position. Mr. Goodkind served as Chair of the Board in fiscal 2019.</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Board has established stock ownership requirements for Directors. The ownership requirement for each director is five times the annual Board retainer. Directors have five years to achieve their stock ownership requirements. All Directors, except Dr. Bem and Dr. Williams, who were each elected to the Board in February 2019, have achieved their stock ownership requirements.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Brady Corporation 2017 Omnibus Incentive Stock Plan, 5,000,000 shares of the Company's Class A Common Stock have been authorized for issuance to Directors and employees. The Board has full and final authority to designate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non-management Directors to whom awards will be granted, the date on which awards will be granted and the number of shares of stock covered by each grant.</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September 11, 2018, the Board approved an annual stock-based compensation award of $109,000 in unrestricted shares of Class A Common Stock (having a grant date fair value of $43.98 per share), for each non-management Director, effective September 25, 2018.</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Matched 401(k) Plan. A Director may elect whether to receive his/her account balance following termination in a single lump sum payment or by means of distribution under an annual installment method. Distributions of the Company Class A Nonvoting Common Stock are made in-kind; distributions of mutual funds are in cash.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 Fiscal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50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Awards ($)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W. Allender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214,026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Gary S. Balkema</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208,026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David S. Bem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43,125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152,169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Elizabeth P. Bruno</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189,026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Nancy L. Gioia</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201,026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Conrad G. Goodkind</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271,526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Frank W. Harris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191,026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Bradley C. Richardson</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221,026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Michelle E. Williams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43,125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152,169</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540" w:hanging="316"/>
        <w:spacing w:after="0" w:line="255"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awarded to non-management Directors in fiscal 2019. Outstanding option awards at July 31, 2019, for each individual who served as Director in fiscal 2019 include the following: Mr. Allender, 33,800; Mr. Balkema, 35,400; Ms. Bruno, 25,400; Ms. Gioia, 8,500; Mr. Goodkind, 25,400; and Mr. Harris, 25,400. The actual value, if any, which an option holder will realize upon the exercise of an option will depend on the excess of the market value of the Company's common stock over the exercise price on the date the option is exercised.</w:t>
      </w:r>
    </w:p>
    <w:p>
      <w:pPr>
        <w:spacing w:after="0" w:line="2"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shares of Brady Corporation Class A Non-Voting Common Stock granted in fiscal 2019 as compensation for their services. The shares of unrestricted stock and RSUs granted to the non-management directors were valued at the average of the high and low market price of $43.98 on September 25, 2018, for those non-management directors on the board as of that grant date, and $46.58 on February 18, 2019, for those newly appointed non-management directors.</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Bem and Dr. Williams were appointed as directors effective February 18, 2019.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Certain Beneficial Owners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shareholders who are known by the Company to own more than five percent (5%) of any class of the Company’s voting shares on August 1, 2019. As of that date, nearly all of the voting stock of the Company was held by two trusts controlled by direct descendants of the Company’s founder, William H. Brady, as follows:</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20" w:type="dxa"/>
            <w:vAlign w:val="bottom"/>
            <w:vMerge w:val="restart"/>
          </w:tcPr>
          <w:p>
            <w:pPr>
              <w:spacing w:after="0"/>
              <w:rPr>
                <w:sz w:val="13"/>
                <w:szCs w:val="13"/>
                <w:color w:val="auto"/>
              </w:rPr>
            </w:pPr>
          </w:p>
        </w:tc>
        <w:tc>
          <w:tcPr>
            <w:tcW w:w="440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vMerge w:val="restart"/>
          </w:tcPr>
          <w:p>
            <w:pPr>
              <w:spacing w:after="0"/>
              <w:rPr>
                <w:sz w:val="13"/>
                <w:szCs w:val="13"/>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20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Ownership(2)</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EBL GST Non-Exempt Stock B Trust(1) c/o Elizabeth P.</w:t>
            </w:r>
          </w:p>
        </w:tc>
        <w:tc>
          <w:tcPr>
            <w:tcW w:w="1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Bruno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H. Brady III Living Trust dated November 1, 2013</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 William H. Brady III</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 Rosemont Ave.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Pasadena, CA 91103</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hanging="316"/>
        <w:spacing w:after="0" w:line="261" w:lineRule="auto"/>
        <w:tabs>
          <w:tab w:leader="none" w:pos="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ind w:left="540" w:hanging="316"/>
        <w:spacing w:after="0"/>
        <w:tabs>
          <w:tab w:leader="none" w:pos="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shares are owned by a third trust with different trustees.</w:t>
      </w:r>
    </w:p>
    <w:p>
      <w:pPr>
        <w:spacing w:after="0" w:line="9"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each class of equity securities of the Company by each Director and NEO individually and by all Directors and Officers of the Company as a group as of August 1, 2019. Unless otherwise noted, the address for each of the listed persons is c/o Brady Corporation, 6555 West Good Hope Road, Milwaukee, Wisconsin 53223. Except as otherwise indicated, all shares are owned directly.</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Ownership(3)(4)(5)</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 A Common Stock</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Elizabeth P. Bruno (1)</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1,212,997</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 Michael Nauman</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520,756</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Aaron J. Pearce</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231,857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Conrad G. Goodkind</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162,912</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Patrick W. Allender (2)</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120,745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Russell R. Shaller</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86,807</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Gary S. Balkema</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56,519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Bradley C. Richardson</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54,998</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Frank W. Harris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52,569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Helena R. Nelligan</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52,321</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Louis T. Bolognini</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46,332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Nancy L. Gioia</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24,309</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Michelle E. Williams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David S. Bem</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2,341</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Officers and Directors as a Group (17 persons)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2,983,674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 B Common Stock</w:t>
            </w:r>
          </w:p>
        </w:tc>
        <w:tc>
          <w:tcPr>
            <w:tcW w:w="5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Elizabeth P. Bruno (1)</w:t>
            </w:r>
          </w:p>
        </w:tc>
        <w:tc>
          <w:tcPr>
            <w:tcW w:w="1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1,769,304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20" w:hanging="442"/>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one-tenth of one percent.</w:t>
      </w:r>
    </w:p>
    <w:p>
      <w:pPr>
        <w:spacing w:after="0" w:line="117" w:lineRule="exact"/>
        <w:rPr>
          <w:sz w:val="20"/>
          <w:szCs w:val="20"/>
          <w:color w:val="auto"/>
        </w:rPr>
      </w:pPr>
    </w:p>
    <w:p>
      <w:pPr>
        <w:ind w:left="540" w:right="20" w:hanging="316"/>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Bruno’s holdings of Class A Common Stock include 806,296 shares owned by a trust for which she is a trustee and has sole dispositive and voting authority and 34,530 shares owned by trusts in which she is a co-trustee. Ms. Bruno’s</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holdings of Class B Common Stock include 1,769,304 shares owned by a trust over which she has sole dispositive and voting authority.</w:t>
      </w:r>
    </w:p>
    <w:p>
      <w:pPr>
        <w:spacing w:after="0" w:line="27" w:lineRule="exact"/>
        <w:rPr>
          <w:sz w:val="20"/>
          <w:szCs w:val="20"/>
          <w:color w:val="auto"/>
        </w:rPr>
      </w:pPr>
    </w:p>
    <w:p>
      <w:pPr>
        <w:ind w:left="540" w:hanging="316"/>
        <w:spacing w:after="0"/>
        <w:tabs>
          <w:tab w:leader="none" w:pos="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Allender's holdings of Class A Common Stock include 20,000 shares owned by the Patrick and Deborah Allender Irrevocable Trust.</w:t>
      </w:r>
    </w:p>
    <w:p>
      <w:pPr>
        <w:spacing w:after="0" w:line="22"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options to acquire a total of 1,044,332 shares of Class A Common Stock, which are currently exercisable or will be exercisable within 60 days of July 31, 2019, including the following: Ms. Bruno, 25,400 shares; Mr. Nauman, 374,845 shares; Mr. Pearce, 170,092 shares; Mr. Goodkind, 25,400 shares; Mr. Allender, 33,800 shares; Mr. Shaller, 45,111 shares; Mr. Balkema, 35,400 shares; Mr. Richardson, 0 shares; Mr. Harris, 25,400 shares; Ms. Nelligan, 23,991 shares; Mr. Bolognini, 16,701 shares; Ms. Gioia, 8,500 shares; Dr. Williams, 0 shares; and Dr. Bem, 0 shares. It does not include other options for Class A Common Stock which have been granted at later dates and are not exercisable within 60 days of July 31, 2019.</w:t>
      </w:r>
    </w:p>
    <w:p>
      <w:pPr>
        <w:spacing w:after="0" w:line="2" w:lineRule="exact"/>
        <w:rPr>
          <w:rFonts w:ascii="Times New Roman" w:cs="Times New Roman" w:eastAsia="Times New Roman" w:hAnsi="Times New Roman"/>
          <w:sz w:val="18"/>
          <w:szCs w:val="18"/>
          <w:color w:val="auto"/>
        </w:rPr>
      </w:pPr>
    </w:p>
    <w:p>
      <w:pPr>
        <w:jc w:val="both"/>
        <w:ind w:left="540" w:hanging="316"/>
        <w:spacing w:after="0" w:line="250" w:lineRule="auto"/>
        <w:tabs>
          <w:tab w:leader="none" w:pos="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unvested restricted stock units to acquire 154,925 shares of Class A Common stock, which will vest within 60 days of July 31, 2019, including the following: Mr. Nauman, 81,555 units; Mr. Pearce, 22,315 units; Mr. Shaller, 7,155 units; Ms. Nelligan, 9,401 units; and Mr. Bolognini, 8,242 units. No unvested restricted stock units were held by directors which will vest within 60 days of July 31, 2019. It does not include unvested restricted stock awards or restricted stock units to acquire Class A Common Stock which have been granted at later dates and will not vest within 60 days of July 31, 2019.</w:t>
      </w:r>
    </w:p>
    <w:p>
      <w:pPr>
        <w:spacing w:after="0" w:line="2" w:lineRule="exact"/>
        <w:rPr>
          <w:rFonts w:ascii="Times New Roman" w:cs="Times New Roman" w:eastAsia="Times New Roman" w:hAnsi="Times New Roman"/>
          <w:sz w:val="18"/>
          <w:szCs w:val="18"/>
          <w:color w:val="auto"/>
        </w:rPr>
      </w:pPr>
    </w:p>
    <w:p>
      <w:pPr>
        <w:jc w:val="both"/>
        <w:ind w:left="540" w:hanging="316"/>
        <w:spacing w:after="0" w:line="253" w:lineRule="auto"/>
        <w:tabs>
          <w:tab w:leader="none" w:pos="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Class A Common Stock owned in deferred compensation plans totaling 233,347 shares of Class A Common Stock, including the following: Ms. Bruno, 2,639 shares; Mr. Nauman, 0 shares; Mr. Pearce, 3,701 shares; Mr. Goodkind, 74,577 shares; Mr. Allender, 64,431 shares; Mr. Shaller, 0 shares; Mr. Balkema, 17,669 shares; Mr. Richardson, 49,828 shares; Mr. Harris, 0 shares; Ms. Nelligan, 0 shares; Mr. Bolognini, 0 shares; Ms. Gioia, 5,189 shares; Dr. Williams, 3,232 shares; and Dr. Bem, 0 shares.</w:t>
      </w:r>
    </w:p>
    <w:p>
      <w:pPr>
        <w:spacing w:after="0" w:line="21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in Control</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arrangements are known to the Company, which may, at a subsequent date, result in a change in control of the Company.</w:t>
      </w:r>
    </w:p>
    <w:p>
      <w:pPr>
        <w:spacing w:after="0" w:line="167" w:lineRule="exact"/>
        <w:rPr>
          <w:sz w:val="20"/>
          <w:szCs w:val="20"/>
          <w:color w:val="auto"/>
        </w:rPr>
      </w:pPr>
    </w:p>
    <w:p>
      <w:pPr>
        <w:ind w:left="280" w:hanging="272"/>
        <w:spacing w:after="0"/>
        <w:tabs>
          <w:tab w:leader="none" w:pos="2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July 31, 2019</w:t>
            </w:r>
          </w:p>
        </w:tc>
        <w:tc>
          <w:tcPr>
            <w:tcW w:w="2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212"/>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1,941,764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3,682,157</w:t>
            </w:r>
          </w:p>
        </w:tc>
        <w:tc>
          <w:tcPr>
            <w:tcW w:w="0" w:type="dxa"/>
            <w:vAlign w:val="bottom"/>
          </w:tcPr>
          <w:p>
            <w:pPr>
              <w:spacing w:after="0"/>
              <w:rPr>
                <w:sz w:val="1"/>
                <w:szCs w:val="1"/>
                <w:color w:val="auto"/>
              </w:rPr>
            </w:pP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compensation plans not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None</w:t>
            </w:r>
          </w:p>
        </w:tc>
        <w:tc>
          <w:tcPr>
            <w:tcW w:w="300" w:type="dxa"/>
            <w:vAlign w:val="bottom"/>
          </w:tcPr>
          <w:p>
            <w:pPr>
              <w:spacing w:after="0"/>
              <w:rPr>
                <w:sz w:val="18"/>
                <w:szCs w:val="18"/>
                <w:color w:val="auto"/>
              </w:rPr>
            </w:pP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None</w:t>
            </w:r>
          </w:p>
        </w:tc>
        <w:tc>
          <w:tcPr>
            <w:tcW w:w="2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1,941,764</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3,682,157</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w:t>
      </w:r>
    </w:p>
    <w:p>
      <w:pPr>
        <w:sectPr>
          <w:pgSz w:w="11900" w:h="16838" w:orient="portrait"/>
          <w:cols w:equalWidth="0" w:num="1">
            <w:col w:w="11420"/>
          </w:cols>
          <w:pgMar w:left="240" w:top="118"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type w:val="continuous"/>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284" w:lineRule="exact"/>
        <w:rPr>
          <w:sz w:val="20"/>
          <w:szCs w:val="20"/>
          <w:color w:val="auto"/>
        </w:rPr>
      </w:pPr>
    </w:p>
    <w:p>
      <w:pPr>
        <w:jc w:val="both"/>
        <w:ind w:left="120" w:firstLine="459"/>
        <w:spacing w:after="0" w:line="255" w:lineRule="auto"/>
        <w:rPr>
          <w:sz w:val="20"/>
          <w:szCs w:val="20"/>
          <w:color w:val="auto"/>
        </w:rPr>
      </w:pPr>
      <w:r>
        <w:rPr>
          <w:rFonts w:ascii="Times New Roman" w:cs="Times New Roman" w:eastAsia="Times New Roman" w:hAnsi="Times New Roman"/>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2019.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2019, or are currently proposed, that would require disclosure under Item 404 (a) of Regulation S-K.</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Item 10 above for a discussion of Director independence.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fees incurred for professional services by Deloitte &amp; Touche LLP and Deloitte Tax LLP during the years ended July 31, 2019 and 2018. Other than as set forth below, no professional services were rendered or fees billed by Deloitte &amp; Touche LLP or Deloitte Tax LLP during the years ended July 31,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2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766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5"/>
                <w:szCs w:val="25"/>
                <w:color w:val="auto"/>
                <w:vertAlign w:val="superscript"/>
              </w:rPr>
              <w:t>(1)</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1,235</w:t>
            </w: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609</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1,844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i w:val="1"/>
                <w:iCs w:val="1"/>
                <w:color w:val="auto"/>
              </w:rPr>
              <w:t>Subtotal non-audit related fees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40" w:type="dxa"/>
            <w:vAlign w:val="bottom"/>
            <w:tcBorders>
              <w:top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2,164</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-1594485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ind w:left="540" w:hanging="316"/>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Tax Planning and Advice Fees to Audit Fees, Audit-Related Fees and Tax Compliance Fees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 to 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Pre-Approval Policy — </w:t>
      </w:r>
      <w:r>
        <w:rPr>
          <w:rFonts w:ascii="Times New Roman" w:cs="Times New Roman" w:eastAsia="Times New Roman" w:hAnsi="Times New Roman"/>
          <w:sz w:val="18"/>
          <w:szCs w:val="18"/>
          <w:color w:val="auto"/>
        </w:rPr>
        <w:t>The services performed by the Independent Registered Public Accounting Firm (“Independent Auditors”) in fiscal 2019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15 (a) — The following documents are filed as part of this report:</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 &amp; 2) Consolidated Financial Statement Schedule -</w:t>
      </w:r>
    </w:p>
    <w:p>
      <w:pPr>
        <w:spacing w:after="0" w:line="1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171" w:lineRule="exact"/>
        <w:rPr>
          <w:sz w:val="20"/>
          <w:szCs w:val="20"/>
          <w:color w:val="auto"/>
        </w:rPr>
      </w:pPr>
    </w:p>
    <w:p>
      <w:pPr>
        <w:ind w:left="1460" w:hanging="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they are not required, or the required information is shown in the consolidated financial statements or notes thereto.</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 Exhibits — See Exhibit Index at page 88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40" w:type="dxa"/>
            <w:vAlign w:val="bottom"/>
            <w:gridSpan w:val="20"/>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86"/>
        </w:trPr>
        <w:tc>
          <w:tcPr>
            <w:tcW w:w="198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15"/>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19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01"/>
        </w:trPr>
        <w:tc>
          <w:tcPr>
            <w:tcW w:w="1980" w:type="dxa"/>
            <w:vAlign w:val="bottom"/>
            <w:tcBorders>
              <w:bottom w:val="single" w:sz="8" w:color="CCEEFF"/>
            </w:tcBorders>
            <w:shd w:val="clear" w:color="auto" w:fill="CCEEFF"/>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9440" w:type="dxa"/>
            <w:vAlign w:val="bottom"/>
            <w:tcBorders>
              <w:bottom w:val="single" w:sz="8" w:color="0000FF"/>
            </w:tcBorders>
            <w:gridSpan w:val="25"/>
            <w:shd w:val="clear" w:color="auto" w:fill="CCEEFF"/>
          </w:tcPr>
          <w:p>
            <w:pPr>
              <w:spacing w:after="0" w:line="201"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Agreement and Plan of Merger, dated as of December 28, 2012, by and among Brady Corporation, BC I Merger Sub Corporation,</w:t>
              </w:r>
            </w:hyperlink>
          </w:p>
        </w:tc>
      </w:tr>
      <w:tr>
        <w:trPr>
          <w:trHeight w:val="196"/>
        </w:trPr>
        <w:tc>
          <w:tcPr>
            <w:tcW w:w="1980" w:type="dxa"/>
            <w:vAlign w:val="bottom"/>
            <w:shd w:val="clear" w:color="auto" w:fill="CCEEFF"/>
          </w:tcPr>
          <w:p>
            <w:pPr>
              <w:spacing w:after="0"/>
              <w:rPr>
                <w:sz w:val="17"/>
                <w:szCs w:val="17"/>
                <w:color w:val="auto"/>
              </w:rPr>
            </w:pPr>
          </w:p>
        </w:tc>
        <w:tc>
          <w:tcPr>
            <w:tcW w:w="94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Precision Dynamics Corporation, and Precision Dynamics Holding LLC (29)</w:t>
              </w:r>
            </w:hyperlink>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8700" w:type="dxa"/>
            <w:vAlign w:val="bottom"/>
            <w:tcBorders>
              <w:bottom w:val="single" w:sz="8" w:color="0000FF"/>
            </w:tcBorders>
            <w:gridSpan w:val="21"/>
          </w:tcPr>
          <w:p>
            <w:pPr>
              <w:spacing w:after="0" w:line="20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Share and Asset Purchase Agreement, dated as of February 24, 2014, by and among Brady Corporation and LTI Flexible</w:t>
              </w:r>
            </w:hyperlink>
          </w:p>
        </w:tc>
        <w:tc>
          <w:tcPr>
            <w:tcW w:w="740" w:type="dxa"/>
            <w:vAlign w:val="bottom"/>
            <w:gridSpan w:val="4"/>
          </w:tcPr>
          <w:p>
            <w:pPr>
              <w:spacing w:after="0"/>
              <w:rPr>
                <w:sz w:val="17"/>
                <w:szCs w:val="17"/>
                <w:color w:val="auto"/>
              </w:rPr>
            </w:pPr>
          </w:p>
        </w:tc>
      </w:tr>
      <w:tr>
        <w:trPr>
          <w:trHeight w:val="196"/>
        </w:trPr>
        <w:tc>
          <w:tcPr>
            <w:tcW w:w="198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Products, Inc. (d/b/a Boyd Corporation) (6)</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9440" w:type="dxa"/>
            <w:vAlign w:val="bottom"/>
            <w:tcBorders>
              <w:bottom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Restated Articles of Incorporation of Brady Corporation (1)</w:t>
            </w: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By-laws of Brady Corporation, as amended (23)</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16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Description of Brady Corporation securities</w:t>
              </w:r>
            </w:hyperlink>
          </w:p>
        </w:tc>
        <w:tc>
          <w:tcPr>
            <w:tcW w:w="628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Change of Control Agreement, amended as of December 23, 2008, entered into with Thomas J. Felmer (12)</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w:t>
            </w:r>
          </w:p>
        </w:tc>
        <w:tc>
          <w:tcPr>
            <w:tcW w:w="9440" w:type="dxa"/>
            <w:vAlign w:val="bottom"/>
            <w:tcBorders>
              <w:bottom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Brady Corporation BradyGold Plan, as amended (2)</w:t>
            </w:r>
          </w:p>
        </w:tc>
      </w:tr>
      <w:tr>
        <w:trPr>
          <w:trHeight w:val="243"/>
        </w:trPr>
        <w:tc>
          <w:tcPr>
            <w:tcW w:w="1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c>
          <w:tcPr>
            <w:tcW w:w="9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Executive Additional Compensation Plan, as amended (2)</w:t>
            </w:r>
          </w:p>
        </w:tc>
      </w:tr>
      <w:tr>
        <w:trPr>
          <w:trHeight w:val="27"/>
        </w:trPr>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4140" w:type="dxa"/>
            <w:vAlign w:val="bottom"/>
            <w:tcBorders>
              <w:bottom w:val="single" w:sz="8" w:color="0000FF"/>
            </w:tcBorders>
            <w:gridSpan w:val="10"/>
            <w:shd w:val="clear" w:color="auto" w:fill="CCEEFF"/>
          </w:tcPr>
          <w:p>
            <w:pPr>
              <w:spacing w:after="0" w:line="202"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Executive Deferred Compensation Plan, as amended (37)</w:t>
              </w:r>
            </w:hyperlink>
          </w:p>
        </w:tc>
        <w:tc>
          <w:tcPr>
            <w:tcW w:w="5300" w:type="dxa"/>
            <w:vAlign w:val="bottom"/>
            <w:tcBorders>
              <w:bottom w:val="single" w:sz="8" w:color="CCEEFF"/>
            </w:tcBorders>
            <w:gridSpan w:val="15"/>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Directors’ Deferred Compensation Plan, as amended (37)</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94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Forms of Nonqualified Employee Stock Option Agreement, Director Nonqualified Stock Option Agreement, and Employee</w:t>
              </w:r>
            </w:hyperlink>
          </w:p>
        </w:tc>
      </w:tr>
      <w:tr>
        <w:trPr>
          <w:trHeight w:val="244"/>
        </w:trPr>
        <w:tc>
          <w:tcPr>
            <w:tcW w:w="198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Performance Stock Option Agreement under the Brady Corporation 2006 Omnibus Incentive Stock Plan (10)</w:t>
              </w:r>
            </w:hyperlink>
          </w:p>
        </w:tc>
        <w:tc>
          <w:tcPr>
            <w:tcW w:w="156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Brady Corporation 2017 Omnibus Incentive Plan (27)</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94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Nonqualified Stock Option Agreement under the Brady Corporation 2017 Omnibus Incentive Plan for awards granted</w:t>
              </w:r>
            </w:hyperlink>
          </w:p>
        </w:tc>
      </w:tr>
      <w:tr>
        <w:trPr>
          <w:trHeight w:val="244"/>
        </w:trPr>
        <w:tc>
          <w:tcPr>
            <w:tcW w:w="1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prior to Fiscal 2019 (33)</w:t>
              </w:r>
            </w:hyperlink>
          </w:p>
        </w:tc>
        <w:tc>
          <w:tcPr>
            <w:tcW w:w="7680" w:type="dxa"/>
            <w:vAlign w:val="bottom"/>
            <w:tcBorders>
              <w:bottom w:val="single" w:sz="8" w:color="CCEEFF"/>
            </w:tcBorders>
            <w:gridSpan w:val="22"/>
            <w:shd w:val="clear" w:color="auto" w:fill="CCEEFF"/>
          </w:tcPr>
          <w:p>
            <w:pPr>
              <w:spacing w:after="0"/>
              <w:rPr>
                <w:sz w:val="21"/>
                <w:szCs w:val="21"/>
                <w:color w:val="auto"/>
              </w:rPr>
            </w:pPr>
          </w:p>
        </w:tc>
      </w:tr>
      <w:tr>
        <w:trPr>
          <w:trHeight w:val="243"/>
        </w:trPr>
        <w:tc>
          <w:tcPr>
            <w:tcW w:w="1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9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Brady Corporation Automatic Dividend Reinvestment Plan (4)</w:t>
            </w:r>
          </w:p>
        </w:tc>
      </w:tr>
      <w:tr>
        <w:trPr>
          <w:trHeight w:val="27"/>
        </w:trPr>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980" w:type="dxa"/>
            <w:vAlign w:val="bottom"/>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94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Brady Corporation 2005 Nonqualified Stock Option Plan for Non-Employee Directors, as amended (3)</w:t>
              </w:r>
            </w:hyperlink>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9440" w:type="dxa"/>
            <w:vAlign w:val="bottom"/>
            <w:tcBorders>
              <w:bottom w:val="single" w:sz="8" w:color="0000FF"/>
            </w:tcBorders>
            <w:gridSpan w:val="25"/>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Director Nonqualified Stock Option Agreement under the Brady Corporation 2005 Nonqualified Stock Option Plan for</w:t>
              </w:r>
            </w:hyperlink>
          </w:p>
        </w:tc>
      </w:tr>
      <w:tr>
        <w:trPr>
          <w:trHeight w:val="196"/>
        </w:trPr>
        <w:tc>
          <w:tcPr>
            <w:tcW w:w="198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Non-Employee Directors, as amended (8)</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9420" w:type="dxa"/>
            <w:vAlign w:val="bottom"/>
            <w:tcBorders>
              <w:bottom w:val="single" w:sz="8" w:color="0000FF"/>
            </w:tcBorders>
            <w:gridSpan w:val="24"/>
            <w:shd w:val="clear" w:color="auto" w:fill="CCEEFF"/>
          </w:tcPr>
          <w:p>
            <w:pPr>
              <w:spacing w:after="0" w:line="20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Restricted Stock Unit Agreement under the Brady Corporation 2017 Omnibus Incentive Plan for awards granted prior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Fiscal 2019 (33)</w:t>
              </w:r>
            </w:hyperlink>
          </w:p>
        </w:tc>
        <w:tc>
          <w:tcPr>
            <w:tcW w:w="8260" w:type="dxa"/>
            <w:vAlign w:val="bottom"/>
            <w:tcBorders>
              <w:bottom w:val="single" w:sz="8" w:color="CCEEFF"/>
            </w:tcBorders>
            <w:gridSpan w:val="23"/>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Restricted Stock Unit Agreement, dated as of October 1, 2014, with Thomas J. Felmer (11)</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980" w:type="dxa"/>
            <w:vAlign w:val="bottom"/>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94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Fiscal 2019 and Fiscal 2020 Performance-Based Restricted Stock Unit Agreement under the Brady Corporation 2017</w:t>
              </w:r>
            </w:hyperlink>
          </w:p>
        </w:tc>
      </w:tr>
      <w:tr>
        <w:trPr>
          <w:trHeight w:val="196"/>
        </w:trPr>
        <w:tc>
          <w:tcPr>
            <w:tcW w:w="1980" w:type="dxa"/>
            <w:vAlign w:val="bottom"/>
            <w:tcBorders>
              <w:top w:val="single" w:sz="8" w:color="CCEEFF"/>
            </w:tcBorders>
            <w:shd w:val="clear" w:color="auto" w:fill="CCEEFF"/>
          </w:tcPr>
          <w:p>
            <w:pPr>
              <w:spacing w:after="0"/>
              <w:rPr>
                <w:sz w:val="17"/>
                <w:szCs w:val="17"/>
                <w:color w:val="auto"/>
              </w:rPr>
            </w:pPr>
          </w:p>
        </w:tc>
        <w:tc>
          <w:tcPr>
            <w:tcW w:w="9400" w:type="dxa"/>
            <w:vAlign w:val="bottom"/>
            <w:tcBorders>
              <w:top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Omnibus Incentive Plan (37)</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Brady Corporation 2006 Omnibus Incentive Stock Plan, as amended (10)</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684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Restricted Stock Unit Agreement, dated as of November 28, 2014, with Thomas J. Felmer (20)</w:t>
              </w:r>
            </w:hyperlink>
          </w:p>
        </w:tc>
        <w:tc>
          <w:tcPr>
            <w:tcW w:w="260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Change of Control Agreement, dated as of August 28, 2015, with Russell R. Shaller (21)</w:t>
              </w:r>
            </w:hyperlink>
          </w:p>
        </w:tc>
      </w:tr>
      <w:tr>
        <w:trPr>
          <w:trHeight w:val="48"/>
        </w:trPr>
        <w:tc>
          <w:tcPr>
            <w:tcW w:w="19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64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Change of Control Agreement, dated as of September 11, 2015, with Aaron J. Pearce (21)</w:t>
              </w:r>
            </w:hyperlink>
          </w:p>
        </w:tc>
        <w:tc>
          <w:tcPr>
            <w:tcW w:w="296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Fiscal 2019 Nonqualified Employee Stock Option Agreement under the Brady Corporation 2017 Omnibus Incentive Plan</w:t>
              </w:r>
            </w:hyperlink>
          </w:p>
        </w:tc>
      </w:tr>
      <w:tr>
        <w:trPr>
          <w:trHeight w:val="196"/>
        </w:trPr>
        <w:tc>
          <w:tcPr>
            <w:tcW w:w="1980" w:type="dxa"/>
            <w:vAlign w:val="bottom"/>
          </w:tcPr>
          <w:p>
            <w:pPr>
              <w:spacing w:after="0"/>
              <w:rPr>
                <w:sz w:val="17"/>
                <w:szCs w:val="17"/>
                <w:color w:val="auto"/>
              </w:rPr>
            </w:pPr>
          </w:p>
        </w:tc>
        <w:tc>
          <w:tcPr>
            <w:tcW w:w="3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10">
              <w:r>
                <w:rPr>
                  <w:rFonts w:ascii="Times New Roman" w:cs="Times New Roman" w:eastAsia="Times New Roman" w:hAnsi="Times New Roman"/>
                  <w:sz w:val="18"/>
                  <w:szCs w:val="18"/>
                  <w:color w:val="0000FF"/>
                  <w:w w:val="93"/>
                </w:rPr>
                <w:t>(37)</w:t>
              </w:r>
            </w:hyperlink>
          </w:p>
        </w:tc>
        <w:tc>
          <w:tcPr>
            <w:tcW w:w="8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9340" w:type="dxa"/>
            <w:vAlign w:val="bottom"/>
            <w:tcBorders>
              <w:bottom w:val="single" w:sz="8" w:color="0000FF"/>
            </w:tcBorders>
            <w:gridSpan w:val="22"/>
            <w:shd w:val="clear" w:color="auto" w:fill="CCEEFF"/>
          </w:tcPr>
          <w:p>
            <w:pPr>
              <w:spacing w:after="0" w:line="202"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of Fiscal 2015 Employee Restricted Stock Unit Agreement under the Brady Corporation 2012 Omnibus Incentive Plan (21)</w:t>
              </w:r>
            </w:hyperlink>
          </w:p>
        </w:tc>
        <w:tc>
          <w:tcPr>
            <w:tcW w:w="10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980" w:type="dxa"/>
            <w:vAlign w:val="bottom"/>
          </w:tcPr>
          <w:p>
            <w:pPr>
              <w:jc w:val="right"/>
              <w:ind w:right="51"/>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9440" w:type="dxa"/>
            <w:vAlign w:val="bottom"/>
            <w:gridSpan w:val="25"/>
          </w:tcPr>
          <w:p>
            <w:pPr>
              <w:spacing w:after="0" w:line="20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Restated Brady Corporation Restoration Plan, as amended (37)</w:t>
              </w:r>
            </w:hyperlink>
          </w:p>
        </w:tc>
      </w:tr>
      <w:tr>
        <w:trPr>
          <w:trHeight w:val="507"/>
        </w:trPr>
        <w:tc>
          <w:tcPr>
            <w:tcW w:w="1980" w:type="dxa"/>
            <w:vAlign w:val="bottom"/>
          </w:tcPr>
          <w:p>
            <w:pPr>
              <w:spacing w:after="0"/>
              <w:rPr>
                <w:sz w:val="24"/>
                <w:szCs w:val="24"/>
                <w:color w:val="auto"/>
              </w:rPr>
            </w:pPr>
          </w:p>
        </w:tc>
        <w:tc>
          <w:tcPr>
            <w:tcW w:w="3880" w:type="dxa"/>
            <w:vAlign w:val="bottom"/>
            <w:tcBorders>
              <w:top w:val="single" w:sz="8" w:color="0000FF"/>
            </w:tcBorders>
            <w:gridSpan w:val="9"/>
          </w:tcPr>
          <w:p>
            <w:pPr>
              <w:ind w:left="364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114">
        <w:r>
          <w:rPr>
            <w:rFonts w:ascii="Times New Roman" w:cs="Times New Roman" w:eastAsia="Times New Roman" w:hAnsi="Times New Roman"/>
            <w:sz w:val="18"/>
            <w:szCs w:val="18"/>
            <w:u w:val="single" w:color="auto"/>
            <w:color w:val="0000FF"/>
          </w:rPr>
          <w:t>Change of Control Agreement, dated as of February 28, 2013, with Louis T. Bolognini (30)</w:t>
        </w:r>
      </w:hyperlink>
    </w:p>
    <w:p>
      <w:pPr>
        <w:spacing w:after="0" w:line="63" w:lineRule="exact"/>
        <w:rPr>
          <w:sz w:val="20"/>
          <w:szCs w:val="20"/>
          <w:color w:val="auto"/>
        </w:rPr>
      </w:pPr>
    </w:p>
    <w:p>
      <w:pPr>
        <w:ind w:left="1980" w:right="2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15">
        <w:r>
          <w:rPr>
            <w:rFonts w:ascii="Times New Roman" w:cs="Times New Roman" w:eastAsia="Times New Roman" w:hAnsi="Times New Roman"/>
            <w:sz w:val="18"/>
            <w:szCs w:val="18"/>
            <w:u w:val="single" w:color="auto"/>
            <w:color w:val="0000FF"/>
          </w:rPr>
          <w:t>Form of Performance-Based Restricted Stock Unit Agreement under the Brady Corporation 2017 Omnibus Incentive Plan for</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awards granted prior 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w:t>
      </w:r>
      <w:hyperlink r:id="rId117">
        <w:r>
          <w:rPr>
            <w:rFonts w:ascii="Times New Roman" w:cs="Times New Roman" w:eastAsia="Times New Roman" w:hAnsi="Times New Roman"/>
            <w:sz w:val="18"/>
            <w:szCs w:val="18"/>
            <w:u w:val="single" w:color="auto"/>
            <w:color w:val="0000FF"/>
          </w:rPr>
          <w:t>Employment Offer Letter, dated as of June 2, 2015, with Russell Shaller (28)</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118">
        <w:r>
          <w:rPr>
            <w:rFonts w:ascii="Times New Roman" w:cs="Times New Roman" w:eastAsia="Times New Roman" w:hAnsi="Times New Roman"/>
            <w:sz w:val="18"/>
            <w:szCs w:val="18"/>
            <w:u w:val="single" w:color="auto"/>
            <w:color w:val="0000FF"/>
          </w:rPr>
          <w:t>Restricted Stock Unit Agreement, dated as of July 15, 2015, with Aaron J. Pearce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53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120">
        <w:r>
          <w:rPr>
            <w:rFonts w:ascii="Times New Roman" w:cs="Times New Roman" w:eastAsia="Times New Roman" w:hAnsi="Times New Roman"/>
            <w:sz w:val="18"/>
            <w:szCs w:val="18"/>
            <w:u w:val="single" w:color="auto"/>
            <w:color w:val="0000FF"/>
          </w:rPr>
          <w:t>Note Purchase Agreement, dated May 13, 2010, by and among Brady Corporation, Brady Worldwide, Inc., Tricor Direct, Inc., and</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certain Purchasers (19)</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121">
        <w:r>
          <w:rPr>
            <w:rFonts w:ascii="Times New Roman" w:cs="Times New Roman" w:eastAsia="Times New Roman" w:hAnsi="Times New Roman"/>
            <w:sz w:val="18"/>
            <w:szCs w:val="18"/>
            <w:u w:val="single" w:color="auto"/>
            <w:color w:val="0000FF"/>
          </w:rPr>
          <w:t>Form of Fiscal 2019 Restricted Stock Unit Agreement under the Brady Corporation 2017 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123">
        <w:r>
          <w:rPr>
            <w:rFonts w:ascii="Times New Roman" w:cs="Times New Roman" w:eastAsia="Times New Roman" w:hAnsi="Times New Roman"/>
            <w:sz w:val="18"/>
            <w:szCs w:val="18"/>
            <w:u w:val="single" w:color="auto"/>
            <w:color w:val="0000FF"/>
          </w:rPr>
          <w:t>Brady Corporation 2010 Omnibus Incentive Stock Plan, as amended (22)</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124">
        <w:r>
          <w:rPr>
            <w:rFonts w:ascii="Times New Roman" w:cs="Times New Roman" w:eastAsia="Times New Roman" w:hAnsi="Times New Roman"/>
            <w:sz w:val="18"/>
            <w:szCs w:val="18"/>
            <w:u w:val="single" w:color="auto"/>
            <w:color w:val="0000FF"/>
          </w:rPr>
          <w:t>Brady Corporation 2010 Nonqualified Stock Option Plan for Non-Employee Directors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126">
        <w:r>
          <w:rPr>
            <w:rFonts w:ascii="Times New Roman" w:cs="Times New Roman" w:eastAsia="Times New Roman" w:hAnsi="Times New Roman"/>
            <w:sz w:val="18"/>
            <w:szCs w:val="18"/>
            <w:u w:val="single" w:color="auto"/>
            <w:color w:val="0000FF"/>
          </w:rPr>
          <w:t>Form of Employee Nonqualified Stock Option Agreement and Employee Performance Stock Option Agreement under the Brady</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FF"/>
          </w:rPr>
          <w:t>Corporation 2010 Omnibus Incentive Stock Plan (17)</w:t>
        </w:r>
      </w:hyperlink>
    </w:p>
    <w:p>
      <w:pPr>
        <w:spacing w:after="0" w:line="2" w:lineRule="exact"/>
        <w:rPr>
          <w:sz w:val="20"/>
          <w:szCs w:val="20"/>
          <w:color w:val="auto"/>
        </w:rPr>
      </w:pPr>
    </w:p>
    <w:p>
      <w:pPr>
        <w:ind w:left="198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27">
        <w:r>
          <w:rPr>
            <w:rFonts w:ascii="Times New Roman" w:cs="Times New Roman" w:eastAsia="Times New Roman" w:hAnsi="Times New Roman"/>
            <w:sz w:val="18"/>
            <w:szCs w:val="18"/>
            <w:u w:val="single" w:color="auto"/>
            <w:color w:val="0000FF"/>
          </w:rPr>
          <w:t>Form of Director Nonqualified Stock Option Agreement under the Brady Corporation 2010 Nonqualified Stock Option Plan for</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Non-Employee Directors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*10.32  </w:t>
      </w:r>
      <w:hyperlink r:id="rId129">
        <w:r>
          <w:rPr>
            <w:rFonts w:ascii="Times New Roman" w:cs="Times New Roman" w:eastAsia="Times New Roman" w:hAnsi="Times New Roman"/>
            <w:sz w:val="18"/>
            <w:szCs w:val="18"/>
            <w:u w:val="single" w:color="auto"/>
            <w:color w:val="0000FF"/>
          </w:rPr>
          <w:t>Form of Fiscal 2015 Employee Retention Restricted Stock Unit Agreement under 2012 Omnibus Incentive Plan (21)</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130">
        <w:r>
          <w:rPr>
            <w:rFonts w:ascii="Times New Roman" w:cs="Times New Roman" w:eastAsia="Times New Roman" w:hAnsi="Times New Roman"/>
            <w:sz w:val="18"/>
            <w:szCs w:val="18"/>
            <w:u w:val="single" w:color="auto"/>
            <w:color w:val="0000FF"/>
          </w:rPr>
          <w:t>Restricted Stock Agreement, dated as of October 7, 2013, with Thomas J. Felmer (36)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132">
        <w:r>
          <w:rPr>
            <w:rFonts w:ascii="Times New Roman" w:cs="Times New Roman" w:eastAsia="Times New Roman" w:hAnsi="Times New Roman"/>
            <w:sz w:val="18"/>
            <w:szCs w:val="18"/>
            <w:u w:val="single" w:color="auto"/>
            <w:color w:val="0000FF"/>
          </w:rPr>
          <w:t>Change of Control Agreement, dated as of March 3, 2014, with Bentley N. Curran (13)</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133">
        <w:r>
          <w:rPr>
            <w:rFonts w:ascii="Times New Roman" w:cs="Times New Roman" w:eastAsia="Times New Roman" w:hAnsi="Times New Roman"/>
            <w:sz w:val="18"/>
            <w:szCs w:val="18"/>
            <w:u w:val="single" w:color="auto"/>
            <w:color w:val="0000FF"/>
          </w:rPr>
          <w:t>Restricted Stock Unit Agreement, dated as of August 4, 2014, with Thomas J. Felmer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*10.36  </w:t>
      </w:r>
      <w:hyperlink r:id="rId135">
        <w:r>
          <w:rPr>
            <w:rFonts w:ascii="Times New Roman" w:cs="Times New Roman" w:eastAsia="Times New Roman" w:hAnsi="Times New Roman"/>
            <w:sz w:val="18"/>
            <w:szCs w:val="18"/>
            <w:u w:val="single" w:color="auto"/>
            <w:color w:val="0000FF"/>
          </w:rPr>
          <w:t>Change of Control Agreement, dated as of March 3, 2014, with Helena R. Nelligan (13)</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136">
        <w:r>
          <w:rPr>
            <w:rFonts w:ascii="Times New Roman" w:cs="Times New Roman" w:eastAsia="Times New Roman" w:hAnsi="Times New Roman"/>
            <w:sz w:val="18"/>
            <w:szCs w:val="18"/>
            <w:u w:val="single" w:color="auto"/>
            <w:color w:val="0000FF"/>
          </w:rPr>
          <w:t>Form of Fiscal 2012 Performance Stock Option under the Brady Corporation 2010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*10.38  </w:t>
      </w:r>
      <w:hyperlink r:id="rId138">
        <w:r>
          <w:rPr>
            <w:rFonts w:ascii="Times New Roman" w:cs="Times New Roman" w:eastAsia="Times New Roman" w:hAnsi="Times New Roman"/>
            <w:sz w:val="18"/>
            <w:szCs w:val="18"/>
            <w:u w:val="single" w:color="auto"/>
            <w:color w:val="0000FF"/>
          </w:rPr>
          <w:t>Brady Corporation 2012 Omnibus Incentive Stock Plan (26)</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*10.39  </w:t>
      </w:r>
      <w:hyperlink r:id="rId139">
        <w:r>
          <w:rPr>
            <w:rFonts w:ascii="Times New Roman" w:cs="Times New Roman" w:eastAsia="Times New Roman" w:hAnsi="Times New Roman"/>
            <w:sz w:val="18"/>
            <w:szCs w:val="18"/>
            <w:u w:val="single" w:color="auto"/>
            <w:color w:val="0000FF"/>
          </w:rPr>
          <w:t>Form of Nonqualified Employee Stock Option Agreement under the 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*10.40 </w:t>
      </w:r>
      <w:hyperlink r:id="rId141">
        <w:r>
          <w:rPr>
            <w:rFonts w:ascii="Times New Roman" w:cs="Times New Roman" w:eastAsia="Times New Roman" w:hAnsi="Times New Roman"/>
            <w:sz w:val="18"/>
            <w:szCs w:val="18"/>
            <w:u w:val="single" w:color="auto"/>
            <w:color w:val="0000FF"/>
          </w:rPr>
          <w:t>Form of Nonqualified Employee Performance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Stock Plan (26)</w:t>
        </w:r>
      </w:hyperlink>
    </w:p>
    <w:p>
      <w:pPr>
        <w:spacing w:after="0" w:line="1"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*10.41  </w:t>
      </w:r>
      <w:hyperlink r:id="rId142">
        <w:r>
          <w:rPr>
            <w:rFonts w:ascii="Times New Roman" w:cs="Times New Roman" w:eastAsia="Times New Roman" w:hAnsi="Times New Roman"/>
            <w:sz w:val="18"/>
            <w:szCs w:val="18"/>
            <w:u w:val="single" w:color="auto"/>
            <w:color w:val="0000FF"/>
          </w:rPr>
          <w:t>Form of Director Stock Option Agreement under the 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*10.42 </w:t>
      </w:r>
      <w:hyperlink r:id="rId144">
        <w:r>
          <w:rPr>
            <w:rFonts w:ascii="Times New Roman" w:cs="Times New Roman" w:eastAsia="Times New Roman" w:hAnsi="Times New Roman"/>
            <w:sz w:val="18"/>
            <w:szCs w:val="18"/>
            <w:u w:val="single" w:color="auto"/>
            <w:color w:val="0000FF"/>
          </w:rPr>
          <w:t>Form of Fiscal 2013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Stock Plan (31)</w:t>
        </w:r>
      </w:hyperlink>
    </w:p>
    <w:p>
      <w:pPr>
        <w:spacing w:after="0" w:line="2" w:lineRule="exact"/>
        <w:rPr>
          <w:sz w:val="20"/>
          <w:szCs w:val="20"/>
          <w:color w:val="auto"/>
        </w:rPr>
      </w:pPr>
    </w:p>
    <w:p>
      <w:pPr>
        <w:ind w:left="1980" w:right="2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*10.43 </w:t>
      </w:r>
      <w:hyperlink r:id="rId145">
        <w:r>
          <w:rPr>
            <w:rFonts w:ascii="Times New Roman" w:cs="Times New Roman" w:eastAsia="Times New Roman" w:hAnsi="Times New Roman"/>
            <w:sz w:val="18"/>
            <w:szCs w:val="18"/>
            <w:u w:val="single" w:color="auto"/>
            <w:color w:val="0000FF"/>
          </w:rPr>
          <w:t>Form of Fiscal 2013 Director Nonqualified Stock Option Agreement under the Brady Corporation 2012 Omnibus Incentive Stock</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Plan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980" w:hanging="53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10.44 </w:t>
      </w:r>
      <w:hyperlink r:id="rId147">
        <w:r>
          <w:rPr>
            <w:rFonts w:ascii="Times New Roman" w:cs="Times New Roman" w:eastAsia="Times New Roman" w:hAnsi="Times New Roman"/>
            <w:sz w:val="18"/>
            <w:szCs w:val="18"/>
            <w:u w:val="single" w:color="auto"/>
            <w:color w:val="0000FF"/>
          </w:rPr>
          <w:t>Credit Agreement, dated as of August 1, 2019, by and among Brady Corporation and certain of its subsidiaries, the lenders listed</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therein and BMO Harris Bank, N.A., as administrative agent and L/C issuer (38)</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*10.45  </w:t>
      </w:r>
      <w:hyperlink r:id="rId148">
        <w:r>
          <w:rPr>
            <w:rFonts w:ascii="Times New Roman" w:cs="Times New Roman" w:eastAsia="Times New Roman" w:hAnsi="Times New Roman"/>
            <w:sz w:val="18"/>
            <w:szCs w:val="18"/>
            <w:u w:val="single" w:color="auto"/>
            <w:color w:val="0000FF"/>
          </w:rPr>
          <w:t>Employment Offer Letter, dated as of August 1, 2014, with J. Michael Nauman (35)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*10.46  </w:t>
      </w:r>
      <w:hyperlink r:id="rId150">
        <w:r>
          <w:rPr>
            <w:rFonts w:ascii="Times New Roman" w:cs="Times New Roman" w:eastAsia="Times New Roman" w:hAnsi="Times New Roman"/>
            <w:sz w:val="18"/>
            <w:szCs w:val="18"/>
            <w:u w:val="single" w:color="auto"/>
            <w:color w:val="0000FF"/>
          </w:rPr>
          <w:t>Restricted Stock Unit Agreement, dated as of August 4, 2014, with J. Michael Nauman (35)</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*10.47  </w:t>
      </w:r>
      <w:hyperlink r:id="rId151">
        <w:r>
          <w:rPr>
            <w:rFonts w:ascii="Times New Roman" w:cs="Times New Roman" w:eastAsia="Times New Roman" w:hAnsi="Times New Roman"/>
            <w:sz w:val="18"/>
            <w:szCs w:val="18"/>
            <w:u w:val="single" w:color="auto"/>
            <w:color w:val="0000FF"/>
          </w:rPr>
          <w:t>Change of Control Agreement, dated as of August 4, 2014, with J. Michael Nauman (35)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980" w:right="20" w:hanging="62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*10.48 </w:t>
      </w:r>
      <w:hyperlink r:id="rId153">
        <w:r>
          <w:rPr>
            <w:rFonts w:ascii="Times New Roman" w:cs="Times New Roman" w:eastAsia="Times New Roman" w:hAnsi="Times New Roman"/>
            <w:sz w:val="18"/>
            <w:szCs w:val="18"/>
            <w:u w:val="single" w:color="auto"/>
            <w:color w:val="0000FF"/>
          </w:rPr>
          <w:t>Form of Fiscal 2014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Stock Plan (32)</w:t>
        </w:r>
      </w:hyperlink>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118" w:right="25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*10.49  </w:t>
      </w:r>
      <w:hyperlink r:id="rId154">
        <w:r>
          <w:rPr>
            <w:rFonts w:ascii="Times New Roman" w:cs="Times New Roman" w:eastAsia="Times New Roman" w:hAnsi="Times New Roman"/>
            <w:sz w:val="18"/>
            <w:szCs w:val="18"/>
            <w:u w:val="single" w:color="auto"/>
            <w:color w:val="0000FF"/>
          </w:rPr>
          <w:t>Form of Fiscal 2014 Director Stock Option Agreement under the Brady Corporation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*10.50  </w:t>
      </w:r>
      <w:hyperlink r:id="rId156">
        <w:r>
          <w:rPr>
            <w:rFonts w:ascii="Times New Roman" w:cs="Times New Roman" w:eastAsia="Times New Roman" w:hAnsi="Times New Roman"/>
            <w:sz w:val="18"/>
            <w:szCs w:val="18"/>
            <w:u w:val="single" w:color="auto"/>
            <w:color w:val="0000FF"/>
          </w:rPr>
          <w:t>Form of Fiscal 2014 Restricted Stock Unit Agreement under the Brady Corporation 2012 Omnibus Incentive Stock Plan (32)</w:t>
        </w:r>
      </w:hyperlink>
    </w:p>
    <w:p>
      <w:pPr>
        <w:spacing w:after="0" w:line="63" w:lineRule="exact"/>
        <w:rPr>
          <w:sz w:val="20"/>
          <w:szCs w:val="20"/>
          <w:color w:val="auto"/>
        </w:rPr>
      </w:pPr>
    </w:p>
    <w:p>
      <w:pPr>
        <w:ind w:left="198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*10.51 </w:t>
      </w:r>
      <w:hyperlink r:id="rId157">
        <w:r>
          <w:rPr>
            <w:rFonts w:ascii="Times New Roman" w:cs="Times New Roman" w:eastAsia="Times New Roman" w:hAnsi="Times New Roman"/>
            <w:sz w:val="18"/>
            <w:szCs w:val="18"/>
            <w:u w:val="single" w:color="auto"/>
            <w:color w:val="0000FF"/>
          </w:rPr>
          <w:t>Form of Fiscal 2016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Stock Plan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*10.52  </w:t>
      </w:r>
      <w:hyperlink r:id="rId159">
        <w:r>
          <w:rPr>
            <w:rFonts w:ascii="Times New Roman" w:cs="Times New Roman" w:eastAsia="Times New Roman" w:hAnsi="Times New Roman"/>
            <w:sz w:val="18"/>
            <w:szCs w:val="18"/>
            <w:u w:val="single" w:color="auto"/>
            <w:color w:val="0000FF"/>
          </w:rPr>
          <w:t>Form of Fiscal 2016 Restricted Stock Unit Agreement under the Brady Corporation 2012 Omnibus Incentive Stock Plan (21)</w:t>
        </w:r>
      </w:hyperlink>
    </w:p>
    <w:p>
      <w:pPr>
        <w:spacing w:after="0" w:line="63" w:lineRule="exact"/>
        <w:rPr>
          <w:sz w:val="20"/>
          <w:szCs w:val="20"/>
          <w:color w:val="auto"/>
        </w:rPr>
      </w:pPr>
    </w:p>
    <w:p>
      <w:pPr>
        <w:ind w:left="198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*10.53 </w:t>
      </w:r>
      <w:hyperlink r:id="rId160">
        <w:r>
          <w:rPr>
            <w:rFonts w:ascii="Times New Roman" w:cs="Times New Roman" w:eastAsia="Times New Roman" w:hAnsi="Times New Roman"/>
            <w:sz w:val="18"/>
            <w:szCs w:val="18"/>
            <w:u w:val="single" w:color="auto"/>
            <w:color w:val="0000FF"/>
          </w:rPr>
          <w:t>Form of Fiscal 2015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980" w:hanging="629"/>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*10.54 </w:t>
      </w:r>
      <w:hyperlink r:id="rId162">
        <w:r>
          <w:rPr>
            <w:rFonts w:ascii="Times New Roman" w:cs="Times New Roman" w:eastAsia="Times New Roman" w:hAnsi="Times New Roman"/>
            <w:sz w:val="18"/>
            <w:szCs w:val="18"/>
            <w:u w:val="single" w:color="auto"/>
            <w:color w:val="0000FF"/>
          </w:rPr>
          <w:t>Form of Fiscal 2015 Director Nonqualified Stock Option Agreement under the Brady Corporation 2012 Omnibus Incentive Stock</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Plan (9)</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*10.55  </w:t>
      </w:r>
      <w:hyperlink r:id="rId111">
        <w:r>
          <w:rPr>
            <w:rFonts w:ascii="Times New Roman" w:cs="Times New Roman" w:eastAsia="Times New Roman" w:hAnsi="Times New Roman"/>
            <w:sz w:val="18"/>
            <w:szCs w:val="18"/>
            <w:u w:val="single" w:color="auto"/>
            <w:color w:val="0000FF"/>
          </w:rPr>
          <w:t>Form of Fiscal 2015 Restricted Stock Unit Agreement under the Brady Corporation 2012 Omnibus Incentive 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*10.56  </w:t>
      </w:r>
      <w:hyperlink r:id="rId164">
        <w:r>
          <w:rPr>
            <w:rFonts w:ascii="Times New Roman" w:cs="Times New Roman" w:eastAsia="Times New Roman" w:hAnsi="Times New Roman"/>
            <w:sz w:val="18"/>
            <w:szCs w:val="18"/>
            <w:u w:val="single" w:color="auto"/>
            <w:color w:val="0000FF"/>
          </w:rPr>
          <w:t>Restricted Stock Unit Agreement, dated as of June 22, 2015, with Russell R. Shaller (21)</w:t>
        </w:r>
      </w:hyperlink>
    </w:p>
    <w:p>
      <w:pPr>
        <w:spacing w:after="0" w:line="6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*10.57  </w:t>
      </w:r>
      <w:hyperlink w:anchor="page96">
        <w:r>
          <w:rPr>
            <w:rFonts w:ascii="Times New Roman" w:cs="Times New Roman" w:eastAsia="Times New Roman" w:hAnsi="Times New Roman"/>
            <w:sz w:val="18"/>
            <w:szCs w:val="18"/>
            <w:u w:val="single" w:color="auto"/>
            <w:color w:val="0000FF"/>
          </w:rPr>
          <w:t>Form of Fiscal 2020 Nonqualified Employee Stock Option Agreement under the Brady Corporation 2017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*10.58  </w:t>
      </w:r>
      <w:hyperlink w:anchor="page107">
        <w:r>
          <w:rPr>
            <w:rFonts w:ascii="Times New Roman" w:cs="Times New Roman" w:eastAsia="Times New Roman" w:hAnsi="Times New Roman"/>
            <w:sz w:val="18"/>
            <w:szCs w:val="18"/>
            <w:u w:val="single" w:color="auto"/>
            <w:color w:val="0000FF"/>
          </w:rPr>
          <w:t>Form of Fiscal 2020 Restricted Stock Unit Agreement under the Brady Corporation 2017 Omnibus Incentive Plan</w:t>
        </w:r>
      </w:hyperlink>
    </w:p>
    <w:p>
      <w:pPr>
        <w:spacing w:after="0" w:line="63" w:lineRule="exact"/>
        <w:rPr>
          <w:sz w:val="20"/>
          <w:szCs w:val="20"/>
          <w:color w:val="auto"/>
        </w:rPr>
      </w:pPr>
    </w:p>
    <w:p>
      <w:pPr>
        <w:ind w:left="1980" w:hanging="315"/>
        <w:spacing w:after="0"/>
        <w:tabs>
          <w:tab w:leader="none" w:pos="1980" w:val="left"/>
        </w:tabs>
        <w:numPr>
          <w:ilvl w:val="0"/>
          <w:numId w:val="57"/>
        </w:numPr>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Subsidiaries of Brady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3300" w:firstLine="125"/>
        <w:spacing w:after="0" w:line="313" w:lineRule="auto"/>
        <w:tabs>
          <w:tab w:leader="none" w:pos="1990" w:val="left"/>
        </w:tabs>
        <w:numPr>
          <w:ilvl w:val="2"/>
          <w:numId w:val="58"/>
        </w:numPr>
        <w:rPr>
          <w:rFonts w:ascii="Times New Roman" w:cs="Times New Roman" w:eastAsia="Times New Roman" w:hAnsi="Times New Roman"/>
          <w:sz w:val="18"/>
          <w:szCs w:val="18"/>
          <w:color w:val="000000"/>
        </w:rPr>
      </w:pPr>
      <w:hyperlink w:anchor="page120">
        <w:r>
          <w:rPr>
            <w:rFonts w:ascii="Times New Roman" w:cs="Times New Roman" w:eastAsia="Times New Roman" w:hAnsi="Times New Roman"/>
            <w:sz w:val="18"/>
            <w:szCs w:val="18"/>
            <w:u w:val="single" w:color="auto"/>
            <w:color w:val="0000FF"/>
          </w:rPr>
          <w:t>Consent of Deloitte &amp; Touche LLP, Independent Registered Public Accounting Firm</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 xml:space="preserve">31.1 </w:t>
      </w:r>
      <w:hyperlink w:anchor="page121">
        <w:r>
          <w:rPr>
            <w:rFonts w:ascii="Times New Roman" w:cs="Times New Roman" w:eastAsia="Times New Roman" w:hAnsi="Times New Roman"/>
            <w:sz w:val="18"/>
            <w:szCs w:val="18"/>
            <w:u w:val="single" w:color="auto"/>
            <w:color w:val="0000FF"/>
          </w:rPr>
          <w:t>Rule 13a-14(a)/15d-14(a) Certification of J. Michael Nauman</w:t>
        </w:r>
      </w:hyperlink>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hyperlink w:anchor="page122">
        <w:r>
          <w:rPr>
            <w:rFonts w:ascii="Times New Roman" w:cs="Times New Roman" w:eastAsia="Times New Roman" w:hAnsi="Times New Roman"/>
            <w:sz w:val="18"/>
            <w:szCs w:val="18"/>
            <w:u w:val="single" w:color="auto"/>
            <w:color w:val="0000FF"/>
          </w:rPr>
          <w:t>Rule 13a-14(a)/15d-14(a) Certification of Aaron J. Pearce</w:t>
        </w:r>
      </w:hyperlink>
    </w:p>
    <w:p>
      <w:pPr>
        <w:spacing w:after="0" w:line="6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hyperlink w:anchor="page123">
        <w:r>
          <w:rPr>
            <w:rFonts w:ascii="Times New Roman" w:cs="Times New Roman" w:eastAsia="Times New Roman" w:hAnsi="Times New Roman"/>
            <w:sz w:val="18"/>
            <w:szCs w:val="18"/>
            <w:u w:val="single" w:color="auto"/>
            <w:color w:val="0000FF"/>
          </w:rPr>
          <w:t>Section 1350 Certification of J. Michael Nauman</w:t>
        </w:r>
      </w:hyperlink>
    </w:p>
    <w:p>
      <w:pPr>
        <w:spacing w:after="0" w:line="6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hyperlink w:anchor="page124">
        <w:r>
          <w:rPr>
            <w:rFonts w:ascii="Times New Roman" w:cs="Times New Roman" w:eastAsia="Times New Roman" w:hAnsi="Times New Roman"/>
            <w:sz w:val="18"/>
            <w:szCs w:val="18"/>
            <w:u w:val="single" w:color="auto"/>
            <w:color w:val="0000FF"/>
          </w:rPr>
          <w:t>Section 1350 Certification of Aaron J. Pearce</w:t>
        </w:r>
      </w:hyperlink>
    </w:p>
    <w:p>
      <w:pPr>
        <w:spacing w:after="0" w:line="63" w:lineRule="exact"/>
        <w:rPr>
          <w:rFonts w:ascii="Times New Roman" w:cs="Times New Roman" w:eastAsia="Times New Roman" w:hAnsi="Times New Roman"/>
          <w:sz w:val="18"/>
          <w:szCs w:val="18"/>
          <w:color w:val="auto"/>
        </w:rPr>
      </w:pPr>
    </w:p>
    <w:p>
      <w:pPr>
        <w:ind w:left="1980" w:hanging="405"/>
        <w:spacing w:after="0"/>
        <w:tabs>
          <w:tab w:leader="none" w:pos="198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w:t>
      </w:r>
    </w:p>
    <w:p>
      <w:pPr>
        <w:spacing w:after="0" w:line="198"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6"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No. 333-04155 on Form S-3</w:t>
      </w:r>
    </w:p>
    <w:p>
      <w:pPr>
        <w:spacing w:after="0" w:line="27"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1989</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November 25, 2008</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1992</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2008</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25,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January 9, 2008</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4, 2006</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2008</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October 2,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2009</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April 30, 2011</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2009</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23, 2010</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14, 2010</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October 31,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-3818255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-3475355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80"/>
          </w:cols>
          <w:pgMar w:left="240" w:top="118" w:right="27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27, 2010</w:t>
      </w:r>
    </w:p>
    <w:p>
      <w:pPr>
        <w:spacing w:after="0" w:line="27"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18,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2017</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2011</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27, 2016</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June 5, 2015</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31, 2012</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April 30, 2013</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2012</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2013</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14, 2016</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16, 2015</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4, 2014</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October 31, 2013</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2018</w:t>
      </w:r>
    </w:p>
    <w:p>
      <w:pPr>
        <w:spacing w:after="0" w:line="9"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1,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Valuation accounts deducted in balance sheet from assets to which they apply — Accounts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4,471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Deductions — Bad debts written off, net of recoveries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Inventory — Reserve for slow-moving inventory: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15,083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Deductions — Inventory write-offs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13,404</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14,322</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56,866</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38,563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37,992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Deductions — Valuation allowances reversed/utilized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-2940685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-2940685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this 6th day of September 2019.</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34290</wp:posOffset>
            </wp:positionV>
            <wp:extent cx="64490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9"/>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J. MICHAEL NAUMAN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 Michael Nauman</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ANN E. THORNTON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 E. Thornton</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W. Allender</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Gary S. Balkema</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DAVID S. BEM</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David S. Bem</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ELIZABETH P. BRUNO</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Elizabeth P. Bruno</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NANCY L. GIOIA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Nancy L. Gioia</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Conrad G. Goodkind</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Frank W. Harris</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Bradley C. Richardson</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 MICHELLE E. WILLIAMS</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Michelle E. Williams</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1" w:lineRule="exact"/>
        <w:rPr>
          <w:sz w:val="20"/>
          <w:szCs w:val="20"/>
          <w:color w:val="auto"/>
        </w:rPr>
      </w:pPr>
    </w:p>
    <w:p>
      <w:pPr>
        <w:ind w:left="720" w:hanging="685"/>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signatures is affixed as of September 6,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BRADY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2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This summary highlights selected information about the capital stock of Brady Corporation (“Brady,” “we,” “us” or “our”) and may not contain all of the information that is important to you. This summary does not purport to be exhaustive and is qualified in its entirety by reference to Brady’s Restated Articles of Incorporation and By-laws, as amended, as well as to applicable Wisconsin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32"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w:t>
      </w:r>
    </w:p>
    <w:p>
      <w:pPr>
        <w:spacing w:after="0" w:line="18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No Brady shareholder has cumulative voting rights or preemptive or other rights to subscribe for additional Brady shares. All of the outstanding shares are fully paid and non-assessable, except for certain statutory liability that may be imposed by former Section 180.0622(2)(b) of the Wisconsin Business Corporation Law (“WBCL”) as judicially interpreted, for debts incurred prior to June 14, 2006 (for debts incurred on or after such date, Section 180.0622(2)(b) has been repealed) owing to employees for services performed, but not exceeding six months service in any one case.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2" w:lineRule="exact"/>
        <w:rPr>
          <w:sz w:val="20"/>
          <w:szCs w:val="20"/>
          <w:color w:val="auto"/>
        </w:rPr>
      </w:pPr>
    </w:p>
    <w:p>
      <w:pPr>
        <w:jc w:val="both"/>
        <w:ind w:right="480" w:firstLine="648"/>
        <w:spacing w:after="0" w:line="246" w:lineRule="auto"/>
        <w:rPr>
          <w:sz w:val="20"/>
          <w:szCs w:val="20"/>
          <w:color w:val="auto"/>
        </w:rPr>
      </w:pPr>
      <w:r>
        <w:rPr>
          <w:rFonts w:ascii="Times New Roman" w:cs="Times New Roman" w:eastAsia="Times New Roman" w:hAnsi="Times New Roman"/>
          <w:sz w:val="22"/>
          <w:szCs w:val="22"/>
          <w:color w:val="auto"/>
        </w:rPr>
        <w:t>The following is a brief description of Brady’s Class A Nonvoting Common Stock and Class B Voting Common Stock (collectively, the “Common Stock”). The rights of holders of the Common Stock are subject to the rights of holders of Brady’s Cumulative Preferred Stock and Preferred Stock.</w:t>
      </w:r>
    </w:p>
    <w:p>
      <w:pPr>
        <w:spacing w:after="0" w:line="184"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18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ectPr>
          <w:pgSz w:w="11900" w:h="16838" w:orient="portrait"/>
          <w:cols w:equalWidth="0" w:num="1">
            <w:col w:w="11420"/>
          </w:cols>
          <w:pgMar w:left="240" w:top="581" w:right="239" w:bottom="1440" w:gutter="0" w:footer="0" w:header="0"/>
        </w:sectPr>
      </w:pPr>
    </w:p>
    <w:bookmarkStart w:id="93" w:name="page94"/>
    <w:bookmarkEnd w:id="93"/>
    <w:p>
      <w:pPr>
        <w:ind w:firstLine="648"/>
        <w:spacing w:after="0" w:line="246" w:lineRule="auto"/>
        <w:rPr>
          <w:sz w:val="20"/>
          <w:szCs w:val="20"/>
          <w:color w:val="auto"/>
        </w:rPr>
      </w:pPr>
      <w:r>
        <w:rPr>
          <w:rFonts w:ascii="Times New Roman" w:cs="Times New Roman" w:eastAsia="Times New Roman" w:hAnsi="Times New Roman"/>
          <w:sz w:val="22"/>
          <w:szCs w:val="22"/>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189"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The Class A Nonvoting Common Stock is listed on the New York Stock Exchange (trading symbol: BRC). The transfer agent for the Class A Nonvoting Common Stock is EQ Shareowner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Cumulative Preferred Stock</w:t>
      </w:r>
    </w:p>
    <w:p>
      <w:pPr>
        <w:spacing w:after="0" w:line="32" w:lineRule="exact"/>
        <w:rPr>
          <w:sz w:val="20"/>
          <w:szCs w:val="20"/>
          <w:color w:val="auto"/>
        </w:rPr>
      </w:pPr>
    </w:p>
    <w:p>
      <w:pPr>
        <w:ind w:right="540" w:firstLine="648"/>
        <w:spacing w:after="0" w:line="246" w:lineRule="auto"/>
        <w:rPr>
          <w:sz w:val="20"/>
          <w:szCs w:val="20"/>
          <w:color w:val="auto"/>
        </w:rPr>
      </w:pPr>
      <w:r>
        <w:rPr>
          <w:rFonts w:ascii="Times New Roman" w:cs="Times New Roman" w:eastAsia="Times New Roman" w:hAnsi="Times New Roman"/>
          <w:sz w:val="22"/>
          <w:szCs w:val="22"/>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184"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182"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2"/>
          <w:szCs w:val="22"/>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181"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w:t>
      </w:r>
    </w:p>
    <w:p>
      <w:pPr>
        <w:sectPr>
          <w:pgSz w:w="11900" w:h="16838" w:orient="portrait"/>
          <w:cols w:equalWidth="0" w:num="1">
            <w:col w:w="11420"/>
          </w:cols>
          <w:pgMar w:left="240" w:top="585" w:right="239" w:bottom="1440" w:gutter="0" w:footer="0" w:header="0"/>
        </w:sectPr>
      </w:pPr>
    </w:p>
    <w:bookmarkStart w:id="94" w:name="page95"/>
    <w:bookmarkEnd w:id="94"/>
    <w:p>
      <w:pPr>
        <w:ind w:right="540"/>
        <w:spacing w:after="0" w:line="271" w:lineRule="auto"/>
        <w:rPr>
          <w:sz w:val="20"/>
          <w:szCs w:val="20"/>
          <w:color w:val="auto"/>
        </w:rPr>
      </w:pPr>
      <w:r>
        <w:rPr>
          <w:rFonts w:ascii="Times New Roman" w:cs="Times New Roman" w:eastAsia="Times New Roman" w:hAnsi="Times New Roman"/>
          <w:sz w:val="22"/>
          <w:szCs w:val="22"/>
          <w:color w:val="auto"/>
        </w:rPr>
        <w:t>affecting the rights of the Cumulative Preferred Stock and to allow any merger or consolidation of Brady, and any sale, lease, exchange or other disposition of all or substantially all of our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3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189"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Our Board of Directors, without shareholder approval, could issue Preferred Stock with voting and conversion rights which could adversely affect the voting power and liquidation rights of the holders of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Terms and Certain Statutory Provisions</w:t>
      </w:r>
    </w:p>
    <w:p>
      <w:pPr>
        <w:spacing w:after="0" w:line="3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189"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18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ectPr>
          <w:pgSz w:w="11900" w:h="16838" w:orient="portrait"/>
          <w:cols w:equalWidth="0" w:num="1">
            <w:col w:w="11360"/>
          </w:cols>
          <w:pgMar w:left="240" w:top="585" w:right="2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10.57</w:t>
      </w:r>
    </w:p>
    <w:p>
      <w:pPr>
        <w:spacing w:after="0" w:line="26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u w:val="single" w:color="auto"/>
          <w:color w:val="auto"/>
        </w:rPr>
        <w:t>BRADY CORPORATION</w:t>
      </w:r>
    </w:p>
    <w:p>
      <w:pPr>
        <w:spacing w:after="0" w:line="3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w:t>
      </w:r>
    </w:p>
    <w:p>
      <w:pPr>
        <w:spacing w:after="0" w:line="236" w:lineRule="exact"/>
        <w:rPr>
          <w:sz w:val="20"/>
          <w:szCs w:val="20"/>
          <w:color w:val="auto"/>
        </w:rPr>
      </w:pPr>
    </w:p>
    <w:p>
      <w:pPr>
        <w:ind w:left="4" w:firstLine="648"/>
        <w:spacing w:after="0" w:line="254" w:lineRule="auto"/>
        <w:rPr>
          <w:sz w:val="20"/>
          <w:szCs w:val="20"/>
          <w:color w:val="auto"/>
        </w:rPr>
      </w:pPr>
      <w:r>
        <w:rPr>
          <w:rFonts w:ascii="Times New Roman" w:cs="Times New Roman" w:eastAsia="Times New Roman" w:hAnsi="Times New Roman"/>
          <w:sz w:val="22"/>
          <w:szCs w:val="22"/>
          <w:color w:val="auto"/>
        </w:rPr>
        <w:t>Upon management’s recommendation, the Management Development and Compensation Committee (the “Committee”) of the Brady Corporation Board of Directors has awarded to _______________ (“Employee”) a non-qualified stock option (the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“Option”) effective _______________, 20__, pursuant to the terms of the Brady Corporation 2017 Omnibus Incentive Plan (the</w:t>
      </w:r>
    </w:p>
    <w:p>
      <w:pPr>
        <w:spacing w:after="0" w:line="4" w:lineRule="exact"/>
        <w:rPr>
          <w:sz w:val="20"/>
          <w:szCs w:val="20"/>
          <w:color w:val="auto"/>
        </w:rPr>
      </w:pPr>
    </w:p>
    <w:p>
      <w:pPr>
        <w:ind w:left="4" w:right="20"/>
        <w:spacing w:after="0" w:line="248" w:lineRule="auto"/>
        <w:rPr>
          <w:sz w:val="20"/>
          <w:szCs w:val="20"/>
          <w:color w:val="auto"/>
        </w:rPr>
      </w:pPr>
      <w:r>
        <w:rPr>
          <w:rFonts w:ascii="Times New Roman" w:cs="Times New Roman" w:eastAsia="Times New Roman" w:hAnsi="Times New Roman"/>
          <w:sz w:val="22"/>
          <w:szCs w:val="22"/>
          <w:color w:val="auto"/>
        </w:rPr>
        <w:t>“Plan”). The Corporation’s records shall be the official record of the Option grant described herein and, in the event of any conflict between this description and the Corporation’s records, the Corporation’s records shall control.</w:t>
      </w:r>
    </w:p>
    <w:p>
      <w:pPr>
        <w:spacing w:after="0" w:line="219" w:lineRule="exact"/>
        <w:rPr>
          <w:sz w:val="20"/>
          <w:szCs w:val="20"/>
          <w:color w:val="auto"/>
        </w:rPr>
      </w:pPr>
    </w:p>
    <w:p>
      <w:pPr>
        <w:ind w:left="644" w:hanging="644"/>
        <w:spacing w:after="0"/>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Number of Shares Optioned; Grant Price</w:t>
      </w:r>
    </w:p>
    <w:p>
      <w:pPr>
        <w:spacing w:after="0" w:line="318" w:lineRule="exact"/>
        <w:rPr>
          <w:sz w:val="20"/>
          <w:szCs w:val="20"/>
          <w:color w:val="auto"/>
        </w:rPr>
      </w:pPr>
    </w:p>
    <w:p>
      <w:pPr>
        <w:jc w:val="both"/>
        <w:ind w:left="624"/>
        <w:spacing w:after="0" w:line="252" w:lineRule="auto"/>
        <w:rPr>
          <w:sz w:val="20"/>
          <w:szCs w:val="20"/>
          <w:color w:val="auto"/>
        </w:rPr>
      </w:pPr>
      <w:r>
        <w:rPr>
          <w:rFonts w:ascii="Times New Roman" w:cs="Times New Roman" w:eastAsia="Times New Roman" w:hAnsi="Times New Roman"/>
          <w:sz w:val="22"/>
          <w:szCs w:val="22"/>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“Grant Price”).</w:t>
      </w:r>
    </w:p>
    <w:p>
      <w:pPr>
        <w:spacing w:after="0" w:line="216" w:lineRule="exact"/>
        <w:rPr>
          <w:sz w:val="20"/>
          <w:szCs w:val="20"/>
          <w:color w:val="auto"/>
        </w:rPr>
      </w:pPr>
    </w:p>
    <w:p>
      <w:pPr>
        <w:ind w:left="644" w:hanging="644"/>
        <w:spacing w:after="0"/>
        <w:tabs>
          <w:tab w:leader="none" w:pos="6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of Exercise of Options During Employee’s Lifetime; Vesting of Option</w:t>
      </w:r>
    </w:p>
    <w:p>
      <w:pPr>
        <w:spacing w:after="0" w:line="318" w:lineRule="exact"/>
        <w:rPr>
          <w:rFonts w:ascii="Times New Roman" w:cs="Times New Roman" w:eastAsia="Times New Roman" w:hAnsi="Times New Roman"/>
          <w:sz w:val="22"/>
          <w:szCs w:val="22"/>
          <w:color w:val="auto"/>
        </w:rPr>
      </w:pPr>
    </w:p>
    <w:p>
      <w:pPr>
        <w:jc w:val="both"/>
        <w:ind w:left="644"/>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59" w:lineRule="exact"/>
        <w:rPr>
          <w:sz w:val="20"/>
          <w:szCs w:val="20"/>
          <w:color w:val="auto"/>
        </w:rPr>
      </w:pPr>
    </w:p>
    <w:tbl>
      <w:tblPr>
        <w:tblLayout w:type="fixed"/>
        <w:tblInd w:w="1724"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9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w w:val="98"/>
              </w:rPr>
              <w:t>Maximum Percentage of Shares For</w:t>
            </w:r>
          </w:p>
        </w:tc>
      </w:tr>
      <w:tr>
        <w:trPr>
          <w:trHeight w:val="230"/>
        </w:trPr>
        <w:tc>
          <w:tcPr>
            <w:tcW w:w="398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w w:val="96"/>
              </w:rPr>
              <w:t>Number of Completed Years After Grant Date</w:t>
            </w:r>
          </w:p>
        </w:tc>
        <w:tc>
          <w:tcPr>
            <w:tcW w:w="3960" w:type="dxa"/>
            <w:vAlign w:val="bottom"/>
            <w:gridSpan w:val="3"/>
          </w:tcPr>
          <w:p>
            <w:pPr>
              <w:ind w:left="800"/>
              <w:spacing w:after="0" w:line="230" w:lineRule="exact"/>
              <w:rPr>
                <w:sz w:val="20"/>
                <w:szCs w:val="20"/>
                <w:color w:val="auto"/>
              </w:rPr>
            </w:pPr>
            <w:r>
              <w:rPr>
                <w:rFonts w:ascii="Times New Roman" w:cs="Times New Roman" w:eastAsia="Times New Roman" w:hAnsi="Times New Roman"/>
                <w:sz w:val="22"/>
                <w:szCs w:val="22"/>
                <w:color w:val="auto"/>
              </w:rPr>
              <w:t>Which Option is Exercisable</w:t>
            </w:r>
          </w:p>
        </w:tc>
      </w:tr>
      <w:tr>
        <w:trPr>
          <w:trHeight w:val="20"/>
        </w:trPr>
        <w:tc>
          <w:tcPr>
            <w:tcW w:w="25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44"/>
        <w:spacing w:after="0" w:line="260" w:lineRule="auto"/>
        <w:rPr>
          <w:sz w:val="20"/>
          <w:szCs w:val="20"/>
          <w:color w:val="auto"/>
        </w:rPr>
      </w:pPr>
      <w:r>
        <w:rPr>
          <w:rFonts w:ascii="Times New Roman" w:cs="Times New Roman" w:eastAsia="Times New Roman" w:hAnsi="Times New Roman"/>
          <w:sz w:val="21"/>
          <w:szCs w:val="21"/>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Notwithstanding the foregoing, this Option shall immediately expire if Employee is terminated for Cause; provided that for purposes of this Agreement a termination for poor performance shall not be considered a termination for Cause. This Agreement does not confer upon Employee any right of continuation of employment by the Corporation or an Affiliate, nor does it impair any right the Corporation or any Affiliate may have to terminate the Employee’s employment at any time.</w:t>
      </w:r>
    </w:p>
    <w:p>
      <w:pPr>
        <w:sectPr>
          <w:pgSz w:w="11900" w:h="16838" w:orient="portrait"/>
          <w:cols w:equalWidth="0" w:num="1">
            <w:col w:w="11304"/>
          </w:cols>
          <w:pgMar w:left="356" w:top="581" w:right="239" w:bottom="1440" w:gutter="0" w:footer="0" w:header="0"/>
        </w:sectPr>
      </w:pPr>
    </w:p>
    <w:bookmarkStart w:id="96" w:name="page97"/>
    <w:bookmarkEnd w:id="96"/>
    <w:p>
      <w:pPr>
        <w:ind w:left="651" w:hanging="651"/>
        <w:spacing w:after="0"/>
        <w:tabs>
          <w:tab w:leader="none" w:pos="6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p>
    <w:p>
      <w:pPr>
        <w:spacing w:after="0" w:line="318"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 hereof, if the Employee:</w:t>
      </w:r>
    </w:p>
    <w:p>
      <w:pPr>
        <w:spacing w:after="0" w:line="260" w:lineRule="exact"/>
        <w:rPr>
          <w:rFonts w:ascii="Times New Roman" w:cs="Times New Roman" w:eastAsia="Times New Roman" w:hAnsi="Times New Roman"/>
          <w:sz w:val="22"/>
          <w:szCs w:val="22"/>
          <w:color w:val="auto"/>
        </w:rPr>
      </w:pPr>
    </w:p>
    <w:p>
      <w:pPr>
        <w:jc w:val="both"/>
        <w:ind w:left="1291" w:hanging="643"/>
        <w:spacing w:after="0" w:line="252" w:lineRule="auto"/>
        <w:tabs>
          <w:tab w:leader="none" w:pos="129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220" w:lineRule="exact"/>
        <w:rPr>
          <w:rFonts w:ascii="Times New Roman" w:cs="Times New Roman" w:eastAsia="Times New Roman" w:hAnsi="Times New Roman"/>
          <w:sz w:val="22"/>
          <w:szCs w:val="22"/>
          <w:color w:val="auto"/>
        </w:rPr>
      </w:pPr>
    </w:p>
    <w:p>
      <w:pPr>
        <w:jc w:val="both"/>
        <w:ind w:left="1291" w:hanging="643"/>
        <w:spacing w:after="0" w:line="257" w:lineRule="auto"/>
        <w:tabs>
          <w:tab w:leader="none" w:pos="129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terminated as a result of the Disability of the Employee, any unexercised, unexpired Stock Options granted hereunder to the Employee shall become 100% vested and fully exercisable, in whole or in part, at any time within one year after the date of Disability; or</w:t>
      </w:r>
    </w:p>
    <w:p>
      <w:pPr>
        <w:spacing w:after="0" w:line="213" w:lineRule="exact"/>
        <w:rPr>
          <w:rFonts w:ascii="Times New Roman" w:cs="Times New Roman" w:eastAsia="Times New Roman" w:hAnsi="Times New Roman"/>
          <w:sz w:val="22"/>
          <w:szCs w:val="22"/>
          <w:color w:val="auto"/>
        </w:rPr>
      </w:pPr>
    </w:p>
    <w:p>
      <w:pPr>
        <w:jc w:val="both"/>
        <w:ind w:left="1291" w:hanging="643"/>
        <w:spacing w:after="0" w:line="252" w:lineRule="auto"/>
        <w:tabs>
          <w:tab w:leader="none" w:pos="129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terminated as a result of the Employee’s retirement (after age 60 with five years of employment with the Corporation or an Affiliate), any unexercised, unexpired Stock Options granted hereunder to the Employee shall continue to vest as provided in Section 2 hereof and any Stock Options that are or become vested may be exercised, in whole or in part, at any time prior to the expiration date of such option.</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Deferral of Exercise</w:t>
      </w:r>
    </w:p>
    <w:p>
      <w:pPr>
        <w:spacing w:after="0" w:line="318" w:lineRule="exact"/>
        <w:rPr>
          <w:rFonts w:ascii="Times New Roman" w:cs="Times New Roman" w:eastAsia="Times New Roman" w:hAnsi="Times New Roman"/>
          <w:sz w:val="22"/>
          <w:szCs w:val="22"/>
          <w:color w:val="auto"/>
        </w:rPr>
      </w:pPr>
    </w:p>
    <w:p>
      <w:pPr>
        <w:jc w:val="both"/>
        <w:ind w:left="65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17"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Exercising Option</w:t>
      </w:r>
    </w:p>
    <w:p>
      <w:pPr>
        <w:spacing w:after="0" w:line="318"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shall be exercised by delivering to the Corporation, at the office of its Treasurer, a written notice of the number of Shares with respect to which this Option is at the time being exercised and by paying the Corporation in full the Grant Price of the Shares being acquired at the time.</w:t>
      </w:r>
    </w:p>
    <w:p>
      <w:pPr>
        <w:spacing w:after="0" w:line="209"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Payment</w:t>
      </w:r>
    </w:p>
    <w:p>
      <w:pPr>
        <w:spacing w:after="0" w:line="318" w:lineRule="exact"/>
        <w:rPr>
          <w:rFonts w:ascii="Times New Roman" w:cs="Times New Roman" w:eastAsia="Times New Roman" w:hAnsi="Times New Roman"/>
          <w:sz w:val="22"/>
          <w:szCs w:val="22"/>
          <w:color w:val="auto"/>
        </w:rPr>
      </w:pPr>
    </w:p>
    <w:p>
      <w:pPr>
        <w:jc w:val="both"/>
        <w:ind w:left="651"/>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be made either: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any combination of the foregoing or (g) by any other method approved or accepted by the Administrator. Payment in the form of Delivered Stock shall be in the amount of the Fair Market Value of the Shares at the date of exercise and Shares used in a Net Exercise shall be valued at their Fair Market Value determined as of the date of exercise of the Stock Option, with Fair Market Value determined in accordance with Section 9.</w:t>
      </w:r>
    </w:p>
    <w:p>
      <w:pPr>
        <w:sectPr>
          <w:pgSz w:w="11900" w:h="16838" w:orient="portrait"/>
          <w:cols w:equalWidth="0" w:num="1">
            <w:col w:w="11331"/>
          </w:cols>
          <w:pgMar w:left="329" w:top="837" w:right="239" w:bottom="1440" w:gutter="0" w:footer="0" w:header="0"/>
        </w:sectPr>
      </w:pPr>
    </w:p>
    <w:bookmarkStart w:id="97" w:name="page98"/>
    <w:bookmarkEnd w:id="97"/>
    <w:p>
      <w:pPr>
        <w:ind w:left="651" w:hanging="651"/>
        <w:spacing w:after="0"/>
        <w:tabs>
          <w:tab w:leader="none" w:pos="65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Expiration Date</w:t>
      </w:r>
    </w:p>
    <w:p>
      <w:pPr>
        <w:spacing w:after="0" w:line="318"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shall expire ten years after the date on which this Option was granted.</w:t>
      </w:r>
    </w:p>
    <w:p>
      <w:pPr>
        <w:spacing w:after="0" w:line="25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p>
    <w:p>
      <w:pPr>
        <w:spacing w:after="0" w:line="318" w:lineRule="exact"/>
        <w:rPr>
          <w:rFonts w:ascii="Times New Roman" w:cs="Times New Roman" w:eastAsia="Times New Roman" w:hAnsi="Times New Roman"/>
          <w:sz w:val="22"/>
          <w:szCs w:val="22"/>
          <w:color w:val="auto"/>
        </w:rPr>
      </w:pPr>
    </w:p>
    <w:p>
      <w:pPr>
        <w:jc w:val="both"/>
        <w:ind w:left="63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require, as a condition to the exercise of this Option,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such exercise, in such amount as the Administrator or the Corporation in its discretion may determine. The Employee may, subject to such rules and regulations as the Corporation may adopt from time to time, elect to have the Corporation hold back from the Shares to be issued upon the exercise of the Option,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28"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Valuation of Stock</w:t>
      </w:r>
    </w:p>
    <w:p>
      <w:pPr>
        <w:spacing w:after="0" w:line="318" w:lineRule="exact"/>
        <w:rPr>
          <w:rFonts w:ascii="Times New Roman" w:cs="Times New Roman" w:eastAsia="Times New Roman" w:hAnsi="Times New Roman"/>
          <w:sz w:val="22"/>
          <w:szCs w:val="22"/>
          <w:color w:val="auto"/>
        </w:rPr>
      </w:pPr>
    </w:p>
    <w:p>
      <w:pPr>
        <w:jc w:val="both"/>
        <w:ind w:left="63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 Share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217"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 Non-Solicitation and Non-Compete</w:t>
      </w:r>
    </w:p>
    <w:p>
      <w:pPr>
        <w:spacing w:after="0" w:line="318"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consideration for the grant of this Option, Employee agrees to, understands and acknowledges the following:</w:t>
      </w:r>
    </w:p>
    <w:p>
      <w:pPr>
        <w:spacing w:after="0" w:line="27" w:lineRule="exact"/>
        <w:rPr>
          <w:rFonts w:ascii="Times New Roman" w:cs="Times New Roman" w:eastAsia="Times New Roman" w:hAnsi="Times New Roman"/>
          <w:sz w:val="22"/>
          <w:szCs w:val="22"/>
          <w:color w:val="auto"/>
        </w:rPr>
      </w:pPr>
    </w:p>
    <w:p>
      <w:pPr>
        <w:jc w:val="both"/>
        <w:ind w:left="1291" w:hanging="643"/>
        <w:spacing w:after="0" w:line="243" w:lineRule="auto"/>
        <w:tabs>
          <w:tab w:leader="none" w:pos="129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w:t>
      </w:r>
    </w:p>
    <w:p>
      <w:pPr>
        <w:sectPr>
          <w:pgSz w:w="11900" w:h="16838" w:orient="portrait"/>
          <w:cols w:equalWidth="0" w:num="1">
            <w:col w:w="11331"/>
          </w:cols>
          <w:pgMar w:left="329" w:top="1094" w:right="239" w:bottom="1440" w:gutter="0" w:footer="0" w:header="0"/>
        </w:sectPr>
      </w:pPr>
    </w:p>
    <w:bookmarkStart w:id="98" w:name="page99"/>
    <w:bookmarkEnd w:id="98"/>
    <w:p>
      <w:pPr>
        <w:jc w:val="both"/>
        <w:ind w:left="180"/>
        <w:spacing w:after="0" w:line="245" w:lineRule="auto"/>
        <w:rPr>
          <w:sz w:val="20"/>
          <w:szCs w:val="20"/>
          <w:color w:val="auto"/>
        </w:rPr>
      </w:pPr>
      <w:r>
        <w:rPr>
          <w:rFonts w:ascii="Times New Roman" w:cs="Times New Roman" w:eastAsia="Times New Roman" w:hAnsi="Times New Roman"/>
          <w:sz w:val="22"/>
          <w:szCs w:val="22"/>
          <w:color w:val="auto"/>
        </w:rPr>
        <w:t>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32" w:lineRule="exact"/>
        <w:rPr>
          <w:sz w:val="20"/>
          <w:szCs w:val="20"/>
          <w:color w:val="auto"/>
        </w:rPr>
      </w:pPr>
    </w:p>
    <w:p>
      <w:pPr>
        <w:jc w:val="both"/>
        <w:ind w:left="840" w:hanging="654"/>
        <w:spacing w:after="0" w:line="257" w:lineRule="auto"/>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3" w:lineRule="exact"/>
        <w:rPr>
          <w:rFonts w:ascii="Times New Roman" w:cs="Times New Roman" w:eastAsia="Times New Roman" w:hAnsi="Times New Roman"/>
          <w:sz w:val="22"/>
          <w:szCs w:val="22"/>
          <w:color w:val="auto"/>
        </w:rPr>
      </w:pPr>
    </w:p>
    <w:p>
      <w:pPr>
        <w:ind w:left="840" w:right="20" w:hanging="654"/>
        <w:spacing w:after="0" w:line="271" w:lineRule="auto"/>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inventions, designs, methods, discoveries, works of authorship, creations, improvements or ideas developed or otherwise produced, acquired or used by the Company;</w:t>
      </w:r>
    </w:p>
    <w:p>
      <w:pPr>
        <w:spacing w:after="0" w:line="198" w:lineRule="exact"/>
        <w:rPr>
          <w:rFonts w:ascii="Times New Roman" w:cs="Times New Roman" w:eastAsia="Times New Roman" w:hAnsi="Times New Roman"/>
          <w:sz w:val="22"/>
          <w:szCs w:val="22"/>
          <w:color w:val="auto"/>
        </w:rPr>
      </w:pPr>
    </w:p>
    <w:p>
      <w:pPr>
        <w:jc w:val="both"/>
        <w:ind w:left="840" w:hanging="654"/>
        <w:spacing w:after="0" w:line="252" w:lineRule="auto"/>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20" w:lineRule="exact"/>
        <w:rPr>
          <w:rFonts w:ascii="Times New Roman" w:cs="Times New Roman" w:eastAsia="Times New Roman" w:hAnsi="Times New Roman"/>
          <w:sz w:val="22"/>
          <w:szCs w:val="22"/>
          <w:color w:val="auto"/>
        </w:rPr>
      </w:pPr>
    </w:p>
    <w:p>
      <w:pPr>
        <w:jc w:val="both"/>
        <w:ind w:left="840" w:hanging="654"/>
        <w:spacing w:after="0" w:line="257" w:lineRule="auto"/>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3" w:lineRule="exact"/>
        <w:rPr>
          <w:rFonts w:ascii="Times New Roman" w:cs="Times New Roman" w:eastAsia="Times New Roman" w:hAnsi="Times New Roman"/>
          <w:sz w:val="22"/>
          <w:szCs w:val="22"/>
          <w:color w:val="auto"/>
        </w:rPr>
      </w:pPr>
    </w:p>
    <w:p>
      <w:pPr>
        <w:jc w:val="both"/>
        <w:ind w:left="840" w:hanging="654"/>
        <w:spacing w:after="0" w:line="257" w:lineRule="auto"/>
        <w:tabs>
          <w:tab w:leader="none" w:pos="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3" w:lineRule="exact"/>
        <w:rPr>
          <w:rFonts w:ascii="Times New Roman" w:cs="Times New Roman" w:eastAsia="Times New Roman" w:hAnsi="Times New Roman"/>
          <w:sz w:val="22"/>
          <w:szCs w:val="22"/>
          <w:color w:val="auto"/>
        </w:rPr>
      </w:pPr>
    </w:p>
    <w:p>
      <w:pPr>
        <w:jc w:val="both"/>
        <w:ind w:left="840" w:hanging="654"/>
        <w:spacing w:after="0" w:line="266" w:lineRule="auto"/>
        <w:tabs>
          <w:tab w:leader="none" w:pos="8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does not include information which: (i) is already available to the public without wrongful act or breach by Employee; (ii) becomes available to the public through no fault of Employee; or</w:t>
      </w:r>
    </w:p>
    <w:p>
      <w:pPr>
        <w:spacing w:after="0" w:line="1" w:lineRule="exact"/>
        <w:rPr>
          <w:rFonts w:ascii="Times New Roman" w:cs="Times New Roman" w:eastAsia="Times New Roman" w:hAnsi="Times New Roman"/>
          <w:sz w:val="21"/>
          <w:szCs w:val="21"/>
          <w:color w:val="auto"/>
        </w:rPr>
      </w:pPr>
    </w:p>
    <w:p>
      <w:pPr>
        <w:ind w:left="840" w:hanging="6"/>
        <w:spacing w:after="0" w:line="248" w:lineRule="auto"/>
        <w:tabs>
          <w:tab w:leader="none" w:pos="124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required to be disclosed pursuant to a court order or order of government authority, provided that Employee promptly notifies Company of such request so Company may seek a protective order</w:t>
      </w:r>
    </w:p>
    <w:p>
      <w:pPr>
        <w:sectPr>
          <w:pgSz w:w="11900" w:h="16838" w:orient="portrait"/>
          <w:cols w:equalWidth="0" w:num="1">
            <w:col w:w="10220"/>
          </w:cols>
          <w:pgMar w:left="1440" w:top="585" w:right="239" w:bottom="1440" w:gutter="0" w:footer="0" w:header="0"/>
        </w:sectPr>
      </w:pPr>
    </w:p>
    <w:bookmarkStart w:id="99" w:name="page100"/>
    <w:bookmarkEnd w:id="99"/>
    <w:p>
      <w:pPr>
        <w:jc w:val="both"/>
        <w:ind w:left="643" w:hanging="643"/>
        <w:spacing w:after="0" w:line="263" w:lineRule="auto"/>
        <w:tabs>
          <w:tab w:leader="none" w:pos="64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Post-Employment Customer Non-Solicitation Agreement</w:t>
      </w:r>
      <w:r>
        <w:rPr>
          <w:rFonts w:ascii="Times New Roman" w:cs="Times New Roman" w:eastAsia="Times New Roman" w:hAnsi="Times New Roman"/>
          <w:sz w:val="21"/>
          <w:szCs w:val="21"/>
          <w:color w:val="auto"/>
        </w:rPr>
        <w:t xml:space="preserve">. For one (1) year following Employee’s separation from Company, Employee will not </w:t>
      </w:r>
      <w:r>
        <w:rPr>
          <w:rFonts w:ascii="Times New Roman" w:cs="Times New Roman" w:eastAsia="Times New Roman" w:hAnsi="Times New Roman"/>
          <w:sz w:val="21"/>
          <w:szCs w:val="21"/>
          <w:color w:val="252525"/>
        </w:rPr>
        <w:t>contact-or support others in contacting-customers of Company with whom 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52525"/>
        </w:rPr>
        <w:t>had business contact during the last two (2) years of Employee’s employment with Company, for the purpose of selling or providing products or services competitive with those offered by Company (“</w:t>
      </w:r>
      <w:r>
        <w:rPr>
          <w:rFonts w:ascii="Times New Roman" w:cs="Times New Roman" w:eastAsia="Times New Roman" w:hAnsi="Times New Roman"/>
          <w:sz w:val="21"/>
          <w:szCs w:val="21"/>
          <w:color w:val="000000"/>
        </w:rPr>
        <w:t>Competitive Products”).</w:t>
      </w:r>
      <w:r>
        <w:rPr>
          <w:rFonts w:ascii="Times New Roman" w:cs="Times New Roman" w:eastAsia="Times New Roman" w:hAnsi="Times New Roman"/>
          <w:sz w:val="21"/>
          <w:szCs w:val="21"/>
          <w:color w:val="252525"/>
        </w:rPr>
        <w:t xml:space="preserve"> </w:t>
      </w:r>
      <w:r>
        <w:rPr>
          <w:rFonts w:ascii="Times New Roman" w:cs="Times New Roman" w:eastAsia="Times New Roman" w:hAnsi="Times New Roman"/>
          <w:sz w:val="21"/>
          <w:szCs w:val="21"/>
          <w:color w:val="000000"/>
        </w:rPr>
        <w:t>“Competitive Products” shall mean products and services competitive with those products and services for which Employee was responsible during the last two (2) years of Employee’s employment with Company.</w:t>
      </w:r>
    </w:p>
    <w:p>
      <w:pPr>
        <w:spacing w:after="0" w:line="208" w:lineRule="exact"/>
        <w:rPr>
          <w:rFonts w:ascii="Times New Roman" w:cs="Times New Roman" w:eastAsia="Times New Roman" w:hAnsi="Times New Roman"/>
          <w:sz w:val="21"/>
          <w:szCs w:val="21"/>
          <w:color w:val="auto"/>
        </w:rPr>
      </w:pPr>
    </w:p>
    <w:p>
      <w:pPr>
        <w:jc w:val="both"/>
        <w:ind w:left="643" w:hanging="643"/>
        <w:spacing w:after="0" w:line="248" w:lineRule="auto"/>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Non-Solicitation Agreement Based Upon Customer Knowledge</w:t>
      </w:r>
      <w:r>
        <w:rPr>
          <w:rFonts w:ascii="Times New Roman" w:cs="Times New Roman" w:eastAsia="Times New Roman" w:hAnsi="Times New Roman"/>
          <w:sz w:val="22"/>
          <w:szCs w:val="22"/>
          <w:color w:val="auto"/>
        </w:rPr>
        <w:t xml:space="preserve">. For one (1) year following Employee’s separation from Company, Employee will not </w:t>
      </w:r>
      <w:r>
        <w:rPr>
          <w:rFonts w:ascii="Times New Roman" w:cs="Times New Roman" w:eastAsia="Times New Roman" w:hAnsi="Times New Roman"/>
          <w:sz w:val="22"/>
          <w:szCs w:val="22"/>
          <w:color w:val="252525"/>
        </w:rPr>
        <w:t>contact-or support others in contacting-customers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 xml:space="preserve">Company about whom Employee possesses Confidential Information or for whom Employee supervised others in serving during the last two (2) years of Employee’s employment with Company, for the purpose of selling or providing </w:t>
      </w:r>
      <w:r>
        <w:rPr>
          <w:rFonts w:ascii="Times New Roman" w:cs="Times New Roman" w:eastAsia="Times New Roman" w:hAnsi="Times New Roman"/>
          <w:sz w:val="22"/>
          <w:szCs w:val="22"/>
          <w:color w:val="000000"/>
        </w:rPr>
        <w:t>products or services competitive with those offered by Company (“Competitive Products”). “Competitive</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color w:val="000000"/>
        </w:rPr>
        <w:t>Products” shall mean products and services competitive with those products and services for which Employee was responsible during the last two (2) years of Employee’s employment with Company.</w:t>
      </w:r>
    </w:p>
    <w:p>
      <w:pPr>
        <w:spacing w:after="0" w:line="222" w:lineRule="exact"/>
        <w:rPr>
          <w:rFonts w:ascii="Times New Roman" w:cs="Times New Roman" w:eastAsia="Times New Roman" w:hAnsi="Times New Roman"/>
          <w:sz w:val="22"/>
          <w:szCs w:val="22"/>
          <w:color w:val="auto"/>
        </w:rPr>
      </w:pPr>
    </w:p>
    <w:p>
      <w:pPr>
        <w:jc w:val="both"/>
        <w:ind w:left="643" w:hanging="643"/>
        <w:spacing w:after="0" w:line="246" w:lineRule="auto"/>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Non-Compete Agreement</w:t>
      </w:r>
      <w:r>
        <w:rPr>
          <w:rFonts w:ascii="Times New Roman" w:cs="Times New Roman" w:eastAsia="Times New Roman" w:hAnsi="Times New Roman"/>
          <w:sz w:val="22"/>
          <w:szCs w:val="22"/>
          <w:color w:val="252525"/>
        </w:rPr>
        <w:t>. For one (1) year following Employee’s separation from Company, Employee will not, directly or indirectly, within the Restricted Territory, provide services similar to any of those Employee provided to Company during the last two (2) years of Employee’s employment with Company to a competitor of Company or a person or entity preparing to compete with Company. If Employee’s services to Company at all times during their last two (2) years of employment were limited to particular subsidiaries or affiliates (Tricor Direct, Inc., Precision Dynamics Corporation, etc.) or divisions (WPS, IDS, PDC, etc.), then the term “competitor” as used in this paragraph will be limited to competitors of all such subsidiaries, affiliates, and divisions. "Restricted Territory" shall mean the territories and regions to which Employee was assigned during the last year of their employment with Company. If Employee was not responsible for particular territories or regions during their last year of employment, then "Restricted Territory" shall instead be defined as the country in which Employee primarily worked for Company during the last year of their employment.</w:t>
      </w:r>
    </w:p>
    <w:p>
      <w:pPr>
        <w:spacing w:after="0" w:line="226" w:lineRule="exact"/>
        <w:rPr>
          <w:rFonts w:ascii="Times New Roman" w:cs="Times New Roman" w:eastAsia="Times New Roman" w:hAnsi="Times New Roman"/>
          <w:sz w:val="22"/>
          <w:szCs w:val="22"/>
          <w:color w:val="auto"/>
        </w:rPr>
      </w:pPr>
    </w:p>
    <w:p>
      <w:pPr>
        <w:jc w:val="both"/>
        <w:ind w:left="643" w:hanging="643"/>
        <w:spacing w:after="0" w:line="250" w:lineRule="auto"/>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Working With Competitive Products</w:t>
      </w:r>
      <w:r>
        <w:rPr>
          <w:rFonts w:ascii="Times New Roman" w:cs="Times New Roman" w:eastAsia="Times New Roman" w:hAnsi="Times New Roman"/>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22" w:lineRule="exact"/>
        <w:rPr>
          <w:rFonts w:ascii="Times New Roman" w:cs="Times New Roman" w:eastAsia="Times New Roman" w:hAnsi="Times New Roman"/>
          <w:sz w:val="22"/>
          <w:szCs w:val="22"/>
          <w:color w:val="auto"/>
        </w:rPr>
      </w:pPr>
    </w:p>
    <w:p>
      <w:pPr>
        <w:jc w:val="both"/>
        <w:ind w:left="643" w:hanging="643"/>
        <w:spacing w:after="0" w:line="257" w:lineRule="auto"/>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Advising Investors</w:t>
      </w:r>
      <w:r>
        <w:rPr>
          <w:rFonts w:ascii="Times New Roman" w:cs="Times New Roman" w:eastAsia="Times New Roman" w:hAnsi="Times New Roman"/>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13" w:lineRule="exact"/>
        <w:rPr>
          <w:rFonts w:ascii="Times New Roman" w:cs="Times New Roman" w:eastAsia="Times New Roman" w:hAnsi="Times New Roman"/>
          <w:sz w:val="22"/>
          <w:szCs w:val="22"/>
          <w:color w:val="auto"/>
        </w:rPr>
      </w:pPr>
    </w:p>
    <w:p>
      <w:pPr>
        <w:ind w:left="643" w:right="20" w:hanging="643"/>
        <w:spacing w:after="0" w:line="271" w:lineRule="auto"/>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Soliciting Employees</w:t>
      </w:r>
      <w:r>
        <w:rPr>
          <w:rFonts w:ascii="Times New Roman" w:cs="Times New Roman" w:eastAsia="Times New Roman" w:hAnsi="Times New Roman"/>
          <w:sz w:val="22"/>
          <w:szCs w:val="22"/>
          <w:color w:val="252525"/>
        </w:rPr>
        <w:t>. For one (1) year following Employee’s separation from Company, Employee will not solicit or encourage Key</w:t>
      </w:r>
    </w:p>
    <w:p>
      <w:pPr>
        <w:sectPr>
          <w:pgSz w:w="11900" w:h="16838" w:orient="portrait"/>
          <w:cols w:equalWidth="0" w:num="1">
            <w:col w:w="10683"/>
          </w:cols>
          <w:pgMar w:left="977" w:top="841" w:right="239" w:bottom="1440" w:gutter="0" w:footer="0" w:header="0"/>
        </w:sectPr>
      </w:pPr>
    </w:p>
    <w:bookmarkStart w:id="100" w:name="page101"/>
    <w:bookmarkEnd w:id="100"/>
    <w:p>
      <w:pPr>
        <w:jc w:val="both"/>
        <w:ind w:left="643"/>
        <w:spacing w:after="0" w:line="250" w:lineRule="auto"/>
        <w:rPr>
          <w:sz w:val="20"/>
          <w:szCs w:val="20"/>
          <w:color w:val="auto"/>
        </w:rPr>
      </w:pPr>
      <w:r>
        <w:rPr>
          <w:rFonts w:ascii="Times New Roman" w:cs="Times New Roman" w:eastAsia="Times New Roman" w:hAnsi="Times New Roman"/>
          <w:sz w:val="22"/>
          <w:szCs w:val="22"/>
          <w:color w:val="252525"/>
        </w:rPr>
        <w:t>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pacing w:after="0" w:line="222" w:lineRule="exact"/>
        <w:rPr>
          <w:sz w:val="20"/>
          <w:szCs w:val="20"/>
          <w:color w:val="auto"/>
        </w:rPr>
      </w:pPr>
    </w:p>
    <w:p>
      <w:pPr>
        <w:jc w:val="both"/>
        <w:ind w:left="643" w:hanging="643"/>
        <w:spacing w:after="0" w:line="249"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Duty of Loyalty and Related Obligations</w:t>
      </w:r>
      <w:r>
        <w:rPr>
          <w:rFonts w:ascii="Times New Roman" w:cs="Times New Roman" w:eastAsia="Times New Roman" w:hAnsi="Times New Roman"/>
          <w:sz w:val="22"/>
          <w:szCs w:val="22"/>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21" w:lineRule="exact"/>
        <w:rPr>
          <w:rFonts w:ascii="Times New Roman" w:cs="Times New Roman" w:eastAsia="Times New Roman" w:hAnsi="Times New Roman"/>
          <w:sz w:val="22"/>
          <w:szCs w:val="22"/>
          <w:color w:val="auto"/>
        </w:rPr>
      </w:pPr>
    </w:p>
    <w:p>
      <w:pPr>
        <w:jc w:val="both"/>
        <w:ind w:left="643" w:hanging="643"/>
        <w:spacing w:after="0" w:line="252"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Non-Disparagement and Social Media</w:t>
      </w:r>
      <w:r>
        <w:rPr>
          <w:rFonts w:ascii="Times New Roman" w:cs="Times New Roman" w:eastAsia="Times New Roman" w:hAnsi="Times New Roman"/>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Times New Roman" w:cs="Times New Roman" w:eastAsia="Times New Roman" w:hAnsi="Times New Roman"/>
          <w:sz w:val="22"/>
          <w:szCs w:val="22"/>
          <w:i w:val="1"/>
          <w:iCs w:val="1"/>
          <w:color w:val="252525"/>
        </w:rPr>
        <w:t>i.e.</w:t>
      </w:r>
      <w:r>
        <w:rPr>
          <w:rFonts w:ascii="Times New Roman" w:cs="Times New Roman" w:eastAsia="Times New Roman" w:hAnsi="Times New Roman"/>
          <w:sz w:val="22"/>
          <w:szCs w:val="22"/>
          <w:color w:val="252525"/>
        </w:rPr>
        <w:t>, making disparaging comments about Company to distributors, customers, suppliers, etc.).</w:t>
      </w:r>
    </w:p>
    <w:p>
      <w:pPr>
        <w:spacing w:after="0" w:line="220" w:lineRule="exact"/>
        <w:rPr>
          <w:rFonts w:ascii="Times New Roman" w:cs="Times New Roman" w:eastAsia="Times New Roman" w:hAnsi="Times New Roman"/>
          <w:sz w:val="22"/>
          <w:szCs w:val="22"/>
          <w:color w:val="auto"/>
        </w:rPr>
      </w:pPr>
    </w:p>
    <w:p>
      <w:pPr>
        <w:jc w:val="both"/>
        <w:ind w:left="643" w:hanging="643"/>
        <w:spacing w:after="0" w:line="257"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 Relationships.</w:t>
      </w:r>
      <w:r>
        <w:rPr>
          <w:rFonts w:ascii="Times New Roman" w:cs="Times New Roman" w:eastAsia="Times New Roman" w:hAnsi="Times New Roman"/>
          <w:sz w:val="22"/>
          <w:szCs w:val="22"/>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3" w:lineRule="exact"/>
        <w:rPr>
          <w:rFonts w:ascii="Times New Roman" w:cs="Times New Roman" w:eastAsia="Times New Roman" w:hAnsi="Times New Roman"/>
          <w:sz w:val="22"/>
          <w:szCs w:val="22"/>
          <w:color w:val="auto"/>
        </w:rPr>
      </w:pPr>
    </w:p>
    <w:p>
      <w:pPr>
        <w:jc w:val="both"/>
        <w:ind w:left="643" w:hanging="643"/>
        <w:spacing w:after="0" w:line="247"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 Employee hereby agrees to submit to the jurisdiction of any Court of competent jurisdiction in any disputes that arise under this Agreement.</w:t>
      </w:r>
    </w:p>
    <w:p>
      <w:pPr>
        <w:spacing w:after="0" w:line="226" w:lineRule="exact"/>
        <w:rPr>
          <w:rFonts w:ascii="Times New Roman" w:cs="Times New Roman" w:eastAsia="Times New Roman" w:hAnsi="Times New Roman"/>
          <w:sz w:val="22"/>
          <w:szCs w:val="22"/>
          <w:color w:val="auto"/>
        </w:rPr>
      </w:pPr>
    </w:p>
    <w:p>
      <w:pPr>
        <w:jc w:val="both"/>
        <w:ind w:left="643" w:hanging="643"/>
        <w:spacing w:after="0" w:line="252"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agrees that, in the event of a breach of this Section 10,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20" w:lineRule="exact"/>
        <w:rPr>
          <w:rFonts w:ascii="Times New Roman" w:cs="Times New Roman" w:eastAsia="Times New Roman" w:hAnsi="Times New Roman"/>
          <w:sz w:val="22"/>
          <w:szCs w:val="22"/>
          <w:color w:val="auto"/>
        </w:rPr>
      </w:pPr>
    </w:p>
    <w:p>
      <w:pPr>
        <w:ind w:left="643" w:right="20" w:hanging="643"/>
        <w:spacing w:after="0" w:line="271"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the terms of this Section 10 shall survive the termination of Employee's employment with the Company.</w:t>
      </w:r>
    </w:p>
    <w:p>
      <w:pPr>
        <w:spacing w:after="0" w:line="198" w:lineRule="exact"/>
        <w:rPr>
          <w:rFonts w:ascii="Times New Roman" w:cs="Times New Roman" w:eastAsia="Times New Roman" w:hAnsi="Times New Roman"/>
          <w:sz w:val="22"/>
          <w:szCs w:val="22"/>
          <w:color w:val="auto"/>
        </w:rPr>
      </w:pPr>
    </w:p>
    <w:p>
      <w:pPr>
        <w:jc w:val="both"/>
        <w:ind w:left="643" w:hanging="643"/>
        <w:spacing w:after="0" w:line="257" w:lineRule="auto"/>
        <w:tabs>
          <w:tab w:leader="none" w:pos="6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READ THIS SECTION 10 AND AGREES THAT THE CONSIDERATION PROVIDED BY THE CORPORATION IS FAIR AND REASONABLE AND FURTHER AGREES THAT GIVEN THE IMPORTANCE TO THE COMPANY OF ITS CONFIDENTIAL AND PROPRIETARY INFORMATION, THE</w:t>
      </w:r>
    </w:p>
    <w:p>
      <w:pPr>
        <w:sectPr>
          <w:pgSz w:w="11900" w:h="16838" w:orient="portrait"/>
          <w:cols w:equalWidth="0" w:num="1">
            <w:col w:w="10683"/>
          </w:cols>
          <w:pgMar w:left="977" w:top="585" w:right="239" w:bottom="1440" w:gutter="0" w:footer="0" w:header="0"/>
        </w:sectPr>
      </w:pPr>
    </w:p>
    <w:bookmarkStart w:id="101" w:name="page102"/>
    <w:bookmarkEnd w:id="101"/>
    <w:p>
      <w:pPr>
        <w:ind w:left="1291"/>
        <w:spacing w:after="0" w:line="271" w:lineRule="auto"/>
        <w:rPr>
          <w:sz w:val="20"/>
          <w:szCs w:val="20"/>
          <w:color w:val="auto"/>
        </w:rPr>
      </w:pPr>
      <w:r>
        <w:rPr>
          <w:rFonts w:ascii="Times New Roman" w:cs="Times New Roman" w:eastAsia="Times New Roman" w:hAnsi="Times New Roman"/>
          <w:sz w:val="22"/>
          <w:szCs w:val="22"/>
          <w:color w:val="auto"/>
        </w:rPr>
        <w:t>POST-EMPLOYMENT RESTRICTIONS ON EMPLOYEE'S ACTIVITIES ARE LIKEWISE FAIR AND REASONABLE.</w:t>
      </w:r>
    </w:p>
    <w:p>
      <w:pPr>
        <w:spacing w:after="0" w:line="194" w:lineRule="exact"/>
        <w:rPr>
          <w:sz w:val="20"/>
          <w:szCs w:val="20"/>
          <w:color w:val="auto"/>
        </w:rPr>
      </w:pPr>
    </w:p>
    <w:p>
      <w:pPr>
        <w:ind w:left="651" w:hanging="651"/>
        <w:spacing w:after="0"/>
        <w:tabs>
          <w:tab w:leader="none" w:pos="6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p>
    <w:p>
      <w:pPr>
        <w:spacing w:after="0" w:line="318"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Rights in Shares Until Certificates Issued</w:t>
      </w:r>
    </w:p>
    <w:p>
      <w:pPr>
        <w:spacing w:after="0" w:line="318"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 Not Transferable</w:t>
      </w:r>
    </w:p>
    <w:p>
      <w:pPr>
        <w:spacing w:after="0" w:line="318" w:lineRule="exact"/>
        <w:rPr>
          <w:rFonts w:ascii="Times New Roman" w:cs="Times New Roman" w:eastAsia="Times New Roman" w:hAnsi="Times New Roman"/>
          <w:sz w:val="22"/>
          <w:szCs w:val="22"/>
          <w:color w:val="auto"/>
        </w:rPr>
      </w:pPr>
    </w:p>
    <w:p>
      <w:pPr>
        <w:jc w:val="both"/>
        <w:ind w:left="651"/>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263"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Prohibition Against Pledge, Attachment, Etc.</w:t>
      </w:r>
    </w:p>
    <w:p>
      <w:pPr>
        <w:spacing w:after="0" w:line="318"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09"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p>
    <w:p>
      <w:pPr>
        <w:spacing w:after="0" w:line="318" w:lineRule="exact"/>
        <w:rPr>
          <w:rFonts w:ascii="Times New Roman" w:cs="Times New Roman" w:eastAsia="Times New Roman" w:hAnsi="Times New Roman"/>
          <w:sz w:val="22"/>
          <w:szCs w:val="22"/>
          <w:color w:val="auto"/>
        </w:rPr>
      </w:pPr>
    </w:p>
    <w:p>
      <w:pPr>
        <w:jc w:val="both"/>
        <w:ind w:left="65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herein to the contrary notwithstanding, in the event of a Change in Control (as defined in Exhibit A), this Option shall become fully vested and exercisable. The Administrator may elect to cancel the Option. If the Option is canceled, the Corporation, or the corporation assuming the obligations of the Corporation hereunder, shall pay the Employee an amount of cash or stock, as determined by the Administrator, equal to the number of Shares subject to the canceled Option multiplied by the difference between the Grant Price per Share, as described in Section 1 hereof, and the Fair Market Value per share, determined in accordance with Section 9 hereof, as of</w:t>
      </w:r>
    </w:p>
    <w:p>
      <w:pPr>
        <w:sectPr>
          <w:pgSz w:w="11900" w:h="16838" w:orient="portrait"/>
          <w:cols w:equalWidth="0" w:num="1">
            <w:col w:w="11331"/>
          </w:cols>
          <w:pgMar w:left="329" w:top="585" w:right="239" w:bottom="1440" w:gutter="0" w:footer="0" w:header="0"/>
        </w:sectPr>
      </w:pPr>
    </w:p>
    <w:bookmarkStart w:id="102" w:name="page103"/>
    <w:bookmarkEnd w:id="102"/>
    <w:p>
      <w:pPr>
        <w:ind w:left="651" w:right="20"/>
        <w:spacing w:after="0" w:line="271" w:lineRule="auto"/>
        <w:rPr>
          <w:sz w:val="20"/>
          <w:szCs w:val="20"/>
          <w:color w:val="auto"/>
        </w:rPr>
      </w:pPr>
      <w:r>
        <w:rPr>
          <w:rFonts w:ascii="Times New Roman" w:cs="Times New Roman" w:eastAsia="Times New Roman" w:hAnsi="Times New Roman"/>
          <w:sz w:val="22"/>
          <w:szCs w:val="22"/>
          <w:color w:val="auto"/>
        </w:rPr>
        <w:t>the time of surrender. No event described in Section 13.05 of the Plan shall cause the Option to become fully vested and exercisable unless such event is a Change in Control (as defined in Exhibit A).</w:t>
      </w:r>
    </w:p>
    <w:p>
      <w:pPr>
        <w:spacing w:after="0" w:line="194" w:lineRule="exact"/>
        <w:rPr>
          <w:sz w:val="20"/>
          <w:szCs w:val="20"/>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p>
    <w:p>
      <w:pPr>
        <w:spacing w:after="0" w:line="318" w:lineRule="exact"/>
        <w:rPr>
          <w:rFonts w:ascii="Times New Roman" w:cs="Times New Roman" w:eastAsia="Times New Roman" w:hAnsi="Times New Roman"/>
          <w:sz w:val="22"/>
          <w:szCs w:val="22"/>
          <w:color w:val="auto"/>
        </w:rPr>
      </w:pPr>
    </w:p>
    <w:p>
      <w:pPr>
        <w:jc w:val="both"/>
        <w:ind w:left="631"/>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272"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Provisions of Plan Controlling</w:t>
      </w:r>
    </w:p>
    <w:p>
      <w:pPr>
        <w:spacing w:after="0" w:line="318" w:lineRule="exact"/>
        <w:rPr>
          <w:rFonts w:ascii="Times New Roman" w:cs="Times New Roman" w:eastAsia="Times New Roman" w:hAnsi="Times New Roman"/>
          <w:sz w:val="22"/>
          <w:szCs w:val="22"/>
          <w:color w:val="auto"/>
        </w:rPr>
      </w:pPr>
    </w:p>
    <w:p>
      <w:pPr>
        <w:jc w:val="both"/>
        <w:ind w:left="63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Wisconsin Contract</w:t>
      </w:r>
    </w:p>
    <w:p>
      <w:pPr>
        <w:spacing w:after="0" w:line="318"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has been granted in Wisconsin and shall be construed under the laws of that state.</w:t>
      </w:r>
    </w:p>
    <w:p>
      <w:pPr>
        <w:spacing w:after="0" w:line="310"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p>
    <w:p>
      <w:pPr>
        <w:spacing w:after="0" w:line="318" w:lineRule="exact"/>
        <w:rPr>
          <w:rFonts w:ascii="Times New Roman" w:cs="Times New Roman" w:eastAsia="Times New Roman" w:hAnsi="Times New Roman"/>
          <w:sz w:val="22"/>
          <w:szCs w:val="22"/>
          <w:color w:val="auto"/>
        </w:rPr>
      </w:pPr>
    </w:p>
    <w:p>
      <w:pPr>
        <w:jc w:val="both"/>
        <w:ind w:left="65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Times New Roman" w:cs="Times New Roman" w:eastAsia="Times New Roman" w:hAnsi="Times New Roman"/>
          <w:sz w:val="22"/>
          <w:szCs w:val="22"/>
          <w:color w:val="252525"/>
        </w:rPr>
        <w:t>A court of competent jurisdiction is expressly authorized to modify overbroad provisions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so as to make them enforceable to the maximum extent permitted by law and is further authorized to strike whole provisions that cannot be so modified.</w:t>
      </w:r>
    </w:p>
    <w:p>
      <w:pPr>
        <w:spacing w:after="0" w:line="271"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p>
    <w:p>
      <w:pPr>
        <w:spacing w:after="0" w:line="345"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50"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Immunity.</w:t>
      </w:r>
    </w:p>
    <w:p>
      <w:pPr>
        <w:spacing w:after="0" w:line="345" w:lineRule="exact"/>
        <w:rPr>
          <w:sz w:val="20"/>
          <w:szCs w:val="20"/>
          <w:color w:val="auto"/>
        </w:rPr>
      </w:pPr>
    </w:p>
    <w:p>
      <w:pPr>
        <w:ind w:left="571"/>
        <w:spacing w:after="0"/>
        <w:rPr>
          <w:sz w:val="20"/>
          <w:szCs w:val="20"/>
          <w:color w:val="auto"/>
        </w:rPr>
      </w:pPr>
      <w:r>
        <w:rPr>
          <w:rFonts w:ascii="Times New Roman" w:cs="Times New Roman" w:eastAsia="Times New Roman" w:hAnsi="Times New Roman"/>
          <w:sz w:val="22"/>
          <w:szCs w:val="22"/>
          <w:color w:val="auto"/>
        </w:rPr>
        <w:t>In accordance with the Defend Trade Secrets Act, Employee is hereby advised that:</w:t>
      </w:r>
    </w:p>
    <w:p>
      <w:pPr>
        <w:spacing w:after="0" w:line="260" w:lineRule="exact"/>
        <w:rPr>
          <w:sz w:val="20"/>
          <w:szCs w:val="20"/>
          <w:color w:val="auto"/>
        </w:rPr>
      </w:pPr>
    </w:p>
    <w:p>
      <w:pPr>
        <w:ind w:left="571"/>
        <w:spacing w:after="0"/>
        <w:rPr>
          <w:sz w:val="20"/>
          <w:szCs w:val="20"/>
          <w:color w:val="auto"/>
        </w:rPr>
      </w:pPr>
      <w:r>
        <w:rPr>
          <w:rFonts w:ascii="Times New Roman" w:cs="Times New Roman" w:eastAsia="Times New Roman" w:hAnsi="Times New Roman"/>
          <w:sz w:val="22"/>
          <w:szCs w:val="22"/>
          <w:color w:val="auto"/>
        </w:rPr>
        <w:t>An individual shall not be held criminally or civilly liable under any federal or state trade</w:t>
      </w:r>
    </w:p>
    <w:p>
      <w:pPr>
        <w:sectPr>
          <w:pgSz w:w="11900" w:h="16838" w:orient="portrait"/>
          <w:cols w:equalWidth="0" w:num="1">
            <w:col w:w="11331"/>
          </w:cols>
          <w:pgMar w:left="329" w:top="639" w:right="239" w:bottom="1440" w:gutter="0" w:footer="0" w:header="0"/>
        </w:sectPr>
      </w:pPr>
    </w:p>
    <w:bookmarkStart w:id="103" w:name="page104"/>
    <w:bookmarkEnd w:id="103"/>
    <w:p>
      <w:pPr>
        <w:jc w:val="both"/>
        <w:spacing w:after="0" w:line="248" w:lineRule="auto"/>
        <w:rPr>
          <w:sz w:val="20"/>
          <w:szCs w:val="20"/>
          <w:color w:val="auto"/>
        </w:rPr>
      </w:pPr>
      <w:r>
        <w:rPr>
          <w:rFonts w:ascii="Times New Roman" w:cs="Times New Roman" w:eastAsia="Times New Roman" w:hAnsi="Times New Roman"/>
          <w:sz w:val="22"/>
          <w:szCs w:val="22"/>
          <w:color w:val="auto"/>
        </w:rPr>
        <w:t>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IN WITNESS WHEREOF, the Corporation has granted this Option as of the day and year first above written.</w:t>
      </w:r>
    </w:p>
    <w:p>
      <w:pPr>
        <w:spacing w:after="0" w:line="25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BRADY CORPORATION</w:t>
      </w:r>
    </w:p>
    <w:p>
      <w:pPr>
        <w:spacing w:after="0" w:line="26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J. MICHAEL NAUMAN</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 Michael Nauman</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President and Chief Executive Officer</w:t>
      </w:r>
    </w:p>
    <w:p>
      <w:pPr>
        <w:spacing w:after="0" w:line="23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u w:val="single" w:color="auto"/>
          <w:color w:val="auto"/>
        </w:rPr>
        <w:t>EMPLOYEE'S ACCEPTANCE</w:t>
      </w:r>
    </w:p>
    <w:p>
      <w:pPr>
        <w:spacing w:after="0" w:line="26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 _______________, hereby accept the foregoing Option Award and agree to the</w:t>
      </w:r>
    </w:p>
    <w:p>
      <w:pPr>
        <w:spacing w:after="0" w:line="28" w:lineRule="exact"/>
        <w:rPr>
          <w:sz w:val="20"/>
          <w:szCs w:val="20"/>
          <w:color w:val="auto"/>
        </w:rPr>
      </w:pPr>
    </w:p>
    <w:p>
      <w:pPr>
        <w:ind w:left="3320" w:right="20"/>
        <w:spacing w:after="0" w:line="248" w:lineRule="auto"/>
        <w:rPr>
          <w:sz w:val="20"/>
          <w:szCs w:val="20"/>
          <w:color w:val="auto"/>
        </w:rPr>
      </w:pPr>
      <w:r>
        <w:rPr>
          <w:rFonts w:ascii="Times New Roman" w:cs="Times New Roman" w:eastAsia="Times New Roman" w:hAnsi="Times New Roman"/>
          <w:sz w:val="22"/>
          <w:szCs w:val="22"/>
          <w:color w:val="auto"/>
        </w:rPr>
        <w:t>terms and conditions thereof, including the restrictions contained in Section 10 of this Agreement.</w:t>
      </w:r>
    </w:p>
    <w:p>
      <w:pPr>
        <w:spacing w:after="0" w:line="2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6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Signature: _______________</w:t>
      </w:r>
    </w:p>
    <w:p>
      <w:pPr>
        <w:spacing w:after="0" w:line="5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Print Name: _______________</w:t>
      </w:r>
    </w:p>
    <w:p>
      <w:pPr>
        <w:sectPr>
          <w:pgSz w:w="11900" w:h="16838" w:orient="portrait"/>
          <w:cols w:equalWidth="0" w:num="1">
            <w:col w:w="10760"/>
          </w:cols>
          <w:pgMar w:left="900" w:top="585" w:right="239" w:bottom="1440" w:gutter="0" w:footer="0" w:header="0"/>
        </w:sectPr>
      </w:pPr>
    </w:p>
    <w:bookmarkStart w:id="104" w:name="page105"/>
    <w:bookmarkEnd w:id="104"/>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in Control Definition</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means the occurrence of any one of the following events:</w:t>
      </w:r>
    </w:p>
    <w:p>
      <w:pPr>
        <w:spacing w:after="0" w:line="264" w:lineRule="exact"/>
        <w:rPr>
          <w:sz w:val="20"/>
          <w:szCs w:val="20"/>
          <w:color w:val="auto"/>
        </w:rPr>
      </w:pPr>
    </w:p>
    <w:p>
      <w:pPr>
        <w:ind w:left="1460" w:hanging="803"/>
        <w:spacing w:after="0"/>
        <w:tabs>
          <w:tab w:leader="none" w:pos="146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 or indirect acquisition by an individual, entity or group (within the meaning of Section 13(d)(3) or 14(d)</w:t>
      </w:r>
    </w:p>
    <w:p>
      <w:pPr>
        <w:spacing w:after="0" w:line="39" w:lineRule="exact"/>
        <w:rPr>
          <w:rFonts w:ascii="Times New Roman" w:cs="Times New Roman" w:eastAsia="Times New Roman" w:hAnsi="Times New Roman"/>
          <w:sz w:val="21"/>
          <w:szCs w:val="21"/>
          <w:color w:val="auto"/>
        </w:rPr>
      </w:pPr>
    </w:p>
    <w:p>
      <w:pPr>
        <w:jc w:val="both"/>
        <w:ind w:firstLine="9"/>
        <w:spacing w:after="0" w:line="256" w:lineRule="auto"/>
        <w:tabs>
          <w:tab w:leader="none" w:pos="32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21" w:lineRule="exact"/>
        <w:rPr>
          <w:rFonts w:ascii="Times New Roman" w:cs="Times New Roman" w:eastAsia="Times New Roman" w:hAnsi="Times New Roman"/>
          <w:sz w:val="21"/>
          <w:szCs w:val="21"/>
          <w:color w:val="auto"/>
        </w:rPr>
      </w:pPr>
    </w:p>
    <w:p>
      <w:pPr>
        <w:jc w:val="both"/>
        <w:ind w:firstLine="657"/>
        <w:spacing w:after="0" w:line="259" w:lineRule="auto"/>
        <w:tabs>
          <w:tab w:leader="none" w:pos="1454"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12" w:lineRule="exact"/>
        <w:rPr>
          <w:rFonts w:ascii="Times New Roman" w:cs="Times New Roman" w:eastAsia="Times New Roman" w:hAnsi="Times New Roman"/>
          <w:sz w:val="21"/>
          <w:szCs w:val="21"/>
          <w:color w:val="auto"/>
        </w:rPr>
      </w:pPr>
    </w:p>
    <w:p>
      <w:pPr>
        <w:jc w:val="both"/>
        <w:ind w:firstLine="657"/>
        <w:spacing w:after="0" w:line="246" w:lineRule="auto"/>
        <w:tabs>
          <w:tab w:leader="none" w:pos="144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w:t>
      </w:r>
    </w:p>
    <w:p>
      <w:pPr>
        <w:sectPr>
          <w:pgSz w:w="11900" w:h="16838" w:orient="portrait"/>
          <w:cols w:equalWidth="0" w:num="1">
            <w:col w:w="11340"/>
          </w:cols>
          <w:pgMar w:left="320" w:top="581" w:right="239" w:bottom="1440" w:gutter="0" w:footer="0" w:header="0"/>
        </w:sectPr>
      </w:pPr>
    </w:p>
    <w:bookmarkStart w:id="105" w:name="page106"/>
    <w:bookmarkEnd w:id="105"/>
    <w:p>
      <w:pPr>
        <w:jc w:val="both"/>
        <w:spacing w:after="0" w:line="249" w:lineRule="auto"/>
        <w:rPr>
          <w:sz w:val="20"/>
          <w:szCs w:val="20"/>
          <w:color w:val="auto"/>
        </w:rPr>
      </w:pPr>
      <w:r>
        <w:rPr>
          <w:rFonts w:ascii="Times New Roman" w:cs="Times New Roman" w:eastAsia="Times New Roman" w:hAnsi="Times New Roman"/>
          <w:sz w:val="22"/>
          <w:szCs w:val="22"/>
          <w:color w:val="auto"/>
        </w:rPr>
        <w:t>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21" w:lineRule="exact"/>
        <w:rPr>
          <w:sz w:val="20"/>
          <w:szCs w:val="20"/>
          <w:color w:val="auto"/>
        </w:rPr>
      </w:pPr>
    </w:p>
    <w:p>
      <w:pPr>
        <w:ind w:left="1480" w:hanging="823"/>
        <w:spacing w:after="0"/>
        <w:tabs>
          <w:tab w:leader="none" w:pos="148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w:t>
      </w:r>
    </w:p>
    <w:p>
      <w:pPr>
        <w:spacing w:after="0" w:line="27" w:lineRule="exact"/>
        <w:rPr>
          <w:rFonts w:ascii="Times New Roman" w:cs="Times New Roman" w:eastAsia="Times New Roman" w:hAnsi="Times New Roman"/>
          <w:sz w:val="22"/>
          <w:szCs w:val="22"/>
          <w:color w:val="auto"/>
        </w:rPr>
      </w:pPr>
    </w:p>
    <w:p>
      <w:pPr>
        <w:jc w:val="both"/>
        <w:ind w:left="40" w:hanging="4"/>
        <w:spacing w:after="0" w:line="243" w:lineRule="auto"/>
        <w:tabs>
          <w:tab w:leader="none" w:pos="30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3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2"/>
          <w:szCs w:val="22"/>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340"/>
          </w:cols>
          <w:pgMar w:left="320" w:top="585"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10.58</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BRADY CORPORATION</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23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Upon management’s recommendation, the Management Development and Compensation Committee (the “Committee”) of the Brady Corporation Board of Directors has awarded to _______________ (“Employee”) a restricted stock unit award effective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20__, pursuant to the terms of the Brady Corporation 2017 Omnibus Incentive Plan (the “Plan”). The</w:t>
      </w:r>
    </w:p>
    <w:p>
      <w:pPr>
        <w:spacing w:after="0" w:line="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Corporation’s records shall be the official record of the grant described herein and, in the event of any conflict between this description and the Corporation’s records, the Corporation’s records shall control.</w:t>
      </w:r>
    </w:p>
    <w:p>
      <w:pPr>
        <w:spacing w:after="0" w:line="219" w:lineRule="exact"/>
        <w:rPr>
          <w:sz w:val="20"/>
          <w:szCs w:val="20"/>
          <w:color w:val="auto"/>
        </w:rPr>
      </w:pPr>
    </w:p>
    <w:p>
      <w:pPr>
        <w:ind w:left="660" w:hanging="651"/>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Number of Units</w:t>
      </w:r>
    </w:p>
    <w:p>
      <w:pPr>
        <w:spacing w:after="0" w:line="318" w:lineRule="exact"/>
        <w:rPr>
          <w:rFonts w:ascii="Times New Roman" w:cs="Times New Roman" w:eastAsia="Times New Roman" w:hAnsi="Times New Roman"/>
          <w:sz w:val="22"/>
          <w:szCs w:val="22"/>
          <w:color w:val="auto"/>
        </w:rPr>
      </w:pPr>
    </w:p>
    <w:p>
      <w:pPr>
        <w:jc w:val="both"/>
        <w:ind w:left="64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Restricted Stock Unit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216"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Vesting Requirement</w:t>
      </w:r>
    </w:p>
    <w:p>
      <w:pPr>
        <w:spacing w:after="0" w:line="318"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this Award (other than pursuant to accelerated vesting in certain circumstances as provided in Section 3 below) shall be subject to the satisfaction of the condition set forth in Section 2(a) below:</w:t>
      </w:r>
    </w:p>
    <w:p>
      <w:pPr>
        <w:spacing w:after="0" w:line="198" w:lineRule="exact"/>
        <w:rPr>
          <w:rFonts w:ascii="Times New Roman" w:cs="Times New Roman" w:eastAsia="Times New Roman" w:hAnsi="Times New Roman"/>
          <w:sz w:val="22"/>
          <w:szCs w:val="22"/>
          <w:color w:val="auto"/>
        </w:rPr>
      </w:pPr>
    </w:p>
    <w:p>
      <w:pPr>
        <w:jc w:val="both"/>
        <w:ind w:left="1300" w:hanging="643"/>
        <w:spacing w:after="0" w:line="257" w:lineRule="auto"/>
        <w:tabs>
          <w:tab w:leader="none" w:pos="13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257"/>
        </w:trPr>
        <w:tc>
          <w:tcPr>
            <w:tcW w:w="1120" w:type="dxa"/>
            <w:vAlign w:val="bottom"/>
          </w:tcPr>
          <w:p>
            <w:pPr>
              <w:spacing w:after="0"/>
              <w:rPr>
                <w:sz w:val="22"/>
                <w:szCs w:val="22"/>
                <w:color w:val="auto"/>
              </w:rPr>
            </w:pPr>
          </w:p>
        </w:tc>
        <w:tc>
          <w:tcPr>
            <w:tcW w:w="6240" w:type="dxa"/>
            <w:vAlign w:val="bottom"/>
            <w:gridSpan w:val="2"/>
          </w:tcPr>
          <w:p>
            <w:pPr>
              <w:ind w:left="3660"/>
              <w:spacing w:after="0"/>
              <w:rPr>
                <w:sz w:val="20"/>
                <w:szCs w:val="20"/>
                <w:color w:val="auto"/>
              </w:rPr>
            </w:pPr>
            <w:r>
              <w:rPr>
                <w:rFonts w:ascii="Times New Roman" w:cs="Times New Roman" w:eastAsia="Times New Roman" w:hAnsi="Times New Roman"/>
                <w:sz w:val="22"/>
                <w:szCs w:val="22"/>
                <w:color w:val="auto"/>
              </w:rPr>
              <w:t>Cumulative Percentage of</w:t>
            </w:r>
          </w:p>
        </w:tc>
      </w:tr>
      <w:tr>
        <w:trPr>
          <w:trHeight w:val="230"/>
        </w:trPr>
        <w:tc>
          <w:tcPr>
            <w:tcW w:w="11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5"/>
              </w:rPr>
              <w:t>Vesting Date</w:t>
            </w:r>
          </w:p>
        </w:tc>
        <w:tc>
          <w:tcPr>
            <w:tcW w:w="6240" w:type="dxa"/>
            <w:vAlign w:val="bottom"/>
            <w:gridSpan w:val="2"/>
          </w:tcPr>
          <w:p>
            <w:pPr>
              <w:ind w:left="3660"/>
              <w:spacing w:after="0" w:line="230" w:lineRule="exact"/>
              <w:rPr>
                <w:sz w:val="20"/>
                <w:szCs w:val="20"/>
                <w:color w:val="auto"/>
              </w:rPr>
            </w:pPr>
            <w:r>
              <w:rPr>
                <w:rFonts w:ascii="Times New Roman" w:cs="Times New Roman" w:eastAsia="Times New Roman" w:hAnsi="Times New Roman"/>
                <w:sz w:val="22"/>
                <w:szCs w:val="22"/>
                <w:color w:val="auto"/>
                <w:w w:val="96"/>
              </w:rPr>
              <w:t>Vested Restricted Stock Units</w:t>
            </w:r>
          </w:p>
        </w:tc>
      </w:tr>
      <w:tr>
        <w:trPr>
          <w:trHeight w:val="20"/>
        </w:trPr>
        <w:tc>
          <w:tcPr>
            <w:tcW w:w="11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300" w:hanging="643"/>
        <w:spacing w:after="0" w:line="252" w:lineRule="auto"/>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ectPr>
          <w:pgSz w:w="11900" w:h="16838" w:orient="portrait"/>
          <w:cols w:equalWidth="0" w:num="1">
            <w:col w:w="11340"/>
          </w:cols>
          <w:pgMar w:left="320" w:top="581" w:right="239" w:bottom="1440" w:gutter="0" w:footer="0" w:header="0"/>
        </w:sectPr>
      </w:pPr>
    </w:p>
    <w:bookmarkStart w:id="107" w:name="page108"/>
    <w:bookmarkEnd w:id="107"/>
    <w:p>
      <w:pPr>
        <w:ind w:left="660" w:hanging="651"/>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Accelerated Vesting.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terms and conditions of Section 2 hereof:</w:t>
      </w:r>
    </w:p>
    <w:p>
      <w:pPr>
        <w:spacing w:after="0" w:line="260" w:lineRule="exact"/>
        <w:rPr>
          <w:sz w:val="20"/>
          <w:szCs w:val="20"/>
          <w:color w:val="auto"/>
        </w:rPr>
      </w:pPr>
    </w:p>
    <w:p>
      <w:pPr>
        <w:jc w:val="both"/>
        <w:ind w:left="1300" w:hanging="643"/>
        <w:spacing w:after="0" w:line="266" w:lineRule="auto"/>
        <w:tabs>
          <w:tab w:leader="none" w:pos="13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the Employee’s employment with the Corporation (and any Affiliate) prior to the end of the Restricted Period due to (i)death or Disability, the Restricted Stock Units shall become fully vested, and</w:t>
      </w:r>
    </w:p>
    <w:p>
      <w:pPr>
        <w:spacing w:after="0" w:line="1" w:lineRule="exact"/>
        <w:rPr>
          <w:rFonts w:ascii="Times New Roman" w:cs="Times New Roman" w:eastAsia="Times New Roman" w:hAnsi="Times New Roman"/>
          <w:sz w:val="21"/>
          <w:szCs w:val="21"/>
          <w:color w:val="auto"/>
        </w:rPr>
      </w:pPr>
    </w:p>
    <w:p>
      <w:pPr>
        <w:ind w:left="1300" w:firstLine="6"/>
        <w:spacing w:after="0" w:line="248" w:lineRule="auto"/>
        <w:tabs>
          <w:tab w:leader="none" w:pos="1646"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(after age 60 with five years of employment with the Corporation or an Affiliate), the Restricted Stock Units shall continue to vest as provided in Section 2 hereof</w:t>
      </w:r>
    </w:p>
    <w:p>
      <w:pPr>
        <w:spacing w:after="0" w:line="222" w:lineRule="exact"/>
        <w:rPr>
          <w:rFonts w:ascii="Times New Roman" w:cs="Times New Roman" w:eastAsia="Times New Roman" w:hAnsi="Times New Roman"/>
          <w:sz w:val="22"/>
          <w:szCs w:val="22"/>
          <w:color w:val="auto"/>
        </w:rPr>
      </w:pPr>
    </w:p>
    <w:p>
      <w:pPr>
        <w:jc w:val="both"/>
        <w:ind w:left="1300" w:hanging="643"/>
        <w:spacing w:after="0" w:line="250" w:lineRule="auto"/>
        <w:tabs>
          <w:tab w:leader="none" w:pos="13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 13.05 of the Plan shall cause the Restricted Stock Units to become unrestricted and fully vested unless such event is a Change in Control (as defined in Exhibit A).</w:t>
      </w:r>
    </w:p>
    <w:p>
      <w:pPr>
        <w:spacing w:after="0" w:line="218"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Dividends</w:t>
      </w:r>
    </w:p>
    <w:p>
      <w:pPr>
        <w:spacing w:after="0" w:line="3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dividends will be paid or accrued on any Restricted Stock Units prior to the issuance of the Shares.</w:t>
      </w:r>
    </w:p>
    <w:p>
      <w:pPr>
        <w:spacing w:after="0" w:line="256"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Restricted Stock Units.</w:t>
      </w:r>
    </w:p>
    <w:p>
      <w:pPr>
        <w:spacing w:after="0" w:line="318" w:lineRule="exact"/>
        <w:rPr>
          <w:rFonts w:ascii="Times New Roman" w:cs="Times New Roman" w:eastAsia="Times New Roman" w:hAnsi="Times New Roman"/>
          <w:sz w:val="22"/>
          <w:szCs w:val="22"/>
          <w:color w:val="auto"/>
        </w:rPr>
      </w:pPr>
    </w:p>
    <w:p>
      <w:pPr>
        <w:ind w:left="660" w:right="2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Restricted Stock Units become vested, the Company shall deliver to the Employee one Share for each Restricted Stock Unit which becomes vested.</w:t>
      </w:r>
    </w:p>
    <w:p>
      <w:pPr>
        <w:spacing w:after="0" w:line="194"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 Restrictions</w:t>
      </w:r>
    </w:p>
    <w:p>
      <w:pPr>
        <w:spacing w:after="0" w:line="318"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209"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p>
    <w:p>
      <w:pPr>
        <w:spacing w:after="0" w:line="318" w:lineRule="exact"/>
        <w:rPr>
          <w:rFonts w:ascii="Times New Roman" w:cs="Times New Roman" w:eastAsia="Times New Roman" w:hAnsi="Times New Roman"/>
          <w:sz w:val="22"/>
          <w:szCs w:val="22"/>
          <w:color w:val="auto"/>
        </w:rPr>
      </w:pPr>
    </w:p>
    <w:p>
      <w:pPr>
        <w:jc w:val="both"/>
        <w:ind w:left="6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w:t>
      </w:r>
    </w:p>
    <w:p>
      <w:pPr>
        <w:sectPr>
          <w:pgSz w:w="11900" w:h="16838" w:orient="portrait"/>
          <w:cols w:equalWidth="0" w:num="1">
            <w:col w:w="11340"/>
          </w:cols>
          <w:pgMar w:left="320" w:top="581" w:right="239" w:bottom="1440" w:gutter="0" w:footer="0" w:header="0"/>
        </w:sectPr>
      </w:pPr>
    </w:p>
    <w:bookmarkStart w:id="108" w:name="page109"/>
    <w:bookmarkEnd w:id="108"/>
    <w:p>
      <w:pPr>
        <w:ind w:left="651"/>
        <w:spacing w:after="0"/>
        <w:rPr>
          <w:sz w:val="20"/>
          <w:szCs w:val="20"/>
          <w:color w:val="auto"/>
        </w:rPr>
      </w:pPr>
      <w:r>
        <w:rPr>
          <w:rFonts w:ascii="Times New Roman" w:cs="Times New Roman" w:eastAsia="Times New Roman" w:hAnsi="Times New Roman"/>
          <w:sz w:val="22"/>
          <w:szCs w:val="22"/>
          <w:color w:val="auto"/>
        </w:rPr>
        <w:t>Employee’s applicable jurisdictions.</w:t>
      </w:r>
    </w:p>
    <w:p>
      <w:pPr>
        <w:spacing w:after="0" w:line="310" w:lineRule="exact"/>
        <w:rPr>
          <w:sz w:val="20"/>
          <w:szCs w:val="20"/>
          <w:color w:val="auto"/>
        </w:rPr>
      </w:pPr>
    </w:p>
    <w:p>
      <w:pPr>
        <w:ind w:left="651" w:hanging="651"/>
        <w:spacing w:after="0"/>
        <w:tabs>
          <w:tab w:leader="none" w:pos="65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of Employee</w:t>
      </w:r>
    </w:p>
    <w:p>
      <w:pPr>
        <w:spacing w:after="0" w:line="318"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263"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 Non-Solicitation and Non-Compete</w:t>
      </w:r>
    </w:p>
    <w:p>
      <w:pPr>
        <w:spacing w:after="0" w:line="318"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consideration for the grant of this Award, Employee agrees to, understands and acknowledges the following:</w:t>
      </w:r>
    </w:p>
    <w:p>
      <w:pPr>
        <w:spacing w:after="0" w:line="260" w:lineRule="exact"/>
        <w:rPr>
          <w:rFonts w:ascii="Times New Roman" w:cs="Times New Roman" w:eastAsia="Times New Roman" w:hAnsi="Times New Roman"/>
          <w:sz w:val="22"/>
          <w:szCs w:val="22"/>
          <w:color w:val="auto"/>
        </w:rPr>
      </w:pPr>
    </w:p>
    <w:p>
      <w:pPr>
        <w:jc w:val="both"/>
        <w:ind w:left="1291" w:hanging="643"/>
        <w:spacing w:after="0" w:line="244" w:lineRule="auto"/>
        <w:tabs>
          <w:tab w:leader="none" w:pos="129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41" w:lineRule="exact"/>
        <w:rPr>
          <w:rFonts w:ascii="Times New Roman" w:cs="Times New Roman" w:eastAsia="Times New Roman" w:hAnsi="Times New Roman"/>
          <w:sz w:val="22"/>
          <w:szCs w:val="22"/>
          <w:color w:val="auto"/>
        </w:rPr>
      </w:pPr>
    </w:p>
    <w:p>
      <w:pPr>
        <w:ind w:left="1951" w:hanging="654"/>
        <w:spacing w:after="0"/>
        <w:tabs>
          <w:tab w:leader="none" w:pos="1951"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Company’s past and existing customers and vendors and</w:t>
      </w:r>
    </w:p>
    <w:p>
      <w:pPr>
        <w:sectPr>
          <w:pgSz w:w="11900" w:h="16838" w:orient="portrait"/>
          <w:cols w:equalWidth="0" w:num="1">
            <w:col w:w="11331"/>
          </w:cols>
          <w:pgMar w:left="329" w:top="639" w:right="239" w:bottom="1440" w:gutter="0" w:footer="0" w:header="0"/>
        </w:sectPr>
      </w:pPr>
    </w:p>
    <w:bookmarkStart w:id="109" w:name="page110"/>
    <w:bookmarkEnd w:id="109"/>
    <w:p>
      <w:pPr>
        <w:ind w:left="1303"/>
        <w:spacing w:after="0" w:line="271" w:lineRule="auto"/>
        <w:rPr>
          <w:sz w:val="20"/>
          <w:szCs w:val="20"/>
          <w:color w:val="auto"/>
        </w:rPr>
      </w:pPr>
      <w:r>
        <w:rPr>
          <w:rFonts w:ascii="Times New Roman" w:cs="Times New Roman" w:eastAsia="Times New Roman" w:hAnsi="Times New Roman"/>
          <w:sz w:val="22"/>
          <w:szCs w:val="22"/>
          <w:color w:val="auto"/>
        </w:rPr>
        <w:t>development of prospective customers and vendors, including specific customer product requirements, pricing arrangements, payments terms, customer lists and other similar information;</w:t>
      </w:r>
    </w:p>
    <w:p>
      <w:pPr>
        <w:spacing w:after="0" w:line="198" w:lineRule="exact"/>
        <w:rPr>
          <w:sz w:val="20"/>
          <w:szCs w:val="20"/>
          <w:color w:val="auto"/>
        </w:rPr>
      </w:pPr>
    </w:p>
    <w:p>
      <w:pPr>
        <w:ind w:left="1303" w:right="20" w:hanging="654"/>
        <w:spacing w:after="0" w:line="271" w:lineRule="auto"/>
        <w:tabs>
          <w:tab w:leader="none" w:pos="130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inventions, designs, methods, discoveries, works of authorship, creations, improvements or ideas developed or otherwise produced, acquired or used by the Company;</w:t>
      </w:r>
    </w:p>
    <w:p>
      <w:pPr>
        <w:spacing w:after="0" w:line="198" w:lineRule="exact"/>
        <w:rPr>
          <w:rFonts w:ascii="Times New Roman" w:cs="Times New Roman" w:eastAsia="Times New Roman" w:hAnsi="Times New Roman"/>
          <w:sz w:val="22"/>
          <w:szCs w:val="22"/>
          <w:color w:val="auto"/>
        </w:rPr>
      </w:pPr>
    </w:p>
    <w:p>
      <w:pPr>
        <w:jc w:val="both"/>
        <w:ind w:left="1303" w:hanging="654"/>
        <w:spacing w:after="0" w:line="252" w:lineRule="auto"/>
        <w:tabs>
          <w:tab w:leader="none" w:pos="130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20" w:lineRule="exact"/>
        <w:rPr>
          <w:rFonts w:ascii="Times New Roman" w:cs="Times New Roman" w:eastAsia="Times New Roman" w:hAnsi="Times New Roman"/>
          <w:sz w:val="22"/>
          <w:szCs w:val="22"/>
          <w:color w:val="auto"/>
        </w:rPr>
      </w:pPr>
    </w:p>
    <w:p>
      <w:pPr>
        <w:jc w:val="both"/>
        <w:ind w:left="1303" w:hanging="654"/>
        <w:spacing w:after="0" w:line="257" w:lineRule="auto"/>
        <w:tabs>
          <w:tab w:leader="none" w:pos="130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3" w:lineRule="exact"/>
        <w:rPr>
          <w:rFonts w:ascii="Times New Roman" w:cs="Times New Roman" w:eastAsia="Times New Roman" w:hAnsi="Times New Roman"/>
          <w:sz w:val="22"/>
          <w:szCs w:val="22"/>
          <w:color w:val="auto"/>
        </w:rPr>
      </w:pPr>
    </w:p>
    <w:p>
      <w:pPr>
        <w:jc w:val="both"/>
        <w:ind w:left="1303" w:hanging="654"/>
        <w:spacing w:after="0" w:line="257" w:lineRule="auto"/>
        <w:tabs>
          <w:tab w:leader="none" w:pos="130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3" w:lineRule="exact"/>
        <w:rPr>
          <w:rFonts w:ascii="Times New Roman" w:cs="Times New Roman" w:eastAsia="Times New Roman" w:hAnsi="Times New Roman"/>
          <w:sz w:val="22"/>
          <w:szCs w:val="22"/>
          <w:color w:val="auto"/>
        </w:rPr>
      </w:pPr>
    </w:p>
    <w:p>
      <w:pPr>
        <w:jc w:val="both"/>
        <w:ind w:left="1303" w:hanging="654"/>
        <w:spacing w:after="0" w:line="266" w:lineRule="auto"/>
        <w:tabs>
          <w:tab w:leader="none" w:pos="130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does not include information which: (i) is already available to the public without wrongful act or breach by Employee; (ii) becomes available to the public through no fault of Employee; or</w:t>
      </w:r>
    </w:p>
    <w:p>
      <w:pPr>
        <w:spacing w:after="0" w:line="1" w:lineRule="exact"/>
        <w:rPr>
          <w:rFonts w:ascii="Times New Roman" w:cs="Times New Roman" w:eastAsia="Times New Roman" w:hAnsi="Times New Roman"/>
          <w:sz w:val="21"/>
          <w:szCs w:val="21"/>
          <w:color w:val="auto"/>
        </w:rPr>
      </w:pPr>
    </w:p>
    <w:p>
      <w:pPr>
        <w:ind w:left="1303" w:hanging="6"/>
        <w:spacing w:after="0" w:line="248" w:lineRule="auto"/>
        <w:tabs>
          <w:tab w:leader="none" w:pos="170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required to be disclosed pursuant to a court order or order of government authority, provided that Employee promptly notifies Company of such request so Company may seek a protective order</w:t>
      </w:r>
    </w:p>
    <w:p>
      <w:pPr>
        <w:spacing w:after="0" w:line="222" w:lineRule="exact"/>
        <w:rPr>
          <w:rFonts w:ascii="Times New Roman" w:cs="Times New Roman" w:eastAsia="Times New Roman" w:hAnsi="Times New Roman"/>
          <w:sz w:val="22"/>
          <w:szCs w:val="22"/>
          <w:color w:val="auto"/>
        </w:rPr>
      </w:pPr>
    </w:p>
    <w:p>
      <w:pPr>
        <w:jc w:val="both"/>
        <w:ind w:left="643" w:hanging="643"/>
        <w:spacing w:after="0" w:line="263" w:lineRule="auto"/>
        <w:tabs>
          <w:tab w:leader="none" w:pos="64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Post-Employment Customer Non-Solicitation Agreement</w:t>
      </w:r>
      <w:r>
        <w:rPr>
          <w:rFonts w:ascii="Times New Roman" w:cs="Times New Roman" w:eastAsia="Times New Roman" w:hAnsi="Times New Roman"/>
          <w:sz w:val="21"/>
          <w:szCs w:val="21"/>
          <w:color w:val="auto"/>
        </w:rPr>
        <w:t xml:space="preserve">. For one (1) year following Employee’s separation from Company, Employee will not </w:t>
      </w:r>
      <w:r>
        <w:rPr>
          <w:rFonts w:ascii="Times New Roman" w:cs="Times New Roman" w:eastAsia="Times New Roman" w:hAnsi="Times New Roman"/>
          <w:sz w:val="21"/>
          <w:szCs w:val="21"/>
          <w:color w:val="252525"/>
        </w:rPr>
        <w:t>contact-or support others in contacting-customers of Company with whom 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52525"/>
        </w:rPr>
        <w:t>had business contact during the last two (2) years of Employee’s employment with Company, for the purpose of selling or providing products or services competitive with those offered by Company (“</w:t>
      </w:r>
      <w:r>
        <w:rPr>
          <w:rFonts w:ascii="Times New Roman" w:cs="Times New Roman" w:eastAsia="Times New Roman" w:hAnsi="Times New Roman"/>
          <w:sz w:val="21"/>
          <w:szCs w:val="21"/>
          <w:color w:val="000000"/>
        </w:rPr>
        <w:t>Competitive Products”).</w:t>
      </w:r>
      <w:r>
        <w:rPr>
          <w:rFonts w:ascii="Times New Roman" w:cs="Times New Roman" w:eastAsia="Times New Roman" w:hAnsi="Times New Roman"/>
          <w:sz w:val="21"/>
          <w:szCs w:val="21"/>
          <w:color w:val="252525"/>
        </w:rPr>
        <w:t xml:space="preserve"> </w:t>
      </w:r>
      <w:r>
        <w:rPr>
          <w:rFonts w:ascii="Times New Roman" w:cs="Times New Roman" w:eastAsia="Times New Roman" w:hAnsi="Times New Roman"/>
          <w:sz w:val="21"/>
          <w:szCs w:val="21"/>
          <w:color w:val="000000"/>
        </w:rPr>
        <w:t>“Competitive Products” shall mean products and services competitive with those products and services for which Employee was responsible during the last two (2) years of Employee’s employment with Company.</w:t>
      </w:r>
    </w:p>
    <w:p>
      <w:pPr>
        <w:spacing w:after="0" w:line="208" w:lineRule="exact"/>
        <w:rPr>
          <w:rFonts w:ascii="Times New Roman" w:cs="Times New Roman" w:eastAsia="Times New Roman" w:hAnsi="Times New Roman"/>
          <w:sz w:val="21"/>
          <w:szCs w:val="21"/>
          <w:color w:val="auto"/>
        </w:rPr>
      </w:pPr>
    </w:p>
    <w:p>
      <w:pPr>
        <w:jc w:val="both"/>
        <w:ind w:left="643" w:hanging="643"/>
        <w:spacing w:after="0" w:line="248" w:lineRule="auto"/>
        <w:tabs>
          <w:tab w:leader="none" w:pos="64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Non-Solicitation Agreement Based Upon Customer Knowledge</w:t>
      </w:r>
      <w:r>
        <w:rPr>
          <w:rFonts w:ascii="Times New Roman" w:cs="Times New Roman" w:eastAsia="Times New Roman" w:hAnsi="Times New Roman"/>
          <w:sz w:val="22"/>
          <w:szCs w:val="22"/>
          <w:color w:val="auto"/>
        </w:rPr>
        <w:t xml:space="preserve">. For one (1) year following Employee’s separation from Company, Employee will not </w:t>
      </w:r>
      <w:r>
        <w:rPr>
          <w:rFonts w:ascii="Times New Roman" w:cs="Times New Roman" w:eastAsia="Times New Roman" w:hAnsi="Times New Roman"/>
          <w:sz w:val="22"/>
          <w:szCs w:val="22"/>
          <w:color w:val="252525"/>
        </w:rPr>
        <w:t>contact-or support others in contacting-customers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 xml:space="preserve">Company about whom Employee possesses Confidential Information or for whom Employee supervised others in serving during the last two (2) years of Employee’s employment with Company, for the purpose of selling or providing </w:t>
      </w:r>
      <w:r>
        <w:rPr>
          <w:rFonts w:ascii="Times New Roman" w:cs="Times New Roman" w:eastAsia="Times New Roman" w:hAnsi="Times New Roman"/>
          <w:sz w:val="22"/>
          <w:szCs w:val="22"/>
          <w:color w:val="000000"/>
        </w:rPr>
        <w:t>products or services competitive with those offered by Company (“Competitive Products”). “Competitive</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color w:val="000000"/>
        </w:rPr>
        <w:t>Products” shall mean products and services competitive with those products and services for which Employee was responsible during the last two (2) years of Employee’s employment with Company.</w:t>
      </w:r>
    </w:p>
    <w:p>
      <w:pPr>
        <w:sectPr>
          <w:pgSz w:w="11900" w:h="16838" w:orient="portrait"/>
          <w:cols w:equalWidth="0" w:num="1">
            <w:col w:w="10683"/>
          </w:cols>
          <w:pgMar w:left="977" w:top="585" w:right="239" w:bottom="1440" w:gutter="0" w:footer="0" w:header="0"/>
        </w:sectPr>
      </w:pPr>
    </w:p>
    <w:bookmarkStart w:id="110" w:name="page111"/>
    <w:bookmarkEnd w:id="110"/>
    <w:p>
      <w:pPr>
        <w:jc w:val="both"/>
        <w:ind w:left="643" w:hanging="643"/>
        <w:spacing w:after="0" w:line="246"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Non-Compete Agreement</w:t>
      </w:r>
      <w:r>
        <w:rPr>
          <w:rFonts w:ascii="Times New Roman" w:cs="Times New Roman" w:eastAsia="Times New Roman" w:hAnsi="Times New Roman"/>
          <w:sz w:val="22"/>
          <w:szCs w:val="22"/>
          <w:color w:val="252525"/>
        </w:rPr>
        <w:t>. For one (1) year following Employee’s separation from Company, Employee will not, directly or indirectly, within the Restricted Territory, provide services similar to any of those Employee provided to Company during the last two (2) years of Employee’s employment with Company to a competitor of Company or a person or entity preparing to compete with Company. If Employee’s services to Company during their last two (2) years of employment were limited to particular subsidiaries or affiliates (Tricor Direct, Inc., Precision Dynamics Corporation, etc.) or divisions (WPS, IDS, PDC, etc.), then the term “competitor” as used in this paragraph will be limited to competitors of all such subsidiaries, affiliates, and divisions. "Restricted Territory" shall mean the territories and regions to which Employee was assigned during the last year of their employment with Company. If Employee was not responsible for particular territories or regions during their last year of employment, then "Restricted Territory" shall instead be defined as the country in which Employee primarily worked for Company during the last year of their employment.</w:t>
      </w:r>
    </w:p>
    <w:p>
      <w:pPr>
        <w:spacing w:after="0" w:line="226" w:lineRule="exact"/>
        <w:rPr>
          <w:rFonts w:ascii="Times New Roman" w:cs="Times New Roman" w:eastAsia="Times New Roman" w:hAnsi="Times New Roman"/>
          <w:sz w:val="22"/>
          <w:szCs w:val="22"/>
          <w:color w:val="auto"/>
        </w:rPr>
      </w:pPr>
    </w:p>
    <w:p>
      <w:pPr>
        <w:jc w:val="both"/>
        <w:ind w:left="643" w:hanging="643"/>
        <w:spacing w:after="0" w:line="250"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Working With Competitive Products</w:t>
      </w:r>
      <w:r>
        <w:rPr>
          <w:rFonts w:ascii="Times New Roman" w:cs="Times New Roman" w:eastAsia="Times New Roman" w:hAnsi="Times New Roman"/>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22" w:lineRule="exact"/>
        <w:rPr>
          <w:rFonts w:ascii="Times New Roman" w:cs="Times New Roman" w:eastAsia="Times New Roman" w:hAnsi="Times New Roman"/>
          <w:sz w:val="22"/>
          <w:szCs w:val="22"/>
          <w:color w:val="auto"/>
        </w:rPr>
      </w:pPr>
    </w:p>
    <w:p>
      <w:pPr>
        <w:jc w:val="both"/>
        <w:ind w:left="643" w:hanging="643"/>
        <w:spacing w:after="0" w:line="257"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Advising Investors</w:t>
      </w:r>
      <w:r>
        <w:rPr>
          <w:rFonts w:ascii="Times New Roman" w:cs="Times New Roman" w:eastAsia="Times New Roman" w:hAnsi="Times New Roman"/>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13" w:lineRule="exact"/>
        <w:rPr>
          <w:rFonts w:ascii="Times New Roman" w:cs="Times New Roman" w:eastAsia="Times New Roman" w:hAnsi="Times New Roman"/>
          <w:sz w:val="22"/>
          <w:szCs w:val="22"/>
          <w:color w:val="auto"/>
        </w:rPr>
      </w:pPr>
    </w:p>
    <w:p>
      <w:pPr>
        <w:jc w:val="both"/>
        <w:ind w:left="643" w:hanging="643"/>
        <w:spacing w:after="0" w:line="249"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Restriction on Soliciting Employees</w:t>
      </w:r>
      <w:r>
        <w:rPr>
          <w:rFonts w:ascii="Times New Roman" w:cs="Times New Roman" w:eastAsia="Times New Roman" w:hAnsi="Times New Roman"/>
          <w:sz w:val="22"/>
          <w:szCs w:val="22"/>
          <w:color w:val="252525"/>
        </w:rPr>
        <w:t>. For one (1) year following Employee’s separation from Company, Employee will not solicit or encourage Key 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pacing w:after="0" w:line="221" w:lineRule="exact"/>
        <w:rPr>
          <w:rFonts w:ascii="Times New Roman" w:cs="Times New Roman" w:eastAsia="Times New Roman" w:hAnsi="Times New Roman"/>
          <w:sz w:val="22"/>
          <w:szCs w:val="22"/>
          <w:color w:val="auto"/>
        </w:rPr>
      </w:pPr>
    </w:p>
    <w:p>
      <w:pPr>
        <w:jc w:val="both"/>
        <w:ind w:left="643" w:hanging="643"/>
        <w:spacing w:after="0" w:line="249"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Duty of Loyalty and Related Obligations</w:t>
      </w:r>
      <w:r>
        <w:rPr>
          <w:rFonts w:ascii="Times New Roman" w:cs="Times New Roman" w:eastAsia="Times New Roman" w:hAnsi="Times New Roman"/>
          <w:sz w:val="22"/>
          <w:szCs w:val="22"/>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21" w:lineRule="exact"/>
        <w:rPr>
          <w:rFonts w:ascii="Times New Roman" w:cs="Times New Roman" w:eastAsia="Times New Roman" w:hAnsi="Times New Roman"/>
          <w:sz w:val="22"/>
          <w:szCs w:val="22"/>
          <w:color w:val="auto"/>
        </w:rPr>
      </w:pPr>
    </w:p>
    <w:p>
      <w:pPr>
        <w:jc w:val="both"/>
        <w:ind w:left="643" w:hanging="643"/>
        <w:spacing w:after="0" w:line="252" w:lineRule="auto"/>
        <w:tabs>
          <w:tab w:leader="none" w:pos="6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Non-Disparagement and Social Media</w:t>
      </w:r>
      <w:r>
        <w:rPr>
          <w:rFonts w:ascii="Times New Roman" w:cs="Times New Roman" w:eastAsia="Times New Roman" w:hAnsi="Times New Roman"/>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Times New Roman" w:cs="Times New Roman" w:eastAsia="Times New Roman" w:hAnsi="Times New Roman"/>
          <w:sz w:val="22"/>
          <w:szCs w:val="22"/>
          <w:i w:val="1"/>
          <w:iCs w:val="1"/>
          <w:color w:val="252525"/>
        </w:rPr>
        <w:t>i.e.</w:t>
      </w:r>
      <w:r>
        <w:rPr>
          <w:rFonts w:ascii="Times New Roman" w:cs="Times New Roman" w:eastAsia="Times New Roman" w:hAnsi="Times New Roman"/>
          <w:sz w:val="22"/>
          <w:szCs w:val="22"/>
          <w:color w:val="252525"/>
        </w:rPr>
        <w:t>, making disparaging comments about Company to distributors, customers, suppliers, etc.).</w:t>
      </w:r>
    </w:p>
    <w:p>
      <w:pPr>
        <w:sectPr>
          <w:pgSz w:w="11900" w:h="16838" w:orient="portrait"/>
          <w:cols w:equalWidth="0" w:num="1">
            <w:col w:w="10683"/>
          </w:cols>
          <w:pgMar w:left="977" w:top="585" w:right="239" w:bottom="1440" w:gutter="0" w:footer="0" w:header="0"/>
        </w:sectPr>
      </w:pPr>
    </w:p>
    <w:bookmarkStart w:id="111" w:name="page112"/>
    <w:bookmarkEnd w:id="111"/>
    <w:p>
      <w:pPr>
        <w:jc w:val="both"/>
        <w:ind w:left="1291" w:hanging="643"/>
        <w:spacing w:after="0" w:line="257"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 Relationships.</w:t>
      </w:r>
      <w:r>
        <w:rPr>
          <w:rFonts w:ascii="Times New Roman" w:cs="Times New Roman" w:eastAsia="Times New Roman" w:hAnsi="Times New Roman"/>
          <w:sz w:val="22"/>
          <w:szCs w:val="22"/>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3" w:lineRule="exact"/>
        <w:rPr>
          <w:rFonts w:ascii="Times New Roman" w:cs="Times New Roman" w:eastAsia="Times New Roman" w:hAnsi="Times New Roman"/>
          <w:sz w:val="22"/>
          <w:szCs w:val="22"/>
          <w:color w:val="auto"/>
        </w:rPr>
      </w:pPr>
    </w:p>
    <w:p>
      <w:pPr>
        <w:jc w:val="both"/>
        <w:ind w:left="1291" w:hanging="643"/>
        <w:spacing w:after="0" w:line="247"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w:t>
      </w:r>
    </w:p>
    <w:p>
      <w:pPr>
        <w:spacing w:after="0" w:line="226" w:lineRule="exact"/>
        <w:rPr>
          <w:rFonts w:ascii="Times New Roman" w:cs="Times New Roman" w:eastAsia="Times New Roman" w:hAnsi="Times New Roman"/>
          <w:sz w:val="22"/>
          <w:szCs w:val="22"/>
          <w:color w:val="auto"/>
        </w:rPr>
      </w:pPr>
    </w:p>
    <w:p>
      <w:pPr>
        <w:jc w:val="both"/>
        <w:ind w:left="1291" w:hanging="643"/>
        <w:spacing w:after="0" w:line="252"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20" w:lineRule="exact"/>
        <w:rPr>
          <w:rFonts w:ascii="Times New Roman" w:cs="Times New Roman" w:eastAsia="Times New Roman" w:hAnsi="Times New Roman"/>
          <w:sz w:val="22"/>
          <w:szCs w:val="22"/>
          <w:color w:val="auto"/>
        </w:rPr>
      </w:pPr>
    </w:p>
    <w:p>
      <w:pPr>
        <w:ind w:left="1291" w:right="20" w:hanging="643"/>
        <w:spacing w:after="0" w:line="271"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the terms of this Section 9 shall survive the termination of Employee's employment with the Company.</w:t>
      </w:r>
    </w:p>
    <w:p>
      <w:pPr>
        <w:spacing w:after="0" w:line="198" w:lineRule="exact"/>
        <w:rPr>
          <w:rFonts w:ascii="Times New Roman" w:cs="Times New Roman" w:eastAsia="Times New Roman" w:hAnsi="Times New Roman"/>
          <w:sz w:val="22"/>
          <w:szCs w:val="22"/>
          <w:color w:val="auto"/>
        </w:rPr>
      </w:pPr>
    </w:p>
    <w:p>
      <w:pPr>
        <w:jc w:val="both"/>
        <w:ind w:left="1291" w:hanging="643"/>
        <w:spacing w:after="0" w:line="250"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18"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p>
    <w:p>
      <w:pPr>
        <w:spacing w:after="0" w:line="318"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Provisions of Plan Controlling</w:t>
      </w:r>
    </w:p>
    <w:p>
      <w:pPr>
        <w:spacing w:after="0" w:line="318"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16"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Wisconsin Contract</w:t>
      </w:r>
    </w:p>
    <w:p>
      <w:pPr>
        <w:sectPr>
          <w:pgSz w:w="11900" w:h="16838" w:orient="portrait"/>
          <w:cols w:equalWidth="0" w:num="1">
            <w:col w:w="11331"/>
          </w:cols>
          <w:pgMar w:left="329" w:top="585" w:right="239" w:bottom="1440" w:gutter="0" w:footer="0" w:header="0"/>
        </w:sectPr>
      </w:pPr>
    </w:p>
    <w:bookmarkStart w:id="112" w:name="page113"/>
    <w:bookmarkEnd w:id="112"/>
    <w:p>
      <w:pPr>
        <w:ind w:left="651"/>
        <w:spacing w:after="0"/>
        <w:rPr>
          <w:sz w:val="20"/>
          <w:szCs w:val="20"/>
          <w:color w:val="auto"/>
        </w:rPr>
      </w:pPr>
      <w:r>
        <w:rPr>
          <w:rFonts w:ascii="Times New Roman" w:cs="Times New Roman" w:eastAsia="Times New Roman" w:hAnsi="Times New Roman"/>
          <w:sz w:val="22"/>
          <w:szCs w:val="22"/>
          <w:color w:val="auto"/>
        </w:rPr>
        <w:t>This Award has been granted in Wisconsin and shall be construed under the laws of that state.</w:t>
      </w:r>
    </w:p>
    <w:p>
      <w:pPr>
        <w:spacing w:after="0" w:line="256" w:lineRule="exact"/>
        <w:rPr>
          <w:sz w:val="20"/>
          <w:szCs w:val="20"/>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p>
    <w:p>
      <w:pPr>
        <w:spacing w:after="0" w:line="318" w:lineRule="exact"/>
        <w:rPr>
          <w:rFonts w:ascii="Times New Roman" w:cs="Times New Roman" w:eastAsia="Times New Roman" w:hAnsi="Times New Roman"/>
          <w:sz w:val="22"/>
          <w:szCs w:val="22"/>
          <w:color w:val="auto"/>
        </w:rPr>
      </w:pPr>
    </w:p>
    <w:p>
      <w:pPr>
        <w:jc w:val="both"/>
        <w:ind w:left="65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Times New Roman" w:cs="Times New Roman" w:eastAsia="Times New Roman" w:hAnsi="Times New Roman"/>
          <w:sz w:val="22"/>
          <w:szCs w:val="22"/>
          <w:color w:val="252525"/>
        </w:rPr>
        <w:t>A court of competent jurisdiction is expressly authorized to modify overbroad provisions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so as to make them enforceable to the maximum extent permitted by law and is further authorized to strike whole provisions that cannot be so modified.</w:t>
      </w:r>
    </w:p>
    <w:p>
      <w:pPr>
        <w:spacing w:after="0" w:line="271"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p>
    <w:p>
      <w:pPr>
        <w:spacing w:after="0" w:line="345"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50"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Immunity</w:t>
      </w:r>
    </w:p>
    <w:p>
      <w:pPr>
        <w:spacing w:after="0" w:line="345" w:lineRule="exact"/>
        <w:rPr>
          <w:sz w:val="20"/>
          <w:szCs w:val="20"/>
          <w:color w:val="auto"/>
        </w:rPr>
      </w:pPr>
    </w:p>
    <w:p>
      <w:pPr>
        <w:ind w:left="571"/>
        <w:spacing w:after="0"/>
        <w:rPr>
          <w:sz w:val="20"/>
          <w:szCs w:val="20"/>
          <w:color w:val="auto"/>
        </w:rPr>
      </w:pPr>
      <w:r>
        <w:rPr>
          <w:rFonts w:ascii="Times New Roman" w:cs="Times New Roman" w:eastAsia="Times New Roman" w:hAnsi="Times New Roman"/>
          <w:sz w:val="22"/>
          <w:szCs w:val="22"/>
          <w:color w:val="auto"/>
        </w:rPr>
        <w:t>In accordance with the Defend Trade Secrets Act, Employee is hereby advised that:</w:t>
      </w:r>
    </w:p>
    <w:p>
      <w:pPr>
        <w:spacing w:after="0" w:line="260" w:lineRule="exact"/>
        <w:rPr>
          <w:sz w:val="20"/>
          <w:szCs w:val="20"/>
          <w:color w:val="auto"/>
        </w:rPr>
      </w:pPr>
    </w:p>
    <w:p>
      <w:pPr>
        <w:jc w:val="both"/>
        <w:ind w:left="631"/>
        <w:spacing w:after="0" w:line="247" w:lineRule="auto"/>
        <w:rPr>
          <w:sz w:val="20"/>
          <w:szCs w:val="20"/>
          <w:color w:val="auto"/>
        </w:rPr>
      </w:pPr>
      <w:r>
        <w:rPr>
          <w:rFonts w:ascii="Times New Roman" w:cs="Times New Roman" w:eastAsia="Times New Roman" w:hAnsi="Times New Roman"/>
          <w:sz w:val="22"/>
          <w:szCs w:val="22"/>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ectPr>
          <w:pgSz w:w="11900" w:h="16838" w:orient="portrait"/>
          <w:cols w:equalWidth="0" w:num="1">
            <w:col w:w="11331"/>
          </w:cols>
          <w:pgMar w:left="329" w:top="895"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IN WITNESS WHEREOF, the Corporation has granted this Award as of the day and year first above written.</w:t>
      </w:r>
    </w:p>
    <w:p>
      <w:pPr>
        <w:spacing w:after="0" w:line="200" w:lineRule="exact"/>
        <w:rPr>
          <w:sz w:val="20"/>
          <w:szCs w:val="20"/>
          <w:color w:val="auto"/>
        </w:rPr>
      </w:pPr>
    </w:p>
    <w:p>
      <w:pPr>
        <w:spacing w:after="0" w:line="3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BRADY CORPORATION</w:t>
      </w:r>
    </w:p>
    <w:p>
      <w:pPr>
        <w:spacing w:after="0" w:line="2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J. MICHAEL NAUMAN</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 Michael Nauman</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President and Chief Executive Officer</w:t>
      </w:r>
    </w:p>
    <w:p>
      <w:pPr>
        <w:spacing w:after="0" w:line="2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EMPLOYEE'S ACCEPTANCE</w:t>
      </w:r>
    </w:p>
    <w:p>
      <w:pPr>
        <w:spacing w:after="0" w:line="264" w:lineRule="exact"/>
        <w:rPr>
          <w:sz w:val="20"/>
          <w:szCs w:val="20"/>
          <w:color w:val="auto"/>
        </w:rPr>
      </w:pPr>
    </w:p>
    <w:p>
      <w:pPr>
        <w:ind w:left="3240"/>
        <w:spacing w:after="0"/>
        <w:tabs>
          <w:tab w:leader="none" w:pos="5240" w:val="left"/>
        </w:tabs>
        <w:rPr>
          <w:sz w:val="20"/>
          <w:szCs w:val="20"/>
          <w:color w:val="auto"/>
        </w:rPr>
      </w:pPr>
      <w:r>
        <w:rPr>
          <w:rFonts w:ascii="Times New Roman" w:cs="Times New Roman" w:eastAsia="Times New Roman" w:hAnsi="Times New Roman"/>
          <w:sz w:val="22"/>
          <w:szCs w:val="22"/>
          <w:color w:val="auto"/>
        </w:rPr>
        <w:t>I, _______________</w:t>
      </w:r>
      <w:r>
        <w:rPr>
          <w:sz w:val="20"/>
          <w:szCs w:val="20"/>
          <w:color w:val="auto"/>
        </w:rPr>
        <w:tab/>
      </w:r>
      <w:r>
        <w:rPr>
          <w:rFonts w:ascii="Times New Roman" w:cs="Times New Roman" w:eastAsia="Times New Roman" w:hAnsi="Times New Roman"/>
          <w:sz w:val="21"/>
          <w:szCs w:val="21"/>
          <w:color w:val="auto"/>
        </w:rPr>
        <w:t>(“Employee”), hereby accept the foregoing Award and agree</w:t>
      </w:r>
    </w:p>
    <w:p>
      <w:pPr>
        <w:spacing w:after="0" w:line="28" w:lineRule="exact"/>
        <w:rPr>
          <w:sz w:val="20"/>
          <w:szCs w:val="20"/>
          <w:color w:val="auto"/>
        </w:rPr>
      </w:pPr>
    </w:p>
    <w:p>
      <w:pPr>
        <w:jc w:val="both"/>
        <w:ind w:left="3240" w:right="20"/>
        <w:spacing w:after="0" w:line="248" w:lineRule="auto"/>
        <w:rPr>
          <w:sz w:val="20"/>
          <w:szCs w:val="20"/>
          <w:color w:val="auto"/>
        </w:rPr>
      </w:pPr>
      <w:r>
        <w:rPr>
          <w:rFonts w:ascii="Times New Roman" w:cs="Times New Roman" w:eastAsia="Times New Roman" w:hAnsi="Times New Roman"/>
          <w:sz w:val="22"/>
          <w:szCs w:val="22"/>
          <w:color w:val="auto"/>
        </w:rPr>
        <w:t>to the terms and conditions thereof, including the restrictions contained in Section 9 of this Agreement.</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Signature: 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Print Name: _______________</w:t>
      </w:r>
    </w:p>
    <w:p>
      <w:pPr>
        <w:sectPr>
          <w:pgSz w:w="11900" w:h="16838" w:orient="portrait"/>
          <w:cols w:equalWidth="0" w:num="1">
            <w:col w:w="10500"/>
          </w:cols>
          <w:pgMar w:left="980" w:top="585" w:right="419" w:bottom="1440" w:gutter="0" w:footer="0" w:header="0"/>
        </w:sectPr>
      </w:pPr>
    </w:p>
    <w:bookmarkStart w:id="114" w:name="page115"/>
    <w:bookmarkEnd w:id="114"/>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in Control Definition</w:t>
      </w:r>
    </w:p>
    <w:p>
      <w:pPr>
        <w:spacing w:after="0" w:line="2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means the occurrence of any one of the following events:</w:t>
      </w:r>
    </w:p>
    <w:p>
      <w:pPr>
        <w:spacing w:after="0" w:line="264" w:lineRule="exact"/>
        <w:rPr>
          <w:sz w:val="20"/>
          <w:szCs w:val="20"/>
          <w:color w:val="auto"/>
        </w:rPr>
      </w:pPr>
    </w:p>
    <w:p>
      <w:pPr>
        <w:ind w:left="1460" w:hanging="776"/>
        <w:spacing w:after="0"/>
        <w:tabs>
          <w:tab w:leader="none" w:pos="146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 or indirect acquisition by an individual, entity or group (within the meaning of Section 13(d)(3) or 14(d)</w:t>
      </w:r>
    </w:p>
    <w:p>
      <w:pPr>
        <w:spacing w:after="0" w:line="39" w:lineRule="exact"/>
        <w:rPr>
          <w:rFonts w:ascii="Times New Roman" w:cs="Times New Roman" w:eastAsia="Times New Roman" w:hAnsi="Times New Roman"/>
          <w:sz w:val="21"/>
          <w:szCs w:val="21"/>
          <w:color w:val="auto"/>
        </w:rPr>
      </w:pPr>
    </w:p>
    <w:p>
      <w:pPr>
        <w:jc w:val="both"/>
        <w:ind w:left="40" w:hanging="4"/>
        <w:spacing w:after="0" w:line="256" w:lineRule="auto"/>
        <w:tabs>
          <w:tab w:leader="none" w:pos="3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21" w:lineRule="exact"/>
        <w:rPr>
          <w:rFonts w:ascii="Times New Roman" w:cs="Times New Roman" w:eastAsia="Times New Roman" w:hAnsi="Times New Roman"/>
          <w:sz w:val="21"/>
          <w:szCs w:val="21"/>
          <w:color w:val="auto"/>
        </w:rPr>
      </w:pPr>
    </w:p>
    <w:p>
      <w:pPr>
        <w:jc w:val="both"/>
        <w:ind w:left="40" w:firstLine="644"/>
        <w:spacing w:after="0" w:line="259" w:lineRule="auto"/>
        <w:tabs>
          <w:tab w:leader="none" w:pos="148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12" w:lineRule="exact"/>
        <w:rPr>
          <w:rFonts w:ascii="Times New Roman" w:cs="Times New Roman" w:eastAsia="Times New Roman" w:hAnsi="Times New Roman"/>
          <w:sz w:val="21"/>
          <w:szCs w:val="21"/>
          <w:color w:val="auto"/>
        </w:rPr>
      </w:pPr>
    </w:p>
    <w:p>
      <w:pPr>
        <w:jc w:val="both"/>
        <w:ind w:left="40" w:firstLine="644"/>
        <w:spacing w:after="0" w:line="248" w:lineRule="auto"/>
        <w:tabs>
          <w:tab w:leader="none" w:pos="146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w:t>
      </w:r>
    </w:p>
    <w:p>
      <w:pPr>
        <w:spacing w:after="0" w:line="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w:t>
      </w:r>
    </w:p>
    <w:p>
      <w:pPr>
        <w:sectPr>
          <w:pgSz w:w="11900" w:h="16838" w:orient="portrait"/>
          <w:cols w:equalWidth="0" w:num="1">
            <w:col w:w="11340"/>
          </w:cols>
          <w:pgMar w:left="320" w:top="581" w:right="239" w:bottom="1440" w:gutter="0" w:footer="0" w:header="0"/>
        </w:sectPr>
      </w:pPr>
    </w:p>
    <w:bookmarkStart w:id="115" w:name="page116"/>
    <w:bookmarkEnd w:id="115"/>
    <w:p>
      <w:pPr>
        <w:jc w:val="both"/>
        <w:spacing w:after="0" w:line="249" w:lineRule="auto"/>
        <w:rPr>
          <w:sz w:val="20"/>
          <w:szCs w:val="20"/>
          <w:color w:val="auto"/>
        </w:rPr>
      </w:pPr>
      <w:r>
        <w:rPr>
          <w:rFonts w:ascii="Times New Roman" w:cs="Times New Roman" w:eastAsia="Times New Roman" w:hAnsi="Times New Roman"/>
          <w:sz w:val="22"/>
          <w:szCs w:val="22"/>
          <w:color w:val="auto"/>
        </w:rPr>
        <w:t>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21" w:lineRule="exact"/>
        <w:rPr>
          <w:sz w:val="20"/>
          <w:szCs w:val="20"/>
          <w:color w:val="auto"/>
        </w:rPr>
      </w:pPr>
    </w:p>
    <w:p>
      <w:pPr>
        <w:ind w:left="1480" w:hanging="823"/>
        <w:spacing w:after="0"/>
        <w:tabs>
          <w:tab w:leader="none" w:pos="14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w:t>
      </w:r>
    </w:p>
    <w:p>
      <w:pPr>
        <w:spacing w:after="0" w:line="27" w:lineRule="exact"/>
        <w:rPr>
          <w:rFonts w:ascii="Times New Roman" w:cs="Times New Roman" w:eastAsia="Times New Roman" w:hAnsi="Times New Roman"/>
          <w:sz w:val="22"/>
          <w:szCs w:val="22"/>
          <w:color w:val="auto"/>
        </w:rPr>
      </w:pPr>
    </w:p>
    <w:p>
      <w:pPr>
        <w:jc w:val="both"/>
        <w:ind w:left="40" w:hanging="4"/>
        <w:spacing w:after="0" w:line="243" w:lineRule="auto"/>
        <w:tabs>
          <w:tab w:leader="none" w:pos="30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00" w:lineRule="exact"/>
        <w:rPr>
          <w:sz w:val="20"/>
          <w:szCs w:val="20"/>
          <w:color w:val="auto"/>
        </w:rPr>
      </w:pPr>
    </w:p>
    <w:p>
      <w:pPr>
        <w:spacing w:after="0" w:line="295"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2"/>
          <w:szCs w:val="22"/>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340"/>
          </w:cols>
          <w:pgMar w:left="320" w:top="625"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SUBSIDIARIES OF 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31, 2019</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 (Country)</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 Voting</w:t>
            </w:r>
          </w:p>
        </w:tc>
      </w:tr>
      <w:tr>
        <w:trPr>
          <w:trHeight w:val="25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Owned</w:t>
            </w:r>
          </w:p>
        </w:tc>
      </w:tr>
      <w:tr>
        <w:trPr>
          <w:trHeight w:val="33"/>
        </w:trPr>
        <w:tc>
          <w:tcPr>
            <w:tcW w:w="7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Corporation</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Parent</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Tricor Direct, Inc.</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Emedco</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Worldmark of Wisconsin Inc.</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AIO Acquisition Inc.</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All-On-One Products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Personnel Concepts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Holdings Mexico LLC</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Clement Communications, Incorporated</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Pennsylvania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International Co.</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Brady Worldwide, Inc.</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SPC</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TISCOR</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Precision Dynamics Corporation</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Pharmex</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TimeMed Labeling Systems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Brady People ID</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PromoVision</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Dual Core</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PDMX LLC</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Idem Indemnity, Inc.</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Vermont</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Australia Holdings Pty. Ltd.</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Brady Australia Pty. Ltd.</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Scafflag Australia</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 Australia</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Trafalgar First Aid</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Carroll Australasia Pty. Ltd.</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ID Warehouse Pty. Ltd.</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Precision Dynamics Europe Sprl</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Transposafe Systems Belgium NV/SA</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W.H. Brady N.V.</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W.H.B. do Brasil Ltda.</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Brazil</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BRC Financial</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W.H.B. Identification Solutions Inc.</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Brady (Beijing) Co. Ltd.</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(Xiamen) Co., Ltd.</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Brady Investment Management (Shanghai) Co., Ltd.</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bl>
    <w:p>
      <w:pPr>
        <w:sectPr>
          <w:pgSz w:w="11900" w:h="16838" w:orient="portrait"/>
          <w:cols w:equalWidth="0" w:num="1">
            <w:col w:w="11420"/>
          </w:cols>
          <w:pgMar w:left="240" w:top="927" w:right="239" w:bottom="15"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Printing (Shenzhen) Co.,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9"/>
              </w:rPr>
              <w:t>China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Technology (Wuxi) Co. Ltd.</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China</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A/S</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Denmark</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Braton Europe S.A.R.L.</w:t>
            </w:r>
          </w:p>
        </w:tc>
        <w:tc>
          <w:tcPr>
            <w:tcW w:w="430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Groupe S.A.S.</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BIG</w:t>
            </w:r>
          </w:p>
        </w:tc>
        <w:tc>
          <w:tcPr>
            <w:tcW w:w="4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Signals</w:t>
            </w:r>
          </w:p>
        </w:tc>
        <w:tc>
          <w:tcPr>
            <w:tcW w:w="4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Securimed S.A.S.</w:t>
            </w:r>
          </w:p>
        </w:tc>
        <w:tc>
          <w:tcPr>
            <w:tcW w:w="430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GmbH</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Germany</w:t>
            </w:r>
          </w:p>
        </w:tc>
        <w:tc>
          <w:tcPr>
            <w:tcW w:w="184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100</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Transposafe</w:t>
            </w: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Bakee Metal Manufactory Company Limited</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Hong Kong</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Corporation Hong Kong Limited</w:t>
            </w:r>
          </w:p>
        </w:tc>
        <w:tc>
          <w:tcPr>
            <w:tcW w:w="430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Hong Kong</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Company India Private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India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Italia, S.r.l.</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Italy</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Nippon Brady K.K.</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Japan</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Finance Luxembourg S.à.r.l.</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Luxembourg</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Luxembourg S.à.r.l.</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9"/>
              </w:rPr>
              <w:t>Luxembourg</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S.à.r.l.</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Luxembourg</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Technology SDN. BHD.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8"/>
              </w:rPr>
              <w:t>Malaysia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Mexico, S. de R.L. de C.V.</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Mexico</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W.H. Brady S. de R.L. de C.V.</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Mexico</w:t>
            </w:r>
          </w:p>
        </w:tc>
        <w:tc>
          <w:tcPr>
            <w:tcW w:w="184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B.V.</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Finance B.V.</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84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Transposafe Systems Holland B.V.</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AS</w:t>
            </w:r>
          </w:p>
        </w:tc>
        <w:tc>
          <w:tcPr>
            <w:tcW w:w="430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Norway</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Pervaco AS</w:t>
            </w:r>
          </w:p>
        </w:tc>
        <w:tc>
          <w:tcPr>
            <w:tcW w:w="430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Norway</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Philippines Direct Marketing Inc.</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Philippines</w:t>
            </w:r>
          </w:p>
        </w:tc>
        <w:tc>
          <w:tcPr>
            <w:tcW w:w="184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Transposafe Systems Polska Sp. Z.o.o.</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Poland</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ID Solutions SRL</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Romania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LLC</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8"/>
              </w:rPr>
              <w:t>Russia</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Asia Holding Pte.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Asia Pacific Pte. Ltd.</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Corporation Asia Pte.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s.r.o.</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Slovakia</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Grafo Wiremarkers Pty.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9"/>
              </w:rPr>
              <w:t>South Africa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Wiremarkers Africa Pty. Ltd.</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South Africa</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IDS Korea LLC</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South Korea</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Identificación S.L.U.</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Spain</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8"/>
              </w:rPr>
              <w:t>Sweden</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Sweden Holding AB</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8"/>
              </w:rPr>
              <w:t>Sweden</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(Thailand) Co.,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Thailand</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Etiket ve Isaretleme Ticaret Ltd. Sirketi</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Turkey</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Middle East FZE</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Arab Emirates</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B.I. (UK) Limited</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Brady Corporation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8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Brady European Holdings Limited</w:t>
            </w:r>
          </w:p>
        </w:tc>
        <w:tc>
          <w:tcPr>
            <w:tcW w:w="430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8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r>
    </w:tbl>
    <w:p>
      <w:pPr>
        <w:sectPr>
          <w:pgSz w:w="11900" w:h="16838" w:orient="portrait"/>
          <w:cols w:equalWidth="0" w:num="1">
            <w:col w:w="11420"/>
          </w:cols>
          <w:pgMar w:left="240" w:top="734"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333-38857, 333-92417, 333-134503, 333-137686, 333-141402, 333-162538, 333-177039 and 333-212625 on Form S-8 and 333-220442 on Form S-3 of our reports dated September 6, 2019,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2019</w:t>
      </w:r>
    </w:p>
    <w:p>
      <w:pPr>
        <w:sectPr>
          <w:pgSz w:w="11900" w:h="16838" w:orient="portrait"/>
          <w:cols w:equalWidth="0" w:num="1">
            <w:col w:w="11420"/>
          </w:cols>
          <w:pgMar w:left="240" w:top="576"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40"/>
        <w:spacing w:after="0" w:line="282" w:lineRule="auto"/>
        <w:tabs>
          <w:tab w:leader="none" w:pos="6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70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40"/>
        <w:spacing w:after="0" w:line="266" w:lineRule="auto"/>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firstLine="440"/>
        <w:spacing w:after="0" w:line="282" w:lineRule="auto"/>
        <w:tabs>
          <w:tab w:leader="none" w:pos="6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6,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7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40"/>
        <w:spacing w:after="0" w:line="266" w:lineRule="auto"/>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6,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576"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firstLine="440"/>
        <w:spacing w:after="0" w:line="282" w:lineRule="auto"/>
        <w:tabs>
          <w:tab w:leader="none" w:pos="69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2019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6,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76"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firstLine="440"/>
        <w:spacing w:after="0" w:line="282" w:lineRule="auto"/>
        <w:tabs>
          <w:tab w:leader="none" w:pos="6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2019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6,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x"/>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1)"/>
      <w:numFmt w:val="decimal"/>
      <w:start w:val="2"/>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lowerRoman"/>
      <w:start w:val="2"/>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4"/>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lvl w:ilvl="1">
      <w:lvlJc w:val="left"/>
      <w:lvlText w:val="(%2)"/>
      <w:numFmt w:val="decimal"/>
      <w:start w:val="1"/>
    </w:lvl>
  </w:abstractNum>
  <w:abstractNum w:abstractNumId="49">
    <w:nsid w:val="51D9C564"/>
    <w:multiLevelType w:val="hybridMultilevel"/>
    <w:lvl w:ilvl="0">
      <w:lvlJc w:val="left"/>
      <w:lvlText w:val="(%1)"/>
      <w:numFmt w:val="lowerLetter"/>
      <w:start w:val="2"/>
    </w:lvl>
    <w:lvl w:ilvl="1">
      <w:lvlJc w:val="left"/>
      <w:lvlText w:val="%2"/>
      <w:numFmt w:val="decimal"/>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lowerLetter"/>
      <w:start w:val="1"/>
    </w:lvl>
    <w:lvl w:ilvl="1">
      <w:lvlJc w:val="left"/>
      <w:lvlText w:val="(%2)"/>
      <w:numFmt w:val="decimal"/>
      <w:start w:val="2"/>
    </w:lvl>
  </w:abstractNum>
  <w:abstractNum w:abstractNumId="53">
    <w:nsid w:val="42963E5A"/>
    <w:multiLevelType w:val="hybridMultilevel"/>
    <w:lvl w:ilvl="0">
      <w:lvlJc w:val="left"/>
      <w:lvlText w:val="(%1)"/>
      <w:numFmt w:val="lowerLetter"/>
      <w:start w:val="3"/>
    </w:lvl>
    <w:lvl w:ilvl="1">
      <w:lvlJc w:val="left"/>
      <w:lvlText w:val="%2"/>
      <w:numFmt w:val="decimal"/>
      <w:start w:val="1"/>
    </w:lvl>
  </w:abstractNum>
  <w:abstractNum w:abstractNumId="54">
    <w:nsid w:val="A0382C5"/>
    <w:multiLevelType w:val="hybridMultilevel"/>
    <w:lvl w:ilvl="0">
      <w:lvlJc w:val="left"/>
      <w:lvlText w:val="(%1)"/>
      <w:numFmt w:val="lowerLetter"/>
      <w:start w:val="4"/>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21"/>
    </w:lvl>
  </w:abstractNum>
  <w:abstractNum w:abstractNumId="57">
    <w:nsid w:val="3B0FD379"/>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58">
    <w:nsid w:val="68EB2F63"/>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59">
    <w:nsid w:val="4962813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0">
    <w:nsid w:val="60B6DF70"/>
    <w:multiLevelType w:val="hybridMultilevel"/>
    <w:lvl w:ilvl="0">
      <w:lvlJc w:val="left"/>
      <w:lvlText w:val="(%1)"/>
      <w:numFmt w:val="decimal"/>
      <w:start w:val="22"/>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1."/>
      <w:numFmt w:val="decimal"/>
      <w:start w:val="3"/>
    </w:lvl>
    <w:lvl w:ilvl="1">
      <w:lvlJc w:val="left"/>
      <w:lvlText w:val="%2)"/>
      <w:numFmt w:val="lowerLetter"/>
      <w:start w:val="1"/>
    </w:lvl>
  </w:abstractNum>
  <w:abstractNum w:abstractNumId="65">
    <w:nsid w:val="71EA1109"/>
    <w:multiLevelType w:val="hybridMultilevel"/>
    <w:lvl w:ilvl="0">
      <w:lvlJc w:val="left"/>
      <w:lvlText w:val="%1."/>
      <w:numFmt w:val="decimal"/>
      <w:start w:val="7"/>
    </w:lvl>
    <w:lvl w:ilvl="1">
      <w:lvlJc w:val="left"/>
      <w:lvlText w:val="%2)"/>
      <w:numFmt w:val="lowerLetter"/>
      <w:start w:val="1"/>
    </w:lvl>
  </w:abstractNum>
  <w:abstractNum w:abstractNumId="66">
    <w:nsid w:val="100F59DC"/>
    <w:multiLevelType w:val="hybridMultilevel"/>
    <w:lvl w:ilvl="0">
      <w:lvlJc w:val="left"/>
      <w:lvlText w:val="(%1)"/>
      <w:numFmt w:val="lowerRoman"/>
      <w:start w:val="1"/>
    </w:lvl>
    <w:lvl w:ilvl="1">
      <w:lvlJc w:val="left"/>
      <w:lvlText w:val="(%2)"/>
      <w:numFmt w:val="lowerRoman"/>
      <w:start w:val="3"/>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8"/>
    </w:lvl>
  </w:abstractNum>
  <w:abstractNum w:abstractNumId="69">
    <w:nsid w:val="6F6DD9AC"/>
    <w:multiLevelType w:val="hybridMultilevel"/>
    <w:lvl w:ilvl="0">
      <w:lvlJc w:val="left"/>
      <w:lvlText w:val="%1."/>
      <w:numFmt w:val="decimal"/>
      <w:start w:val="11"/>
    </w:lvl>
  </w:abstractNum>
  <w:abstractNum w:abstractNumId="70">
    <w:nsid w:val="94211F2"/>
    <w:multiLevelType w:val="hybridMultilevel"/>
    <w:lvl w:ilvl="0">
      <w:lvlJc w:val="left"/>
      <w:lvlText w:val="%1."/>
      <w:numFmt w:val="decimal"/>
      <w:start w:val="16"/>
    </w:lvl>
  </w:abstractNum>
  <w:abstractNum w:abstractNumId="71">
    <w:nsid w:val="885E1B"/>
    <w:multiLevelType w:val="hybridMultilevel"/>
    <w:lvl w:ilvl="0">
      <w:lvlJc w:val="left"/>
      <w:lvlText w:val="%1"/>
      <w:numFmt w:val="decimal"/>
      <w:start w:val="1"/>
    </w:lvl>
    <w:lvl w:ilvl="1">
      <w:lvlJc w:val="left"/>
      <w:lvlText w:val="(%2)"/>
      <w:numFmt w:val="lowerLetter"/>
      <w:start w:val="1"/>
    </w:lvl>
  </w:abstractNum>
  <w:abstractNum w:abstractNumId="72">
    <w:nsid w:val="76272110"/>
    <w:multiLevelType w:val="hybridMultilevel"/>
    <w:lvl w:ilvl="0">
      <w:lvlJc w:val="left"/>
      <w:lvlText w:val="(%1)"/>
      <w:numFmt w:val="decimal"/>
      <w:start w:val="2"/>
    </w:lvl>
    <w:lvl w:ilvl="1">
      <w:lvlJc w:val="left"/>
      <w:lvlText w:val="(%2)"/>
      <w:numFmt w:val="lowerLetter"/>
      <w:start w:val="2"/>
    </w:lvl>
  </w:abstractNum>
  <w:abstractNum w:abstractNumId="73">
    <w:nsid w:val="4C04A8AF"/>
    <w:multiLevelType w:val="hybridMultilevel"/>
    <w:lvl w:ilvl="0">
      <w:lvlJc w:val="left"/>
      <w:lvlText w:val="%1"/>
      <w:numFmt w:val="lowerLetter"/>
      <w:start w:val="1"/>
    </w:lvl>
    <w:lvl w:ilvl="1">
      <w:lvlJc w:val="left"/>
      <w:lvlText w:val="(%2)"/>
      <w:numFmt w:val="lowerLetter"/>
      <w:start w:val="4"/>
    </w:lvl>
  </w:abstractNum>
  <w:abstractNum w:abstractNumId="74">
    <w:nsid w:val="1716703B"/>
    <w:multiLevelType w:val="hybridMultilevel"/>
    <w:lvl w:ilvl="0">
      <w:lvlJc w:val="left"/>
      <w:lvlText w:val="(%1)"/>
      <w:numFmt w:val="lowerLetter"/>
      <w:start w:val="9"/>
    </w:lvl>
    <w:lvl w:ilvl="1">
      <w:lvlJc w:val="left"/>
      <w:lvlText w:val="%2"/>
      <w:numFmt w:val="lowerLetter"/>
      <w:start w:val="1"/>
    </w:lvl>
  </w:abstractNum>
  <w:abstractNum w:abstractNumId="75">
    <w:nsid w:val="14E17E33"/>
    <w:multiLevelType w:val="hybridMultilevel"/>
    <w:lvl w:ilvl="0">
      <w:lvlJc w:val="left"/>
      <w:lvlText w:val="%1."/>
      <w:numFmt w:val="decimal"/>
      <w:start w:val="1"/>
    </w:lvl>
    <w:lvl w:ilvl="1">
      <w:lvlJc w:val="left"/>
      <w:lvlText w:val="(%2)"/>
      <w:numFmt w:val="lowerLetter"/>
      <w:start w:val="1"/>
    </w:lvl>
  </w:abstractNum>
  <w:abstractNum w:abstractNumId="76">
    <w:nsid w:val="3222E7CD"/>
    <w:multiLevelType w:val="hybridMultilevel"/>
    <w:lvl w:ilvl="0">
      <w:lvlJc w:val="left"/>
      <w:lvlText w:val="(%1)"/>
      <w:numFmt w:val="lowerLetter"/>
      <w:start w:val="2"/>
    </w:lvl>
  </w:abstractNum>
  <w:abstractNum w:abstractNumId="77">
    <w:nsid w:val="74DE0EE3"/>
    <w:multiLevelType w:val="hybridMultilevel"/>
    <w:lvl w:ilvl="0">
      <w:lvlJc w:val="left"/>
      <w:lvlText w:val="%1."/>
      <w:numFmt w:val="decimal"/>
      <w:start w:val="3"/>
    </w:lvl>
  </w:abstractNum>
  <w:abstractNum w:abstractNumId="78">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9">
    <w:nsid w:val="2DF6D64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80">
    <w:nsid w:val="46B7D44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81">
    <w:nsid w:val="4A2AC31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82">
    <w:nsid w:val="39EE015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3">
    <w:nsid w:val="57FC4FBB"/>
    <w:multiLevelType w:val="hybridMultilevel"/>
    <w:lvl w:ilvl="0">
      <w:lvlJc w:val="left"/>
      <w:lvlText w:val="(%1)"/>
      <w:numFmt w:val="lowerLetter"/>
      <w:start w:val="4"/>
    </w:lvl>
  </w:abstractNum>
  <w:abstractNum w:abstractNumId="84">
    <w:nsid w:val="CC1016F"/>
    <w:multiLevelType w:val="hybridMultilevel"/>
    <w:lvl w:ilvl="0">
      <w:lvlJc w:val="left"/>
      <w:lvlText w:val="%1"/>
      <w:numFmt w:val="decimal"/>
      <w:start w:val="1"/>
    </w:lvl>
    <w:lvl w:ilvl="1">
      <w:lvlJc w:val="left"/>
      <w:lvlText w:val="(%2)"/>
      <w:numFmt w:val="lowerLetter"/>
      <w:start w:val="10"/>
    </w:lvl>
  </w:abstractNum>
  <w:abstractNum w:abstractNumId="85">
    <w:nsid w:val="43F18422"/>
    <w:multiLevelType w:val="hybridMultilevel"/>
    <w:lvl w:ilvl="0">
      <w:lvlJc w:val="left"/>
      <w:lvlText w:val="%1."/>
      <w:numFmt w:val="decimal"/>
      <w:start w:val="10"/>
    </w:lvl>
    <w:lvl w:ilvl="1">
      <w:lvlJc w:val="left"/>
      <w:lvlText w:val="%2"/>
      <w:numFmt w:val="lowerLetter"/>
      <w:start w:val="1"/>
    </w:lvl>
  </w:abstractNum>
  <w:abstractNum w:abstractNumId="86">
    <w:nsid w:val="60EF0119"/>
    <w:multiLevelType w:val="hybridMultilevel"/>
    <w:lvl w:ilvl="0">
      <w:lvlJc w:val="left"/>
      <w:lvlText w:val="%1."/>
      <w:numFmt w:val="decimal"/>
      <w:start w:val="13"/>
    </w:lvl>
  </w:abstractNum>
  <w:abstractNum w:abstractNumId="87">
    <w:nsid w:val="26F324BA"/>
    <w:multiLevelType w:val="hybridMultilevel"/>
    <w:lvl w:ilvl="0">
      <w:lvlJc w:val="left"/>
      <w:lvlText w:val="%1"/>
      <w:numFmt w:val="decimal"/>
      <w:start w:val="1"/>
    </w:lvl>
    <w:lvl w:ilvl="1">
      <w:lvlJc w:val="left"/>
      <w:lvlText w:val="(%2)"/>
      <w:numFmt w:val="lowerLetter"/>
      <w:start w:val="1"/>
    </w:lvl>
  </w:abstractNum>
  <w:abstractNum w:abstractNumId="88">
    <w:nsid w:val="7F01579B"/>
    <w:multiLevelType w:val="hybridMultilevel"/>
    <w:lvl w:ilvl="0">
      <w:lvlJc w:val="left"/>
      <w:lvlText w:val="(%1)"/>
      <w:numFmt w:val="decimal"/>
      <w:start w:val="2"/>
    </w:lvl>
    <w:lvl w:ilvl="1">
      <w:lvlJc w:val="left"/>
      <w:lvlText w:val="(%2)"/>
      <w:numFmt w:val="lowerLetter"/>
      <w:start w:val="2"/>
    </w:lvl>
  </w:abstractNum>
  <w:abstractNum w:abstractNumId="89">
    <w:nsid w:val="49DA307D"/>
    <w:multiLevelType w:val="hybridMultilevel"/>
    <w:lvl w:ilvl="0">
      <w:lvlJc w:val="left"/>
      <w:lvlText w:val="%1"/>
      <w:numFmt w:val="lowerLetter"/>
      <w:start w:val="1"/>
    </w:lvl>
    <w:lvl w:ilvl="1">
      <w:lvlJc w:val="left"/>
      <w:lvlText w:val="(%2)"/>
      <w:numFmt w:val="lowerLetter"/>
      <w:start w:val="4"/>
    </w:lvl>
  </w:abstractNum>
  <w:abstractNum w:abstractNumId="90">
    <w:nsid w:val="7055A5F5"/>
    <w:multiLevelType w:val="hybridMultilevel"/>
    <w:lvl w:ilvl="0">
      <w:lvlJc w:val="left"/>
      <w:lvlText w:val="(%1)"/>
      <w:numFmt w:val="lowerLetter"/>
      <w:start w:val="9"/>
    </w:lvl>
    <w:lvl w:ilvl="1">
      <w:lvlJc w:val="left"/>
      <w:lvlText w:val="%2"/>
      <w:numFmt w:val="lowerLetter"/>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3" Type="http://schemas.openxmlformats.org/officeDocument/2006/relationships/image" Target="media/image86.png"/><Relationship Id="rId116" Type="http://schemas.openxmlformats.org/officeDocument/2006/relationships/image" Target="media/image87.png"/><Relationship Id="rId119" Type="http://schemas.openxmlformats.org/officeDocument/2006/relationships/image" Target="media/image88.png"/><Relationship Id="rId122" Type="http://schemas.openxmlformats.org/officeDocument/2006/relationships/image" Target="media/image89.png"/><Relationship Id="rId125" Type="http://schemas.openxmlformats.org/officeDocument/2006/relationships/image" Target="media/image90.png"/><Relationship Id="rId128" Type="http://schemas.openxmlformats.org/officeDocument/2006/relationships/image" Target="media/image91.png"/><Relationship Id="rId131" Type="http://schemas.openxmlformats.org/officeDocument/2006/relationships/image" Target="media/image92.png"/><Relationship Id="rId134" Type="http://schemas.openxmlformats.org/officeDocument/2006/relationships/image" Target="media/image93.png"/><Relationship Id="rId137" Type="http://schemas.openxmlformats.org/officeDocument/2006/relationships/image" Target="media/image94.png"/><Relationship Id="rId140" Type="http://schemas.openxmlformats.org/officeDocument/2006/relationships/image" Target="media/image95.png"/><Relationship Id="rId143" Type="http://schemas.openxmlformats.org/officeDocument/2006/relationships/image" Target="media/image96.png"/><Relationship Id="rId146" Type="http://schemas.openxmlformats.org/officeDocument/2006/relationships/image" Target="media/image97.png"/><Relationship Id="rId149" Type="http://schemas.openxmlformats.org/officeDocument/2006/relationships/image" Target="media/image98.png"/><Relationship Id="rId152" Type="http://schemas.openxmlformats.org/officeDocument/2006/relationships/image" Target="media/image99.png"/><Relationship Id="rId155" Type="http://schemas.openxmlformats.org/officeDocument/2006/relationships/image" Target="media/image100.png"/><Relationship Id="rId158" Type="http://schemas.openxmlformats.org/officeDocument/2006/relationships/image" Target="media/image101.png"/><Relationship Id="rId161" Type="http://schemas.openxmlformats.org/officeDocument/2006/relationships/image" Target="media/image102.png"/><Relationship Id="rId163"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93" Type="http://schemas.openxmlformats.org/officeDocument/2006/relationships/hyperlink" Target="http://www.sec.gov/Archives/edgar/data/746598/000074659812000124/exhibit21-agreement.htm" TargetMode="External"/><Relationship Id="rId94" Type="http://schemas.openxmlformats.org/officeDocument/2006/relationships/hyperlink" Target="http://www.sec.gov/Archives/edgar/data/746598/000074659814000038/exhibit21precisepurchaseag.htm" TargetMode="External"/><Relationship Id="rId95" Type="http://schemas.openxmlformats.org/officeDocument/2006/relationships/hyperlink" Target="http://www.sec.gov/Archives/edgar/data/746598/000074659814000088/exhibit31bylawsasamended.htm" TargetMode="External"/><Relationship Id="rId96" Type="http://schemas.openxmlformats.org/officeDocument/2006/relationships/hyperlink" Target="http://www.sec.gov/Archives/edgar/data/746598/000095013709001665/c49868exv10w2.htm" TargetMode="External"/><Relationship Id="rId97" Type="http://schemas.openxmlformats.org/officeDocument/2006/relationships/hyperlink" Target="http://www.sec.gov/Archives/edgar/data/746598/000074659818000086/brc-2018731xex104.htm" TargetMode="External"/><Relationship Id="rId98" Type="http://schemas.openxmlformats.org/officeDocument/2006/relationships/hyperlink" Target="http://www.sec.gov/Archives/edgar/data/746598/000074659818000086/brc-2018731xex105.htm" TargetMode="External"/><Relationship Id="rId99" Type="http://schemas.openxmlformats.org/officeDocument/2006/relationships/hyperlink" Target="http://www.sec.gov/Archives/edgar/data/746598/000095013708012076/c35732exv10w6.htm" TargetMode="External"/><Relationship Id="rId100" Type="http://schemas.openxmlformats.org/officeDocument/2006/relationships/hyperlink" Target="http://www.sec.gov/Archives/edgar/data/746598/000074659816000242/exhibit1012017omnibusincen.htm" TargetMode="External"/><Relationship Id="rId101" Type="http://schemas.openxmlformats.org/officeDocument/2006/relationships/hyperlink" Target="http://www.sec.gov/Archives/edgar/data/746598/000074659816000259/exhibit101-stockoptionagre.htm" TargetMode="External"/><Relationship Id="rId102" Type="http://schemas.openxmlformats.org/officeDocument/2006/relationships/hyperlink" Target="http://www.sec.gov/Archives/edgar/data/746598/000095013708014002/c47915exv10w1.htm" TargetMode="External"/><Relationship Id="rId103" Type="http://schemas.openxmlformats.org/officeDocument/2006/relationships/hyperlink" Target="http://www.sec.gov/Archives/edgar/data/746598/000074659816000259/exhibit102-rsuagreement.htm" TargetMode="External"/><Relationship Id="rId104" Type="http://schemas.openxmlformats.org/officeDocument/2006/relationships/hyperlink" Target="http://www.sec.gov/Archives/edgar/data/746598/000074659814000171/exhibit101restrictedstocku.htm" TargetMode="External"/><Relationship Id="rId105" Type="http://schemas.openxmlformats.org/officeDocument/2006/relationships/hyperlink" Target="http://www.sec.gov/Archives/edgar/data/746598/000074659818000086/brc-2018731xex1014.htm" TargetMode="External"/><Relationship Id="rId106" Type="http://schemas.openxmlformats.org/officeDocument/2006/relationships/hyperlink" Target="http://www.sec.gov/Archives/edgar/data/746598/000095013708012076/c35732exv10w15.htm" TargetMode="External"/><Relationship Id="rId107" Type="http://schemas.openxmlformats.org/officeDocument/2006/relationships/hyperlink" Target="http://www.sec.gov/Archives/edgar/data/746598/000074659814000225/brc-20141031xex101.htm" TargetMode="External"/><Relationship Id="rId108" Type="http://schemas.openxmlformats.org/officeDocument/2006/relationships/hyperlink" Target="http://www.sec.gov/Archives/edgar/data/746598/000074659815000132/brc-2015731xex1058.htm" TargetMode="External"/><Relationship Id="rId109" Type="http://schemas.openxmlformats.org/officeDocument/2006/relationships/hyperlink" Target="http://www.sec.gov/Archives/edgar/data/746598/000074659815000132/brc-2015731xex1059.htm" TargetMode="External"/><Relationship Id="rId110" Type="http://schemas.openxmlformats.org/officeDocument/2006/relationships/hyperlink" Target="http://www.sec.gov/Archives/edgar/data/746598/000074659818000086/brc-2018731xex1058.htm" TargetMode="External"/><Relationship Id="rId111" Type="http://schemas.openxmlformats.org/officeDocument/2006/relationships/hyperlink" Target="http://www.sec.gov/Archives/edgar/data/746598/000074659814000167/brc-2014731xex1063.htm" TargetMode="External"/><Relationship Id="rId112" Type="http://schemas.openxmlformats.org/officeDocument/2006/relationships/hyperlink" Target="http://www.sec.gov/Archives/edgar/data/746598/000074659818000086/brc-2018731xex1021.htm" TargetMode="External"/><Relationship Id="rId114" Type="http://schemas.openxmlformats.org/officeDocument/2006/relationships/hyperlink" Target="http://www.sec.gov/Archives/edgar/data/746598/000074659813000117/brc-2013430xex101.htm" TargetMode="External"/><Relationship Id="rId115" Type="http://schemas.openxmlformats.org/officeDocument/2006/relationships/hyperlink" Target="http://www.sec.gov/Archives/edgar/data/746598/000074659816000259/exhibit103-performancersua.htm" TargetMode="External"/><Relationship Id="rId117" Type="http://schemas.openxmlformats.org/officeDocument/2006/relationships/hyperlink" Target="http://www.sec.gov/Archives/edgar/data/746598/000074659815000089/exhibit101-employmentoffer.htm" TargetMode="External"/><Relationship Id="rId118" Type="http://schemas.openxmlformats.org/officeDocument/2006/relationships/hyperlink" Target="http://www.sec.gov/Archives/edgar/data/746598/000074659815000101/exhibit101restrictedstocku.htm" TargetMode="External"/><Relationship Id="rId120" Type="http://schemas.openxmlformats.org/officeDocument/2006/relationships/hyperlink" Target="http://www.sec.gov/Archives/edgar/data/746598/000095012310049801/c01118exv10w1.htm" TargetMode="External"/><Relationship Id="rId121" Type="http://schemas.openxmlformats.org/officeDocument/2006/relationships/hyperlink" Target="http://www.sec.gov/Archives/edgar/data/746598/000074659818000086/brc-2018731xex1059.htm" TargetMode="External"/><Relationship Id="rId123" Type="http://schemas.openxmlformats.org/officeDocument/2006/relationships/hyperlink" Target="http://www.sec.gov/Archives/edgar/data/746598/000095012310089124/c06339exv10w1.htm" TargetMode="External"/><Relationship Id="rId124" Type="http://schemas.openxmlformats.org/officeDocument/2006/relationships/hyperlink" Target="http://www.sec.gov/Archives/edgar/data/746598/000095012309046589/c53651exv10w29.htm" TargetMode="External"/><Relationship Id="rId126" Type="http://schemas.openxmlformats.org/officeDocument/2006/relationships/hyperlink" Target="http://www.sec.gov/Archives/edgar/data/746598/000095012309046589/c53651exv10w30.htm" TargetMode="External"/><Relationship Id="rId127" Type="http://schemas.openxmlformats.org/officeDocument/2006/relationships/hyperlink" Target="http://www.sec.gov/Archives/edgar/data/746598/000095012309046589/c53651exv10w31.htm" TargetMode="External"/><Relationship Id="rId129" Type="http://schemas.openxmlformats.org/officeDocument/2006/relationships/hyperlink" Target="http://www.sec.gov/Archives/edgar/data/746598/000074659815000132/brc-2015731xex1057.htm" TargetMode="External"/><Relationship Id="rId130" Type="http://schemas.openxmlformats.org/officeDocument/2006/relationships/hyperlink" Target="http://www.sec.gov/Archives/edgar/data/746598/000074659813000264/brc-20131031xex101.htm" TargetMode="External"/><Relationship Id="rId132" Type="http://schemas.openxmlformats.org/officeDocument/2006/relationships/hyperlink" Target="http://www.sec.gov/Archives/edgar/data/746598/000074659814000040/brc-20140131xex102.htm" TargetMode="External"/><Relationship Id="rId133" Type="http://schemas.openxmlformats.org/officeDocument/2006/relationships/hyperlink" Target="http://www.sec.gov/Archives/edgar/data/746598/000074659814000167/brc-2014731xex1060.htm" TargetMode="External"/><Relationship Id="rId135" Type="http://schemas.openxmlformats.org/officeDocument/2006/relationships/hyperlink" Target="http://www.sec.gov/Archives/edgar/data/746598/000074659814000040/brc-20140131xex101.htm" TargetMode="External"/><Relationship Id="rId136" Type="http://schemas.openxmlformats.org/officeDocument/2006/relationships/hyperlink" Target="http://www.sec.gov/Archives/edgar/data/746598/000095012311087053/c21968exv10w37.htm" TargetMode="External"/><Relationship Id="rId138" Type="http://schemas.openxmlformats.org/officeDocument/2006/relationships/hyperlink" Target="http://www.sec.gov/Archives/edgar/data/746598/000095012311087053/c21968exv10w38.htm" TargetMode="External"/><Relationship Id="rId139" Type="http://schemas.openxmlformats.org/officeDocument/2006/relationships/hyperlink" Target="http://www.sec.gov/Archives/edgar/data/746598/000095012311087053/c21968exv10w39.htm" TargetMode="External"/><Relationship Id="rId141" Type="http://schemas.openxmlformats.org/officeDocument/2006/relationships/hyperlink" Target="http://www.sec.gov/Archives/edgar/data/746598/000095012311087053/c21968exv10w40.htm" TargetMode="External"/><Relationship Id="rId142" Type="http://schemas.openxmlformats.org/officeDocument/2006/relationships/hyperlink" Target="http://www.sec.gov/Archives/edgar/data/746598/000095012311087053/c21968exv10w41.htm" TargetMode="External"/><Relationship Id="rId144" Type="http://schemas.openxmlformats.org/officeDocument/2006/relationships/hyperlink" Target="http://www.sec.gov/Archives/edgar/data/746598/000119312512406801/d385957dex1044.htm" TargetMode="External"/><Relationship Id="rId145" Type="http://schemas.openxmlformats.org/officeDocument/2006/relationships/hyperlink" Target="http://www.sec.gov/Archives/edgar/data/746598/000119312512406801/d385957dex1045.htm" TargetMode="External"/><Relationship Id="rId147" Type="http://schemas.openxmlformats.org/officeDocument/2006/relationships/hyperlink" Target="http://www.sec.gov/Archives/edgar/data/746598/000074659819000121/exhibit101creditagreement-.htm" TargetMode="External"/><Relationship Id="rId148" Type="http://schemas.openxmlformats.org/officeDocument/2006/relationships/hyperlink" Target="http://www.sec.gov/Archives/edgar/data/746598/000110465914056223/a14-18170_1ex10d1.htm" TargetMode="External"/><Relationship Id="rId150" Type="http://schemas.openxmlformats.org/officeDocument/2006/relationships/hyperlink" Target="http://www.sec.gov/Archives/edgar/data/746598/000110465914056223/a14-18170_1ex10d2.htm" TargetMode="External"/><Relationship Id="rId151" Type="http://schemas.openxmlformats.org/officeDocument/2006/relationships/hyperlink" Target="http://www.sec.gov/Archives/edgar/data/746598/000110465914056223/a14-18170_1ex10d3.htm" TargetMode="External"/><Relationship Id="rId153" Type="http://schemas.openxmlformats.org/officeDocument/2006/relationships/hyperlink" Target="http://www.sec.gov/Archives/edgar/data/746598/000074659813000223/brc-2013731xex1048.htm" TargetMode="External"/><Relationship Id="rId154" Type="http://schemas.openxmlformats.org/officeDocument/2006/relationships/hyperlink" Target="http://www.sec.gov/Archives/edgar/data/746598/000074659813000223/brc-2013731xex1049.htm" TargetMode="External"/><Relationship Id="rId156" Type="http://schemas.openxmlformats.org/officeDocument/2006/relationships/hyperlink" Target="http://www.sec.gov/Archives/edgar/data/746598/000074659813000223/brc-2013731xex1050.htm" TargetMode="External"/><Relationship Id="rId157" Type="http://schemas.openxmlformats.org/officeDocument/2006/relationships/hyperlink" Target="http://www.sec.gov/Archives/edgar/data/746598/000074659815000132/brc-2015731xex1060.htm" TargetMode="External"/><Relationship Id="rId159" Type="http://schemas.openxmlformats.org/officeDocument/2006/relationships/hyperlink" Target="http://www.sec.gov/Archives/edgar/data/746598/000074659815000132/brc-2015731xex1061.htm" TargetMode="External"/><Relationship Id="rId160" Type="http://schemas.openxmlformats.org/officeDocument/2006/relationships/hyperlink" Target="http://www.sec.gov/Archives/edgar/data/746598/000074659814000167/brc-2014731xex1061.htm" TargetMode="External"/><Relationship Id="rId162" Type="http://schemas.openxmlformats.org/officeDocument/2006/relationships/hyperlink" Target="http://www.sec.gov/Archives/edgar/data/746598/000074659814000167/brc-2014731xex1062.htm" TargetMode="External"/><Relationship Id="rId164" Type="http://schemas.openxmlformats.org/officeDocument/2006/relationships/hyperlink" Target="http://www.sec.gov/Archives/edgar/data/746598/000074659815000132/brc-2015731x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2019-12-28T06:29:44Z</dcterms:created>
  <dcterms:modified xsi:type="dcterms:W3CDTF">2019-12-28T06:29:44Z</dcterms:modified>
</cp:coreProperties>
</file>