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6" w:lineRule="exact"/>
        <w:rPr>
          <w:sz w:val="24"/>
          <w:szCs w:val="24"/>
          <w:color w:val="auto"/>
        </w:rPr>
      </w:pPr>
    </w:p>
    <w:tbl>
      <w:tblPr>
        <w:tblLayout w:type="fixed"/>
        <w:tblInd w:w="152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3"/>
        </w:trPr>
        <w:tc>
          <w:tcPr>
            <w:tcW w:w="2840" w:type="dxa"/>
            <w:vAlign w:val="bottom"/>
          </w:tcPr>
          <w:p>
            <w:pPr>
              <w:jc w:val="center"/>
              <w:ind w:right="30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4920" w:type="dxa"/>
            <w:vAlign w:val="bottom"/>
            <w:gridSpan w:val="2"/>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5"/>
        </w:trPr>
        <w:tc>
          <w:tcPr>
            <w:tcW w:w="2840" w:type="dxa"/>
            <w:vAlign w:val="bottom"/>
          </w:tcPr>
          <w:p>
            <w:pPr>
              <w:jc w:val="center"/>
              <w:ind w:right="30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272"/>
        </w:trPr>
        <w:tc>
          <w:tcPr>
            <w:tcW w:w="284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2"/>
        </w:trPr>
        <w:tc>
          <w:tcPr>
            <w:tcW w:w="284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5"/>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208"/>
        </w:trPr>
        <w:tc>
          <w:tcPr>
            <w:tcW w:w="284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400" w:type="dxa"/>
            <w:vAlign w:val="bottom"/>
          </w:tcPr>
          <w:p>
            <w:pPr>
              <w:spacing w:after="0"/>
              <w:rPr>
                <w:sz w:val="18"/>
                <w:szCs w:val="18"/>
                <w:color w:val="auto"/>
              </w:rPr>
            </w:pPr>
          </w:p>
        </w:tc>
      </w:tr>
      <w:tr>
        <w:trPr>
          <w:trHeight w:val="125"/>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w:t>
            </w:r>
          </w:p>
        </w:tc>
      </w:tr>
      <w:tr>
        <w:trPr>
          <w:trHeight w:val="62"/>
        </w:trPr>
        <w:tc>
          <w:tcPr>
            <w:tcW w:w="284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400" w:type="dxa"/>
            <w:vAlign w:val="bottom"/>
          </w:tcPr>
          <w:p>
            <w:pPr>
              <w:spacing w:after="0"/>
              <w:rPr>
                <w:sz w:val="5"/>
                <w:szCs w:val="5"/>
                <w:color w:val="auto"/>
              </w:rPr>
            </w:pPr>
          </w:p>
        </w:tc>
      </w:tr>
    </w:tbl>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14"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42"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03"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November 18, 2024, Brady Corporation (the “Company”) issued a press release announcing its fiscal 2025 first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November 18, 2024, the Company hosted a conference call related to its fiscal 2025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2"/>
          <w:szCs w:val="12"/>
          <w:color w:val="auto"/>
        </w:rPr>
        <w:t>Item 9.01</w:t>
      </w:r>
      <w:r>
        <w:rPr>
          <w:sz w:val="20"/>
          <w:szCs w:val="20"/>
          <w:color w:val="auto"/>
        </w:rPr>
        <w:tab/>
      </w:r>
      <w:r>
        <w:rPr>
          <w:rFonts w:ascii="Times New Roman" w:cs="Times New Roman" w:eastAsia="Times New Roman" w:hAnsi="Times New Roman"/>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01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Press Release of Brady Corporation, dated November 18, 2024, relating to first quarter fiscal 2025 financial results.</w:t>
            </w:r>
          </w:p>
        </w:tc>
      </w:tr>
      <w:tr>
        <w:trPr>
          <w:trHeight w:val="20"/>
        </w:trPr>
        <w:tc>
          <w:tcPr>
            <w:tcW w:w="1180" w:type="dxa"/>
            <w:vAlign w:val="bottom"/>
          </w:tcPr>
          <w:p>
            <w:pPr>
              <w:spacing w:after="0" w:line="20" w:lineRule="exact"/>
              <w:rPr>
                <w:sz w:val="1"/>
                <w:szCs w:val="1"/>
                <w:color w:val="auto"/>
              </w:rPr>
            </w:pPr>
          </w:p>
        </w:tc>
        <w:tc>
          <w:tcPr>
            <w:tcW w:w="55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1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Informational slides provided by Brady Corporation, dated November 18, 2024, relating to first quarter fiscal 2025 financial results.</w:t>
            </w: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c>
          <w:tcPr>
            <w:tcW w:w="3800" w:type="dxa"/>
            <w:vAlign w:val="bottom"/>
          </w:tcPr>
          <w:p>
            <w:pPr>
              <w:spacing w:after="0"/>
              <w:rPr>
                <w:sz w:val="19"/>
                <w:szCs w:val="19"/>
                <w:color w:val="auto"/>
              </w:rPr>
            </w:pPr>
          </w:p>
        </w:tc>
      </w:tr>
    </w:tbl>
    <w:p>
      <w:pPr>
        <w:spacing w:after="0" w:line="32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18, 2024</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10795</wp:posOffset>
            </wp:positionV>
            <wp:extent cx="24231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2025 First Quarter Results</w:t>
      </w:r>
    </w:p>
    <w:p>
      <w:pPr>
        <w:spacing w:after="0" w:line="20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for the quarter increased 13.6 percent. Organic sales increased 3.6 percent, acquisitions net of divestitures increased sales 8.8 percent, and foreign currency increased sales 1.2 percent.</w:t>
      </w:r>
    </w:p>
    <w:p>
      <w:pPr>
        <w:spacing w:after="0" w:line="66" w:lineRule="exact"/>
        <w:rPr>
          <w:rFonts w:ascii="Times New Roman" w:cs="Times New Roman" w:eastAsia="Times New Roman" w:hAnsi="Times New Roman"/>
          <w:sz w:val="13"/>
          <w:szCs w:val="13"/>
          <w:color w:val="auto"/>
        </w:rPr>
      </w:pPr>
    </w:p>
    <w:p>
      <w:pPr>
        <w:ind w:left="42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Income before income taxes was $58.8 million in the first quarter of fiscal 2025 compared to $59.4 million in the first quarter of fiscal 2024. Adjusted Income Before Income Taxes* in the first quarter of fiscal 2025 was $68.6 million compared to $61.8 million in the first quarter of fiscal 2024.</w:t>
      </w:r>
    </w:p>
    <w:p>
      <w:pPr>
        <w:spacing w:after="0" w:line="12" w:lineRule="exact"/>
        <w:rPr>
          <w:rFonts w:ascii="Arial" w:cs="Arial" w:eastAsia="Arial" w:hAnsi="Arial"/>
          <w:sz w:val="14"/>
          <w:szCs w:val="14"/>
          <w:color w:val="auto"/>
        </w:rPr>
      </w:pPr>
    </w:p>
    <w:p>
      <w:pPr>
        <w:ind w:left="420" w:right="20" w:hanging="212"/>
        <w:spacing w:after="0" w:line="349"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was $0.97 in the first quarter of both fiscal 2025 and 2024. Adjusted Diluted EPS* increased 12.0 percent to $1.12 in the first quarter of fiscal 2025 compared to $1.00 in the same quarter of the prior year.</w:t>
      </w:r>
    </w:p>
    <w:p>
      <w:pPr>
        <w:spacing w:after="0" w:line="116"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13"/>
          <w:szCs w:val="13"/>
          <w:color w:val="auto"/>
        </w:rPr>
        <w:t>MILWAUKEE (November 18, 2024) -- Brady Corporation (NYSE: BRC) (“Brady” or “Company”), a world leader in identification solutions, today reported its financial results for its fiscal 2025 first quarter ended October 31,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October 31, 2024 Financial Results:</w:t>
      </w:r>
    </w:p>
    <w:p>
      <w:pPr>
        <w:spacing w:after="0" w:line="51" w:lineRule="exact"/>
        <w:rPr>
          <w:sz w:val="20"/>
          <w:szCs w:val="20"/>
          <w:color w:val="auto"/>
        </w:rPr>
      </w:pPr>
    </w:p>
    <w:p>
      <w:pPr>
        <w:jc w:val="both"/>
        <w:ind w:firstLine="432"/>
        <w:spacing w:after="0" w:line="328" w:lineRule="auto"/>
        <w:rPr>
          <w:sz w:val="20"/>
          <w:szCs w:val="20"/>
          <w:color w:val="auto"/>
        </w:rPr>
      </w:pPr>
      <w:r>
        <w:rPr>
          <w:rFonts w:ascii="Times New Roman" w:cs="Times New Roman" w:eastAsia="Times New Roman" w:hAnsi="Times New Roman"/>
          <w:sz w:val="13"/>
          <w:szCs w:val="13"/>
          <w:color w:val="auto"/>
        </w:rPr>
        <w:t>Sales for the quarter ended October 31, 2024 increased 13.6 percent, which consisted of an organic sales increase of 3.6 percent, an increase of 9.9 percent from acquisitions, an increase of 1.2 percent from foreign currency translation and a decrease of 1.1 percent from divestitures. Sales for the quarter ended October 31, 2024 were $377.1 million compared to $332.0 million in the same quarter last year. By region, sales increased 10.7 percent in the Americas &amp; Asia and increased 19.3 percent in Europe &amp; Australia, which included an organic sales increase of 5.1 percent in the Americas &amp; Asia and an organic sales increase of 0.7 percent in Europe &amp; Australia.</w:t>
      </w:r>
    </w:p>
    <w:p>
      <w:pPr>
        <w:spacing w:after="0" w:line="2" w:lineRule="exact"/>
        <w:rPr>
          <w:sz w:val="20"/>
          <w:szCs w:val="20"/>
          <w:color w:val="auto"/>
        </w:rPr>
      </w:pPr>
    </w:p>
    <w:p>
      <w:pPr>
        <w:jc w:val="both"/>
        <w:ind w:firstLine="432"/>
        <w:spacing w:after="0" w:line="337" w:lineRule="auto"/>
        <w:rPr>
          <w:sz w:val="20"/>
          <w:szCs w:val="20"/>
          <w:color w:val="auto"/>
        </w:rPr>
      </w:pPr>
      <w:r>
        <w:rPr>
          <w:rFonts w:ascii="Times New Roman" w:cs="Times New Roman" w:eastAsia="Times New Roman" w:hAnsi="Times New Roman"/>
          <w:sz w:val="13"/>
          <w:szCs w:val="13"/>
          <w:color w:val="auto"/>
        </w:rPr>
        <w:t>Income before income taxes decreased 1.0 percent to $58.8 million in the quarter ended October 31, 2024 compared to $59.4 million in the same quarter last year. Adjusted Income Before Income Taxes* in the quarter ended October 31, 2024, which was adjusted for amortization expense and other acquisition-related charges of $9.8 million, was $68.6 million, an increase of 11.0 percent compared to the first quarter of last year. Adjusted Income Before Income Taxes* in the quarter ended October 31, 2023, which was adjusted for amortization expense of $2.4 million, was $61.8 million.</w:t>
      </w:r>
    </w:p>
    <w:p>
      <w:pPr>
        <w:jc w:val="both"/>
        <w:ind w:firstLine="432"/>
        <w:spacing w:after="0" w:line="357" w:lineRule="auto"/>
        <w:rPr>
          <w:sz w:val="20"/>
          <w:szCs w:val="20"/>
          <w:color w:val="auto"/>
        </w:rPr>
      </w:pPr>
      <w:r>
        <w:rPr>
          <w:rFonts w:ascii="Times New Roman" w:cs="Times New Roman" w:eastAsia="Times New Roman" w:hAnsi="Times New Roman"/>
          <w:sz w:val="13"/>
          <w:szCs w:val="13"/>
          <w:color w:val="auto"/>
        </w:rPr>
        <w:t>Net income in the quarter ended October 31, 2024 was $46.8 million compared to $47.2 million in the same quarter last year. Earnings per diluted Class A Nonvoting Common Share were $0.97 in both the first quarter of fiscal 2025 and 2024. Adjusted Net Income* in the quarter ended October 31, 2024 was $54.2 million compared to $49.1 million in the same quarter last year. Adjusted Diluted EPS* in the quarter ended October 31, 2024 was $1.12.</w:t>
      </w:r>
    </w:p>
    <w:p>
      <w:pPr>
        <w:sectPr>
          <w:pgSz w:w="11900" w:h="16838" w:orient="portrait"/>
          <w:cols w:equalWidth="0" w:num="1">
            <w:col w:w="11300"/>
          </w:cols>
          <w:pgMar w:left="300" w:top="636"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51"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“Our investments in our sales force and in research and development are paying off as we grew sales organically in both of our regions this quarter, and we have more innovative new products planned for launch in 2025,” said Brady’s President and CEO, Russell R. Shaller. “This quarter we also completed our acquisition of Gravotech, adding an exciting new solution to our offerings. Gravotech designs and manufactures specialized laser and mechanical engravers, which enhances our identification product portfolio and allows us to provide precision direct part marking solutions. I’m looking forward to our collaborative new product development plans in 2025.”</w:t>
      </w:r>
    </w:p>
    <w:p>
      <w:pPr>
        <w:spacing w:after="0" w:line="2" w:lineRule="exact"/>
        <w:rPr>
          <w:sz w:val="20"/>
          <w:szCs w:val="20"/>
          <w:color w:val="auto"/>
        </w:rPr>
      </w:pPr>
    </w:p>
    <w:p>
      <w:pPr>
        <w:jc w:val="both"/>
        <w:ind w:firstLine="432"/>
        <w:spacing w:after="0" w:line="368" w:lineRule="auto"/>
        <w:rPr>
          <w:sz w:val="20"/>
          <w:szCs w:val="20"/>
          <w:color w:val="auto"/>
        </w:rPr>
      </w:pPr>
      <w:r>
        <w:rPr>
          <w:rFonts w:ascii="Times New Roman" w:cs="Times New Roman" w:eastAsia="Times New Roman" w:hAnsi="Times New Roman"/>
          <w:sz w:val="13"/>
          <w:szCs w:val="13"/>
          <w:color w:val="auto"/>
        </w:rPr>
        <w:t>“We generated adjusted EPS of $1.12 this quarter, which represented 12.0 percent growth compared to the first quarter of last year,” said Brady’s Chief Financial Officer, Ann Thornton. “This strong performance was driven by organic sales growth and continued gross margin expansion in our organic business. Even after investing $140.6 million in acquisitions in the first quarter, we remain in a net cash position of $29.0 million as of October 31, 2024. Our strong balance sheet, strategic investments in organic and inorganic opportunities, and continued cash generation position us to drive shareholder value into the future.”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2025 Guidance:</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The Company’s Adjusted Diluted EPS* guidance for the year ending July 31, 2025 remains unchanged at $4.40 to $4.70 per share, and the Company’s GAAP earnings per diluted Class A Nonvoting Common Share guidance for the year ending July 31, 2025 was updated for amortization and other acquisition-related charges to $4.02 to $4.32 per share.</w:t>
      </w:r>
    </w:p>
    <w:p>
      <w:pPr>
        <w:spacing w:after="0" w:line="1"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The other assumptions included in our fiscal 2025 guidance are effectively unchanged. We expect a full-year income tax rate of approximately 20 percent, depreciation and amortization expense of approximately $40 million, and capital expenditures of approximately $35 million. Our fiscal 2025 guidance is based on foreign currency exchange rates as of October 31, 2024 and assumes continued economic growth.</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2025 first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52"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2024, employed approximately 5,700 people in its worldwide businesses. Brady’s fiscal 2024 sales were approximately $1.34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281" w:lineRule="exact"/>
        <w:rPr>
          <w:sz w:val="20"/>
          <w:szCs w:val="20"/>
          <w:color w:val="auto"/>
        </w:rPr>
      </w:pPr>
    </w:p>
    <w:p>
      <w:pPr>
        <w:ind w:firstLine="424"/>
        <w:spacing w:after="0" w:line="353" w:lineRule="auto"/>
        <w:tabs>
          <w:tab w:leader="none" w:pos="53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Income Before Income Taxes, Adjusted Net Income, and Adjusted Diluted EPS are non-GAAP measures. See appendix for more information on these measures, including reconciliations to the most directly comparable GAAP measures.</w:t>
      </w:r>
    </w:p>
    <w:p>
      <w:pPr>
        <w:sectPr>
          <w:pgSz w:w="11900" w:h="16838" w:orient="portrait"/>
          <w:cols w:equalWidth="0" w:num="1">
            <w:col w:w="11300"/>
          </w:cols>
          <w:pgMar w:left="300" w:top="663"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global climate change and environmental regulations; litigation, including product liability claims;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2023</w:t>
            </w:r>
          </w:p>
        </w:tc>
        <w:tc>
          <w:tcPr>
            <w:tcW w:w="48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377,065</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331,983</w:t>
            </w: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187,376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160,264</w:t>
            </w:r>
          </w:p>
        </w:tc>
      </w:tr>
      <w:tr>
        <w:trPr>
          <w:trHeight w:val="135"/>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189,689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171,719</w:t>
            </w: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18,921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15,702</w:t>
            </w:r>
          </w:p>
        </w:tc>
      </w:tr>
      <w:tr>
        <w:trPr>
          <w:trHeight w:val="142"/>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111,846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96,287</w:t>
            </w:r>
          </w:p>
        </w:tc>
      </w:tr>
      <w:tr>
        <w:trPr>
          <w:trHeight w:val="135"/>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130,767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111,989</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58,922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59,730</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w:t>
            </w:r>
          </w:p>
        </w:tc>
      </w:tr>
      <w:tr>
        <w:trPr>
          <w:trHeight w:val="144"/>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(1,356)</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58,800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59,402</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12,017</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12,161</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46,783</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47,241</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0.98</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0.97</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0.96</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0.96</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0.95</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47,732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48,505</w:t>
            </w:r>
          </w:p>
        </w:tc>
      </w:tr>
      <w:tr>
        <w:trPr>
          <w:trHeight w:val="14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48,217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48,811</w:t>
            </w:r>
          </w:p>
        </w:tc>
      </w:tr>
    </w:tbl>
    <w:p>
      <w:pPr>
        <w:sectPr>
          <w:pgSz w:w="11900" w:h="16838" w:orient="portrait"/>
          <w:cols w:equalWidth="0" w:num="1">
            <w:col w:w="11300"/>
          </w:cols>
          <w:pgMar w:left="300" w:top="56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October 31, 2024</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2024</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145,661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250,118</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$10,295 and $6,749,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218,258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185,486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178,688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152,729</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13,462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11,382</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556,069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599,715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201,374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195,758</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671,705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589,611</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116,369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51,839</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16,841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15,596</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42,157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38,504</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23,361</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24,546</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1,627,876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1,515,569</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98,179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84,691</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77,954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22,901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14,061</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13,382</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90,272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67,170</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301,470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264,682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116,645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90,935</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29,201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25,342</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71,628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67,952</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518,944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448,911</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44,223,664 and 44,042,462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354,592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353,654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1,209,406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1,174,025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stock—7,037,823 and 7,219,025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(344,012)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(351,947)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(111,602)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(109,622)</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1,108,932</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1,066,658</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1,627,876</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1,515,569</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2024</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2023</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6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46,783</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47,241</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4,163</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(2,205)</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6,152</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(1,488)</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(33,960)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(3,725)</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4,017</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5,757</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23,406</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62,273</w:t>
            </w:r>
          </w:p>
        </w:tc>
      </w:tr>
      <w:tr>
        <w:trPr>
          <w:trHeight w:val="146"/>
        </w:trPr>
        <w:tc>
          <w:tcPr>
            <w:tcW w:w="8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(11,279)</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(140,625)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(147,901)</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(11,279)</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(11,338)</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2,598</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(2,333)</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(14,121)</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135,149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38,551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facilities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(109,439)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(36,000)</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1,149</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18,263</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(21,494)</w:t>
            </w:r>
          </w:p>
        </w:tc>
      </w:tr>
      <w:tr>
        <w:trPr>
          <w:trHeight w:val="173"/>
        </w:trPr>
        <w:tc>
          <w:tcPr>
            <w:tcW w:w="8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8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(5,680)</w:t>
            </w:r>
          </w:p>
        </w:tc>
      </w:tr>
      <w:tr>
        <w:trPr>
          <w:trHeight w:val="153"/>
        </w:trPr>
        <w:tc>
          <w:tcPr>
            <w:tcW w:w="8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300"/>
          </w:cols>
          <w:pgMar w:left="300" w:top="560" w:right="299" w:bottom="1440" w:gutter="0" w:footer="0" w:header="0"/>
        </w:sectPr>
      </w:pPr>
    </w:p>
    <w:p>
      <w:pPr>
        <w:spacing w:after="0"/>
        <w:rPr>
          <w:sz w:val="20"/>
          <w:szCs w:val="20"/>
          <w:color w:val="auto"/>
        </w:rPr>
      </w:pPr>
      <w:r>
        <w:rPr>
          <w:rFonts w:ascii="Times New Roman" w:cs="Times New Roman" w:eastAsia="Times New Roman" w:hAnsi="Times New Roman"/>
          <w:sz w:val="10"/>
          <w:szCs w:val="10"/>
          <w:color w:val="auto"/>
        </w:rPr>
        <w:t>Net (decrease) increase in 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00" w:type="dxa"/>
            <w:vAlign w:val="bottom"/>
          </w:tcPr>
          <w:p>
            <w:pPr>
              <w:spacing w:after="0"/>
              <w:rPr>
                <w:sz w:val="12"/>
                <w:szCs w:val="12"/>
                <w:color w:val="auto"/>
              </w:rPr>
            </w:pPr>
          </w:p>
        </w:tc>
        <w:tc>
          <w:tcPr>
            <w:tcW w:w="860" w:type="dxa"/>
            <w:vAlign w:val="bottom"/>
          </w:tcPr>
          <w:p>
            <w:pPr>
              <w:jc w:val="center"/>
              <w:ind w:left="346"/>
              <w:spacing w:after="0"/>
              <w:rPr>
                <w:sz w:val="20"/>
                <w:szCs w:val="20"/>
                <w:color w:val="auto"/>
              </w:rPr>
            </w:pPr>
            <w:r>
              <w:rPr>
                <w:rFonts w:ascii="Times New Roman" w:cs="Times New Roman" w:eastAsia="Times New Roman" w:hAnsi="Times New Roman"/>
                <w:sz w:val="11"/>
                <w:szCs w:val="11"/>
                <w:color w:val="auto"/>
                <w:w w:val="97"/>
              </w:rPr>
              <w:t>(104,457)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23,820</w:t>
            </w:r>
          </w:p>
        </w:tc>
      </w:tr>
      <w:tr>
        <w:trPr>
          <w:trHeight w:val="146"/>
        </w:trPr>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1"/>
                <w:szCs w:val="11"/>
                <w:color w:val="auto"/>
                <w:w w:val="94"/>
              </w:rPr>
              <w:t>250,118</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151,532</w:t>
            </w:r>
          </w:p>
        </w:tc>
      </w:tr>
      <w:tr>
        <w:trPr>
          <w:trHeight w:val="295"/>
        </w:trPr>
        <w:tc>
          <w:tcPr>
            <w:tcW w:w="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1"/>
                <w:szCs w:val="11"/>
                <w:color w:val="auto"/>
                <w:w w:val="94"/>
              </w:rPr>
              <w:t>145,661</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175,352</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-313690</wp:posOffset>
            </wp:positionV>
            <wp:extent cx="7178040" cy="91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-113665</wp:posOffset>
            </wp:positionV>
            <wp:extent cx="717804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2">
            <w:col w:w="7760" w:space="720"/>
            <w:col w:w="2820"/>
          </w:cols>
          <w:pgMar w:left="300" w:top="560" w:right="2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6"/>
          </w:tcPr>
          <w:p>
            <w:pPr>
              <w:jc w:val="right"/>
              <w:ind w:right="605"/>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120" w:type="dxa"/>
            <w:vAlign w:val="bottom"/>
            <w:tcBorders>
              <w:bottom w:val="single" w:sz="8" w:color="auto"/>
            </w:tcBorders>
          </w:tcPr>
          <w:p>
            <w:pPr>
              <w:spacing w:after="0"/>
              <w:rPr>
                <w:sz w:val="12"/>
                <w:szCs w:val="12"/>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rPr>
              <w:t>2024</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Borders>
              <w:bottom w:val="single" w:sz="8" w:color="auto"/>
            </w:tcBorders>
          </w:tcPr>
          <w:p>
            <w:pPr>
              <w:spacing w:after="0"/>
              <w:rPr>
                <w:sz w:val="13"/>
                <w:szCs w:val="13"/>
                <w:color w:val="auto"/>
              </w:rPr>
            </w:pPr>
          </w:p>
        </w:tc>
      </w:tr>
      <w:tr>
        <w:trPr>
          <w:trHeight w:val="126"/>
        </w:trPr>
        <w:tc>
          <w:tcPr>
            <w:tcW w:w="83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245,428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221,626</w:t>
            </w:r>
          </w:p>
        </w:tc>
        <w:tc>
          <w:tcPr>
            <w:tcW w:w="120" w:type="dxa"/>
            <w:vAlign w:val="bottom"/>
          </w:tcPr>
          <w:p>
            <w:pPr>
              <w:spacing w:after="0"/>
              <w:rPr>
                <w:sz w:val="12"/>
                <w:szCs w:val="12"/>
                <w:color w:val="auto"/>
              </w:rPr>
            </w:pPr>
          </w:p>
        </w:tc>
      </w:tr>
      <w:tr>
        <w:trPr>
          <w:trHeight w:val="144"/>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131,637</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110,357</w:t>
            </w:r>
          </w:p>
        </w:tc>
        <w:tc>
          <w:tcPr>
            <w:tcW w:w="120" w:type="dxa"/>
            <w:vAlign w:val="bottom"/>
            <w:tcBorders>
              <w:bottom w:val="single" w:sz="8" w:color="auto"/>
            </w:tcBorders>
            <w:shd w:val="clear" w:color="auto" w:fill="CCEEFF"/>
          </w:tcPr>
          <w:p>
            <w:pPr>
              <w:spacing w:after="0"/>
              <w:rPr>
                <w:sz w:val="12"/>
                <w:szCs w:val="12"/>
                <w:color w:val="auto"/>
              </w:rPr>
            </w:pPr>
          </w:p>
        </w:tc>
      </w:tr>
      <w:tr>
        <w:trPr>
          <w:trHeight w:val="151"/>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377,065</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331,983</w:t>
            </w:r>
          </w:p>
        </w:tc>
        <w:tc>
          <w:tcPr>
            <w:tcW w:w="120" w:type="dxa"/>
            <w:vAlign w:val="bottom"/>
            <w:tcBorders>
              <w:bottom w:val="single" w:sz="8" w:color="auto"/>
            </w:tcBorders>
          </w:tcPr>
          <w:p>
            <w:pPr>
              <w:spacing w:after="0"/>
              <w:rPr>
                <w:sz w:val="13"/>
                <w:szCs w:val="13"/>
                <w:color w:val="auto"/>
              </w:rPr>
            </w:pPr>
          </w:p>
        </w:tc>
      </w:tr>
      <w:tr>
        <w:trPr>
          <w:trHeight w:val="153"/>
        </w:trPr>
        <w:tc>
          <w:tcPr>
            <w:tcW w:w="8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3"/>
        </w:trPr>
        <w:tc>
          <w:tcPr>
            <w:tcW w:w="83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7.4 %</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53"/>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42"/>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151"/>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6"/>
        </w:trPr>
        <w:tc>
          <w:tcPr>
            <w:tcW w:w="83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4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2"/>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5"/>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1"/>
        </w:trPr>
        <w:tc>
          <w:tcPr>
            <w:tcW w:w="830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5"/>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9.9 %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5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1.5 %</w:t>
            </w:r>
          </w:p>
        </w:tc>
      </w:tr>
      <w:tr>
        <w:trPr>
          <w:trHeight w:val="142"/>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(1.3) %</w:t>
            </w:r>
          </w:p>
        </w:tc>
      </w:tr>
      <w:tr>
        <w:trPr>
          <w:trHeight w:val="151"/>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8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49,897</w:t>
            </w:r>
          </w:p>
        </w:tc>
        <w:tc>
          <w:tcPr>
            <w:tcW w:w="120" w:type="dxa"/>
            <w:vAlign w:val="bottom"/>
          </w:tcPr>
          <w:p>
            <w:pPr>
              <w:spacing w:after="0"/>
              <w:rPr>
                <w:sz w:val="12"/>
                <w:szCs w:val="12"/>
                <w:color w:val="auto"/>
              </w:rPr>
            </w:pPr>
          </w:p>
        </w:tc>
      </w:tr>
      <w:tr>
        <w:trPr>
          <w:trHeight w:val="144"/>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13,114</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16,744</w:t>
            </w:r>
          </w:p>
        </w:tc>
        <w:tc>
          <w:tcPr>
            <w:tcW w:w="120" w:type="dxa"/>
            <w:vAlign w:val="bottom"/>
            <w:tcBorders>
              <w:bottom w:val="single" w:sz="8" w:color="auto"/>
            </w:tcBorders>
            <w:shd w:val="clear" w:color="auto" w:fill="CCEEFF"/>
          </w:tcPr>
          <w:p>
            <w:pPr>
              <w:spacing w:after="0"/>
              <w:rPr>
                <w:sz w:val="12"/>
                <w:szCs w:val="12"/>
                <w:color w:val="auto"/>
              </w:rPr>
            </w:pPr>
          </w:p>
        </w:tc>
      </w:tr>
      <w:tr>
        <w:trPr>
          <w:trHeight w:val="151"/>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segment profit</w:t>
            </w: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68,014</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66,641</w:t>
            </w:r>
          </w:p>
        </w:tc>
        <w:tc>
          <w:tcPr>
            <w:tcW w:w="120" w:type="dxa"/>
            <w:vAlign w:val="bottom"/>
            <w:tcBorders>
              <w:bottom w:val="single" w:sz="8" w:color="auto"/>
            </w:tcBorders>
          </w:tcPr>
          <w:p>
            <w:pPr>
              <w:spacing w:after="0"/>
              <w:rPr>
                <w:sz w:val="13"/>
                <w:szCs w:val="13"/>
                <w:color w:val="auto"/>
              </w:rPr>
            </w:pPr>
          </w:p>
        </w:tc>
      </w:tr>
      <w:tr>
        <w:trPr>
          <w:trHeight w:val="126"/>
        </w:trPr>
        <w:tc>
          <w:tcPr>
            <w:tcW w:w="83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44"/>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1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35"/>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334"/>
        </w:trPr>
        <w:tc>
          <w:tcPr>
            <w:tcW w:w="8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right="85"/>
              <w:spacing w:after="0"/>
              <w:rPr>
                <w:sz w:val="20"/>
                <w:szCs w:val="20"/>
                <w:color w:val="auto"/>
              </w:rPr>
            </w:pPr>
            <w:r>
              <w:rPr>
                <w:rFonts w:ascii="Times New Roman" w:cs="Times New Roman" w:eastAsia="Times New Roman" w:hAnsi="Times New Roman"/>
                <w:sz w:val="11"/>
                <w:szCs w:val="11"/>
                <w:color w:val="auto"/>
                <w:w w:val="98"/>
              </w:rPr>
              <w:t>Three months ended October 31,</w:t>
            </w:r>
          </w:p>
        </w:tc>
        <w:tc>
          <w:tcPr>
            <w:tcW w:w="120" w:type="dxa"/>
            <w:vAlign w:val="bottom"/>
            <w:tcBorders>
              <w:bottom w:val="single" w:sz="8" w:color="auto"/>
            </w:tcBorders>
          </w:tcPr>
          <w:p>
            <w:pPr>
              <w:spacing w:after="0"/>
              <w:rPr>
                <w:sz w:val="24"/>
                <w:szCs w:val="24"/>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rPr>
              <w:t>2024</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Borders>
              <w:bottom w:val="single" w:sz="8" w:color="auto"/>
            </w:tcBorders>
          </w:tcPr>
          <w:p>
            <w:pPr>
              <w:spacing w:after="0"/>
              <w:rPr>
                <w:sz w:val="13"/>
                <w:szCs w:val="13"/>
                <w:color w:val="auto"/>
              </w:rPr>
            </w:pPr>
          </w:p>
        </w:tc>
      </w:tr>
      <w:tr>
        <w:trPr>
          <w:trHeight w:val="135"/>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68,014</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66,641</w:t>
            </w:r>
          </w:p>
        </w:tc>
      </w:tr>
      <w:tr>
        <w:trPr>
          <w:trHeight w:val="142"/>
        </w:trPr>
        <w:tc>
          <w:tcPr>
            <w:tcW w:w="830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(9,092)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(6,911)</w:t>
            </w:r>
          </w:p>
        </w:tc>
      </w:tr>
      <w:tr>
        <w:trPr>
          <w:trHeight w:val="142"/>
        </w:trPr>
        <w:tc>
          <w:tcPr>
            <w:tcW w:w="8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1,234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438</w:t>
            </w:r>
          </w:p>
        </w:tc>
      </w:tr>
      <w:tr>
        <w:trPr>
          <w:trHeight w:val="146"/>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(1,356)</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w:t>
            </w:r>
          </w:p>
        </w:tc>
      </w:tr>
      <w:tr>
        <w:trPr>
          <w:trHeight w:val="133"/>
        </w:trPr>
        <w:tc>
          <w:tcPr>
            <w:tcW w:w="830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180" w:type="dxa"/>
            <w:vAlign w:val="bottom"/>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58,800</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59,402</w:t>
            </w:r>
          </w:p>
        </w:tc>
      </w:tr>
      <w:tr>
        <w:trPr>
          <w:trHeight w:val="20"/>
        </w:trPr>
        <w:tc>
          <w:tcPr>
            <w:tcW w:w="8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Before Income Taxes: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Before Income Taxes."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58,800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59,402</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8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Income Before Income Taxes (non-GAAP measure)</w:t>
            </w:r>
          </w:p>
        </w:tc>
        <w:tc>
          <w:tcPr>
            <w:tcW w:w="92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68,572</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61,757</w:t>
            </w:r>
          </w:p>
        </w:tc>
      </w:tr>
      <w:tr>
        <w:trPr>
          <w:trHeight w:val="20"/>
        </w:trPr>
        <w:tc>
          <w:tcPr>
            <w:tcW w:w="8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Tax Expense: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Income Tax Expense."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12,017</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12,161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8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Income Tax Expense (non-GAAP measure)</w:t>
            </w:r>
          </w:p>
        </w:tc>
        <w:tc>
          <w:tcPr>
            <w:tcW w:w="92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14,415</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12,707</w:t>
            </w:r>
          </w:p>
        </w:tc>
      </w:tr>
      <w:tr>
        <w:trPr>
          <w:trHeight w:val="20"/>
        </w:trPr>
        <w:tc>
          <w:tcPr>
            <w:tcW w:w="8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Net Income."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6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46,783</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47,241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1,809</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3,794</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8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Net Income (non-GAAP measure)</w:t>
            </w:r>
          </w:p>
        </w:tc>
        <w:tc>
          <w:tcPr>
            <w:tcW w:w="92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54,157</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49,050</w:t>
            </w:r>
          </w:p>
        </w:tc>
      </w:tr>
      <w:tr>
        <w:trPr>
          <w:trHeight w:val="20"/>
        </w:trPr>
        <w:tc>
          <w:tcPr>
            <w:tcW w:w="8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5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Adjusted Diluted EPS: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"Adjusted Diluted EPS."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October 31,</w:t>
            </w:r>
          </w:p>
        </w:tc>
        <w:tc>
          <w:tcPr>
            <w:tcW w:w="40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2023</w:t>
            </w:r>
          </w:p>
        </w:tc>
        <w:tc>
          <w:tcPr>
            <w:tcW w:w="400" w:type="dxa"/>
            <w:vAlign w:val="bottom"/>
            <w:tcBorders>
              <w:bottom w:val="single" w:sz="8" w:color="auto"/>
            </w:tcBorders>
          </w:tcPr>
          <w:p>
            <w:pPr>
              <w:spacing w:after="0"/>
              <w:rPr>
                <w:sz w:val="11"/>
                <w:szCs w:val="11"/>
                <w:color w:val="auto"/>
              </w:rPr>
            </w:pPr>
          </w:p>
        </w:tc>
      </w:tr>
      <w:tr>
        <w:trPr>
          <w:trHeight w:val="135"/>
        </w:trPr>
        <w:tc>
          <w:tcPr>
            <w:tcW w:w="84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84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96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1.12</w:t>
            </w:r>
          </w:p>
        </w:tc>
        <w:tc>
          <w:tcPr>
            <w:tcW w:w="100" w:type="dxa"/>
            <w:vAlign w:val="bottom"/>
          </w:tcPr>
          <w:p>
            <w:pPr>
              <w:spacing w:after="0"/>
              <w:rPr>
                <w:sz w:val="11"/>
                <w:szCs w:val="11"/>
                <w:color w:val="auto"/>
              </w:rPr>
            </w:pPr>
          </w:p>
        </w:tc>
        <w:tc>
          <w:tcPr>
            <w:tcW w:w="960" w:type="dxa"/>
            <w:vAlign w:val="bottom"/>
            <w:tcBorders>
              <w:bottom w:val="single" w:sz="8" w:color="auto"/>
            </w:tcBorders>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1.00</w:t>
            </w:r>
          </w:p>
        </w:tc>
      </w:tr>
      <w:tr>
        <w:trPr>
          <w:trHeight w:val="20"/>
        </w:trPr>
        <w:tc>
          <w:tcPr>
            <w:tcW w:w="8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2025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w:t>
            </w:r>
          </w:p>
        </w:tc>
      </w:tr>
      <w:tr>
        <w:trPr>
          <w:trHeight w:val="142"/>
        </w:trPr>
        <w:tc>
          <w:tcPr>
            <w:tcW w:w="8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r>
      <w:tr>
        <w:trPr>
          <w:trHeight w:val="146"/>
        </w:trPr>
        <w:tc>
          <w:tcPr>
            <w:tcW w:w="8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8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r>
      <w:tr>
        <w:trPr>
          <w:trHeight w:val="132"/>
        </w:trPr>
        <w:tc>
          <w:tcPr>
            <w:tcW w:w="84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820" w:type="dxa"/>
            <w:vAlign w:val="bottom"/>
            <w:tcBorders>
              <w:bottom w:val="single" w:sz="8" w:color="auto"/>
            </w:tcBorders>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4.40</w:t>
            </w:r>
          </w:p>
        </w:tc>
        <w:tc>
          <w:tcPr>
            <w:tcW w:w="100" w:type="dxa"/>
            <w:vAlign w:val="bottom"/>
          </w:tcPr>
          <w:p>
            <w:pPr>
              <w:spacing w:after="0"/>
              <w:rPr>
                <w:sz w:val="11"/>
                <w:szCs w:val="11"/>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4.70</w:t>
            </w:r>
          </w:p>
        </w:tc>
      </w:tr>
      <w:tr>
        <w:trPr>
          <w:trHeight w:val="20"/>
        </w:trPr>
        <w:tc>
          <w:tcPr>
            <w:tcW w:w="8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65"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4754880</wp:posOffset>
            </wp:positionV>
            <wp:extent cx="713041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2024-11-18T06:11:35Z</dcterms:created>
  <dcterms:modified xsi:type="dcterms:W3CDTF">2024-11-18T06:11:35Z</dcterms:modified>
</cp:coreProperties>
</file>