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Bojarski Olivier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6555 W. GOOD HOPE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BRADY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BRC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10/02/2025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25"/>
        <w:spacing w:after="0"/>
        <w:rPr>
          <w:sz w:val="20"/>
          <w:szCs w:val="20"/>
          <w:color w:val="auto"/>
        </w:rPr>
      </w:pPr>
      <w:r>
        <w:rPr>
          <w:rFonts w:ascii="Times New Roman" w:cs="Times New Roman" w:eastAsia="Times New Roman" w:hAnsi="Times New Roman"/>
          <w:sz w:val="17"/>
          <w:szCs w:val="17"/>
          <w:color w:val="0000FF"/>
        </w:rPr>
        <w:t>President Americas &amp; Asia</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80" w:type="dxa"/>
        <w:tblCellMar>
          <w:top w:w="0" w:type="dxa"/>
          <w:left w:w="0" w:type="dxa"/>
          <w:bottom w:w="0" w:type="dxa"/>
          <w:right w:w="0" w:type="dxa"/>
        </w:tblCellMar>
      </w:tblPr>
      <w:tr>
        <w:trPr>
          <w:trHeight w:val="36"/>
        </w:trPr>
        <w:tc>
          <w:tcPr>
            <w:tcW w:w="40" w:type="dxa"/>
            <w:vAlign w:val="bottom"/>
          </w:tcPr>
          <w:p>
            <w:pPr>
              <w:spacing w:after="0"/>
              <w:rPr>
                <w:sz w:val="3"/>
                <w:szCs w:val="3"/>
                <w:color w:val="auto"/>
              </w:rPr>
            </w:pPr>
          </w:p>
        </w:tc>
        <w:tc>
          <w:tcPr>
            <w:tcW w:w="1940" w:type="dxa"/>
            <w:vAlign w:val="bottom"/>
            <w:tcBorders>
              <w:bottom w:val="single" w:sz="8" w:color="9A9A9A"/>
            </w:tcBorders>
          </w:tcPr>
          <w:p>
            <w:pPr>
              <w:spacing w:after="0"/>
              <w:rPr>
                <w:sz w:val="3"/>
                <w:szCs w:val="3"/>
                <w:color w:val="auto"/>
              </w:rPr>
            </w:pPr>
          </w:p>
        </w:tc>
        <w:tc>
          <w:tcPr>
            <w:tcW w:w="1700" w:type="dxa"/>
            <w:vAlign w:val="bottom"/>
            <w:tcBorders>
              <w:bottom w:val="single" w:sz="8" w:color="9A9A9A"/>
            </w:tcBorders>
          </w:tcPr>
          <w:p>
            <w:pPr>
              <w:spacing w:after="0"/>
              <w:rPr>
                <w:sz w:val="3"/>
                <w:szCs w:val="3"/>
                <w:color w:val="auto"/>
              </w:rPr>
            </w:pPr>
          </w:p>
        </w:tc>
        <w:tc>
          <w:tcPr>
            <w:tcW w:w="3760" w:type="dxa"/>
            <w:vAlign w:val="bottom"/>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3760" w:type="dxa"/>
            <w:vAlign w:val="bottom"/>
            <w:vMerge w:val="continue"/>
          </w:tcPr>
          <w:p>
            <w:pPr>
              <w:spacing w:after="0"/>
              <w:rPr>
                <w:sz w:val="8"/>
                <w:szCs w:val="8"/>
                <w:color w:val="auto"/>
              </w:rPr>
            </w:pPr>
          </w:p>
        </w:tc>
        <w:tc>
          <w:tcPr>
            <w:tcW w:w="3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1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70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7"/>
                <w:szCs w:val="17"/>
                <w:color w:val="0000FF"/>
              </w:rPr>
              <w:t>MILWAUKEE  WI</w:t>
            </w:r>
          </w:p>
        </w:tc>
        <w:tc>
          <w:tcPr>
            <w:tcW w:w="1700" w:type="dxa"/>
            <w:vAlign w:val="bottom"/>
          </w:tcPr>
          <w:p>
            <w:pPr>
              <w:jc w:val="right"/>
              <w:ind w:right="673"/>
              <w:spacing w:after="0"/>
              <w:rPr>
                <w:sz w:val="20"/>
                <w:szCs w:val="20"/>
                <w:color w:val="auto"/>
              </w:rPr>
            </w:pPr>
            <w:r>
              <w:rPr>
                <w:rFonts w:ascii="Times New Roman" w:cs="Times New Roman" w:eastAsia="Times New Roman" w:hAnsi="Times New Roman"/>
                <w:sz w:val="17"/>
                <w:szCs w:val="17"/>
                <w:color w:val="0000FF"/>
              </w:rPr>
              <w:t>53223</w:t>
            </w:r>
          </w:p>
        </w:tc>
        <w:tc>
          <w:tcPr>
            <w:tcW w:w="3760" w:type="dxa"/>
            <w:vAlign w:val="bottom"/>
          </w:tcPr>
          <w:p>
            <w:pPr>
              <w:spacing w:after="0"/>
              <w:rPr>
                <w:sz w:val="20"/>
                <w:szCs w:val="20"/>
                <w:color w:val="auto"/>
              </w:rPr>
            </w:pPr>
          </w:p>
        </w:tc>
        <w:tc>
          <w:tcPr>
            <w:tcW w:w="3280" w:type="dxa"/>
            <w:vAlign w:val="bottom"/>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c>
          <w:tcPr>
            <w:tcW w:w="1700" w:type="dxa"/>
            <w:vAlign w:val="bottom"/>
            <w:tcBorders>
              <w:bottom w:val="single" w:sz="8" w:color="9A9A9A"/>
            </w:tcBorders>
          </w:tcPr>
          <w:p>
            <w:pPr>
              <w:spacing w:after="0"/>
              <w:rPr>
                <w:sz w:val="13"/>
                <w:szCs w:val="13"/>
                <w:color w:val="auto"/>
              </w:rPr>
            </w:pPr>
          </w:p>
        </w:tc>
        <w:tc>
          <w:tcPr>
            <w:tcW w:w="3760" w:type="dxa"/>
            <w:vAlign w:val="bottom"/>
          </w:tcPr>
          <w:p>
            <w:pPr>
              <w:spacing w:after="0"/>
              <w:rPr>
                <w:sz w:val="13"/>
                <w:szCs w:val="13"/>
                <w:color w:val="auto"/>
              </w:rPr>
            </w:pPr>
          </w:p>
        </w:tc>
        <w:tc>
          <w:tcPr>
            <w:tcW w:w="3280" w:type="dxa"/>
            <w:vAlign w:val="bottom"/>
          </w:tcPr>
          <w:p>
            <w:pPr>
              <w:ind w:left="7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280" w:type="dxa"/>
            <w:vAlign w:val="bottom"/>
          </w:tcPr>
          <w:p>
            <w:pPr>
              <w:ind w:left="740"/>
              <w:spacing w:after="0" w:line="146"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bl>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83"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10/02/2025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5,438</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22,212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10/02/2025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1,761</w:t>
            </w:r>
            <w:r>
              <w:rPr>
                <w:rFonts w:ascii="Times New Roman" w:cs="Times New Roman" w:eastAsia="Times New Roman" w:hAnsi="Times New Roman"/>
                <w:sz w:val="22"/>
                <w:szCs w:val="22"/>
                <w:color w:val="008000"/>
                <w:vertAlign w:val="superscript"/>
              </w:rPr>
              <w:t>(2)</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78.16</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20,451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which vest one third each year for the three years subsequent to the grant date. Upon vesting, each restricted stock unit will be settled solely by delivery of one share of Class A Common Stock.</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to cover taxes on 3,749 restricted stock units that vested on October 2, 2025.</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3"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Heidi Knueppel, Attorney-In-</w:t>
      </w:r>
      <w:r>
        <w:rPr>
          <w:sz w:val="20"/>
          <w:szCs w:val="20"/>
          <w:color w:val="auto"/>
        </w:rPr>
        <w:tab/>
      </w:r>
      <w:r>
        <w:rPr>
          <w:rFonts w:ascii="Times New Roman" w:cs="Times New Roman" w:eastAsia="Times New Roman" w:hAnsi="Times New Roman"/>
          <w:sz w:val="26"/>
          <w:szCs w:val="26"/>
          <w:color w:val="0000FF"/>
          <w:vertAlign w:val="subscript"/>
        </w:rPr>
        <w:t>10/06/2025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-10160</wp:posOffset>
            </wp:positionV>
            <wp:extent cx="13106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9"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98992" TargetMode="External"/><Relationship Id="rId14"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2025-10-06T10:21:04Z</dcterms:created>
  <dcterms:modified xsi:type="dcterms:W3CDTF">2025-10-06T10:21:04Z</dcterms:modified>
</cp:coreProperties>
</file>