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60" w:type="dxa"/>
        <w:tblCellMar>
          <w:top w:w="0" w:type="dxa"/>
          <w:left w:w="0" w:type="dxa"/>
          <w:bottom w:w="0" w:type="dxa"/>
          <w:right w:w="0" w:type="dxa"/>
        </w:tblCellMar>
      </w:tblPr>
      <w:tr>
        <w:trPr>
          <w:trHeight w:val="218"/>
        </w:trPr>
        <w:tc>
          <w:tcPr>
            <w:tcW w:w="6720" w:type="dxa"/>
            <w:vAlign w:val="bottom"/>
          </w:tcPr>
          <w:p>
            <w:pPr>
              <w:jc w:val="center"/>
              <w:ind w:right="2784"/>
              <w:spacing w:after="0"/>
              <w:rPr>
                <w:sz w:val="20"/>
                <w:szCs w:val="20"/>
                <w:color w:val="auto"/>
              </w:rPr>
            </w:pPr>
            <w:r>
              <w:rPr>
                <w:rFonts w:ascii="Arial" w:cs="Arial" w:eastAsia="Arial" w:hAnsi="Arial"/>
                <w:sz w:val="18"/>
                <w:szCs w:val="18"/>
                <w:b w:val="1"/>
                <w:bCs w:val="1"/>
                <w:color w:val="auto"/>
                <w:w w:val="86"/>
              </w:rPr>
              <w:t>Wisconsin</w:t>
            </w:r>
          </w:p>
        </w:tc>
        <w:tc>
          <w:tcPr>
            <w:tcW w:w="1500" w:type="dxa"/>
            <w:vAlign w:val="bottom"/>
          </w:tcPr>
          <w:p>
            <w:pPr>
              <w:jc w:val="right"/>
              <w:ind w:right="24"/>
              <w:spacing w:after="0"/>
              <w:rPr>
                <w:sz w:val="20"/>
                <w:szCs w:val="20"/>
                <w:color w:val="auto"/>
              </w:rPr>
            </w:pPr>
            <w:r>
              <w:rPr>
                <w:rFonts w:ascii="Arial" w:cs="Arial" w:eastAsia="Arial" w:hAnsi="Arial"/>
                <w:sz w:val="18"/>
                <w:szCs w:val="18"/>
                <w:b w:val="1"/>
                <w:bCs w:val="1"/>
                <w:color w:val="auto"/>
              </w:rPr>
              <w:t>39-0178960</w:t>
            </w:r>
          </w:p>
        </w:tc>
      </w:tr>
      <w:tr>
        <w:trPr>
          <w:trHeight w:val="149"/>
        </w:trPr>
        <w:tc>
          <w:tcPr>
            <w:tcW w:w="6720" w:type="dxa"/>
            <w:vAlign w:val="bottom"/>
          </w:tcPr>
          <w:p>
            <w:pPr>
              <w:jc w:val="center"/>
              <w:ind w:right="278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20" w:type="dxa"/>
            <w:vAlign w:val="bottom"/>
          </w:tcPr>
          <w:p>
            <w:pPr>
              <w:jc w:val="center"/>
              <w:ind w:right="27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720" w:type="dxa"/>
            <w:vAlign w:val="bottom"/>
          </w:tcPr>
          <w:p>
            <w:pPr>
              <w:jc w:val="center"/>
              <w:ind w:right="2764"/>
              <w:spacing w:after="0"/>
              <w:rPr>
                <w:sz w:val="20"/>
                <w:szCs w:val="20"/>
                <w:color w:val="auto"/>
              </w:rPr>
            </w:pPr>
            <w:r>
              <w:rPr>
                <w:rFonts w:ascii="Arial" w:cs="Arial" w:eastAsia="Arial" w:hAnsi="Arial"/>
                <w:sz w:val="18"/>
                <w:szCs w:val="18"/>
                <w:b w:val="1"/>
                <w:bCs w:val="1"/>
                <w:color w:val="auto"/>
                <w:w w:val="88"/>
              </w:rPr>
              <w:t>6555 West Good Hope Road, Milwaukee, Wisconsin</w:t>
            </w:r>
          </w:p>
        </w:tc>
        <w:tc>
          <w:tcPr>
            <w:tcW w:w="1500" w:type="dxa"/>
            <w:vAlign w:val="bottom"/>
          </w:tcPr>
          <w:p>
            <w:pPr>
              <w:jc w:val="right"/>
              <w:ind w:right="224"/>
              <w:spacing w:after="0"/>
              <w:rPr>
                <w:sz w:val="20"/>
                <w:szCs w:val="20"/>
                <w:color w:val="auto"/>
              </w:rPr>
            </w:pPr>
            <w:r>
              <w:rPr>
                <w:rFonts w:ascii="Arial" w:cs="Arial" w:eastAsia="Arial" w:hAnsi="Arial"/>
                <w:sz w:val="18"/>
                <w:szCs w:val="18"/>
                <w:b w:val="1"/>
                <w:bCs w:val="1"/>
                <w:color w:val="auto"/>
              </w:rPr>
              <w:t>53223</w:t>
            </w:r>
          </w:p>
        </w:tc>
      </w:tr>
      <w:tr>
        <w:trPr>
          <w:trHeight w:val="174"/>
        </w:trPr>
        <w:tc>
          <w:tcPr>
            <w:tcW w:w="6720" w:type="dxa"/>
            <w:vAlign w:val="bottom"/>
          </w:tcPr>
          <w:p>
            <w:pPr>
              <w:jc w:val="center"/>
              <w:ind w:right="27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720" w:type="dxa"/>
            <w:vAlign w:val="bottom"/>
          </w:tcPr>
          <w:p>
            <w:pPr>
              <w:jc w:val="right"/>
              <w:ind w:right="1344"/>
              <w:spacing w:after="0"/>
              <w:rPr>
                <w:sz w:val="20"/>
                <w:szCs w:val="20"/>
                <w:color w:val="auto"/>
              </w:rPr>
            </w:pPr>
            <w:r>
              <w:rPr>
                <w:rFonts w:ascii="Arial" w:cs="Arial" w:eastAsia="Arial" w:hAnsi="Arial"/>
                <w:sz w:val="18"/>
                <w:szCs w:val="18"/>
                <w:b w:val="1"/>
                <w:bCs w:val="1"/>
                <w:color w:val="auto"/>
              </w:rPr>
              <w:t>(414) 358-6600</w:t>
            </w:r>
          </w:p>
        </w:tc>
        <w:tc>
          <w:tcPr>
            <w:tcW w:w="1500" w:type="dxa"/>
            <w:vAlign w:val="bottom"/>
          </w:tcPr>
          <w:p>
            <w:pPr>
              <w:spacing w:after="0"/>
              <w:rPr>
                <w:sz w:val="24"/>
                <w:szCs w:val="24"/>
                <w:color w:val="auto"/>
              </w:rPr>
            </w:pPr>
          </w:p>
        </w:tc>
      </w:tr>
      <w:tr>
        <w:trPr>
          <w:trHeight w:val="174"/>
        </w:trPr>
        <w:tc>
          <w:tcPr>
            <w:tcW w:w="6720" w:type="dxa"/>
            <w:vAlign w:val="bottom"/>
          </w:tcPr>
          <w:p>
            <w:pPr>
              <w:jc w:val="center"/>
              <w:ind w:left="27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980" w:space="160"/>
            <w:col w:w="260" w:space="80"/>
            <w:col w:w="160" w:space="180"/>
            <w:col w:w="220" w:space="80"/>
            <w:col w:w="2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APPLICABLE ONLY TO CORPORATE ISSUERS</w:t>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December 3, 2012, there were 47,581,104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jc w:val="center"/>
              <w:ind w:right="4660"/>
              <w:spacing w:after="0"/>
              <w:rPr>
                <w:sz w:val="20"/>
                <w:szCs w:val="20"/>
                <w:color w:val="auto"/>
              </w:rPr>
            </w:pPr>
            <w:r>
              <w:rPr>
                <w:rFonts w:ascii="Arial" w:cs="Arial" w:eastAsia="Arial" w:hAnsi="Arial"/>
                <w:sz w:val="18"/>
                <w:szCs w:val="18"/>
                <w:color w:val="auto"/>
                <w:w w:val="91"/>
              </w:rPr>
              <w:t>FORM 10-Q</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20" w:type="dxa"/>
            <w:vAlign w:val="bottom"/>
            <w:gridSpan w:val="5"/>
          </w:tcPr>
          <w:p>
            <w:pPr>
              <w:jc w:val="center"/>
              <w:ind w:right="3960"/>
              <w:spacing w:after="0"/>
              <w:rPr>
                <w:sz w:val="20"/>
                <w:szCs w:val="20"/>
                <w:color w:val="auto"/>
              </w:rPr>
            </w:pPr>
            <w:r>
              <w:rPr>
                <w:rFonts w:ascii="Arial" w:cs="Arial" w:eastAsia="Arial" w:hAnsi="Arial"/>
                <w:sz w:val="18"/>
                <w:szCs w:val="18"/>
                <w:color w:val="auto"/>
                <w:w w:val="93"/>
              </w:rPr>
              <w:t>BRADY CORPORATION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700" w:type="dxa"/>
            <w:vAlign w:val="bottom"/>
            <w:gridSpan w:val="2"/>
          </w:tcPr>
          <w:p>
            <w:pPr>
              <w:jc w:val="center"/>
              <w:ind w:right="5000"/>
              <w:spacing w:after="0"/>
              <w:rPr>
                <w:sz w:val="20"/>
                <w:szCs w:val="20"/>
                <w:color w:val="auto"/>
              </w:rPr>
            </w:pPr>
            <w:r>
              <w:rPr>
                <w:rFonts w:ascii="Arial" w:cs="Arial" w:eastAsia="Arial" w:hAnsi="Arial"/>
                <w:sz w:val="18"/>
                <w:szCs w:val="18"/>
                <w:color w:val="auto"/>
                <w:w w:val="98"/>
              </w:rPr>
              <w:t>INDEX</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160" w:type="dxa"/>
            <w:vAlign w:val="bottom"/>
            <w:gridSpan w:val="7"/>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Financial Information</w:t>
              </w:r>
            </w:hyperlink>
          </w:p>
        </w:tc>
        <w:tc>
          <w:tcPr>
            <w:tcW w:w="8900" w:type="dxa"/>
            <w:vAlign w:val="bottom"/>
            <w:gridSpan w:val="11"/>
            <w:vMerge w:val="restart"/>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61"/>
        </w:trPr>
        <w:tc>
          <w:tcPr>
            <w:tcW w:w="2160" w:type="dxa"/>
            <w:vAlign w:val="bottom"/>
            <w:tcBorders>
              <w:bottom w:val="single" w:sz="8" w:color="0000EE"/>
            </w:tcBorders>
            <w:gridSpan w:val="7"/>
            <w:vMerge w:val="continue"/>
          </w:tcPr>
          <w:p>
            <w:pPr>
              <w:spacing w:after="0"/>
              <w:rPr>
                <w:sz w:val="13"/>
                <w:szCs w:val="13"/>
                <w:color w:val="auto"/>
              </w:rPr>
            </w:pPr>
          </w:p>
        </w:tc>
        <w:tc>
          <w:tcPr>
            <w:tcW w:w="8900" w:type="dxa"/>
            <w:vAlign w:val="bottom"/>
            <w:gridSpan w:val="11"/>
            <w:vMerge w:val="continue"/>
          </w:tcPr>
          <w:p>
            <w:pPr>
              <w:spacing w:after="0"/>
              <w:rPr>
                <w:sz w:val="13"/>
                <w:szCs w:val="13"/>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8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Other Comprehensive Income</w:t>
              </w:r>
            </w:hyperlink>
          </w:p>
        </w:tc>
        <w:tc>
          <w:tcPr>
            <w:tcW w:w="570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6720" w:type="dxa"/>
            <w:vAlign w:val="bottom"/>
            <w:gridSpan w:val="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9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Item 2. Management’s Discussions and Analysis of Financial Condition and Results of Operations</w:t>
              </w:r>
            </w:hyperlink>
          </w:p>
        </w:tc>
        <w:tc>
          <w:tcPr>
            <w:tcW w:w="392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428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604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176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8560" w:type="dxa"/>
            <w:vAlign w:val="bottom"/>
            <w:gridSpan w:val="10"/>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0320" w:type="dxa"/>
            <w:vAlign w:val="bottom"/>
            <w:gridSpan w:val="15"/>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3640" w:type="dxa"/>
            <w:vAlign w:val="bottom"/>
            <w:tcBorders>
              <w:top w:val="single" w:sz="8" w:color="0000EE"/>
            </w:tcBorders>
            <w:gridSpan w:val="9"/>
          </w:tcPr>
          <w:p>
            <w:pPr>
              <w:spacing w:after="0"/>
              <w:rPr>
                <w:sz w:val="17"/>
                <w:szCs w:val="17"/>
                <w:color w:val="auto"/>
              </w:rPr>
            </w:pPr>
          </w:p>
        </w:tc>
        <w:tc>
          <w:tcPr>
            <w:tcW w:w="606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4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180" w:type="dxa"/>
            <w:vAlign w:val="bottom"/>
            <w:gridSpan w:val="13"/>
          </w:tcPr>
          <w:p>
            <w:pPr>
              <w:jc w:val="center"/>
              <w:ind w:left="3252"/>
              <w:spacing w:after="0"/>
              <w:rPr>
                <w:sz w:val="20"/>
                <w:szCs w:val="20"/>
                <w:color w:val="auto"/>
              </w:rPr>
            </w:pPr>
            <w:r>
              <w:rPr>
                <w:rFonts w:ascii="Arial" w:cs="Arial" w:eastAsia="Arial" w:hAnsi="Arial"/>
                <w:sz w:val="18"/>
                <w:szCs w:val="18"/>
                <w:color w:val="auto"/>
                <w:w w:val="79"/>
              </w:rPr>
              <w:t>2</w:t>
            </w: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October 31, 2012</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July 31, 2012</w:t>
            </w:r>
          </w:p>
        </w:tc>
      </w:tr>
      <w:tr>
        <w:trPr>
          <w:trHeight w:val="142"/>
        </w:trPr>
        <w:tc>
          <w:tcPr>
            <w:tcW w:w="9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(Unaudited)</w:t>
            </w:r>
          </w:p>
        </w:tc>
        <w:tc>
          <w:tcPr>
            <w:tcW w:w="44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0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321,309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305,900</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Accounts receivable —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218,246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199,006</w:t>
            </w: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67,992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64,740</w:t>
            </w: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15,377</w:t>
            </w:r>
          </w:p>
        </w:tc>
      </w:tr>
      <w:tr>
        <w:trPr>
          <w:trHeight w:val="223"/>
        </w:trPr>
        <w:tc>
          <w:tcPr>
            <w:tcW w:w="9100" w:type="dxa"/>
            <w:vAlign w:val="bottom"/>
          </w:tcPr>
          <w:p>
            <w:pPr>
              <w:ind w:left="88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inventories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105,524</w:t>
            </w:r>
          </w:p>
        </w:tc>
      </w:tr>
      <w:tr>
        <w:trPr>
          <w:trHeight w:val="223"/>
        </w:trPr>
        <w:tc>
          <w:tcPr>
            <w:tcW w:w="910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40,424</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692,482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650,854</w:t>
            </w: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680,595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676,791</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80,983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84,119</w:t>
            </w: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45,356</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21,577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20,584</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8,651</w:t>
            </w:r>
          </w:p>
        </w:tc>
      </w:tr>
      <w:tr>
        <w:trPr>
          <w:trHeight w:val="216"/>
        </w:trPr>
        <w:tc>
          <w:tcPr>
            <w:tcW w:w="9100" w:type="dxa"/>
            <w:vAlign w:val="bottom"/>
          </w:tcPr>
          <w:p>
            <w:pPr>
              <w:ind w:left="88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102,592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101,962</w:t>
            </w: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296,561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292,130</w:t>
            </w:r>
          </w:p>
        </w:tc>
      </w:tr>
      <w:tr>
        <w:trPr>
          <w:trHeight w:val="223"/>
        </w:trPr>
        <w:tc>
          <w:tcPr>
            <w:tcW w:w="9100" w:type="dxa"/>
            <w:vAlign w:val="bottom"/>
          </w:tcPr>
          <w:p>
            <w:pPr>
              <w:ind w:left="88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418,109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413,160</w:t>
            </w:r>
          </w:p>
        </w:tc>
      </w:tr>
      <w:tr>
        <w:trPr>
          <w:trHeight w:val="223"/>
        </w:trPr>
        <w:tc>
          <w:tcPr>
            <w:tcW w:w="910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283,145</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Property, plant and equipment — net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130,015</w:t>
            </w:r>
          </w:p>
        </w:tc>
        <w:tc>
          <w:tcPr>
            <w:tcW w:w="100" w:type="dxa"/>
            <w:vAlign w:val="bottom"/>
            <w:shd w:val="clear" w:color="auto" w:fill="CCEEFF"/>
          </w:tcPr>
          <w:p>
            <w:pPr>
              <w:spacing w:after="0"/>
              <w:rPr>
                <w:sz w:val="18"/>
                <w:szCs w:val="18"/>
                <w:color w:val="auto"/>
              </w:rPr>
            </w:pPr>
          </w:p>
        </w:tc>
      </w:tr>
      <w:tr>
        <w:trPr>
          <w:trHeight w:val="222"/>
        </w:trPr>
        <w:tc>
          <w:tcPr>
            <w:tcW w:w="9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1,651,424</w:t>
            </w:r>
          </w:p>
        </w:tc>
        <w:tc>
          <w:tcPr>
            <w:tcW w:w="4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1,607,719</w:t>
            </w:r>
          </w:p>
        </w:tc>
      </w:tr>
      <w:tr>
        <w:trPr>
          <w:trHeight w:val="20"/>
        </w:trPr>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100" w:type="dxa"/>
            <w:vAlign w:val="bottom"/>
            <w:shd w:val="clear" w:color="auto" w:fill="CCEEFF"/>
          </w:tcPr>
          <w:p>
            <w:pPr>
              <w:ind w:left="224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86,646</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40,529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54,629</w:t>
            </w: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9,307</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12,153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14,357</w:t>
            </w: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40,815</w:t>
            </w:r>
          </w:p>
        </w:tc>
      </w:tr>
      <w:tr>
        <w:trPr>
          <w:trHeight w:val="223"/>
        </w:trPr>
        <w:tc>
          <w:tcPr>
            <w:tcW w:w="9100" w:type="dxa"/>
            <w:vAlign w:val="bottom"/>
          </w:tcPr>
          <w:p>
            <w:pPr>
              <w:ind w:left="440"/>
              <w:spacing w:after="0"/>
              <w:rPr>
                <w:sz w:val="20"/>
                <w:szCs w:val="20"/>
                <w:color w:val="auto"/>
              </w:rPr>
            </w:pPr>
            <w:r>
              <w:rPr>
                <w:rFonts w:ascii="Arial" w:cs="Arial" w:eastAsia="Arial" w:hAnsi="Arial"/>
                <w:sz w:val="18"/>
                <w:szCs w:val="18"/>
                <w:color w:val="auto"/>
              </w:rPr>
              <w:t>Current maturities on long-term debt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272,191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267,018</w:t>
            </w: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259,729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254,944</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76,404</w:t>
            </w:r>
          </w:p>
        </w:tc>
        <w:tc>
          <w:tcPr>
            <w:tcW w:w="100" w:type="dxa"/>
            <w:vAlign w:val="bottom"/>
            <w:shd w:val="clear" w:color="auto" w:fill="CCEEFF"/>
          </w:tcPr>
          <w:p>
            <w:pPr>
              <w:spacing w:after="0"/>
              <w:rPr>
                <w:sz w:val="18"/>
                <w:szCs w:val="18"/>
                <w:color w:val="auto"/>
              </w:rPr>
            </w:pPr>
          </w:p>
        </w:tc>
      </w:tr>
      <w:tr>
        <w:trPr>
          <w:trHeight w:val="221"/>
        </w:trPr>
        <w:tc>
          <w:tcPr>
            <w:tcW w:w="910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610,458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598,366</w:t>
            </w:r>
          </w:p>
        </w:tc>
      </w:tr>
      <w:tr>
        <w:trPr>
          <w:trHeight w:val="218"/>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100" w:type="dxa"/>
            <w:vAlign w:val="bottom"/>
          </w:tcPr>
          <w:p>
            <w:pPr>
              <w:ind w:left="440"/>
              <w:spacing w:after="0"/>
              <w:rPr>
                <w:sz w:val="20"/>
                <w:szCs w:val="20"/>
                <w:color w:val="auto"/>
              </w:rPr>
            </w:pPr>
            <w:r>
              <w:rPr>
                <w:rFonts w:ascii="Arial" w:cs="Arial" w:eastAsia="Arial" w:hAnsi="Arial"/>
                <w:sz w:val="18"/>
                <w:szCs w:val="18"/>
                <w:color w:val="auto"/>
                <w:w w:val="99"/>
              </w:rPr>
              <w:t>Class A nonvoting common stock — Issued 51,261,487 and 51,261,487 shares, respectively and outstanding</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00" w:type="dxa"/>
            <w:vAlign w:val="bottom"/>
          </w:tcPr>
          <w:p>
            <w:pPr>
              <w:ind w:left="660"/>
              <w:spacing w:after="0"/>
              <w:rPr>
                <w:sz w:val="20"/>
                <w:szCs w:val="20"/>
                <w:color w:val="auto"/>
              </w:rPr>
            </w:pPr>
            <w:r>
              <w:rPr>
                <w:rFonts w:ascii="Arial" w:cs="Arial" w:eastAsia="Arial" w:hAnsi="Arial"/>
                <w:sz w:val="18"/>
                <w:szCs w:val="18"/>
                <w:color w:val="auto"/>
              </w:rPr>
              <w:t>47,563,704 and 47,630,926 shares, respectively</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7"/>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314,896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313,008</w:t>
            </w: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retained in the business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749,773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732,290</w:t>
            </w: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w w:val="99"/>
              </w:rPr>
              <w:t>Treasury stock — 3,387,783 and 3,245,561 shares, respectively of Class A nonvoting common stock, at cost</w:t>
            </w:r>
          </w:p>
        </w:tc>
        <w:tc>
          <w:tcPr>
            <w:tcW w:w="12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(93,535)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(92,600)</w:t>
            </w: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72,178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59,411</w:t>
            </w:r>
          </w:p>
        </w:tc>
      </w:tr>
      <w:tr>
        <w:trPr>
          <w:trHeight w:val="223"/>
        </w:trPr>
        <w:tc>
          <w:tcPr>
            <w:tcW w:w="910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(2,894)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(3,304)</w:t>
            </w:r>
          </w:p>
        </w:tc>
      </w:tr>
      <w:tr>
        <w:trPr>
          <w:trHeight w:val="216"/>
        </w:trPr>
        <w:tc>
          <w:tcPr>
            <w:tcW w:w="910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1,040,966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1,009,353</w:t>
            </w:r>
          </w:p>
        </w:tc>
        <w:tc>
          <w:tcPr>
            <w:tcW w:w="100" w:type="dxa"/>
            <w:vAlign w:val="bottom"/>
            <w:shd w:val="clear" w:color="auto" w:fill="CCEEFF"/>
          </w:tcPr>
          <w:p>
            <w:pPr>
              <w:spacing w:after="0"/>
              <w:rPr>
                <w:sz w:val="18"/>
                <w:szCs w:val="18"/>
                <w:color w:val="auto"/>
              </w:rPr>
            </w:pPr>
          </w:p>
        </w:tc>
      </w:tr>
      <w:tr>
        <w:trPr>
          <w:trHeight w:val="222"/>
        </w:trPr>
        <w:tc>
          <w:tcPr>
            <w:tcW w:w="9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1,651,424</w:t>
            </w:r>
          </w:p>
        </w:tc>
        <w:tc>
          <w:tcPr>
            <w:tcW w:w="4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1,607,719</w:t>
            </w:r>
          </w:p>
        </w:tc>
      </w:tr>
      <w:tr>
        <w:trPr>
          <w:trHeight w:val="20"/>
        </w:trPr>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Three Months Ended October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Cost of products sold</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108,261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sales of businesses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120,184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118,741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and other income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27,188</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Diluted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0.53</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Diluted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0.173</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51,312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52,954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ind w:right="494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COMPREHENSIVE INCOME </w:t>
      </w:r>
      <w:r>
        <w:rPr>
          <w:rFonts w:ascii="Arial" w:cs="Arial" w:eastAsia="Arial" w:hAnsi="Arial"/>
          <w:sz w:val="18"/>
          <w:szCs w:val="18"/>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0"/>
              </w:rPr>
              <w:t>Three Months Ended October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Net investment hedge translation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(5,301)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intercompany loan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Cash flow hedges: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gain recognized in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Reclassification adjustment for (gains) losses included in net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Pension and other post-retirement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recognized in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Actuarial gain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Prior service credit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20" w:type="dxa"/>
            <w:vAlign w:val="bottom"/>
            <w:gridSpan w:val="2"/>
            <w:vMerge w:val="continue"/>
          </w:tcPr>
          <w:p>
            <w:pPr>
              <w:spacing w:after="0"/>
              <w:rPr>
                <w:sz w:val="19"/>
                <w:szCs w:val="19"/>
                <w:color w:val="auto"/>
              </w:rPr>
            </w:pPr>
          </w:p>
        </w:tc>
        <w:tc>
          <w:tcPr>
            <w:tcW w:w="180" w:type="dxa"/>
            <w:vAlign w:val="bottom"/>
            <w:gridSpan w:val="2"/>
          </w:tcPr>
          <w:p>
            <w:pPr>
              <w:jc w:val="right"/>
              <w:ind w:right="42"/>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39,955</w:t>
            </w:r>
          </w:p>
        </w:tc>
        <w:tc>
          <w:tcPr>
            <w:tcW w:w="200" w:type="dxa"/>
            <w:vAlign w:val="bottom"/>
          </w:tcPr>
          <w:p>
            <w:pPr>
              <w:spacing w:after="0"/>
              <w:rPr>
                <w:sz w:val="19"/>
                <w:szCs w:val="19"/>
                <w:color w:val="auto"/>
              </w:rPr>
            </w:pPr>
          </w:p>
        </w:tc>
        <w:tc>
          <w:tcPr>
            <w:tcW w:w="42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1"/>
        </w:trPr>
        <w:tc>
          <w:tcPr>
            <w:tcW w:w="8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27,188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Non-cash portion of stock-based compensation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(gain) on sales of businesses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Changes in operating assets and liabilities (net of effects of business acquisitions/divestitures):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(18,426)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(21,814)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21"/>
        </w:trPr>
        <w:tc>
          <w:tcPr>
            <w:tcW w:w="8720" w:type="dxa"/>
            <w:vAlign w:val="bottom"/>
          </w:tcPr>
          <w:p>
            <w:pPr>
              <w:ind w:left="17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net investment hedges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Divestiture of businesses, net of cash retained in the businesses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174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Payment of dividends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(9,705)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Purchase of treasury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(12,309)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Income tax benefit from the exercise of stock options and deferred compensation distributions, and other</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20" w:type="dxa"/>
            <w:vAlign w:val="bottom"/>
          </w:tcPr>
          <w:p>
            <w:pPr>
              <w:ind w:left="17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(12,741)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(20,860)</w:t>
            </w: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(18,377)</w:t>
            </w: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389,971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321,309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371,594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net of capitalized interest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22"/>
        </w:trPr>
        <w:tc>
          <w:tcPr>
            <w:tcW w:w="8720" w:type="dxa"/>
            <w:vAlign w:val="bottom"/>
          </w:tcPr>
          <w:p>
            <w:pPr>
              <w:ind w:left="880"/>
              <w:spacing w:after="0"/>
              <w:rPr>
                <w:sz w:val="20"/>
                <w:szCs w:val="20"/>
                <w:color w:val="auto"/>
              </w:rPr>
            </w:pPr>
            <w:r>
              <w:rPr>
                <w:rFonts w:ascii="Arial" w:cs="Arial" w:eastAsia="Arial" w:hAnsi="Arial"/>
                <w:sz w:val="18"/>
                <w:szCs w:val="18"/>
                <w:color w:val="auto"/>
              </w:rPr>
              <w:t>Income taxes, net of refunds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2012 and July 3l, 2012, and its results of operations, comprehensive income, and cash flows for the three months ended October 31, 2012 and 2011. The condensed consolidated balance sheet as of July 31, 2012,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2012.</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June 2011, the Financial Accounting Standards Board (“FASB”) issued Accounting Standards Update (“ASU”) 2011-05, “Presentation of Comprehensive Income,” which eliminates the option to present components of other comprehensive income (“OCI”) as part of the statement of changes in stockholders’ equity. The amendments in this standard require that all non-owner changes in stockholders’ equity be presented in either a single continuous statement of comprehensive income or in two separate but consecutive statements. Subsequently, in December 2011, the FASB issued ASU 2011-12, “Deferral of the Effective Date for Amendments to the Presentation of Reclassifications of Items Out of Accumulated Other Comprehensive Income,” which indefinitely defers the requirements in ASU 2011-05 to present on the face of the financial statements adjustments for items that are reclassified from OCI to net income in the statement where the components of net income and the components of OCI are presented. The ASU does not change the items that must be reported in OCI. The Company has provided the required statements of comprehensive income for the three months ended October 31, 2012 and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quarter ended October 31, 2012,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5"/>
              </w:rPr>
              <w:t>Americas</w:t>
            </w:r>
          </w:p>
        </w:tc>
        <w:tc>
          <w:tcPr>
            <w:tcW w:w="680" w:type="dxa"/>
            <w:vAlign w:val="bottom"/>
          </w:tcPr>
          <w:p>
            <w:pPr>
              <w:jc w:val="right"/>
              <w:ind w:right="56"/>
              <w:spacing w:after="0"/>
              <w:rPr>
                <w:sz w:val="20"/>
                <w:szCs w:val="20"/>
                <w:color w:val="auto"/>
              </w:rPr>
            </w:pPr>
            <w:r>
              <w:rPr>
                <w:rFonts w:ascii="Arial" w:cs="Arial" w:eastAsia="Arial" w:hAnsi="Arial"/>
                <w:sz w:val="14"/>
                <w:szCs w:val="14"/>
                <w:b w:val="1"/>
                <w:bCs w:val="1"/>
                <w:color w:val="auto"/>
              </w:rPr>
              <w:t>EMEA</w:t>
            </w:r>
          </w:p>
        </w:tc>
        <w:tc>
          <w:tcPr>
            <w:tcW w:w="4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Asia-Pacific</w:t>
            </w:r>
          </w:p>
        </w:tc>
        <w:tc>
          <w:tcPr>
            <w:tcW w:w="2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2012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417,886</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174,868</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84,037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676,791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440"/>
              <w:spacing w:after="0"/>
              <w:rPr>
                <w:sz w:val="20"/>
                <w:szCs w:val="20"/>
                <w:color w:val="auto"/>
              </w:rPr>
            </w:pPr>
            <w:r>
              <w:rPr>
                <w:rFonts w:ascii="Arial" w:cs="Arial" w:eastAsia="Arial" w:hAnsi="Arial"/>
                <w:sz w:val="18"/>
                <w:szCs w:val="18"/>
                <w:color w:val="auto"/>
              </w:rPr>
              <w:t>Current year divestitures</w:t>
            </w: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(2,882)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17"/>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Translation adjustments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Balance as of October 31, 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415,393</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180,754</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84,448</w:t>
            </w: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680,595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increased $3,804 during the three months ended October 31, 2012, due to the positive effects of foreign currency translation, partially offset by the divestitures of Precision Converting, LLC (“Brady Medical”) and the Varitronics businesses during the first quarter of fiscal 2013. Refer to Note K, “Acquisitions and Divestitures” for further discussion. The goodwill balance as of October 31, 2012, includes an accumulated impairment charge of $115,688 recognized during fiscal 2012 on the Company’s former North/South Asia reporting unit.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Other intangible assets include patents, trademarks, customer relationships, non-compete agreements and other intangible assets with finite lives being amortized in accordance with the accounting guidance for other intangible assets. The net book value of these assets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9"/>
              </w:rPr>
              <w:t>October 31, 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July 31, 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9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Amortization</w:t>
            </w:r>
          </w:p>
        </w:tc>
        <w:tc>
          <w:tcPr>
            <w:tcW w:w="100" w:type="dxa"/>
            <w:vAlign w:val="bottom"/>
          </w:tcPr>
          <w:p>
            <w:pPr>
              <w:spacing w:after="0"/>
              <w:rPr>
                <w:sz w:val="12"/>
                <w:szCs w:val="12"/>
                <w:color w:val="auto"/>
              </w:rPr>
            </w:pPr>
          </w:p>
        </w:tc>
        <w:tc>
          <w:tcPr>
            <w:tcW w:w="5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Net Book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39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Amortized other intangible assets:</w:t>
            </w: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Patents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10,605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10,418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164,375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(132,097)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32,278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164,392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(128,805)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35,587</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Non-compete agreements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Unamortized other intangible assets: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45,087</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45,087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44,750</w:t>
            </w:r>
          </w:p>
        </w:tc>
        <w:tc>
          <w:tcPr>
            <w:tcW w:w="100" w:type="dxa"/>
            <w:vAlign w:val="bottom"/>
            <w:shd w:val="clear" w:color="auto" w:fill="CCEEFF"/>
          </w:tcPr>
          <w:p>
            <w:pPr>
              <w:spacing w:after="0"/>
              <w:rPr>
                <w:sz w:val="18"/>
                <w:szCs w:val="18"/>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244,924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(163,941)</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80,983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244,493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(160,374)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84,119</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value of goodwill and other intangible assets in the condensed consolidated balance sheets at October 31, 2012, differs from the value assigned to them in the original allocation of purchase price due to the effect of fluctuations in the exchange rates used to translate the financial statements into the United States Dollar between the date of acquisition and October 31, 2012.</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expense on intangible assets was $4,147 and $4,080 for the three-month periods ended October 31, 2012 and 2011, respectively. The amortization over each of the next five fiscal years is projected to be $14,383, $7,060, $6,265, $5,359 and $2,918 for the fiscal years ending July 31, 2013, 2014, 2015, 2016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C — Net Income per Common Share</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8"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Three Months Ended</w:t>
      </w:r>
    </w:p>
    <w:p>
      <w:pPr>
        <w:jc w:val="center"/>
        <w:ind w:left="6780"/>
        <w:spacing w:after="0" w:line="221"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3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(in thousands)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27,188</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860"/>
              <w:spacing w:after="0"/>
              <w:rPr>
                <w:sz w:val="20"/>
                <w:szCs w:val="20"/>
                <w:color w:val="auto"/>
              </w:rPr>
            </w:pPr>
            <w:r>
              <w:rPr>
                <w:rFonts w:ascii="Arial" w:cs="Arial" w:eastAsia="Arial" w:hAnsi="Arial"/>
                <w:sz w:val="18"/>
                <w:szCs w:val="18"/>
                <w:color w:val="auto"/>
              </w:rPr>
              <w:t>Restricted stock dividends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A net income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27,129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440"/>
              <w:spacing w:after="0"/>
              <w:rPr>
                <w:sz w:val="20"/>
                <w:szCs w:val="20"/>
                <w:color w:val="auto"/>
              </w:rPr>
            </w:pPr>
            <w:r>
              <w:rPr>
                <w:rFonts w:ascii="Arial" w:cs="Arial" w:eastAsia="Arial" w:hAnsi="Arial"/>
                <w:sz w:val="18"/>
                <w:szCs w:val="18"/>
                <w:color w:val="auto"/>
              </w:rPr>
              <w:t>Less:</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Preferential dividends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6300" w:type="dxa"/>
            <w:vAlign w:val="bottom"/>
          </w:tcPr>
          <w:p>
            <w:pPr>
              <w:ind w:left="860"/>
              <w:spacing w:after="0"/>
              <w:rPr>
                <w:sz w:val="20"/>
                <w:szCs w:val="20"/>
                <w:color w:val="auto"/>
              </w:rPr>
            </w:pPr>
            <w:r>
              <w:rPr>
                <w:rFonts w:ascii="Arial" w:cs="Arial" w:eastAsia="Arial" w:hAnsi="Arial"/>
                <w:sz w:val="18"/>
                <w:szCs w:val="18"/>
                <w:color w:val="auto"/>
              </w:rPr>
              <w:t>Preferential dividends on dilutive stock options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B net income per share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Denominator: (in thousands)</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Denominator for basic net income per share for both Class A and Class B</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51,039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440"/>
              <w:spacing w:after="0"/>
              <w:rPr>
                <w:sz w:val="20"/>
                <w:szCs w:val="20"/>
                <w:color w:val="auto"/>
              </w:rPr>
            </w:pPr>
            <w:r>
              <w:rPr>
                <w:rFonts w:ascii="Arial" w:cs="Arial" w:eastAsia="Arial" w:hAnsi="Arial"/>
                <w:sz w:val="18"/>
                <w:szCs w:val="18"/>
                <w:color w:val="auto"/>
              </w:rPr>
              <w:t>Plus: Effect of dilutive stock options</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Denominator for diluted net income per share for both Class A and Class B</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51,312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52,954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 income per share:</w:t>
            </w: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860"/>
              <w:spacing w:after="0"/>
              <w:rPr>
                <w:sz w:val="20"/>
                <w:szCs w:val="20"/>
                <w:color w:val="auto"/>
              </w:rPr>
            </w:pPr>
            <w:r>
              <w:rPr>
                <w:rFonts w:ascii="Arial" w:cs="Arial" w:eastAsia="Arial" w:hAnsi="Arial"/>
                <w:sz w:val="18"/>
                <w:szCs w:val="18"/>
                <w:color w:val="auto"/>
              </w:rPr>
              <w:t>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per share: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860"/>
              <w:spacing w:after="0"/>
              <w:rPr>
                <w:sz w:val="20"/>
                <w:szCs w:val="20"/>
                <w:color w:val="auto"/>
              </w:rPr>
            </w:pPr>
            <w:r>
              <w:rPr>
                <w:rFonts w:ascii="Arial" w:cs="Arial" w:eastAsia="Arial" w:hAnsi="Arial"/>
                <w:sz w:val="18"/>
                <w:szCs w:val="18"/>
                <w:color w:val="auto"/>
              </w:rPr>
              <w:t>Basic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Options to purchase approximately 5,072,000 and 4,915,000 shares of Class A Nonvoting Common Stock were not included in the computation of diluted net income per share for the quarters ended October 31, 2012 and 2011, respectively, because the option exercise price was greater than the average market price of the common shares and, therefore, the effect would be anti-dilutive.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D — Segment Information</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evaluates short-term segment performance based on segment profit or loss and customer sales. Segment profit or loss does not include certain administrative costs, such as the cost of finance, information technology, human resources, and executive leadership, which are managed as global functions. Restructuring charges, impairment charges, equity compensation costs, interest expense, investment and other income (expense) and income taxes are also excluded when evaluating performance. Intersegment sales and transfers are recorded at cost plus a standard percentage markup.</w:t>
      </w:r>
    </w:p>
    <w:p>
      <w:pPr>
        <w:spacing w:after="0" w:line="113"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segment information for the three months ended October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Corporate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3"/>
          </w:tcPr>
          <w:p>
            <w:pPr>
              <w:jc w:val="center"/>
              <w:ind w:left="187"/>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Americas</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85"/>
              </w:rPr>
              <w:t>Asia-Pacific</w:t>
            </w:r>
          </w:p>
        </w:tc>
        <w:tc>
          <w:tcPr>
            <w:tcW w:w="30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1"/>
              </w:rPr>
              <w:t>Total Region</w:t>
            </w:r>
          </w:p>
        </w:tc>
        <w:tc>
          <w:tcPr>
            <w:tcW w:w="24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Eliminations</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Three months ended October 31, 2012:</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Revenues from external customers</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$148,692</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$93,233</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95,721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337,646</w:t>
            </w:r>
          </w:p>
        </w:tc>
        <w:tc>
          <w:tcPr>
            <w:tcW w:w="6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$337,646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10,082</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17,413</w:t>
            </w:r>
          </w:p>
        </w:tc>
        <w:tc>
          <w:tcPr>
            <w:tcW w:w="6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(17,413)</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Segment profit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44,633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23,567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12,055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80,255</w:t>
            </w:r>
          </w:p>
        </w:tc>
        <w:tc>
          <w:tcPr>
            <w:tcW w:w="60" w:type="dxa"/>
            <w:vAlign w:val="bottom"/>
          </w:tcPr>
          <w:p>
            <w:pPr>
              <w:spacing w:after="0"/>
              <w:rPr>
                <w:sz w:val="18"/>
                <w:szCs w:val="18"/>
                <w:color w:val="auto"/>
              </w:rPr>
            </w:pPr>
          </w:p>
        </w:tc>
        <w:tc>
          <w:tcPr>
            <w:tcW w:w="1300" w:type="dxa"/>
            <w:vAlign w:val="bottom"/>
            <w:gridSpan w:val="6"/>
          </w:tcPr>
          <w:p>
            <w:pPr>
              <w:jc w:val="right"/>
              <w:ind w:right="260"/>
              <w:spacing w:after="0"/>
              <w:rPr>
                <w:sz w:val="20"/>
                <w:szCs w:val="20"/>
                <w:color w:val="auto"/>
              </w:rPr>
            </w:pPr>
            <w:r>
              <w:rPr>
                <w:rFonts w:ascii="Arial" w:cs="Arial" w:eastAsia="Arial" w:hAnsi="Arial"/>
                <w:sz w:val="18"/>
                <w:szCs w:val="18"/>
                <w:color w:val="auto"/>
              </w:rPr>
              <w:t>(1,973)</w:t>
            </w:r>
          </w:p>
        </w:tc>
        <w:tc>
          <w:tcPr>
            <w:tcW w:w="660" w:type="dxa"/>
            <w:vAlign w:val="bottom"/>
          </w:tcPr>
          <w:p>
            <w:pPr>
              <w:jc w:val="right"/>
              <w:spacing w:after="0"/>
              <w:rPr>
                <w:sz w:val="20"/>
                <w:szCs w:val="20"/>
                <w:color w:val="auto"/>
              </w:rPr>
            </w:pPr>
            <w:r>
              <w:rPr>
                <w:rFonts w:ascii="Arial" w:cs="Arial" w:eastAsia="Arial" w:hAnsi="Arial"/>
                <w:sz w:val="18"/>
                <w:szCs w:val="18"/>
                <w:color w:val="auto"/>
              </w:rPr>
              <w:t>78,282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October 31, 2011:</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Revenues from external customers</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$153,863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$97,356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98,289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349,508</w:t>
            </w:r>
          </w:p>
        </w:tc>
        <w:tc>
          <w:tcPr>
            <w:tcW w:w="6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$349,508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10,225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18,429</w:t>
            </w:r>
          </w:p>
        </w:tc>
        <w:tc>
          <w:tcPr>
            <w:tcW w:w="6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(18,429)</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Segment profit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43,230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26,299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13,304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82,833</w:t>
            </w:r>
          </w:p>
        </w:tc>
        <w:tc>
          <w:tcPr>
            <w:tcW w:w="60" w:type="dxa"/>
            <w:vAlign w:val="bottom"/>
          </w:tcPr>
          <w:p>
            <w:pPr>
              <w:spacing w:after="0"/>
              <w:rPr>
                <w:sz w:val="19"/>
                <w:szCs w:val="19"/>
                <w:color w:val="auto"/>
              </w:rPr>
            </w:pPr>
          </w:p>
        </w:tc>
        <w:tc>
          <w:tcPr>
            <w:tcW w:w="1300" w:type="dxa"/>
            <w:vAlign w:val="bottom"/>
            <w:gridSpan w:val="6"/>
          </w:tcPr>
          <w:p>
            <w:pPr>
              <w:jc w:val="right"/>
              <w:ind w:right="260"/>
              <w:spacing w:after="0"/>
              <w:rPr>
                <w:sz w:val="20"/>
                <w:szCs w:val="20"/>
                <w:color w:val="auto"/>
              </w:rPr>
            </w:pPr>
            <w:r>
              <w:rPr>
                <w:rFonts w:ascii="Arial" w:cs="Arial" w:eastAsia="Arial" w:hAnsi="Arial"/>
                <w:sz w:val="18"/>
                <w:szCs w:val="18"/>
                <w:color w:val="auto"/>
              </w:rPr>
              <w:t>(3,263)</w:t>
            </w:r>
          </w:p>
        </w:tc>
        <w:tc>
          <w:tcPr>
            <w:tcW w:w="660" w:type="dxa"/>
            <w:vAlign w:val="bottom"/>
          </w:tcPr>
          <w:p>
            <w:pPr>
              <w:jc w:val="right"/>
              <w:spacing w:after="0"/>
              <w:rPr>
                <w:sz w:val="20"/>
                <w:szCs w:val="20"/>
                <w:color w:val="auto"/>
              </w:rPr>
            </w:pPr>
            <w:r>
              <w:rPr>
                <w:rFonts w:ascii="Arial" w:cs="Arial" w:eastAsia="Arial" w:hAnsi="Arial"/>
                <w:sz w:val="18"/>
                <w:szCs w:val="18"/>
                <w:color w:val="auto"/>
              </w:rPr>
              <w:t>79,570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720" w:type="dxa"/>
            <w:vAlign w:val="bottom"/>
            <w:gridSpan w:val="15"/>
          </w:tcPr>
          <w:p>
            <w:pPr>
              <w:ind w:left="460"/>
              <w:spacing w:after="0"/>
              <w:rPr>
                <w:sz w:val="20"/>
                <w:szCs w:val="20"/>
                <w:color w:val="auto"/>
              </w:rPr>
            </w:pPr>
            <w:r>
              <w:rPr>
                <w:rFonts w:ascii="Arial" w:cs="Arial" w:eastAsia="Arial" w:hAnsi="Arial"/>
                <w:sz w:val="18"/>
                <w:szCs w:val="18"/>
                <w:color w:val="auto"/>
                <w:w w:val="89"/>
              </w:rPr>
              <w:t>Following is a reconciliation of segment profit to net income for the three months ended October 31, 2012 and 2011: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7"/>
              </w:rPr>
              <w:t>Three months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4"/>
                <w:szCs w:val="14"/>
                <w:b w:val="1"/>
                <w:bCs w:val="1"/>
                <w:color w:val="auto"/>
                <w:w w:val="88"/>
              </w:rPr>
              <w:t>October 31,</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profit from reportable segments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$ 80,255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$ 82,833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7"/>
              </w:rPr>
              <w:t>(1,973)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(3,263)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Administrative costs</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(30,408)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(30,480)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(gain) on sales of businesses (1)</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(3,438)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760" w:type="dxa"/>
            <w:vAlign w:val="bottom"/>
          </w:tcPr>
          <w:p>
            <w:pPr>
              <w:ind w:left="440"/>
              <w:spacing w:after="0"/>
              <w:rPr>
                <w:sz w:val="20"/>
                <w:szCs w:val="20"/>
                <w:color w:val="auto"/>
              </w:rPr>
            </w:pPr>
            <w:r>
              <w:rPr>
                <w:rFonts w:ascii="Arial" w:cs="Arial" w:eastAsia="Arial" w:hAnsi="Arial"/>
                <w:sz w:val="18"/>
                <w:szCs w:val="18"/>
                <w:color w:val="auto"/>
              </w:rPr>
              <w:t>Investment and other income (expense)</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(4,163)</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gridSpan w:val="2"/>
          </w:tcPr>
          <w:p>
            <w:pPr>
              <w:ind w:left="138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40,670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43,841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(13,482)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(11,109)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6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$ 27,188</w:t>
            </w:r>
          </w:p>
        </w:tc>
        <w:tc>
          <w:tcPr>
            <w:tcW w:w="8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$ 32,732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80" w:right="3200" w:hanging="5672"/>
        <w:spacing w:after="0" w:line="440" w:lineRule="auto"/>
        <w:tabs>
          <w:tab w:leader="none" w:pos="464"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on sales of businesses relate to the Americas segment during the three months ended October 31, 2012. 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sales by business platform for the three months ended October 31, 2012 and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4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October 31,</w:t>
            </w:r>
          </w:p>
        </w:tc>
      </w:tr>
      <w:tr>
        <w:trPr>
          <w:trHeight w:val="142"/>
        </w:trPr>
        <w:tc>
          <w:tcPr>
            <w:tcW w:w="4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ID Solutions</w:t>
            </w:r>
          </w:p>
        </w:tc>
        <w:tc>
          <w:tcPr>
            <w:tcW w:w="2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$186,302</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Direct Marketing</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90,627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88,833</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Die-Cut</w:t>
            </w:r>
          </w:p>
        </w:tc>
        <w:tc>
          <w:tcPr>
            <w:tcW w:w="28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60,717</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337,646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349,508</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E – Stock-Based Compensation</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and non-employee directors.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 Restricted shares issued under the plan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These shares are referred to herein as “performance-based restricted shares.” The Company also grants restricted stock units to certain executives and key management employees that vest upon meeting certain financial performance conditions over a specified vesting period, referred to herein as “performance-based restricted stock units.” The performance-based restricted stock units granted in fiscal 2013 vest over a two-year period upon meeting both performance and service conditions.</w:t>
      </w:r>
    </w:p>
    <w:p>
      <w:pPr>
        <w:spacing w:after="0" w:line="12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October 31, 2012, the Company has reserved 7,013,266 shares of Class A Nonvoting Common Stock for outstanding stock options and restricted shares and 4,239,650 shares of Class A Nonvoting Common Stock remain for future issuance of stock options and restricted shares under the active plans. The Company uses treasury stock or will issue new Class A Nonvoting Common Stock to deliver shares under these plans.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recognizes the compensation cost of all share-based awards on a straight-line basis over the vesting period of the award. Total stock compensation expense recognized by the Company during the three months ended October 31, 2012 and 2011, was $4,399 ($2,683 net of taxes) and $3,591 ($2,190 net of taxes), respectively. As of October 31, 2012, total unrecognized compensation cost related to share-based compensation awards was $16,252 pre-tax, net of estimated forfeitures, which the Company expects to recognize over a weighted-average period of 2.0 years.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estimated the fair value of its service-based and performance-based stock option awards granted during the three months ended October 31, 2012 and 2011,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9"/>
              </w:rPr>
              <w:t>Three Months Ended</w:t>
            </w:r>
          </w:p>
        </w:tc>
        <w:tc>
          <w:tcPr>
            <w:tcW w:w="280" w:type="dxa"/>
            <w:vAlign w:val="bottom"/>
          </w:tcPr>
          <w:p>
            <w:pPr>
              <w:spacing w:after="0"/>
              <w:rPr>
                <w:sz w:val="14"/>
                <w:szCs w:val="14"/>
                <w:color w:val="auto"/>
              </w:rPr>
            </w:pPr>
          </w:p>
        </w:tc>
        <w:tc>
          <w:tcPr>
            <w:tcW w:w="23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87"/>
              </w:rPr>
              <w:t>October 31, 2012</w:t>
            </w:r>
          </w:p>
        </w:tc>
        <w:tc>
          <w:tcPr>
            <w:tcW w:w="6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87"/>
              </w:rPr>
              <w:t>October 31, 2011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Performance-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Performance-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w w:val="91"/>
              </w:rPr>
              <w:t>Black-Scholes Option Valuation Assumptions</w:t>
            </w:r>
          </w:p>
        </w:tc>
        <w:tc>
          <w:tcPr>
            <w:tcW w:w="17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4"/>
              </w:rPr>
              <w:t>Service-Based</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Based Option</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Service-Based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Based Option</w:t>
            </w:r>
          </w:p>
        </w:tc>
        <w:tc>
          <w:tcPr>
            <w:tcW w:w="0" w:type="dxa"/>
            <w:vAlign w:val="bottom"/>
          </w:tcPr>
          <w:p>
            <w:pPr>
              <w:spacing w:after="0"/>
              <w:rPr>
                <w:sz w:val="1"/>
                <w:szCs w:val="1"/>
                <w:color w:val="auto"/>
              </w:rPr>
            </w:pPr>
          </w:p>
        </w:tc>
      </w:tr>
      <w:tr>
        <w:trPr>
          <w:trHeight w:val="168"/>
        </w:trPr>
        <w:tc>
          <w:tcPr>
            <w:tcW w:w="2800" w:type="dxa"/>
            <w:vAlign w:val="bottom"/>
            <w:tcBorders>
              <w:bottom w:val="single" w:sz="8" w:color="auto"/>
            </w:tcBorders>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4"/>
                <w:szCs w:val="14"/>
                <w:color w:val="auto"/>
              </w:rPr>
            </w:pPr>
          </w:p>
        </w:tc>
        <w:tc>
          <w:tcPr>
            <w:tcW w:w="13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Awards</w:t>
            </w:r>
          </w:p>
        </w:tc>
        <w:tc>
          <w:tcPr>
            <w:tcW w:w="1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Option Awards</w:t>
            </w:r>
          </w:p>
        </w:tc>
        <w:tc>
          <w:tcPr>
            <w:tcW w:w="140" w:type="dxa"/>
            <w:vAlign w:val="bottom"/>
          </w:tcPr>
          <w:p>
            <w:pPr>
              <w:spacing w:after="0"/>
              <w:rPr>
                <w:sz w:val="14"/>
                <w:szCs w:val="14"/>
                <w:color w:val="auto"/>
              </w:rPr>
            </w:pP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5.89</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38.73%</w:t>
            </w: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39.40%</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8"/>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Weighted-average market value of underlying stock at grant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date</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27.00</w:t>
            </w:r>
          </w:p>
        </w:tc>
        <w:tc>
          <w:tcPr>
            <w:tcW w:w="7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Weighted-average fair value of options granted during the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period</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276"/>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granted 10,000 shares of performance-based restricted stock units in September 2012 with a grant price and fair value of $30.21. The Company granted 100,000 shares of performance-based restricted stock in August of 2010, with a grant price and fair value of $28.35, and 210,000 shares in fiscal 2008, with a grant price and fair value of $32.83. As of October 31, 2012, 10,000 restricted stock units were outstanding and 310,000 performance-based restricted shares were outstanding.</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granted 760,350 service-based stock options during the three months ended October 31, 2012, with a weighted average exercise price of $30.21 and a weighted average fair value of $8.96. There were no performance-based stock options granted during the three months ended October 31, 2012.</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stock option activity under the Company’s share-based compensation plans for the three months ended October 31, 2012 is presented below:</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6140" w:type="dxa"/>
            <w:vAlign w:val="bottom"/>
            <w:gridSpan w:val="3"/>
            <w:vMerge w:val="continue"/>
          </w:tcPr>
          <w:p>
            <w:pPr>
              <w:spacing w:after="0"/>
              <w:rPr>
                <w:sz w:val="12"/>
                <w:szCs w:val="12"/>
                <w:color w:val="auto"/>
              </w:rPr>
            </w:pPr>
          </w:p>
        </w:tc>
        <w:tc>
          <w:tcPr>
            <w:tcW w:w="130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Term</w:t>
            </w:r>
          </w:p>
        </w:tc>
        <w:tc>
          <w:tcPr>
            <w:tcW w:w="560" w:type="dxa"/>
            <w:vAlign w:val="bottom"/>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July 31, 2012</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6,253,751</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$ 29.24</w:t>
            </w: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New grants</w:t>
            </w:r>
          </w:p>
        </w:tc>
        <w:tc>
          <w:tcPr>
            <w:tcW w:w="760" w:type="dxa"/>
            <w:vAlign w:val="bottom"/>
          </w:tcPr>
          <w:p>
            <w:pPr>
              <w:jc w:val="right"/>
              <w:spacing w:after="0"/>
              <w:rPr>
                <w:sz w:val="20"/>
                <w:szCs w:val="20"/>
                <w:color w:val="auto"/>
              </w:rPr>
            </w:pPr>
            <w:r>
              <w:rPr>
                <w:rFonts w:ascii="Arial" w:cs="Arial" w:eastAsia="Arial" w:hAnsi="Arial"/>
                <w:sz w:val="18"/>
                <w:szCs w:val="18"/>
                <w:color w:val="auto"/>
              </w:rPr>
              <w:t>760,350</w:t>
            </w:r>
          </w:p>
        </w:tc>
        <w:tc>
          <w:tcPr>
            <w:tcW w:w="540" w:type="dxa"/>
            <w:vAlign w:val="bottom"/>
          </w:tcPr>
          <w:p>
            <w:pPr>
              <w:spacing w:after="0"/>
              <w:rPr>
                <w:sz w:val="18"/>
                <w:szCs w:val="18"/>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$ 30.21</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(167,636)</w:t>
            </w:r>
          </w:p>
        </w:tc>
        <w:tc>
          <w:tcPr>
            <w:tcW w:w="11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3"/>
              </w:rPr>
              <w:t>$ 17.78</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(474,807)</w:t>
            </w: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$ 30.49</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6,371,658</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3"/>
              </w:rPr>
              <w:t>$ 29.56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4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2"/>
              </w:rPr>
              <w:t>$ 15,992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Arial" w:cs="Arial" w:eastAsia="Arial" w:hAnsi="Arial"/>
                <w:sz w:val="18"/>
                <w:szCs w:val="18"/>
                <w:color w:val="auto"/>
              </w:rPr>
              <w:t>Exercisable at October 31, 2012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vMerge w:val="restart"/>
          </w:tcPr>
          <w:p>
            <w:pPr>
              <w:jc w:val="center"/>
              <w:ind w:right="560"/>
              <w:spacing w:after="0"/>
              <w:rPr>
                <w:sz w:val="20"/>
                <w:szCs w:val="20"/>
                <w:color w:val="auto"/>
              </w:rPr>
            </w:pPr>
            <w:r>
              <w:rPr>
                <w:rFonts w:ascii="Arial" w:cs="Arial" w:eastAsia="Arial" w:hAnsi="Arial"/>
                <w:sz w:val="18"/>
                <w:szCs w:val="18"/>
                <w:color w:val="auto"/>
                <w:w w:val="93"/>
              </w:rPr>
              <w:t>$ 29.78</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4,231,429</w:t>
            </w:r>
          </w:p>
        </w:tc>
        <w:tc>
          <w:tcPr>
            <w:tcW w:w="5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140" w:type="dxa"/>
            <w:vAlign w:val="bottom"/>
            <w:gridSpan w:val="2"/>
          </w:tcPr>
          <w:p>
            <w:pPr>
              <w:jc w:val="center"/>
              <w:ind w:left="472"/>
              <w:spacing w:after="0"/>
              <w:rPr>
                <w:sz w:val="20"/>
                <w:szCs w:val="20"/>
                <w:color w:val="auto"/>
              </w:rPr>
            </w:pPr>
            <w:r>
              <w:rPr>
                <w:rFonts w:ascii="Arial" w:cs="Arial" w:eastAsia="Arial" w:hAnsi="Arial"/>
                <w:sz w:val="18"/>
                <w:szCs w:val="18"/>
                <w:color w:val="auto"/>
                <w:w w:val="82"/>
              </w:rPr>
              <w:t>$ 12,722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There were 4,231,429 and 3,975,963 options exercisable with a weighted average exercise price of $29.78 and $29.83 at October 31, 2012 and 2011, respectively. The cash received from the exercise of options during the quarters ended October 31, 2012 and 2011, was $1,684 and $683, respectively. The tax benefit on stock options exercised during the quarters ended October 31, 2012 and 2011, was $635 and $469, respectively.</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total intrinsic value of options exercised during the three months ended October 31, 2012 and 2011, based upon the average market price at the time of exercise during the period, was $2,033 and $642, respectively. The total fair value of stock options vested during the three months ended October 31, 2012 and 2011, was $6,330 and $6,935,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September 9, 2011, the Company’s Board of Directors authorized a share repurchase program for up to two million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As of July 31, 2012, there remained 334,940 shares to purchase in connection with this share repurchase plan. During the three months ended October 31, 2012, the Company purchased 188,167 shares of its Class A Nonvoting Common Stock under this plan for $5,121.</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September 6, 2012, the Company’s Board of Directors authorized an additional share repurchase program for up to two million additional shares of the Company’s Class A Nonvoting Common Stock. As of October 31, 2012, there remained 2,146,773 shares to purchase in connection with the Company’s share repurchase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G — Employee Benefit Plans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provides postretirement medical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funds benefit costs on a pay-as-you-go basis. There have been no changes to the components of net periodic benefit cost or the amount that the Company expects to fund in fiscal 2013 from those reported in Note 3 to the consolidated financial statements included in the Company’s latest annual report on Form 10-K for the year ended July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October 31, 2012, and July 31, 2012, according to the valuation techniques the Company used to determine their fair values.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5"/>
              </w:rPr>
              <w:t>Inputs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Considered As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w w:val="93"/>
              </w:rPr>
              <w:t>Quoted</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Prices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in Active</w:t>
            </w:r>
          </w:p>
        </w:tc>
        <w:tc>
          <w:tcPr>
            <w:tcW w:w="46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Identical</w:t>
            </w:r>
          </w:p>
        </w:tc>
        <w:tc>
          <w:tcPr>
            <w:tcW w:w="4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00"/>
              <w:spacing w:after="0" w:line="135" w:lineRule="exact"/>
              <w:rPr>
                <w:sz w:val="20"/>
                <w:szCs w:val="20"/>
                <w:color w:val="auto"/>
              </w:rPr>
            </w:pPr>
            <w:r>
              <w:rPr>
                <w:rFonts w:ascii="Arial" w:cs="Arial" w:eastAsia="Arial" w:hAnsi="Arial"/>
                <w:sz w:val="14"/>
                <w:szCs w:val="14"/>
                <w:b w:val="1"/>
                <w:bCs w:val="1"/>
                <w:color w:val="auto"/>
                <w:w w:val="91"/>
              </w:rPr>
              <w:t>Assets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3"/>
              </w:rPr>
              <w:t>Fair</w:t>
            </w: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20"/>
              <w:spacing w:after="0"/>
              <w:rPr>
                <w:sz w:val="20"/>
                <w:szCs w:val="20"/>
                <w:color w:val="auto"/>
              </w:rPr>
            </w:pPr>
            <w:r>
              <w:rPr>
                <w:rFonts w:ascii="Arial" w:cs="Arial" w:eastAsia="Arial" w:hAnsi="Arial"/>
                <w:sz w:val="14"/>
                <w:szCs w:val="14"/>
                <w:b w:val="1"/>
                <w:bCs w:val="1"/>
                <w:color w:val="auto"/>
                <w:w w:val="87"/>
              </w:rPr>
              <w:t>(Level 1)</w:t>
            </w:r>
          </w:p>
        </w:tc>
        <w:tc>
          <w:tcPr>
            <w:tcW w:w="460" w:type="dxa"/>
            <w:vAlign w:val="bottom"/>
          </w:tcPr>
          <w:p>
            <w:pPr>
              <w:spacing w:after="0"/>
              <w:rPr>
                <w:sz w:val="15"/>
                <w:szCs w:val="15"/>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(Level 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Values</w:t>
            </w:r>
          </w:p>
        </w:tc>
        <w:tc>
          <w:tcPr>
            <w:tcW w:w="3340" w:type="dxa"/>
            <w:vAlign w:val="bottom"/>
          </w:tcPr>
          <w:p>
            <w:pPr>
              <w:ind w:left="1260"/>
              <w:spacing w:after="0"/>
              <w:rPr>
                <w:sz w:val="20"/>
                <w:szCs w:val="20"/>
                <w:color w:val="auto"/>
              </w:rPr>
            </w:pPr>
            <w:r>
              <w:rPr>
                <w:rFonts w:ascii="Arial" w:cs="Arial" w:eastAsia="Arial" w:hAnsi="Arial"/>
                <w:sz w:val="14"/>
                <w:szCs w:val="14"/>
                <w:b w:val="1"/>
                <w:bCs w:val="1"/>
                <w:color w:val="auto"/>
              </w:rPr>
              <w:t>Classifications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October 31, 2012:</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Trading securities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12,962</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12,962</w:t>
            </w:r>
          </w:p>
        </w:tc>
        <w:tc>
          <w:tcPr>
            <w:tcW w:w="3340" w:type="dxa"/>
            <w:vAlign w:val="bottom"/>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485</w:t>
            </w: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Prepaid expenses and other current assets</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12,962</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13,447</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311</w:t>
            </w: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Foreign currency denominated debt</w:t>
            </w:r>
          </w:p>
        </w:tc>
        <w:tc>
          <w:tcPr>
            <w:tcW w:w="8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105,292</w:t>
            </w:r>
          </w:p>
        </w:tc>
        <w:tc>
          <w:tcPr>
            <w:tcW w:w="3340" w:type="dxa"/>
            <w:vAlign w:val="bottom"/>
          </w:tcPr>
          <w:p>
            <w:pPr>
              <w:spacing w:after="0"/>
              <w:rPr>
                <w:sz w:val="20"/>
                <w:szCs w:val="20"/>
                <w:color w:val="auto"/>
              </w:rPr>
            </w:pPr>
            <w:r>
              <w:rPr>
                <w:rFonts w:ascii="Arial" w:cs="Arial" w:eastAsia="Arial" w:hAnsi="Arial"/>
                <w:sz w:val="18"/>
                <w:szCs w:val="18"/>
                <w:color w:val="auto"/>
                <w:w w:val="92"/>
              </w:rPr>
              <w:t>Long term obligations, less current maturities</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105,603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105,603</w:t>
            </w: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July 31, 2012: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12,676</w:t>
            </w: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1,234</w:t>
            </w:r>
          </w:p>
        </w:tc>
        <w:tc>
          <w:tcPr>
            <w:tcW w:w="3340" w:type="dxa"/>
            <w:vAlign w:val="bottom"/>
          </w:tcPr>
          <w:p>
            <w:pPr>
              <w:spacing w:after="0"/>
              <w:rPr>
                <w:sz w:val="20"/>
                <w:szCs w:val="20"/>
                <w:color w:val="auto"/>
              </w:rPr>
            </w:pPr>
            <w:r>
              <w:rPr>
                <w:rFonts w:ascii="Arial" w:cs="Arial" w:eastAsia="Arial" w:hAnsi="Arial"/>
                <w:sz w:val="18"/>
                <w:szCs w:val="18"/>
                <w:color w:val="auto"/>
                <w:w w:val="96"/>
              </w:rPr>
              <w:t>Prepaid expenses and other current assets</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13,910</w:t>
            </w: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line="20" w:lineRule="exact"/>
              <w:rPr>
                <w:sz w:val="1"/>
                <w:szCs w:val="1"/>
                <w:color w:val="auto"/>
              </w:rPr>
            </w:pPr>
          </w:p>
        </w:tc>
      </w:tr>
      <w:tr>
        <w:trPr>
          <w:trHeight w:val="208"/>
        </w:trPr>
        <w:tc>
          <w:tcPr>
            <w:tcW w:w="370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281</w:t>
            </w:r>
          </w:p>
        </w:tc>
        <w:tc>
          <w:tcPr>
            <w:tcW w:w="3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denominated debt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99,081</w:t>
            </w: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2"/>
              </w:rPr>
              <w:t>Long term obligations, less current maturities</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99,362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99,362</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left="240"/>
        <w:spacing w:after="0" w:line="332"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Company’s deferred compensation investments consist of investments in mutual funds. These investments were classified as Level 1</w:t>
      </w:r>
      <w:r>
        <w:rPr>
          <w:rFonts w:ascii="Arial" w:cs="Arial" w:eastAsia="Arial" w:hAnsi="Arial"/>
          <w:sz w:val="16"/>
          <w:szCs w:val="16"/>
          <w:i w:val="1"/>
          <w:iCs w:val="1"/>
          <w:color w:val="auto"/>
        </w:rPr>
        <w:t xml:space="preserve"> </w:t>
      </w:r>
      <w:r>
        <w:rPr>
          <w:rFonts w:ascii="Arial" w:cs="Arial" w:eastAsia="Arial" w:hAnsi="Arial"/>
          <w:sz w:val="16"/>
          <w:szCs w:val="16"/>
          <w:color w:val="auto"/>
        </w:rPr>
        <w:t>as the shares of these investments trade with sufficient frequency and volume to enable us to obtain pricing information on an ongoing basis.</w:t>
      </w:r>
    </w:p>
    <w:p>
      <w:pPr>
        <w:spacing w:after="0" w:line="4"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K, “Derivatives and Hedging Activities” for additional information.</w:t>
      </w:r>
    </w:p>
    <w:p>
      <w:pPr>
        <w:spacing w:after="0" w:line="59" w:lineRule="exact"/>
        <w:rPr>
          <w:sz w:val="20"/>
          <w:szCs w:val="20"/>
          <w:color w:val="auto"/>
        </w:rPr>
      </w:pPr>
    </w:p>
    <w:p>
      <w:pPr>
        <w:jc w:val="both"/>
        <w:ind w:left="240"/>
        <w:spacing w:after="0" w:line="306" w:lineRule="auto"/>
        <w:rPr>
          <w:sz w:val="20"/>
          <w:szCs w:val="20"/>
          <w:color w:val="auto"/>
        </w:rPr>
      </w:pPr>
      <w:r>
        <w:rPr>
          <w:rFonts w:ascii="Arial" w:cs="Arial" w:eastAsia="Arial" w:hAnsi="Arial"/>
          <w:sz w:val="16"/>
          <w:szCs w:val="16"/>
          <w:i w:val="1"/>
          <w:iCs w:val="1"/>
          <w:color w:val="auto"/>
        </w:rPr>
        <w:t xml:space="preserve">Foreign currency denominated debt: </w:t>
      </w:r>
      <w:r>
        <w:rPr>
          <w:rFonts w:ascii="Arial" w:cs="Arial" w:eastAsia="Arial" w:hAnsi="Arial"/>
          <w:sz w:val="16"/>
          <w:szCs w:val="16"/>
          <w:color w:val="auto"/>
        </w:rPr>
        <w:t>The Company’s foreign currency denominated debt designated as a net investment hedge was classified as Level 2, as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was based on the present value of the future cash flows using external models that use observable inputs, such as interest rates, yield curves and foreign currency exchange rates. See Note J, “Derivatives and Hedging Activities” for additional information.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2012 and 2011. In addition, the Company had no significant measurements of assets or liabilities at fair value on a nonrecurring basis subsequent to their initial recognition during the three months ended October 31, 2012 and 2011.</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accounts payable, accrued liabilities and short-term and long-term debt. The fair values of cash and cash equivalents, accounts receivable, accounts payable, and accrued liabilities approximated carrying values because of the short-term nature of these instruments.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estimated fair value of the Company’s short-term and long-term debt obligations, based on the quoted market prices for similar issues and on the current rates offered for debt of similar maturities, was $343,894 and $338,668 at October 31, 2012 and July 31, 2012, respectively, as compared to the carrying value of $320,993 and $316,208 at October 31, 2012 and July 31, 2012, respectively.</w:t>
      </w:r>
    </w:p>
    <w:p>
      <w:pPr>
        <w:spacing w:after="0" w:line="14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fiscal 2012, goodwill with a carrying amount of $163,702 in the former North/South Asia reporting unit was written down to its estimated implied fair value of $48,014, resulting in a non-cash impairment charge of $115,688. In order to arrive at the implied fair value of goodwill, the Company assigned the fair value to all of the assets and liabilities of the reporting unit as if the reporting unit had been acquired in a business combination. Intangible assets consisted of customer lists, and were valued using the income approach based upon customers in existence at the valuation date. After assigning fair value to the assets and liabilities of the reporting unit, the result was the implied fair value of goodwill of $48,014, which represented a Level 3 asset measured at fair value on a nonrecurring basis subsequent to its original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I — Restructuring</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fiscal 2012, the Company took various measures to address its cost structure in response to weaker sales forecasts across the Company. As a result of these actions, the Company recorded restructuring charges of $12,110, which consisted of $10,944 of employee separation costs, $458 of fixed asset write-offs, $521 of other facility closure related costs, and $187 of contract termination costs. Of the $12,110 of restructuring charges recorded during fiscal 2012, $3,531 was incurred in the Americas, $6,898 was incurred in EMEA, and $1,681 was incurred in Asia-Pacific. The costs related to these restructuring activities were recorded on the consolidated statements of income as restructuring charges during fiscal 2012. The Company expects the majority of the remaining cash payments to be made during fiscal 2013.</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fiscal 2012 restructuring liability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Related</w:t>
            </w: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Other</w:t>
            </w:r>
          </w:p>
        </w:tc>
        <w:tc>
          <w:tcPr>
            <w:tcW w:w="2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July 31, 2012</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Cash payments</w:t>
            </w: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(3,516)</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2012</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5,293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201</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$ 5,494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J — Derivatives and Hedging Activities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2012 and July 31, 2012, the notional amount of outstanding forward exchange contracts was $50,859 and $61,169, respectively.</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October 31, 2012, unrealized losses of $557 have been included in OCI. As of October 31, 2011, unrealized gains of $1,010 have been included in OCI. These balances are expected to be reclassified from OCI to earnings during the next twelve months when the hedged transactions impact earnings. For the three months ended October 31, 2012 and 2011, the Company reclassified gains of $467 and losses of $777 from OCI into earnings, respectively. At October 31, 2012 and July 31, 2012, the U.S. dollar equivalent of these outstanding forward foreign exchange contracts totaled $33,348 and $39,458, respectively, including contracts to sell Euros, Canadian Dollars, Australian Dollars, British Pounds and U.S. Dollars.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 has also designated intercompany and third party foreign currency denominated debt instruments as net investment hedges. At October 31, 2012 and July 31, 2012, the Company designated €4,581 of intercompany loans as net investment hedges to hedge portions of its net investment in European foreign operations.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The Company’s foreign denominated debt obligations are valued under a market approach using publicized spot prices.</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 operation. At October 31, 2012 and July 31, 2012, the U.S dollar equivalent of these outstanding forward foreign exchange contracts totaled $8,550 and $10,650, respectively. For the three months ended October 31, 2012 and 2011, the Company recognized an OCI loss of $5,301 and an OCI gain of $3,228, respectively, on its net investment hedges.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months ended October 31, 2012, the Company recognized a gain of $186 in “Investment and other income” on the condensed consolidated statements of income related to non-designated hedges. The Company did not recognize a gain or loss on the condensed consolidated statements of income related to non-designated hedges during the three months ended October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bottom w:val="single" w:sz="8" w:color="auto"/>
            </w:tcBorders>
          </w:tcPr>
          <w:p>
            <w:pPr>
              <w:ind w:left="460"/>
              <w:spacing w:after="0" w:line="156" w:lineRule="exact"/>
              <w:rPr>
                <w:sz w:val="20"/>
                <w:szCs w:val="20"/>
                <w:color w:val="auto"/>
              </w:rPr>
            </w:pPr>
            <w:r>
              <w:rPr>
                <w:rFonts w:ascii="Arial" w:cs="Arial" w:eastAsia="Arial" w:hAnsi="Arial"/>
                <w:sz w:val="14"/>
                <w:szCs w:val="14"/>
                <w:b w:val="1"/>
                <w:bCs w:val="1"/>
                <w:color w:val="auto"/>
                <w:w w:val="87"/>
              </w:rPr>
              <w:t>October 31, 2012</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Borders>
              <w:bottom w:val="single" w:sz="8" w:color="auto"/>
            </w:tcBorders>
          </w:tcPr>
          <w:p>
            <w:pPr>
              <w:ind w:left="600"/>
              <w:spacing w:after="0" w:line="156" w:lineRule="exact"/>
              <w:rPr>
                <w:sz w:val="20"/>
                <w:szCs w:val="20"/>
                <w:color w:val="auto"/>
              </w:rPr>
            </w:pPr>
            <w:r>
              <w:rPr>
                <w:rFonts w:ascii="Arial" w:cs="Arial" w:eastAsia="Arial" w:hAnsi="Arial"/>
                <w:sz w:val="14"/>
                <w:szCs w:val="14"/>
                <w:b w:val="1"/>
                <w:bCs w:val="1"/>
                <w:color w:val="auto"/>
                <w:w w:val="97"/>
              </w:rPr>
              <w:t>July 31, 2012</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Borders>
              <w:bottom w:val="single" w:sz="8" w:color="auto"/>
            </w:tcBorders>
            <w:gridSpan w:val="2"/>
          </w:tcPr>
          <w:p>
            <w:pPr>
              <w:ind w:left="560"/>
              <w:spacing w:after="0" w:line="156" w:lineRule="exact"/>
              <w:rPr>
                <w:sz w:val="20"/>
                <w:szCs w:val="20"/>
                <w:color w:val="auto"/>
              </w:rPr>
            </w:pPr>
            <w:r>
              <w:rPr>
                <w:rFonts w:ascii="Arial" w:cs="Arial" w:eastAsia="Arial" w:hAnsi="Arial"/>
                <w:sz w:val="14"/>
                <w:szCs w:val="14"/>
                <w:b w:val="1"/>
                <w:bCs w:val="1"/>
                <w:color w:val="auto"/>
                <w:w w:val="85"/>
              </w:rPr>
              <w:t>October 31, 2012</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Borders>
              <w:bottom w:val="single" w:sz="8" w:color="auto"/>
            </w:tcBorders>
            <w:gridSpan w:val="2"/>
          </w:tcPr>
          <w:p>
            <w:pPr>
              <w:ind w:left="620"/>
              <w:spacing w:after="0" w:line="156" w:lineRule="exact"/>
              <w:rPr>
                <w:sz w:val="20"/>
                <w:szCs w:val="20"/>
                <w:color w:val="auto"/>
              </w:rPr>
            </w:pPr>
            <w:r>
              <w:rPr>
                <w:rFonts w:ascii="Arial" w:cs="Arial" w:eastAsia="Arial" w:hAnsi="Arial"/>
                <w:sz w:val="14"/>
                <w:szCs w:val="14"/>
                <w:b w:val="1"/>
                <w:bCs w:val="1"/>
                <w:color w:val="auto"/>
              </w:rPr>
              <w:t>July 31, 2012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Sheet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Fair</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Sheet</w:t>
            </w:r>
          </w:p>
        </w:tc>
        <w:tc>
          <w:tcPr>
            <w:tcW w:w="80" w:type="dxa"/>
            <w:vAlign w:val="bottom"/>
          </w:tcPr>
          <w:p>
            <w:pPr>
              <w:spacing w:after="0"/>
              <w:rPr>
                <w:sz w:val="12"/>
                <w:szCs w:val="12"/>
                <w:color w:val="auto"/>
              </w:rPr>
            </w:pPr>
          </w:p>
        </w:tc>
        <w:tc>
          <w:tcPr>
            <w:tcW w:w="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2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0"/>
              </w:rPr>
              <w:t>Value</w:t>
            </w:r>
          </w:p>
        </w:tc>
        <w:tc>
          <w:tcPr>
            <w:tcW w:w="1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Location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Value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Location</w:t>
            </w: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Derivatives designated as hedging instruments</w:t>
            </w: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Foreign exchange contracts</w:t>
            </w:r>
          </w:p>
        </w:tc>
        <w:tc>
          <w:tcPr>
            <w:tcW w:w="15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Prepaid expenses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Prepaid expenses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w w:val="95"/>
              </w:rPr>
              <w:t>and other current assets</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470</w:t>
            </w:r>
          </w:p>
        </w:tc>
        <w:tc>
          <w:tcPr>
            <w:tcW w:w="164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w w:val="95"/>
              </w:rPr>
              <w:t>and other current assets</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9"/>
              </w:rPr>
              <w:t>1,156</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Other current liabilities</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191</w:t>
            </w:r>
          </w:p>
        </w:tc>
        <w:tc>
          <w:tcPr>
            <w:tcW w:w="15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gridSpan w:val="2"/>
          </w:tcPr>
          <w:p>
            <w:pPr>
              <w:spacing w:after="0" w:line="155" w:lineRule="exact"/>
              <w:rPr>
                <w:sz w:val="20"/>
                <w:szCs w:val="20"/>
                <w:color w:val="auto"/>
              </w:rPr>
            </w:pPr>
            <w:r>
              <w:rPr>
                <w:rFonts w:ascii="Arial" w:cs="Arial" w:eastAsia="Arial" w:hAnsi="Arial"/>
                <w:sz w:val="14"/>
                <w:szCs w:val="14"/>
                <w:color w:val="auto"/>
              </w:rPr>
              <w:t>Net investment hedges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Foreign exchange contracts</w:t>
            </w:r>
          </w:p>
        </w:tc>
        <w:tc>
          <w:tcPr>
            <w:tcW w:w="15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Prepaid expenses and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Prepaid expenses and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other current assets</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64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other current assets</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Other current liabilities</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w:t>
            </w:r>
          </w:p>
        </w:tc>
        <w:tc>
          <w:tcPr>
            <w:tcW w:w="15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20"/>
              <w:spacing w:after="0" w:line="145" w:lineRule="exact"/>
              <w:rPr>
                <w:sz w:val="20"/>
                <w:szCs w:val="20"/>
                <w:color w:val="auto"/>
              </w:rPr>
            </w:pPr>
            <w:r>
              <w:rPr>
                <w:rFonts w:ascii="Arial" w:cs="Arial" w:eastAsia="Arial" w:hAnsi="Arial"/>
                <w:sz w:val="14"/>
                <w:szCs w:val="14"/>
                <w:color w:val="auto"/>
              </w:rPr>
              <w:t>Foreign currency denominated debt</w:t>
            </w:r>
          </w:p>
        </w:tc>
        <w:tc>
          <w:tcPr>
            <w:tcW w:w="156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Prepaid expenses and</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40" w:type="dxa"/>
            <w:vAlign w:val="bottom"/>
            <w:gridSpan w:val="2"/>
          </w:tcPr>
          <w:p>
            <w:pPr>
              <w:ind w:left="180"/>
              <w:spacing w:after="0" w:line="145" w:lineRule="exact"/>
              <w:rPr>
                <w:sz w:val="20"/>
                <w:szCs w:val="20"/>
                <w:color w:val="auto"/>
              </w:rPr>
            </w:pPr>
            <w:r>
              <w:rPr>
                <w:rFonts w:ascii="Arial" w:cs="Arial" w:eastAsia="Arial" w:hAnsi="Arial"/>
                <w:sz w:val="14"/>
                <w:szCs w:val="14"/>
                <w:color w:val="auto"/>
              </w:rPr>
              <w:t>Prepaid expenses and</w:t>
            </w: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spacing w:after="0" w:line="145" w:lineRule="exact"/>
              <w:rPr>
                <w:sz w:val="20"/>
                <w:szCs w:val="20"/>
                <w:color w:val="auto"/>
              </w:rPr>
            </w:pPr>
            <w:r>
              <w:rPr>
                <w:rFonts w:ascii="Arial" w:cs="Arial" w:eastAsia="Arial" w:hAnsi="Arial"/>
                <w:sz w:val="14"/>
                <w:szCs w:val="14"/>
                <w:color w:val="auto"/>
              </w:rPr>
              <w:t>Long term obligations,</w:t>
            </w: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spacing w:after="0" w:line="145" w:lineRule="exact"/>
              <w:rPr>
                <w:sz w:val="20"/>
                <w:szCs w:val="20"/>
                <w:color w:val="auto"/>
              </w:rPr>
            </w:pPr>
            <w:r>
              <w:rPr>
                <w:rFonts w:ascii="Arial" w:cs="Arial" w:eastAsia="Arial" w:hAnsi="Arial"/>
                <w:sz w:val="14"/>
                <w:szCs w:val="14"/>
                <w:color w:val="auto"/>
              </w:rPr>
              <w:t>Long term obligations,</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other current assets</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9"/>
              </w:rPr>
              <w:t>—</w:t>
            </w:r>
          </w:p>
        </w:tc>
        <w:tc>
          <w:tcPr>
            <w:tcW w:w="164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other current assets</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540" w:type="dxa"/>
            <w:vAlign w:val="bottom"/>
            <w:gridSpan w:val="2"/>
          </w:tcPr>
          <w:p>
            <w:pPr>
              <w:spacing w:after="0" w:line="159" w:lineRule="exact"/>
              <w:rPr>
                <w:sz w:val="20"/>
                <w:szCs w:val="20"/>
                <w:color w:val="auto"/>
              </w:rPr>
            </w:pPr>
            <w:r>
              <w:rPr>
                <w:rFonts w:ascii="Arial" w:cs="Arial" w:eastAsia="Arial" w:hAnsi="Arial"/>
                <w:sz w:val="14"/>
                <w:szCs w:val="14"/>
                <w:color w:val="auto"/>
              </w:rPr>
              <w:t>less current maturities</w:t>
            </w: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2"/>
              </w:rPr>
              <w:t>105,292</w:t>
            </w:r>
          </w:p>
        </w:tc>
        <w:tc>
          <w:tcPr>
            <w:tcW w:w="1560" w:type="dxa"/>
            <w:vAlign w:val="bottom"/>
            <w:gridSpan w:val="2"/>
          </w:tcPr>
          <w:p>
            <w:pPr>
              <w:spacing w:after="0" w:line="159" w:lineRule="exact"/>
              <w:rPr>
                <w:sz w:val="20"/>
                <w:szCs w:val="20"/>
                <w:color w:val="auto"/>
              </w:rPr>
            </w:pPr>
            <w:r>
              <w:rPr>
                <w:rFonts w:ascii="Arial" w:cs="Arial" w:eastAsia="Arial" w:hAnsi="Arial"/>
                <w:sz w:val="14"/>
                <w:szCs w:val="14"/>
                <w:color w:val="auto"/>
              </w:rPr>
              <w:t>less current maturities</w:t>
            </w:r>
          </w:p>
        </w:tc>
        <w:tc>
          <w:tcPr>
            <w:tcW w:w="80" w:type="dxa"/>
            <w:vAlign w:val="bottom"/>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99,081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Total derivatives designated as hedging</w:t>
            </w: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470</w:t>
            </w: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9"/>
              </w:rPr>
              <w:t>1,156</w:t>
            </w: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2"/>
              </w:rPr>
              <w:t>105,499</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99,362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Foreign exchange contracts</w:t>
            </w:r>
          </w:p>
        </w:tc>
        <w:tc>
          <w:tcPr>
            <w:tcW w:w="15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Prepaid expenses and</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Prepaid expenses and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other current assets</w:t>
            </w:r>
          </w:p>
        </w:tc>
        <w:tc>
          <w:tcPr>
            <w:tcW w:w="2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64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other current assets</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Other current liabilities</w:t>
            </w: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104</w:t>
            </w:r>
          </w:p>
        </w:tc>
        <w:tc>
          <w:tcPr>
            <w:tcW w:w="15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780" w:type="dxa"/>
            <w:vAlign w:val="bottom"/>
            <w:gridSpan w:val="2"/>
          </w:tcPr>
          <w:p>
            <w:pPr>
              <w:spacing w:after="0" w:line="145" w:lineRule="exact"/>
              <w:rPr>
                <w:sz w:val="20"/>
                <w:szCs w:val="20"/>
                <w:color w:val="auto"/>
              </w:rPr>
            </w:pPr>
            <w:r>
              <w:rPr>
                <w:rFonts w:ascii="Arial" w:cs="Arial" w:eastAsia="Arial" w:hAnsi="Arial"/>
                <w:sz w:val="14"/>
                <w:szCs w:val="14"/>
                <w:color w:val="auto"/>
              </w:rPr>
              <w:t>Total derivatives not designated as hedging</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200"/>
              <w:spacing w:after="0" w:line="159" w:lineRule="exact"/>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104</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K — Acquisitions and Divestitures</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In August 2012, the Company sold all of its assets of Precision Converting, LLC, doing business as Brady Medical, in Mesquite, Texas. Brady Medical specialized in manufacturing and converting die-cut products for the medical and diagnostic industry. Brady Medical had operations in the Company’s Americas segment. The Company received proceeds of $3,378 for this business, of which $3,018 was in cash and $360 was in non-cash consideration. The non-cash consideration consisted of an escrow account to be released upon the terms of the agreement, which is classified within “Other Long Term Assets” on the Condensed Consolidated Balance Sheets. The transaction resulted in a pre-tax loss of $3,675, which was accounted for during the period ended October 31, 2012.</w:t>
      </w:r>
    </w:p>
    <w:p>
      <w:pPr>
        <w:spacing w:after="0" w:line="10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October 2012, the Company sold certain assets of its Varitronics business, an education technology solutions business. Varitronics had operations in the Company’s Americas segment. The Company received proceeds of $8,410 for this business, of which $7,160 was in cash and $1,250 was in the form of a promissory note. The promissory note is classified within “Other Long Term Assets” on the Condensed Consolidated Balance Sheets. The transaction resulted in a pre-tax gain of $237, which was accounted for during the period ended October 31, 2012.</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Brady Medical and Varitronics divestitures are part of the Company’s continued long-term strategy to focus resources on businesses with a clear path to sustainable organic growth and profitability.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November 14, 2012, the Board of Directors declared a quarterly cash dividend to shareholders of the Company’s Class A and Class B Common Stock of $0.19 per share payable on January 31, 2013 to shareholders of record at the close of business on January 10,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60"/>
        <w:spacing w:after="0" w:line="344"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Brady Corporation was incorporated under the laws of the state of Wisconsin in 1914. Brady Corporation is an international manufacturer of identification solutions and specialty materials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operates in Australia, Belgium, Brazil, Canada, the Cayman Islands, China, Denmark, France, Germany, Hong Kong, India, Italy, Japan, Luxembourg, Malaysia, Mexico, the Netherlands, Norway, the Philippines, Poland, Singapore, Slovakia, South Africa, South Korea, Spain, Sweden, Thailand, Turkey, the United Arab Emirates, the United Kingdom and the United States. Brady sells through subsidiaries or sales offices in these countries, with additional sales through a dedicated team of international sales representatives in New Zealand, Russia, Taiwan, Vietnam, Central Europe, the Middle East, Africa and South America.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organized and managed on a geographic basis within three regions: Americas, EMEA (Europe, the Middle East and Africa), and Asia-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Pacific, which are the reportable segments. Across these regions, the Company operates three primary business platforms: Identification Solutions (“ID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Solutions”), Direct Marketing and Die-Cut. Refer to Item 1 of the Company’s fiscal 2012 Form 10-K for additional information regarding the business platforms.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quarter ended October 31, 2012, the business and operating results were affected by continued global economic weakness. As such, in order to create growth we are focused on the following initiatives:</w:t>
      </w:r>
    </w:p>
    <w:p>
      <w:pPr>
        <w:spacing w:after="0" w:line="51"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business in emerging geographies, or geographies where we are under-penetrated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Expanding globally in certain focus markets, such as Aerospace and Mass Transit, Chemical, Oil &amp; Gas, and Food &amp; Beverage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Commitment to increased market share, and</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on-line capabilities to deliver the best buying experience for our customers, partially mitigating the decline in the traditional catalog model within the Direct Marketing business platform</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also evaluating our portfolio of businesses to ensure that resources are allocated to those with sustainable organic growth and profitability. As such, two businesses were divested during the quarter ended October 31, 2012, as summarized within the table below. Divestitures involve risks, including difficulties in the separation of operations, services, products, and personnel, the diversion of management’s attention from other business concerns, and the disruption of our business.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comparability of the operating results for the three months ended October 31, 2012, to the prior year has been impacted by the following acquisitions and divestitures completed in fiscal 2013 and fiscal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Divestitures</w:t>
            </w:r>
          </w:p>
        </w:tc>
        <w:tc>
          <w:tcPr>
            <w:tcW w:w="490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Segment</w:t>
            </w: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Date Completed</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Precision Converting, LLC (“Brady Medical”)</w:t>
            </w:r>
          </w:p>
        </w:tc>
        <w:tc>
          <w:tcPr>
            <w:tcW w:w="49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5"/>
              </w:rPr>
              <w:t>Americas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August 2012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Varitronics</w:t>
            </w:r>
          </w:p>
        </w:tc>
        <w:tc>
          <w:tcPr>
            <w:tcW w:w="4900" w:type="dxa"/>
            <w:vAlign w:val="bottom"/>
          </w:tcPr>
          <w:p>
            <w:pPr>
              <w:spacing w:after="0"/>
              <w:rPr>
                <w:sz w:val="19"/>
                <w:szCs w:val="19"/>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color w:val="auto"/>
              </w:rPr>
              <w:t>Americas</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w w:val="93"/>
              </w:rPr>
              <w:t>October 2012</w:t>
            </w:r>
          </w:p>
        </w:tc>
      </w:tr>
      <w:tr>
        <w:trPr>
          <w:trHeight w:val="370"/>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Fiscal 2012</w:t>
            </w: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3"/>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Date Completed</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3740" w:type="dxa"/>
            <w:vAlign w:val="bottom"/>
            <w:tcBorders>
              <w:left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Grafo Wiremarkers Africa (“Grafo”)</w:t>
            </w:r>
          </w:p>
        </w:tc>
        <w:tc>
          <w:tcPr>
            <w:tcW w:w="4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EMEA</w:t>
            </w:r>
          </w:p>
        </w:tc>
        <w:tc>
          <w:tcPr>
            <w:tcW w:w="2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6"/>
              </w:rPr>
              <w:t>March 2012</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Runelandhs Försäljnings AB (“Runelandhs”)</w:t>
            </w: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6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May 2012</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Pervaco AS (“Pervaco”)</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May 2012</w:t>
            </w:r>
          </w:p>
        </w:tc>
      </w:tr>
      <w:tr>
        <w:trPr>
          <w:trHeight w:val="365"/>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Divestiture</w:t>
            </w: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Etimark</w:t>
            </w:r>
          </w:p>
        </w:tc>
        <w:tc>
          <w:tcPr>
            <w:tcW w:w="3740" w:type="dxa"/>
            <w:vAlign w:val="bottom"/>
            <w:tcBorders>
              <w:left w:val="single" w:sz="8" w:color="CCEEFF"/>
            </w:tcBorders>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July 2012</w:t>
            </w: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900" w:type="dxa"/>
            <w:vAlign w:val="bottom"/>
          </w:tcPr>
          <w:p>
            <w:pPr>
              <w:jc w:val="right"/>
              <w:ind w:right="347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Sales for the quarter ended October 31, 2012, decreased 3.4% to $337.6 million, compared to $349.5 million in the same period of the last fiscal year. Of the 3.4% decrease in sales, organic sales decreased by 1.9%, and fluctuations in the exchange rates used to translate financial results into the United States Dollar reduced sales by 2.1%. Acquisitions, net of divestitures increased sales by 0.6% during the three months ended October 31, 2012. The decrease in organic sales for the quarter ended October 31, 2012, was comprised of 0.7%, 3.2% and 2.5% decreases in sales in the Americas, EMEA and Asia-Pacific segments, respectively. Net income for the quarter ended October 31, 2012, was $27.2 million or $0.53 per diluted Class A Nonvoting Common Share, a decrease of 16.9% from $32.7 million or $0.62 per diluted Class A Nonvoting Common Share reported in the first quarter of last fiscal year.</w:t>
      </w:r>
    </w:p>
    <w:p>
      <w:pPr>
        <w:spacing w:after="0" w:line="12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Gross margin as a percentage of sales was 48.8% for the quarter ended October 31, 2012, compared to 48.0% in the same period of the previous year. The increase in gross margin was due to operational improvements, as well as the divestiture of businesses with lower gross margins.</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Research and development (“R&amp;D”) expenses decreased 13.5% to $8.5 million during the three months ended October 31, 2012, compared to $9.8 million for the same period in the prior year. As a percentage of sales, R&amp;D expenses decreased from 2.8% to 2.5% during the three months ended October 31, 2012, compared to the three months ended October 31, 2011. The decline in R&amp;D expenses was due to the downsizing of certain Asian R&amp;D centers primarily supporting the Die-Cut business platform, which took place during the second half of fiscal 2012.</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Selling, general, and administrative expenses (“SG&amp;A”) decreased 0.6% to $108.3 million for the three months ended October 31, 2012, compared to $108.9 million for the same period in the prior year. SG&amp;A expense as percentage of sales increased to 32.1% in the first quarter of fiscal 2013 compared to 31.2% in the same quarter last year. The increase in SG&amp;A as a percentage of sales was due to the Company’s continued focus on reinvestment in growth initiatives, as well as the decline in sales during the current period.</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Interest expense decreased to $4.2 million for the quarter ended October 31, 2012, from $5.0 million for the same period in the prior year. The decrease was due to the Company’s declining principal balance under its outstanding debt agreements.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income tax rate was 33.1% for the quarter ended October 31, 2012, and 25.3% for the same period in the prior year. The increase in the Company’s income tax rate during the first quarter of fiscal 2013 was primarily due to the non-renewal of certain U.S. tax laws, the mix of profits earned in higher tax countries, and the divestitures of two U.S. businesses.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income for the three months ended October 31, 2012, decreased 16.9% to $27.2 million, compared to $32.7 million for the same quarter of the previous year. Net income as a percentage of sales decreased to 8.1% for the quarter ended October 31, 2012, from 9.4% for the same period in the prior year. The losses on the sales of Brady Medical and Varitronics were $3.2 million, or $0.06 per diluted Class A Common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segment information for the three months ended October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Corporate</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360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Asia-</w:t>
            </w: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0"/>
              </w:rPr>
              <w:t>and</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Americas</w:t>
            </w:r>
          </w:p>
        </w:tc>
        <w:tc>
          <w:tcPr>
            <w:tcW w:w="500" w:type="dxa"/>
            <w:vAlign w:val="bottom"/>
          </w:tcPr>
          <w:p>
            <w:pPr>
              <w:spacing w:after="0"/>
              <w:rPr>
                <w:sz w:val="14"/>
                <w:szCs w:val="14"/>
                <w:color w:val="auto"/>
              </w:rPr>
            </w:pPr>
          </w:p>
        </w:tc>
        <w:tc>
          <w:tcPr>
            <w:tcW w:w="10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8"/>
              </w:rPr>
              <w:t>EMEA</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Pacific</w:t>
            </w:r>
          </w:p>
        </w:tc>
        <w:tc>
          <w:tcPr>
            <w:tcW w:w="480" w:type="dxa"/>
            <w:vAlign w:val="bottom"/>
          </w:tcPr>
          <w:p>
            <w:pPr>
              <w:spacing w:after="0"/>
              <w:rPr>
                <w:sz w:val="14"/>
                <w:szCs w:val="14"/>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Regions</w:t>
            </w:r>
          </w:p>
        </w:tc>
        <w:tc>
          <w:tcPr>
            <w:tcW w:w="480" w:type="dxa"/>
            <w:vAlign w:val="bottom"/>
          </w:tcPr>
          <w:p>
            <w:pPr>
              <w:spacing w:after="0"/>
              <w:rPr>
                <w:sz w:val="14"/>
                <w:szCs w:val="14"/>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6"/>
              </w:rPr>
              <w:t>Eliminations</w:t>
            </w:r>
          </w:p>
        </w:tc>
        <w:tc>
          <w:tcPr>
            <w:tcW w:w="320" w:type="dxa"/>
            <w:vAlign w:val="bottom"/>
          </w:tcPr>
          <w:p>
            <w:pPr>
              <w:spacing w:after="0"/>
              <w:rPr>
                <w:sz w:val="14"/>
                <w:szCs w:val="14"/>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0"/>
        </w:trPr>
        <w:tc>
          <w:tcPr>
            <w:tcW w:w="4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SALES TO EXTERNAL CUSTOMERS</w:t>
            </w: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31, 2012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$148,692</w:t>
            </w:r>
          </w:p>
        </w:tc>
        <w:tc>
          <w:tcPr>
            <w:tcW w:w="1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$93,233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$95,721</w:t>
            </w:r>
          </w:p>
        </w:tc>
        <w:tc>
          <w:tcPr>
            <w:tcW w:w="11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$337,646</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$337,646</w:t>
            </w:r>
          </w:p>
        </w:tc>
        <w:tc>
          <w:tcPr>
            <w:tcW w:w="0" w:type="dxa"/>
            <w:vAlign w:val="bottom"/>
          </w:tcPr>
          <w:p>
            <w:pPr>
              <w:spacing w:after="0"/>
              <w:rPr>
                <w:sz w:val="1"/>
                <w:szCs w:val="1"/>
                <w:color w:val="auto"/>
              </w:rPr>
            </w:pPr>
          </w:p>
        </w:tc>
      </w:tr>
      <w:tr>
        <w:trPr>
          <w:trHeight w:val="216"/>
        </w:trPr>
        <w:tc>
          <w:tcPr>
            <w:tcW w:w="4960" w:type="dxa"/>
            <w:vAlign w:val="bottom"/>
            <w:gridSpan w:val="2"/>
          </w:tcPr>
          <w:p>
            <w:pPr>
              <w:ind w:left="440"/>
              <w:spacing w:after="0"/>
              <w:rPr>
                <w:sz w:val="20"/>
                <w:szCs w:val="20"/>
                <w:color w:val="auto"/>
              </w:rPr>
            </w:pPr>
            <w:r>
              <w:rPr>
                <w:rFonts w:ascii="Arial" w:cs="Arial" w:eastAsia="Arial" w:hAnsi="Arial"/>
                <w:sz w:val="18"/>
                <w:szCs w:val="18"/>
                <w:color w:val="auto"/>
              </w:rPr>
              <w:t>October 31, 2011</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$153,863</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9"/>
              </w:rPr>
              <w:t>$97,356</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$98,289</w:t>
            </w:r>
          </w:p>
        </w:tc>
        <w:tc>
          <w:tcPr>
            <w:tcW w:w="1160" w:type="dxa"/>
            <w:vAlign w:val="bottom"/>
            <w:gridSpan w:val="2"/>
          </w:tcPr>
          <w:p>
            <w:pPr>
              <w:jc w:val="center"/>
              <w:ind w:left="392"/>
              <w:spacing w:after="0"/>
              <w:rPr>
                <w:sz w:val="20"/>
                <w:szCs w:val="20"/>
                <w:color w:val="auto"/>
              </w:rPr>
            </w:pPr>
            <w:r>
              <w:rPr>
                <w:rFonts w:ascii="Arial" w:cs="Arial" w:eastAsia="Arial" w:hAnsi="Arial"/>
                <w:sz w:val="18"/>
                <w:szCs w:val="18"/>
                <w:color w:val="auto"/>
                <w:w w:val="90"/>
              </w:rPr>
              <w:t>$349,508</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0"/>
              </w:rPr>
              <w:t>$349,508</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SALES GROWTH INFORMATION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Three months ended October 31, 2012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Organic</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960" w:type="dxa"/>
            <w:vAlign w:val="bottom"/>
            <w:gridSpan w:val="3"/>
          </w:tcPr>
          <w:p>
            <w:pPr>
              <w:ind w:left="440"/>
              <w:spacing w:after="0"/>
              <w:rPr>
                <w:sz w:val="20"/>
                <w:szCs w:val="20"/>
                <w:color w:val="auto"/>
              </w:rPr>
            </w:pPr>
            <w:r>
              <w:rPr>
                <w:rFonts w:ascii="Arial" w:cs="Arial" w:eastAsia="Arial" w:hAnsi="Arial"/>
                <w:sz w:val="18"/>
                <w:szCs w:val="18"/>
                <w:color w:val="auto"/>
              </w:rPr>
              <w:t>Currency</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Acquisitions/Divestitures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8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(4.2)%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8"/>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October 31, 2012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44,633</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$23,567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$12,055</w:t>
            </w:r>
          </w:p>
        </w:tc>
        <w:tc>
          <w:tcPr>
            <w:tcW w:w="3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80,255</w:t>
            </w: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(1,973)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78,282</w:t>
            </w:r>
          </w:p>
        </w:tc>
        <w:tc>
          <w:tcPr>
            <w:tcW w:w="0" w:type="dxa"/>
            <w:vAlign w:val="bottom"/>
          </w:tcPr>
          <w:p>
            <w:pPr>
              <w:spacing w:after="0"/>
              <w:rPr>
                <w:sz w:val="1"/>
                <w:szCs w:val="1"/>
                <w:color w:val="auto"/>
              </w:rPr>
            </w:pPr>
          </w:p>
        </w:tc>
      </w:tr>
      <w:tr>
        <w:trPr>
          <w:trHeight w:val="216"/>
        </w:trPr>
        <w:tc>
          <w:tcPr>
            <w:tcW w:w="4960" w:type="dxa"/>
            <w:vAlign w:val="bottom"/>
            <w:gridSpan w:val="3"/>
          </w:tcPr>
          <w:p>
            <w:pPr>
              <w:ind w:left="440"/>
              <w:spacing w:after="0"/>
              <w:rPr>
                <w:sz w:val="20"/>
                <w:szCs w:val="20"/>
                <w:color w:val="auto"/>
              </w:rPr>
            </w:pPr>
            <w:r>
              <w:rPr>
                <w:rFonts w:ascii="Arial" w:cs="Arial" w:eastAsia="Arial" w:hAnsi="Arial"/>
                <w:sz w:val="18"/>
                <w:szCs w:val="18"/>
                <w:color w:val="auto"/>
              </w:rPr>
              <w:t>October 31, 2011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43,230</w:t>
            </w:r>
          </w:p>
        </w:tc>
        <w:tc>
          <w:tcPr>
            <w:tcW w:w="36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$26,299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$13,304</w:t>
            </w:r>
          </w:p>
        </w:tc>
        <w:tc>
          <w:tcPr>
            <w:tcW w:w="30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82,833</w:t>
            </w:r>
          </w:p>
        </w:tc>
        <w:tc>
          <w:tcPr>
            <w:tcW w:w="28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(3,263)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79,570</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Percentage increase (decrease)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7"/>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NET INCOME RECONCILIATION</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6"/>
          </w:tcPr>
          <w:p>
            <w:pPr>
              <w:jc w:val="right"/>
              <w:spacing w:after="0"/>
              <w:rPr>
                <w:sz w:val="20"/>
                <w:szCs w:val="20"/>
                <w:color w:val="auto"/>
              </w:rPr>
            </w:pPr>
            <w:r>
              <w:rPr>
                <w:rFonts w:ascii="Arial" w:cs="Arial" w:eastAsia="Arial" w:hAnsi="Arial"/>
                <w:sz w:val="14"/>
                <w:szCs w:val="14"/>
                <w:b w:val="1"/>
                <w:bCs w:val="1"/>
                <w:color w:val="auto"/>
                <w:w w:val="87"/>
              </w:rPr>
              <w:t>Three months ended: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96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October 31,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4"/>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profit from reportable segments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$ 80,255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$ 82,833</w:t>
            </w: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color w:val="auto"/>
              </w:rPr>
              <w:t>(1,973)</w:t>
            </w:r>
          </w:p>
        </w:tc>
        <w:tc>
          <w:tcPr>
            <w:tcW w:w="28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80" w:type="dxa"/>
            <w:vAlign w:val="bottom"/>
            <w:gridSpan w:val="2"/>
          </w:tcPr>
          <w:p>
            <w:pPr>
              <w:ind w:left="440"/>
              <w:spacing w:after="0"/>
              <w:rPr>
                <w:sz w:val="20"/>
                <w:szCs w:val="20"/>
                <w:color w:val="auto"/>
              </w:rPr>
            </w:pPr>
            <w:r>
              <w:rPr>
                <w:rFonts w:ascii="Arial" w:cs="Arial" w:eastAsia="Arial" w:hAnsi="Arial"/>
                <w:sz w:val="18"/>
                <w:szCs w:val="18"/>
                <w:color w:val="auto"/>
              </w:rPr>
              <w:t>Administrative costs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color w:val="auto"/>
              </w:rPr>
              <w:t>(30,408)</w:t>
            </w:r>
          </w:p>
        </w:tc>
        <w:tc>
          <w:tcPr>
            <w:tcW w:w="28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(30,480)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(gain) on sales of businesses (1)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80" w:type="dxa"/>
            <w:vAlign w:val="bottom"/>
            <w:gridSpan w:val="2"/>
          </w:tcPr>
          <w:p>
            <w:pPr>
              <w:ind w:left="440"/>
              <w:spacing w:after="0"/>
              <w:rPr>
                <w:sz w:val="20"/>
                <w:szCs w:val="20"/>
                <w:color w:val="auto"/>
              </w:rPr>
            </w:pPr>
            <w:r>
              <w:rPr>
                <w:rFonts w:ascii="Arial" w:cs="Arial" w:eastAsia="Arial" w:hAnsi="Arial"/>
                <w:sz w:val="18"/>
                <w:szCs w:val="18"/>
                <w:color w:val="auto"/>
                <w:w w:val="98"/>
              </w:rPr>
              <w:t>Investment and other income (expense)</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(4,163)</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3"/>
          </w:tcPr>
          <w:p>
            <w:pPr>
              <w:ind w:left="138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40,670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43,841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(13,482)</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3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1"/>
              </w:rPr>
              <w:t>$ 27,188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$ 32,732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on sales of businesses relate to the Americas segment during the three months ended October 31, 2012.</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and executive leadership, which are managed as global functions. Restructuring charges, impairment charges, equity compensation costs, interest expense, investment and other income and income taxes are also excluded when evaluating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Sales in the Americas decreased 3.4% to $148.7 million for the quarter ended October 31, 2012, compared to $153.9 million for the same period in the prior year. Organic sales declined by 0.7%, the divestitures of Brady Medical and Varitronics decreased sales by 1.6%, and fluctuations in the exchange rates used to translate financial results into the U.S. dollar decreased sales by 1.1%.</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decrease in organic sales of 0.7% during the quarter was primarily due to a decline in the Direct Marketing business platform. Although Direct Marketing sales transacted over the internet increased, it was not sufficient to offset revenue declines in the traditional catalog business. This decrease in the Direct Marketing platform’s organic sales was partially offset by organic sales growth within the ID Solutions platform in the U.S. and Canada through new product developments and an increased focus on the Company’s core distributor-based business.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Segment profit increased 3.2% to $44.6 million for the quarter ended October 31, 2012, compared to $43.2 million for the same period in the prior year. As a percentage of sales, segment profit increased to 30.0% for the quarter from 28.1% for the same period in the prior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increase in segment profit was driven by the ID Solutions platform, as the Direct Marketing platform’s profit declined as a result of a decline in sales for the quarter. The ID Solutions platform realized an improved gross margin from the divestiture of businesses as well as operational improvements taken to improve the Company’s selling expense structure. These efforts have effectively offset the investment in core growth strategies within the region.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Sales in EMEA decreased 4.2% to $93.2 million for the quarter ended October 31, 2012, compared to $97.4 million for the same period in the prior year. Organic sales declined by 3.2%, acquisitions net of divestitures increased sales by 4.7%, and fluctuations in the exchange rates used to translate financial results into the U.S. dollar decreased sales by 5.7%.</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decrease in organic sales of 3.2% during the quarter was primarily due to the difficult economic circumstances in the European economy. Specifically, the ID Solutions platform experienced a sales decline within most European countries during the quarter ended October 31, 2012, compared to the same period in the prior year. The Direct Marketing platform experienced an organic sales decline in most European countries as well, partially offset by modest growth within France. The fiscal 2012 acquisitions of Grafo, Pervaco and Runelandhs, net of the divestiture of the Etimark business in the fourth quarter of fiscal 2012, increased sales by 4.7% for the quarter ended October 31, 2012, compared to the same period in the prior year.</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Segment profit decreased 10.4% to $23.6 million for the quarter ended October 31, 2012, compared to $26.3 million for the same period in the prior year. As a percentage of sales, segment profit decreased to 25.3% for the quarter ended October 31, 2012, from 27.0% for the same period in the prior year. The segment profit decrease was a result of the decline in sales within both the ID Solutions and Direct Marketing platforms during the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Asia-Pacific sales decreased 2.6% to $95.7 million for the quarter ended October 31, 2012, compared to $98.3 million for the same period in the prior year. Organic sales decreased 2.5% in the quarter ended October 31, 2012, compared to the same period last year, and fluctuations in the exchange rates used to translate financial results into the U.S. dollar decreased sales within the segment by 0.1% in the quarter.</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decrease in organic sales during the quarter was primarily due to a decline in the hard disk drive market within the Asia Die-Cut business platform as a result of a recent softening in the PC market. In addition, the continued weakness in the Australian economy reduced organic sales for the quarter ended October 31, 2012, compared to the same period in the prior year. The decline in organic growth within the region was partially offset by an increase in organic sales due to securing several new programs within the mobile handset business.</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Segment profit decreased 9.4% to $12.1 million for the quarter ended October 31, 2012, compared to $13.3 million for the same period in the prior year. As a percentage of sales, segment profit decreased to 12.6% for the quarter ended October 31, 2012, from 13.5% for the same period in the prior year.</w:t>
      </w:r>
    </w:p>
    <w:p>
      <w:pPr>
        <w:spacing w:after="0" w:line="85"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decrease in segment profit for the quarter was due to the decline in sales in the hard disk drive market within the Asia Die-Cut business platform, as well as the decline in the Australian business during the quarter ended October 31, 2012, compared to the same period in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Cash and cash equivalents were $321.3 million at October 31, 2012, an increase of $15.4 million compared to $305.9 million at July 31, 2012. During the quarter ended October 31, 2011, cash and cash equivalents declined $18.4 million.</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2600" w:type="dxa"/>
            <w:vAlign w:val="bottom"/>
            <w:vMerge w:val="restart"/>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flow provided by (used in):</w:t>
            </w:r>
          </w:p>
        </w:tc>
        <w:tc>
          <w:tcPr>
            <w:tcW w:w="2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20,218</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16"/>
        </w:trPr>
        <w:tc>
          <w:tcPr>
            <w:tcW w:w="396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(12,741)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(20,860)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 on cash</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w w:val="92"/>
              </w:rPr>
              <w:t>Net increase (decrease) in cash and cash equivalents</w:t>
            </w: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gridSpan w:val="2"/>
            <w:vMerge w:val="continue"/>
          </w:tcPr>
          <w:p>
            <w:pPr>
              <w:spacing w:after="0"/>
              <w:rPr>
                <w:sz w:val="19"/>
                <w:szCs w:val="19"/>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15,409</w:t>
            </w:r>
          </w:p>
        </w:tc>
        <w:tc>
          <w:tcPr>
            <w:tcW w:w="32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(18,377)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40" w:type="dxa"/>
            <w:vAlign w:val="bottom"/>
            <w:vMerge w:val="restart"/>
          </w:tcPr>
          <w:p>
            <w:pPr>
              <w:jc w:val="right"/>
              <w:ind w:right="2192"/>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Net cash provided by operating activities was $20.2 million during the three months ended October 31, 2012, compared to $15.3 million during the same period in the prior year. Cash flows from operating activities are generated primarily from operating income and managing the components of working capital. The increase in cash flows from operating activities of $4.9 million from the first quarter of fiscal 2012 to the first quarter of fiscal 2013 was primarily due to favorable cash flows from accounts payable and accrued liabilities, partially offset by unfavorable cash flows from accounts receivable.</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provided by investing activities was $3.9 million during the three months ended October 31, 2012, compared to net cash used by investing activities of $7.0 million during the same period in the prior year. The increase in cash provided by investing activities of $10.9 million was primarily due to the sales of the Brady Medical and Varitronics businesses which provided $10.2 million in cash flows.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used in financing activities was $12.7 million during the three months ended October 31, 2012, compared to net cash used by financing activities of $20.9 million during the same period in the prior year. The decrease in cash used in financing activities of $8.1 million was primarily due to a decline in the repurchase of common shares of $7.2 million.</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new credit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new credit facility may be increased from $300 million up to $450 million. No borrowings have occurred under the credit facility.</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The revolving loan agreement dated February 1, 2012, requires the Company to maintain a ratio of debt to trailing twelve months EBITDA, as defined by the debt agreement, of not more than a 3.25 to 1.0 ratio. The agreement requires the Company’s trailing twelve months earnings before interest and taxes (“EBIT”) to interest expense of not less than a 3.0 to 1.0 ratio (interest expense coverage). As of October 31, 2012, the Company was in compliance with the financial covenants of the debt and revolving loan agreements, with the ratio of debt to EBITDA, as defined by the agreement, equal to 1.5 to 1.0 and the interest expense coverage ratio equal to 12.0 to 1.0.</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Long-term obligations as a percentage of long-term obligations plus stockholders’ investment were 20.0% at October 31, 2012 and 20.2% at July 31, 2012. Long-term obligations increased by $4.8 million from July 31, 2012 to October 31, 2012 due to the negative impact of foreign currency translation on the Company’s Euro-denominated debt.</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Stockholders’ investment increased $31.6 million during the three months ended October 31, 2012, due to the positive effects of foreign currency translation of $13.4 million and current quarter net income of $27.2 million, partially offset by the quarterly dividend payment of $9.7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Company’s cash balances are generated and held in numerous locations throughout the world. At October 31, 2012 and July 31, 2012, approximately 73% and 78% of the Company’s cash and cash equivalents were held outside the United States, respectively.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However, the Company’s cash needs could require the repatriation of cash to the United States from foreign jurisdictions, which could result in material expenses in the period in which the transactions occur. The Company believes that its current credit arrangements are sound and that the strength of its balance sheet will allow financial flexibility to respond to both internal growth opportunities and those available through acquisition.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November 14, 2012, the Board of Directors declared a quarterly cash dividend to shareholders of the Company’s Class A and Class B Common Stock of $0.19 per share payable on January 31, 2013, to shareholders of record at the close of business on January 10,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Related-Party Transactions — Based on an evaluation for the period ended October 31, 2012, the Company does not have material related party transactions that affect the results of operations, cash flow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3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or severity of the current worldwide economic downturn or timing or strength of a subsequent recovery;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usage of e-commerce allowing for ease of price transparency;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and transportation;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our level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tax consequences;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operations. To achieve this objective, the Company hedges a portion of known exposures using forward contracts. Main exposures are related to transactions denominated in the British Pound, the Euro, Canadian Dollar, Australian Dollar, Malaysian Ringgit, and Singapore Dollar. As of October 31, 2012, the notional amount of outstanding forward contracts designated as cash flow hedges was $33.3 million. The Company also uses euro-denominated debt of €75.0 million designated as a hedge instrument to hedge portions of the Company’s net investments in its European foreign operations.</w:t>
      </w:r>
    </w:p>
    <w:p>
      <w:pPr>
        <w:spacing w:after="0" w:line="10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the majority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Currency exchange rates decreased sales by 2.1% for the quarter ended October 31, 2012, as compared to an increase in sales of 2.7% due to currency exchange rate fluctuations in the same period of the prior year. During the current quarter, the U.S. dollar appreciated on average against other major currencies throughout the period.</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October 31, 2012, the Company had no interest rate derivatives.</w:t>
      </w:r>
    </w:p>
    <w:p>
      <w:pPr>
        <w:spacing w:after="0" w:line="14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the Canadian dollar, the Singapore dollar, the Euro, the British Pound, the Brazilian Real, the Korean Won, and the Chinese Yuan. Changes in foreign currency exchange rates for the Company’s foreign subsidiaries reporting in local currencies are generally reported as a component of stockholders’ investment. The Company’s currency translation adjustments recorded for the three months ended October 31, 2012 and 2011 were $13.4 million favorable, and $19.1 million unfavorable, respectively. As of October 31, 2012 and 2011, the Company’s foreign subsidiaries had net current assets (defined as current assets less current liabilities) subject to foreign currency translation risk of $407.3 million and $407.4 million, respectively. The potential decrease in the net current assets as of October 31, 2012, from a hypothetical 10 percent adverse change in quoted foreign currency exchange rates would be $40.7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2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September 9, 2011, the Company’s Board of Directors authorized a share repurchase program for up to two million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As of July 31, 2012, there remained 334,940 shares to purchase in connection with this share repurchase plan. During the three months ended October 31, 2012, the Company purchased 188,167 shares of its Class A Nonvoting Common Stock under this plan for $5,121.</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September 6, 2012, the Company’s Board of Directors authorized an additional share repurchase program for up to two million additional shares of the Company’s Class A Nonvoting Common Stock. As of October 31, 2012, there remained 2,146,773 shares to purchase in connection with the Company’s share repurchase plans.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with respect to the purchase of Class A Nonvoting Common Stock during the three months ended October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58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Purchased</w:t>
            </w:r>
          </w:p>
        </w:tc>
        <w:tc>
          <w:tcPr>
            <w:tcW w:w="58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380" w:type="dxa"/>
            <w:vAlign w:val="bottom"/>
            <w:vMerge w:val="restart"/>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Total Number of</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Price Paid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as Part of Publicly</w:t>
            </w:r>
          </w:p>
        </w:tc>
        <w:tc>
          <w:tcPr>
            <w:tcW w:w="58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380" w:type="dxa"/>
            <w:vAlign w:val="bottom"/>
            <w:vMerge w:val="continue"/>
          </w:tcPr>
          <w:p>
            <w:pPr>
              <w:spacing w:after="0"/>
              <w:rPr>
                <w:sz w:val="14"/>
                <w:szCs w:val="14"/>
                <w:color w:val="auto"/>
              </w:rPr>
            </w:pPr>
          </w:p>
        </w:tc>
        <w:tc>
          <w:tcPr>
            <w:tcW w:w="106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580" w:type="dxa"/>
            <w:vAlign w:val="bottom"/>
          </w:tcPr>
          <w:p>
            <w:pPr>
              <w:spacing w:after="0"/>
              <w:rPr>
                <w:sz w:val="14"/>
                <w:szCs w:val="14"/>
                <w:color w:val="auto"/>
              </w:rPr>
            </w:pPr>
          </w:p>
        </w:tc>
        <w:tc>
          <w:tcPr>
            <w:tcW w:w="12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Announced Plans</w:t>
            </w:r>
          </w:p>
        </w:tc>
        <w:tc>
          <w:tcPr>
            <w:tcW w:w="580" w:type="dxa"/>
            <w:vAlign w:val="bottom"/>
          </w:tcPr>
          <w:p>
            <w:pPr>
              <w:spacing w:after="0"/>
              <w:rPr>
                <w:sz w:val="14"/>
                <w:szCs w:val="14"/>
                <w:color w:val="auto"/>
              </w:rPr>
            </w:pPr>
          </w:p>
        </w:tc>
        <w:tc>
          <w:tcPr>
            <w:tcW w:w="12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August 1, 2012 – August 31, 2012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188,167</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27.22</w:t>
            </w:r>
          </w:p>
        </w:tc>
        <w:tc>
          <w:tcPr>
            <w:tcW w:w="6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188,167</w:t>
            </w: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146,773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September 1, 2012 – September 30, 2012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2,146,773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2012 – October 31, 2012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188,167</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27.22</w:t>
            </w:r>
          </w:p>
        </w:tc>
        <w:tc>
          <w:tcPr>
            <w:tcW w:w="1080" w:type="dxa"/>
            <w:vAlign w:val="bottom"/>
          </w:tcPr>
          <w:p>
            <w:pPr>
              <w:jc w:val="right"/>
              <w:spacing w:after="0"/>
              <w:rPr>
                <w:sz w:val="20"/>
                <w:szCs w:val="20"/>
                <w:color w:val="auto"/>
              </w:rPr>
            </w:pPr>
            <w:r>
              <w:rPr>
                <w:rFonts w:ascii="Arial" w:cs="Arial" w:eastAsia="Arial" w:hAnsi="Arial"/>
                <w:sz w:val="18"/>
                <w:szCs w:val="18"/>
                <w:color w:val="auto"/>
              </w:rPr>
              <w:t>188,167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2,146,773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Thomas J. Felmer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Thomas J. Felmer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BRADY CORPORATION</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Date: December 5, 2012</w:t>
            </w:r>
          </w:p>
        </w:tc>
        <w:tc>
          <w:tcPr>
            <w:tcW w:w="24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FRANK M. JAEHNERT</w:t>
            </w:r>
          </w:p>
        </w:tc>
      </w:tr>
      <w:tr>
        <w:trPr>
          <w:trHeight w:val="202"/>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Frank. M. Jaehnert</w:t>
            </w:r>
          </w:p>
        </w:tc>
      </w:tr>
      <w:tr>
        <w:trPr>
          <w:trHeight w:val="222"/>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&amp; Chief Executive Officer</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Date: December 5, 2012</w:t>
            </w:r>
          </w:p>
        </w:tc>
        <w:tc>
          <w:tcPr>
            <w:tcW w:w="24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J. FELMER</w:t>
            </w:r>
          </w:p>
        </w:tc>
      </w:tr>
      <w:tr>
        <w:trPr>
          <w:trHeight w:val="202"/>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Thomas J. Felmer</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&amp; Chief Financial Officer</w:t>
            </w:r>
          </w:p>
        </w:tc>
      </w:tr>
      <w:tr>
        <w:trPr>
          <w:trHeight w:val="222"/>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365"/>
        </w:trPr>
        <w:tc>
          <w:tcPr>
            <w:tcW w:w="3680" w:type="dxa"/>
            <w:vAlign w:val="bottom"/>
          </w:tcPr>
          <w:p>
            <w:pPr>
              <w:spacing w:after="0"/>
              <w:rPr>
                <w:sz w:val="24"/>
                <w:szCs w:val="24"/>
                <w:color w:val="auto"/>
              </w:rPr>
            </w:pPr>
          </w:p>
        </w:tc>
        <w:tc>
          <w:tcPr>
            <w:tcW w:w="2400" w:type="dxa"/>
            <w:vAlign w:val="bottom"/>
          </w:tcPr>
          <w:p>
            <w:pPr>
              <w:jc w:val="right"/>
              <w:ind w:right="192"/>
              <w:spacing w:after="0"/>
              <w:rPr>
                <w:sz w:val="20"/>
                <w:szCs w:val="20"/>
                <w:color w:val="auto"/>
              </w:rPr>
            </w:pPr>
            <w:r>
              <w:rPr>
                <w:rFonts w:ascii="Arial" w:cs="Arial" w:eastAsia="Arial" w:hAnsi="Arial"/>
                <w:sz w:val="18"/>
                <w:szCs w:val="18"/>
                <w:color w:val="auto"/>
              </w:rPr>
              <w:t>27</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90"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64"/>
        <w:spacing w:after="0" w:line="332" w:lineRule="auto"/>
        <w:tabs>
          <w:tab w:leader="none" w:pos="723"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72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jc w:val="both"/>
        <w:ind w:firstLine="464"/>
        <w:spacing w:after="0" w:line="259" w:lineRule="auto"/>
        <w:tabs>
          <w:tab w:leader="none" w:pos="6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firstLine="464"/>
        <w:spacing w:after="0" w:line="268" w:lineRule="auto"/>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40" w:lineRule="exact"/>
        <w:rPr>
          <w:sz w:val="20"/>
          <w:szCs w:val="20"/>
          <w:color w:val="auto"/>
        </w:rPr>
      </w:pPr>
    </w:p>
    <w:p>
      <w:pPr>
        <w:ind w:firstLine="464"/>
        <w:spacing w:after="0" w:line="332" w:lineRule="auto"/>
        <w:tabs>
          <w:tab w:leader="none" w:pos="7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right="20" w:firstLine="464"/>
        <w:spacing w:after="0" w:line="268"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firstLine="464"/>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right="20" w:firstLine="464"/>
        <w:spacing w:after="0" w:line="332" w:lineRule="auto"/>
        <w:tabs>
          <w:tab w:leader="none" w:pos="7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7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jc w:val="both"/>
        <w:ind w:firstLine="464"/>
        <w:spacing w:after="0" w:line="259" w:lineRule="auto"/>
        <w:tabs>
          <w:tab w:leader="none" w:pos="6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firstLine="464"/>
        <w:spacing w:after="0" w:line="268"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40" w:lineRule="exact"/>
        <w:rPr>
          <w:sz w:val="20"/>
          <w:szCs w:val="20"/>
          <w:color w:val="auto"/>
        </w:rPr>
      </w:pPr>
    </w:p>
    <w:p>
      <w:pPr>
        <w:ind w:firstLine="464"/>
        <w:spacing w:after="0" w:line="332" w:lineRule="auto"/>
        <w:tabs>
          <w:tab w:leader="none" w:pos="72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right="20" w:firstLine="464"/>
        <w:spacing w:after="0" w:line="26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firstLine="464"/>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51" w:lineRule="exact"/>
        <w:rPr>
          <w:sz w:val="20"/>
          <w:szCs w:val="20"/>
          <w:color w:val="auto"/>
        </w:rPr>
      </w:pPr>
    </w:p>
    <w:p>
      <w:pPr>
        <w:ind w:firstLine="464"/>
        <w:spacing w:after="0" w:line="268" w:lineRule="auto"/>
        <w:tabs>
          <w:tab w:leader="none" w:pos="7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2012 fully complies with the requirements of Section 13(a) or 15(d) of the Securities Exchange Act of 1934; and</w:t>
      </w:r>
    </w:p>
    <w:p>
      <w:pPr>
        <w:spacing w:after="0" w:line="131" w:lineRule="exact"/>
        <w:rPr>
          <w:rFonts w:ascii="Arial" w:cs="Arial" w:eastAsia="Arial" w:hAnsi="Arial"/>
          <w:sz w:val="18"/>
          <w:szCs w:val="18"/>
          <w:color w:val="auto"/>
        </w:rPr>
      </w:pPr>
    </w:p>
    <w:p>
      <w:pPr>
        <w:ind w:right="100" w:firstLine="464"/>
        <w:spacing w:after="0" w:line="493"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December 5, 2012</w:t>
      </w: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51" w:lineRule="exact"/>
        <w:rPr>
          <w:sz w:val="20"/>
          <w:szCs w:val="20"/>
          <w:color w:val="auto"/>
        </w:rPr>
      </w:pPr>
    </w:p>
    <w:p>
      <w:pPr>
        <w:ind w:firstLine="464"/>
        <w:spacing w:after="0" w:line="268" w:lineRule="auto"/>
        <w:tabs>
          <w:tab w:leader="none" w:pos="7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2012 fully complies with the requirements of Section 13(a) or 15(d) of the Securities Exchange Act of 1934; and</w:t>
      </w:r>
    </w:p>
    <w:p>
      <w:pPr>
        <w:spacing w:after="0" w:line="131" w:lineRule="exact"/>
        <w:rPr>
          <w:rFonts w:ascii="Arial" w:cs="Arial" w:eastAsia="Arial" w:hAnsi="Arial"/>
          <w:sz w:val="18"/>
          <w:szCs w:val="18"/>
          <w:color w:val="auto"/>
        </w:rPr>
      </w:pPr>
    </w:p>
    <w:p>
      <w:pPr>
        <w:ind w:right="100" w:firstLine="464"/>
        <w:spacing w:after="0" w:line="493"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December 5, 2012</w:t>
      </w: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2019-12-09T08:45:50Z</dcterms:created>
  <dcterms:modified xsi:type="dcterms:W3CDTF">2019-12-09T08:45:50Z</dcterms:modified>
</cp:coreProperties>
</file>