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55880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89" w:lineRule="exact"/>
        <w:rPr>
          <w:sz w:val="24"/>
          <w:szCs w:val="24"/>
          <w:color w:val="auto"/>
        </w:rPr>
      </w:pPr>
    </w:p>
    <w:tbl>
      <w:tblPr>
        <w:tblLayout w:type="fixed"/>
        <w:tblInd w:w="900" w:type="dxa"/>
        <w:tblCellMar>
          <w:top w:w="0" w:type="dxa"/>
          <w:left w:w="0" w:type="dxa"/>
          <w:bottom w:w="0" w:type="dxa"/>
          <w:right w:w="0" w:type="dxa"/>
        </w:tblCellMar>
      </w:tblPr>
      <w:tr>
        <w:trPr>
          <w:trHeight w:val="238"/>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220" w:type="dxa"/>
            <w:vAlign w:val="bottom"/>
          </w:tcPr>
          <w:p>
            <w:pPr>
              <w:spacing w:after="0"/>
              <w:rPr>
                <w:sz w:val="20"/>
                <w:szCs w:val="20"/>
                <w:color w:val="auto"/>
              </w:rPr>
            </w:pPr>
          </w:p>
        </w:tc>
      </w:tr>
      <w:tr>
        <w:trPr>
          <w:trHeight w:val="394"/>
        </w:trPr>
        <w:tc>
          <w:tcPr>
            <w:tcW w:w="6460" w:type="dxa"/>
            <w:vAlign w:val="bottom"/>
            <w:gridSpan w:val="3"/>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22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90"/>
        </w:trPr>
        <w:tc>
          <w:tcPr>
            <w:tcW w:w="646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22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06"/>
        </w:trPr>
        <w:tc>
          <w:tcPr>
            <w:tcW w:w="346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220" w:type="dxa"/>
            <w:vAlign w:val="bottom"/>
          </w:tcPr>
          <w:p>
            <w:pPr>
              <w:spacing w:after="0"/>
              <w:rPr>
                <w:sz w:val="24"/>
                <w:szCs w:val="24"/>
                <w:color w:val="auto"/>
              </w:rPr>
            </w:pPr>
          </w:p>
        </w:tc>
      </w:tr>
      <w:tr>
        <w:trPr>
          <w:trHeight w:val="214"/>
        </w:trPr>
        <w:tc>
          <w:tcPr>
            <w:tcW w:w="346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220" w:type="dxa"/>
            <w:vAlign w:val="bottom"/>
          </w:tcPr>
          <w:p>
            <w:pPr>
              <w:spacing w:after="0"/>
              <w:rPr>
                <w:sz w:val="18"/>
                <w:szCs w:val="18"/>
                <w:color w:val="auto"/>
              </w:rPr>
            </w:pPr>
          </w:p>
        </w:tc>
      </w:tr>
      <w:tr>
        <w:trPr>
          <w:trHeight w:val="190"/>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220" w:type="dxa"/>
            <w:vAlign w:val="bottom"/>
          </w:tcPr>
          <w:p>
            <w:pPr>
              <w:spacing w:after="0"/>
              <w:rPr>
                <w:sz w:val="16"/>
                <w:szCs w:val="16"/>
                <w:color w:val="auto"/>
              </w:rPr>
            </w:pPr>
          </w:p>
        </w:tc>
      </w:tr>
      <w:tr>
        <w:trPr>
          <w:trHeight w:val="363"/>
        </w:trPr>
        <w:tc>
          <w:tcPr>
            <w:tcW w:w="5960" w:type="dxa"/>
            <w:vAlign w:val="bottom"/>
            <w:gridSpan w:val="2"/>
          </w:tcPr>
          <w:p>
            <w:pPr>
              <w:jc w:val="center"/>
              <w:ind w:left="339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0"/>
        </w:trPr>
        <w:tc>
          <w:tcPr>
            <w:tcW w:w="346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2220" w:type="dxa"/>
            <w:vAlign w:val="bottom"/>
          </w:tcPr>
          <w:p>
            <w:pPr>
              <w:spacing w:after="0"/>
              <w:rPr>
                <w:sz w:val="16"/>
                <w:szCs w:val="16"/>
                <w:color w:val="auto"/>
              </w:rPr>
            </w:pPr>
          </w:p>
        </w:tc>
      </w:tr>
      <w:tr>
        <w:trPr>
          <w:trHeight w:val="91"/>
        </w:trPr>
        <w:tc>
          <w:tcPr>
            <w:tcW w:w="346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3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or the Securities Exchange Act of 1934 (17 CFR 240.12b-2).</w:t>
      </w:r>
    </w:p>
    <w:p>
      <w:pPr>
        <w:spacing w:after="0" w:line="7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07" w:lineRule="exact"/>
        <w:rPr>
          <w:sz w:val="24"/>
          <w:szCs w:val="24"/>
          <w:color w:val="auto"/>
        </w:rPr>
      </w:pPr>
    </w:p>
    <w:p>
      <w:pPr>
        <w:jc w:val="both"/>
        <w:ind w:right="2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3" w:right="319" w:bottom="1440" w:gutter="0" w:footer="0" w:header="0"/>
        </w:sectPr>
      </w:pPr>
    </w:p>
    <w:bookmarkStart w:id="1" w:name="page2"/>
    <w:bookmarkEnd w:id="1"/>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Item 8.01</w:t>
      </w:r>
      <w:r>
        <w:rPr>
          <w:sz w:val="20"/>
          <w:szCs w:val="20"/>
          <w:color w:val="auto"/>
        </w:rPr>
        <w:tab/>
      </w:r>
      <w:r>
        <w:rPr>
          <w:rFonts w:ascii="Times New Roman" w:cs="Times New Roman" w:eastAsia="Times New Roman" w:hAnsi="Times New Roman"/>
          <w:sz w:val="17"/>
          <w:szCs w:val="17"/>
          <w:color w:val="auto"/>
        </w:rPr>
        <w:t>OTHER EVENTS</w:t>
      </w:r>
    </w:p>
    <w:p>
      <w:pPr>
        <w:spacing w:after="0" w:line="3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Brady Corporation (the “Company”) has announced it will modify its business structure under new operating segments effective February 1, 2023 to reflect a regional operating structure. Beginning in the third quarter of fiscal 2023, the Company will report sales and segment profit based on new operating segments: Americas &amp; Asia and Europe &amp; Australia. More information about the upcoming segment change and related business modification can be found in the press release the Company issued today, which is filed as Exhibit 99.1 to this Current Report on Form 8-K.</w:t>
      </w: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Item 9.01</w:t>
      </w:r>
      <w:r>
        <w:rPr>
          <w:sz w:val="20"/>
          <w:szCs w:val="20"/>
          <w:color w:val="auto"/>
        </w:rPr>
        <w:tab/>
      </w:r>
      <w:r>
        <w:rPr>
          <w:rFonts w:ascii="Times New Roman" w:cs="Times New Roman" w:eastAsia="Times New Roman" w:hAnsi="Times New Roman"/>
          <w:sz w:val="17"/>
          <w:szCs w:val="17"/>
          <w:color w:val="auto"/>
        </w:rPr>
        <w:t>FINANCIAL STATEMENTS AND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48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37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448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234"/>
        </w:trPr>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10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4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Brady Corporation, dated December 1, 2022.</w:t>
            </w:r>
          </w:p>
        </w:tc>
        <w:tc>
          <w:tcPr>
            <w:tcW w:w="5580" w:type="dxa"/>
            <w:vAlign w:val="bottom"/>
          </w:tcPr>
          <w:p>
            <w:pPr>
              <w:spacing w:after="0"/>
              <w:rPr>
                <w:sz w:val="24"/>
                <w:szCs w:val="24"/>
                <w:color w:val="auto"/>
              </w:rPr>
            </w:pPr>
          </w:p>
        </w:tc>
      </w:tr>
      <w:tr>
        <w:trPr>
          <w:trHeight w:val="34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1, 2022</w:t>
      </w:r>
    </w:p>
    <w:p>
      <w:pPr>
        <w:spacing w:after="0" w:line="29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437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Aaron J. Pearce</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40"/>
          </w:cols>
          <w:pgMar w:left="320" w:top="1093"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 More Information: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contact: Ann Thornton 414-438-6887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 contact: Kate Venne 414-358-5176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Brady Corporation Announces Regional Organizational Structure Effective February 1, 2023</w:t>
      </w:r>
    </w:p>
    <w:p>
      <w:pPr>
        <w:spacing w:after="0" w:line="287"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MILWAUKEE (December 1, 2022) -- Brady Corporation (NYSE: BRC) (“Brady” or “Company”), a world leader in identification solutions, today announced it will modify its organizational structure under new regional operating segments effective February 1, 2023.</w:t>
      </w:r>
    </w:p>
    <w:p>
      <w:pPr>
        <w:spacing w:after="0" w:line="2" w:lineRule="exact"/>
        <w:rPr>
          <w:sz w:val="20"/>
          <w:szCs w:val="20"/>
          <w:color w:val="auto"/>
        </w:rPr>
      </w:pPr>
    </w:p>
    <w:p>
      <w:pPr>
        <w:jc w:val="both"/>
        <w:ind w:firstLine="648"/>
        <w:spacing w:after="0" w:line="324" w:lineRule="auto"/>
        <w:rPr>
          <w:sz w:val="20"/>
          <w:szCs w:val="20"/>
          <w:color w:val="auto"/>
        </w:rPr>
      </w:pPr>
      <w:r>
        <w:rPr>
          <w:rFonts w:ascii="Times New Roman" w:cs="Times New Roman" w:eastAsia="Times New Roman" w:hAnsi="Times New Roman"/>
          <w:sz w:val="20"/>
          <w:szCs w:val="20"/>
          <w:color w:val="auto"/>
        </w:rPr>
        <w:t>Beginning in the third quarter of fiscal 2023, the Company will report sales and segment profit based on new operating segments: Americas &amp; Asia and Europe &amp; Australia. The Americas &amp; Asia business will be led by Olivier Bojarski, currently the President of the Company’s Identification Solutions business. The Europe &amp; Australia business will be led by Brett Wilms, currently the Managing Director of Identification Solutions EMEA and the Interim General Manager of the Company’s Workplace Safety business.</w:t>
      </w:r>
    </w:p>
    <w:p>
      <w:pPr>
        <w:jc w:val="both"/>
        <w:ind w:firstLine="648"/>
        <w:spacing w:after="0" w:line="320" w:lineRule="auto"/>
        <w:rPr>
          <w:sz w:val="20"/>
          <w:szCs w:val="20"/>
          <w:color w:val="auto"/>
        </w:rPr>
      </w:pPr>
      <w:r>
        <w:rPr>
          <w:rFonts w:ascii="Times New Roman" w:cs="Times New Roman" w:eastAsia="Times New Roman" w:hAnsi="Times New Roman"/>
          <w:sz w:val="20"/>
          <w:szCs w:val="20"/>
          <w:color w:val="auto"/>
        </w:rPr>
        <w:t>“By moving to a regional structure, we are better positioning the Company for long-term success by aligning the organization with opportunities for future sales growth,” said Brady’s President and CEO, Russell R. Shaller. “This new structure will help us accelerate sales growth by taking advantage of the synergies that exist between our current divisions, by utilizing our best go-to-market strategies in each of our key geographies, and by using our increased geographic scale to accelerate new product development while delivering tailored solutions that meet the unique needs of each geography. Although cost reduction was not the primary motivator for this reorganization, we expect to realize an improvement of $0.10 to $0.20 of earnings per share beginning in fiscal 2024, and we expect that any one-time charges from employee severance in fiscal 2023 will be offset by reduced costs over the balance of this fiscal year.”</w:t>
      </w:r>
    </w:p>
    <w:p>
      <w:pPr>
        <w:jc w:val="both"/>
        <w:ind w:firstLine="648"/>
        <w:spacing w:after="0" w:line="331" w:lineRule="auto"/>
        <w:rPr>
          <w:sz w:val="20"/>
          <w:szCs w:val="20"/>
          <w:color w:val="auto"/>
        </w:rPr>
      </w:pPr>
      <w:r>
        <w:rPr>
          <w:rFonts w:ascii="Times New Roman" w:cs="Times New Roman" w:eastAsia="Times New Roman" w:hAnsi="Times New Roman"/>
          <w:sz w:val="20"/>
          <w:szCs w:val="20"/>
          <w:color w:val="auto"/>
        </w:rPr>
        <w:t>Brady will begin to operate under the new segment structure effective in the third quarter of fiscal 2023. To aid investors with the transition, sales and segment profit for fiscal 2021 through the second quarter of fiscal 2023 recast for the new regional segments will be provided with the Company’s second quarter fiscal 2023 earnings release.</w:t>
      </w:r>
    </w:p>
    <w:p>
      <w:pPr>
        <w:spacing w:after="0" w:line="196" w:lineRule="exact"/>
        <w:rPr>
          <w:sz w:val="20"/>
          <w:szCs w:val="20"/>
          <w:color w:val="auto"/>
        </w:rPr>
      </w:pPr>
    </w:p>
    <w:p>
      <w:pPr>
        <w:jc w:val="both"/>
        <w:ind w:firstLine="648"/>
        <w:spacing w:after="0" w:line="338" w:lineRule="auto"/>
        <w:rPr>
          <w:sz w:val="20"/>
          <w:szCs w:val="20"/>
          <w:color w:val="auto"/>
        </w:rPr>
      </w:pPr>
      <w:r>
        <w:rPr>
          <w:rFonts w:ascii="Times New Roman" w:cs="Times New Roman" w:eastAsia="Times New Roman" w:hAnsi="Times New Roman"/>
          <w:sz w:val="20"/>
          <w:szCs w:val="20"/>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2022, employed approximately 5,700 people in its worldwide businesses. Brady’s fiscal 2022 sales were approximately $1.30 billion. Brady stock trades on the New York Stock Exchange under the symbol BRC. More information is available on the Internet at </w:t>
      </w:r>
      <w:r>
        <w:rPr>
          <w:rFonts w:ascii="Times New Roman" w:cs="Times New Roman" w:eastAsia="Times New Roman" w:hAnsi="Times New Roman"/>
          <w:sz w:val="20"/>
          <w:szCs w:val="20"/>
          <w:u w:val="single" w:color="auto"/>
          <w:color w:val="0000FF"/>
        </w:rPr>
        <w:t>www.bradyid.com</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88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3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increased cost of raw materials, labor and freight as well as material shortages and supply chain disruptions; adverse impacts of the novel coronavirus (“COVID-19”) pandemic or other pandemics; decreased demand for our products; our ability to compete effectively or to successfully execute our strategy; our ability to develop technologically advanced products that meet customer demands; Brady’s ability to identify, integrate, and grow acquired companies, and to manage contingent liabilities from divested businesses; difficulties in protecting our websites, networks, and systems against security breaches; risks associated with the loss of key employees; extensive regulations by U.S. and non-U.S. governmental and self-regulatory entities; litigation, including product liability claims; foreign currency fluctuations; potential write-offs of goodwill and other intangible assets; changes in tax legislation and tax rates; differing interests of voting and non-voting shareholders;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2022.</w:t>
      </w:r>
    </w:p>
    <w:p>
      <w:pPr>
        <w:spacing w:after="0" w:line="21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sectPr>
      <w:pgSz w:w="11900" w:h="16838" w:orient="portrait"/>
      <w:cols w:equalWidth="0" w:num="1">
        <w:col w:w="11240"/>
      </w:cols>
      <w:pgMar w:left="320" w:top="9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2022-12-01T06:09:15Z</dcterms:created>
  <dcterms:modified xsi:type="dcterms:W3CDTF">2022-12-01T06:09:15Z</dcterms:modified>
</cp:coreProperties>
</file>