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305085867227.xml.htm"/>
      <w:bookmarkStart w:id="1" w:name="kswfform4_1683050858672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43"/>
        <w:gridCol w:w="1930"/>
        <w:gridCol w:w="6099"/>
        <w:gridCol w:w="2033"/>
      </w:tblGrid>
      <w:tr>
        <w:trPr/>
        <w:tc>
          <w:tcPr>
            <w:tcW w:w="2073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099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33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3"/>
                    <w:gridCol w:w="684"/>
                  </w:tblGrid>
                  <w:tr>
                    <w:trPr/>
                    <w:tc>
                      <w:tcPr>
                        <w:tcW w:w="117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57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13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4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099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Pearce Aaron James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6555 W. GOOD HOPE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MILWAUKEE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WI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53223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BRC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CFO &amp; Treasurer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04/28/2023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04/28/2023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3,056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50.81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97,083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04/28/2023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6,897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90,186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8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6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43.5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04/28/2023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23,995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09/19/2032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23,995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taxes on 6,522 restricted stock units that vested on April 28,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unvested shares of service-based restricted stock units granted on September 19, 2022 that were forfeited to Brady Corporation on April 28, 2023, the reporting owner's separation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options exercisable one third each year for the three years subsequent to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unvested shares of service-based stock options granted on September 19, 2022 that were forfeited to Brady Corporation on April 28, 2023, the reporting owner's separation date.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Heidi Knueppel,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05/02/2023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80009" TargetMode="External"/><Relationship Id="rId3" Type="http://schemas.openxmlformats.org/officeDocument/2006/relationships/hyperlink" Target="http://www.sec.gov/cgi-bin/browse-edgar?action=getcompany&amp;CIK=000074659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677</Words>
  <CharactersWithSpaces>4268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