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FORM 10-K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tabs>
          <w:tab w:leader="none" w:pos="16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ind w:right="4519"/>
        <w:spacing w:after="0" w:line="250" w:lineRule="auto"/>
        <w:rPr>
          <w:sz w:val="20"/>
          <w:szCs w:val="20"/>
          <w:color w:val="auto"/>
        </w:rPr>
      </w:pPr>
      <w:r>
        <w:rPr>
          <w:rFonts w:ascii="Courier New" w:cs="Courier New" w:eastAsia="Courier New" w:hAnsi="Courier New"/>
          <w:sz w:val="18"/>
          <w:szCs w:val="18"/>
          <w:color w:val="auto"/>
        </w:rPr>
        <w:t>X ANNUAL REPORT PURSUANT TO SECTION 13 OR 15(d) OF THE SECURITIES EXCHANGE ACT OF 1934 (FEE REQUIRED) For the Fiscal Year Ended July 31, 1994</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OR</w:t>
      </w:r>
    </w:p>
    <w:p>
      <w:pPr>
        <w:ind w:left="220"/>
        <w:spacing w:after="0" w:line="238" w:lineRule="auto"/>
        <w:rPr>
          <w:sz w:val="20"/>
          <w:szCs w:val="20"/>
          <w:color w:val="auto"/>
        </w:rPr>
      </w:pPr>
      <w:r>
        <w:rPr>
          <w:rFonts w:ascii="Courier New" w:cs="Courier New" w:eastAsia="Courier New" w:hAnsi="Courier New"/>
          <w:sz w:val="18"/>
          <w:szCs w:val="18"/>
          <w:color w:val="auto"/>
        </w:rPr>
        <w:t>TRANSITION REPORT PURSUANT TO SECTION 13 OR 15(d) OF THE</w:t>
      </w:r>
    </w:p>
    <w:p>
      <w:pPr>
        <w:spacing w:after="0"/>
        <w:rPr>
          <w:sz w:val="20"/>
          <w:szCs w:val="20"/>
          <w:color w:val="auto"/>
        </w:rPr>
      </w:pPr>
      <w:r>
        <w:rPr>
          <w:rFonts w:ascii="Courier New" w:cs="Courier New" w:eastAsia="Courier New" w:hAnsi="Courier New"/>
          <w:sz w:val="18"/>
          <w:szCs w:val="18"/>
          <w:color w:val="auto"/>
        </w:rPr>
        <w:t>SECURITIES EXCHANGE ACT OF 1934 (NO FEE REQUIRED)</w:t>
      </w:r>
    </w:p>
    <w:p>
      <w:pPr>
        <w:spacing w:after="0"/>
        <w:tabs>
          <w:tab w:leader="none" w:pos="3880" w:val="left"/>
        </w:tabs>
        <w:rPr>
          <w:sz w:val="20"/>
          <w:szCs w:val="20"/>
          <w:color w:val="auto"/>
        </w:rPr>
      </w:pPr>
      <w:r>
        <w:rPr>
          <w:rFonts w:ascii="Courier New" w:cs="Courier New" w:eastAsia="Courier New" w:hAnsi="Courier New"/>
          <w:sz w:val="18"/>
          <w:szCs w:val="18"/>
          <w:color w:val="auto"/>
        </w:rPr>
        <w:t>For the Transition Period from</w:t>
      </w:r>
      <w:r>
        <w:rPr>
          <w:sz w:val="20"/>
          <w:szCs w:val="20"/>
          <w:color w:val="auto"/>
        </w:rPr>
        <w:tab/>
      </w:r>
      <w:r>
        <w:rPr>
          <w:rFonts w:ascii="Courier New" w:cs="Courier New" w:eastAsia="Courier New" w:hAnsi="Courier New"/>
          <w:sz w:val="18"/>
          <w:szCs w:val="18"/>
          <w:color w:val="auto"/>
        </w:rPr>
        <w:t>to</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Number 0-12730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W.H. Brady Co.</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(Exact name of registrant as specified in charter)</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Wisconsin</w:t>
            </w:r>
          </w:p>
        </w:tc>
        <w:tc>
          <w:tcPr>
            <w:tcW w:w="2520" w:type="dxa"/>
            <w:vAlign w:val="bottom"/>
          </w:tcPr>
          <w:p>
            <w:pPr>
              <w:spacing w:after="0"/>
              <w:rPr>
                <w:sz w:val="17"/>
                <w:szCs w:val="17"/>
                <w:color w:val="auto"/>
              </w:rPr>
            </w:pPr>
          </w:p>
        </w:tc>
        <w:tc>
          <w:tcPr>
            <w:tcW w:w="3700" w:type="dxa"/>
            <w:vAlign w:val="bottom"/>
          </w:tcPr>
          <w:p>
            <w:pPr>
              <w:ind w:left="220"/>
              <w:spacing w:after="0"/>
              <w:rPr>
                <w:sz w:val="20"/>
                <w:szCs w:val="20"/>
                <w:color w:val="auto"/>
              </w:rPr>
            </w:pPr>
            <w:r>
              <w:rPr>
                <w:rFonts w:ascii="Courier New" w:cs="Courier New" w:eastAsia="Courier New" w:hAnsi="Courier New"/>
                <w:sz w:val="18"/>
                <w:szCs w:val="18"/>
                <w:color w:val="auto"/>
              </w:rPr>
              <w:t>39-0178960</w:t>
            </w:r>
          </w:p>
        </w:tc>
      </w:tr>
      <w:tr>
        <w:trPr>
          <w:trHeight w:val="296"/>
        </w:trPr>
        <w:tc>
          <w:tcPr>
            <w:tcW w:w="3480" w:type="dxa"/>
            <w:vAlign w:val="bottom"/>
            <w:gridSpan w:val="2"/>
          </w:tcPr>
          <w:p>
            <w:pPr>
              <w:spacing w:after="0"/>
              <w:rPr>
                <w:sz w:val="20"/>
                <w:szCs w:val="20"/>
                <w:color w:val="auto"/>
              </w:rPr>
            </w:pPr>
            <w:r>
              <w:rPr>
                <w:rFonts w:ascii="Courier New" w:cs="Courier New" w:eastAsia="Courier New" w:hAnsi="Courier New"/>
                <w:sz w:val="18"/>
                <w:szCs w:val="18"/>
                <w:color w:val="auto"/>
              </w:rPr>
              <w:t>(State of Incorporation)</w:t>
            </w:r>
          </w:p>
        </w:tc>
        <w:tc>
          <w:tcPr>
            <w:tcW w:w="3700" w:type="dxa"/>
            <w:vAlign w:val="bottom"/>
          </w:tcPr>
          <w:p>
            <w:pPr>
              <w:ind w:left="220"/>
              <w:spacing w:after="0"/>
              <w:rPr>
                <w:sz w:val="20"/>
                <w:szCs w:val="20"/>
                <w:color w:val="auto"/>
              </w:rPr>
            </w:pPr>
            <w:r>
              <w:rPr>
                <w:rFonts w:ascii="Courier New" w:cs="Courier New" w:eastAsia="Courier New" w:hAnsi="Courier New"/>
                <w:sz w:val="18"/>
                <w:szCs w:val="18"/>
                <w:color w:val="auto"/>
                <w:w w:val="97"/>
              </w:rPr>
              <w:t>(IRS Employer Identification No.)</w:t>
            </w:r>
          </w:p>
        </w:tc>
      </w:tr>
      <w:tr>
        <w:trPr>
          <w:trHeight w:val="311"/>
        </w:trPr>
        <w:tc>
          <w:tcPr>
            <w:tcW w:w="960" w:type="dxa"/>
            <w:vAlign w:val="bottom"/>
          </w:tcPr>
          <w:p>
            <w:pPr>
              <w:spacing w:after="0"/>
              <w:rPr>
                <w:sz w:val="20"/>
                <w:szCs w:val="20"/>
                <w:color w:val="auto"/>
              </w:rPr>
            </w:pPr>
            <w:r>
              <w:rPr>
                <w:rFonts w:ascii="Courier New" w:cs="Courier New" w:eastAsia="Courier New" w:hAnsi="Courier New"/>
                <w:sz w:val="18"/>
                <w:szCs w:val="18"/>
                <w:color w:val="auto"/>
              </w:rPr>
              <w:t>727 West</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Glendale Avenue</w:t>
            </w:r>
          </w:p>
        </w:tc>
        <w:tc>
          <w:tcPr>
            <w:tcW w:w="3700" w:type="dxa"/>
            <w:vAlign w:val="bottom"/>
          </w:tcPr>
          <w:p>
            <w:pPr>
              <w:spacing w:after="0"/>
              <w:rPr>
                <w:sz w:val="24"/>
                <w:szCs w:val="24"/>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P.O. Box</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571</w:t>
            </w:r>
          </w:p>
        </w:tc>
        <w:tc>
          <w:tcPr>
            <w:tcW w:w="3700" w:type="dxa"/>
            <w:vAlign w:val="bottom"/>
          </w:tcPr>
          <w:p>
            <w:pPr>
              <w:spacing w:after="0"/>
              <w:rPr>
                <w:sz w:val="17"/>
                <w:szCs w:val="17"/>
                <w:color w:val="auto"/>
              </w:rPr>
            </w:pP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Milwaukee, WI  53201</w:t>
            </w:r>
          </w:p>
        </w:tc>
        <w:tc>
          <w:tcPr>
            <w:tcW w:w="3700" w:type="dxa"/>
            <w:vAlign w:val="bottom"/>
          </w:tcPr>
          <w:p>
            <w:pPr>
              <w:spacing w:after="0"/>
              <w:rPr>
                <w:sz w:val="17"/>
                <w:szCs w:val="17"/>
                <w:color w:val="auto"/>
              </w:rPr>
            </w:pPr>
          </w:p>
        </w:tc>
      </w:tr>
      <w:tr>
        <w:trPr>
          <w:trHeight w:val="296"/>
        </w:trPr>
        <w:tc>
          <w:tcPr>
            <w:tcW w:w="960" w:type="dxa"/>
            <w:vAlign w:val="bottom"/>
          </w:tcPr>
          <w:p>
            <w:pPr>
              <w:spacing w:after="0"/>
              <w:rPr>
                <w:sz w:val="20"/>
                <w:szCs w:val="20"/>
                <w:color w:val="auto"/>
              </w:rPr>
            </w:pPr>
            <w:r>
              <w:rPr>
                <w:rFonts w:ascii="Courier New" w:cs="Courier New" w:eastAsia="Courier New" w:hAnsi="Courier New"/>
                <w:sz w:val="18"/>
                <w:szCs w:val="18"/>
                <w:color w:val="auto"/>
              </w:rPr>
              <w:t>(Address</w:t>
            </w:r>
          </w:p>
        </w:tc>
        <w:tc>
          <w:tcPr>
            <w:tcW w:w="6220" w:type="dxa"/>
            <w:vAlign w:val="bottom"/>
            <w:gridSpan w:val="2"/>
          </w:tcPr>
          <w:p>
            <w:pPr>
              <w:spacing w:after="0"/>
              <w:rPr>
                <w:sz w:val="20"/>
                <w:szCs w:val="20"/>
                <w:color w:val="auto"/>
              </w:rPr>
            </w:pPr>
            <w:r>
              <w:rPr>
                <w:rFonts w:ascii="Courier New" w:cs="Courier New" w:eastAsia="Courier New" w:hAnsi="Courier New"/>
                <w:sz w:val="18"/>
                <w:szCs w:val="18"/>
                <w:color w:val="auto"/>
              </w:rPr>
              <w:t>of Principal Executive Offices and Zip Code)</w:t>
            </w:r>
          </w:p>
        </w:tc>
      </w:tr>
      <w:tr>
        <w:trPr>
          <w:trHeight w:val="311"/>
        </w:trPr>
        <w:tc>
          <w:tcPr>
            <w:tcW w:w="3480" w:type="dxa"/>
            <w:vAlign w:val="bottom"/>
            <w:gridSpan w:val="2"/>
          </w:tcPr>
          <w:p>
            <w:pPr>
              <w:spacing w:after="0"/>
              <w:rPr>
                <w:sz w:val="20"/>
                <w:szCs w:val="20"/>
                <w:color w:val="auto"/>
              </w:rPr>
            </w:pPr>
            <w:r>
              <w:rPr>
                <w:rFonts w:ascii="Courier New" w:cs="Courier New" w:eastAsia="Courier New" w:hAnsi="Courier New"/>
                <w:sz w:val="18"/>
                <w:szCs w:val="18"/>
                <w:color w:val="auto"/>
              </w:rPr>
              <w:t>(414) 332-8100</w:t>
            </w:r>
          </w:p>
        </w:tc>
        <w:tc>
          <w:tcPr>
            <w:tcW w:w="3700" w:type="dxa"/>
            <w:vAlign w:val="bottom"/>
          </w:tcPr>
          <w:p>
            <w:pPr>
              <w:spacing w:after="0"/>
              <w:rPr>
                <w:sz w:val="24"/>
                <w:szCs w:val="24"/>
                <w:color w:val="auto"/>
              </w:rPr>
            </w:pPr>
          </w:p>
        </w:tc>
      </w:tr>
      <w:tr>
        <w:trPr>
          <w:trHeight w:val="296"/>
        </w:trPr>
        <w:tc>
          <w:tcPr>
            <w:tcW w:w="3480" w:type="dxa"/>
            <w:vAlign w:val="bottom"/>
            <w:gridSpan w:val="2"/>
          </w:tcPr>
          <w:p>
            <w:pPr>
              <w:spacing w:after="0"/>
              <w:rPr>
                <w:sz w:val="20"/>
                <w:szCs w:val="20"/>
                <w:color w:val="auto"/>
              </w:rPr>
            </w:pPr>
            <w:r>
              <w:rPr>
                <w:rFonts w:ascii="Courier New" w:cs="Courier New" w:eastAsia="Courier New" w:hAnsi="Courier New"/>
                <w:sz w:val="18"/>
                <w:szCs w:val="18"/>
                <w:color w:val="auto"/>
              </w:rPr>
              <w:t>(Registrant's Telephone Number)</w:t>
            </w:r>
          </w:p>
        </w:tc>
        <w:tc>
          <w:tcPr>
            <w:tcW w:w="3700" w:type="dxa"/>
            <w:vAlign w:val="bottom"/>
          </w:tcPr>
          <w:p>
            <w:pPr>
              <w:spacing w:after="0"/>
              <w:rPr>
                <w:sz w:val="24"/>
                <w:szCs w:val="24"/>
                <w:color w:val="auto"/>
              </w:rPr>
            </w:pPr>
          </w:p>
        </w:tc>
      </w:tr>
    </w:tbl>
    <w:p>
      <w:pPr>
        <w:spacing w:after="0" w:line="1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Registered Pursuant to Section 12(b) of the Act: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Registered Pursuant to Section 12(g) of the Act: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Nonvoting Common Stock, Par Value $.01 per share</w:t>
      </w:r>
    </w:p>
    <w:p>
      <w:pPr>
        <w:spacing w:after="0" w:line="201" w:lineRule="exact"/>
        <w:rPr>
          <w:sz w:val="24"/>
          <w:szCs w:val="24"/>
          <w:color w:val="auto"/>
        </w:rPr>
      </w:pPr>
    </w:p>
    <w:p>
      <w:pPr>
        <w:ind w:right="2619"/>
        <w:spacing w:after="0" w:line="306"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60" w:lineRule="exact"/>
        <w:rPr>
          <w:sz w:val="24"/>
          <w:szCs w:val="24"/>
          <w:color w:val="auto"/>
        </w:rPr>
      </w:pPr>
    </w:p>
    <w:p>
      <w:pPr>
        <w:ind w:right="2619"/>
        <w:spacing w:after="0" w:line="265"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Yes X No</w:t>
      </w:r>
    </w:p>
    <w:p>
      <w:pPr>
        <w:spacing w:after="0" w:line="90" w:lineRule="exact"/>
        <w:rPr>
          <w:sz w:val="24"/>
          <w:szCs w:val="24"/>
          <w:color w:val="auto"/>
        </w:rPr>
      </w:pPr>
    </w:p>
    <w:p>
      <w:pPr>
        <w:ind w:right="2519"/>
        <w:spacing w:after="0" w:line="274" w:lineRule="auto"/>
        <w:rPr>
          <w:sz w:val="20"/>
          <w:szCs w:val="20"/>
          <w:color w:val="auto"/>
        </w:rPr>
      </w:pPr>
      <w:r>
        <w:rPr>
          <w:rFonts w:ascii="Courier New" w:cs="Courier New" w:eastAsia="Courier New" w:hAnsi="Courier New"/>
          <w:sz w:val="18"/>
          <w:szCs w:val="18"/>
          <w:color w:val="auto"/>
        </w:rPr>
        <w:t>As of October 3, 1994, there were outstanding 5,477,312 shares of Class A Nonvoting Common Stock (the "Class A Common Stock"), and 1,769,314 shares of Class B Common Stock. The Class B Common Stock, all of which is held by affiliates of the Registrant, is the only voting stock.</w:t>
      </w:r>
    </w:p>
    <w:p>
      <w:pPr>
        <w:spacing w:after="0" w:line="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DOCUMENTS INCORPORATED BY REFERENCE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W.H. Brady Co. 1994 Annual Report, Incorporated into Part II &amp; IV</w:t>
      </w:r>
    </w:p>
    <w:p>
      <w:pPr>
        <w:sectPr>
          <w:pgSz w:w="11900" w:h="16838" w:orient="portrait"/>
          <w:cols w:equalWidth="0" w:num="1">
            <w:col w:w="10219"/>
          </w:cols>
          <w:pgMar w:left="240" w:top="218" w:right="1440" w:bottom="1440" w:gutter="0" w:footer="0" w:header="0"/>
        </w:sectPr>
      </w:pPr>
    </w:p>
    <w:bookmarkStart w:id="1" w:name="page2"/>
    <w:bookmarkEnd w:id="1"/>
    <w:p>
      <w:pPr>
        <w:spacing w:after="0" w:line="110" w:lineRule="exact"/>
        <w:rPr>
          <w:sz w:val="20"/>
          <w:szCs w:val="20"/>
          <w:color w:val="auto"/>
        </w:rPr>
      </w:pPr>
    </w:p>
    <w:p>
      <w:pPr>
        <w:ind w:left="2632"/>
        <w:spacing w:after="0"/>
        <w:rPr>
          <w:sz w:val="20"/>
          <w:szCs w:val="20"/>
          <w:color w:val="auto"/>
        </w:rPr>
      </w:pPr>
      <w:r>
        <w:rPr>
          <w:rFonts w:ascii="Courier New" w:cs="Courier New" w:eastAsia="Courier New" w:hAnsi="Courier New"/>
          <w:sz w:val="18"/>
          <w:szCs w:val="18"/>
          <w:color w:val="auto"/>
        </w:rPr>
        <w:t>W.H. Brady Co.</w:t>
      </w:r>
    </w:p>
    <w:p>
      <w:pPr>
        <w:spacing w:after="0" w:line="201" w:lineRule="exact"/>
        <w:rPr>
          <w:sz w:val="20"/>
          <w:szCs w:val="20"/>
          <w:color w:val="auto"/>
        </w:rPr>
      </w:pPr>
    </w:p>
    <w:p>
      <w:pPr>
        <w:ind w:left="1992"/>
        <w:spacing w:after="0"/>
        <w:rPr>
          <w:sz w:val="20"/>
          <w:szCs w:val="20"/>
          <w:color w:val="auto"/>
        </w:rPr>
      </w:pPr>
      <w:r>
        <w:rPr>
          <w:rFonts w:ascii="Courier New" w:cs="Courier New" w:eastAsia="Courier New" w:hAnsi="Courier New"/>
          <w:sz w:val="18"/>
          <w:szCs w:val="18"/>
          <w:color w:val="auto"/>
        </w:rPr>
        <w:t>Incentive Compensation Plan</w:t>
      </w:r>
    </w:p>
    <w:p>
      <w:pPr>
        <w:spacing w:after="0" w:line="31" w:lineRule="exact"/>
        <w:rPr>
          <w:sz w:val="20"/>
          <w:szCs w:val="20"/>
          <w:color w:val="auto"/>
        </w:rPr>
      </w:pPr>
    </w:p>
    <w:p>
      <w:pPr>
        <w:ind w:left="2212"/>
        <w:spacing w:after="0"/>
        <w:rPr>
          <w:sz w:val="20"/>
          <w:szCs w:val="20"/>
          <w:color w:val="auto"/>
        </w:rPr>
      </w:pPr>
      <w:r>
        <w:rPr>
          <w:rFonts w:ascii="Courier New" w:cs="Courier New" w:eastAsia="Courier New" w:hAnsi="Courier New"/>
          <w:sz w:val="18"/>
          <w:szCs w:val="18"/>
          <w:color w:val="auto"/>
        </w:rPr>
        <w:t>Adopted August 1, 1993</w:t>
      </w:r>
    </w:p>
    <w:p>
      <w:pPr>
        <w:spacing w:after="0" w:line="169" w:lineRule="exact"/>
        <w:rPr>
          <w:sz w:val="20"/>
          <w:szCs w:val="20"/>
          <w:color w:val="auto"/>
        </w:rPr>
      </w:pPr>
    </w:p>
    <w:p>
      <w:pPr>
        <w:ind w:left="532" w:hanging="532"/>
        <w:spacing w:after="0"/>
        <w:tabs>
          <w:tab w:leader="none" w:pos="5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w:t>
      </w:r>
    </w:p>
    <w:p>
      <w:pPr>
        <w:spacing w:after="0" w:line="201" w:lineRule="exact"/>
        <w:rPr>
          <w:rFonts w:ascii="Courier New" w:cs="Courier New" w:eastAsia="Courier New" w:hAnsi="Courier New"/>
          <w:sz w:val="18"/>
          <w:szCs w:val="18"/>
          <w:color w:val="auto"/>
        </w:rPr>
      </w:pPr>
    </w:p>
    <w:p>
      <w:pPr>
        <w:ind w:left="532" w:right="3359"/>
        <w:spacing w:after="0" w:line="24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purpose of this Incentive Compensation Plan (the "Plan") is to provide incentive and reward to those employees of W.H. Brady Co. and its subsidiaries (the "Company") responsible for directing functions where the decisions involved have a significant bearing on the success and profitability of the Company and who have demonstrated exceptional ability, industry and service. The Plan is to motivate individuals to maximize profitability and shareholder value through group and individual performance. The incentive reward is to be in the form of supplemental compensation in addition to the individual's regular base compensation and will vary based upon the individual's ability to affect the Company's and operating group's profitability or objectives.</w:t>
      </w:r>
    </w:p>
    <w:p>
      <w:pPr>
        <w:spacing w:after="0" w:line="112"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Participants and Eligibility Requirements</w:t>
      </w:r>
    </w:p>
    <w:p>
      <w:pPr>
        <w:spacing w:after="0" w:line="201"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Levels of Participants</w:t>
      </w:r>
    </w:p>
    <w:p>
      <w:pPr>
        <w:spacing w:after="0" w:line="201" w:lineRule="exact"/>
        <w:rPr>
          <w:rFonts w:ascii="Courier New" w:cs="Courier New" w:eastAsia="Courier New" w:hAnsi="Courier New"/>
          <w:sz w:val="18"/>
          <w:szCs w:val="18"/>
          <w:color w:val="auto"/>
        </w:rPr>
      </w:pPr>
    </w:p>
    <w:p>
      <w:pPr>
        <w:ind w:left="1052" w:right="3679"/>
        <w:spacing w:after="0" w:line="29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Incentive Compensation Plan will encompass four levels of management employees as designated by the President:</w:t>
      </w:r>
    </w:p>
    <w:p>
      <w:pPr>
        <w:spacing w:after="0" w:line="65" w:lineRule="exact"/>
        <w:rPr>
          <w:sz w:val="20"/>
          <w:szCs w:val="20"/>
          <w:color w:val="auto"/>
        </w:rPr>
      </w:pPr>
    </w:p>
    <w:tbl>
      <w:tblPr>
        <w:tblLayout w:type="fixed"/>
        <w:tblInd w:w="1572"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Level 1</w:t>
            </w:r>
          </w:p>
        </w:tc>
        <w:tc>
          <w:tcPr>
            <w:tcW w:w="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3900" w:type="dxa"/>
            <w:vAlign w:val="bottom"/>
          </w:tcPr>
          <w:p>
            <w:pPr>
              <w:ind w:left="200"/>
              <w:spacing w:after="0"/>
              <w:rPr>
                <w:sz w:val="20"/>
                <w:szCs w:val="20"/>
                <w:color w:val="auto"/>
              </w:rPr>
            </w:pPr>
            <w:r>
              <w:rPr>
                <w:rFonts w:ascii="Courier New" w:cs="Courier New" w:eastAsia="Courier New" w:hAnsi="Courier New"/>
                <w:sz w:val="18"/>
                <w:szCs w:val="18"/>
                <w:color w:val="auto"/>
              </w:rPr>
              <w:t>Chief Executive Officer</w:t>
            </w:r>
          </w:p>
        </w:tc>
      </w:tr>
      <w:tr>
        <w:trPr>
          <w:trHeight w:val="203"/>
        </w:trPr>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Chief Operating Officer</w:t>
            </w:r>
          </w:p>
        </w:tc>
      </w:tr>
      <w:tr>
        <w:trPr>
          <w:trHeight w:val="203"/>
        </w:trPr>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Other Elected Officers</w:t>
            </w:r>
          </w:p>
        </w:tc>
      </w:tr>
      <w:tr>
        <w:trPr>
          <w:trHeight w:val="203"/>
        </w:trPr>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Department Heads</w:t>
            </w:r>
          </w:p>
        </w:tc>
      </w:tr>
      <w:tr>
        <w:trPr>
          <w:trHeight w:val="296"/>
        </w:trPr>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00" w:type="dxa"/>
            <w:vAlign w:val="bottom"/>
          </w:tcPr>
          <w:p>
            <w:pPr>
              <w:ind w:left="200"/>
              <w:spacing w:after="0"/>
              <w:rPr>
                <w:sz w:val="20"/>
                <w:szCs w:val="20"/>
                <w:color w:val="auto"/>
              </w:rPr>
            </w:pPr>
            <w:r>
              <w:rPr>
                <w:rFonts w:ascii="Courier New" w:cs="Courier New" w:eastAsia="Courier New" w:hAnsi="Courier New"/>
                <w:sz w:val="18"/>
                <w:szCs w:val="18"/>
                <w:color w:val="auto"/>
              </w:rPr>
              <w:t>Other Key Individuals</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Level 2</w:t>
            </w:r>
          </w:p>
        </w:tc>
        <w:tc>
          <w:tcPr>
            <w:tcW w:w="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3900" w:type="dxa"/>
            <w:vAlign w:val="bottom"/>
          </w:tcPr>
          <w:p>
            <w:pPr>
              <w:ind w:left="200"/>
              <w:spacing w:after="0"/>
              <w:rPr>
                <w:sz w:val="20"/>
                <w:szCs w:val="20"/>
                <w:color w:val="auto"/>
              </w:rPr>
            </w:pPr>
            <w:r>
              <w:rPr>
                <w:rFonts w:ascii="Courier New" w:cs="Courier New" w:eastAsia="Courier New" w:hAnsi="Courier New"/>
                <w:sz w:val="18"/>
                <w:szCs w:val="18"/>
                <w:color w:val="auto"/>
              </w:rPr>
              <w:t>General Managers</w:t>
            </w: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Level 3</w:t>
            </w:r>
          </w:p>
        </w:tc>
        <w:tc>
          <w:tcPr>
            <w:tcW w:w="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3900" w:type="dxa"/>
            <w:vAlign w:val="bottom"/>
          </w:tcPr>
          <w:p>
            <w:pPr>
              <w:ind w:left="200"/>
              <w:spacing w:after="0"/>
              <w:rPr>
                <w:sz w:val="20"/>
                <w:szCs w:val="20"/>
                <w:color w:val="auto"/>
              </w:rPr>
            </w:pPr>
            <w:r>
              <w:rPr>
                <w:rFonts w:ascii="Courier New" w:cs="Courier New" w:eastAsia="Courier New" w:hAnsi="Courier New"/>
                <w:sz w:val="18"/>
                <w:szCs w:val="18"/>
                <w:color w:val="auto"/>
              </w:rPr>
              <w:t>Operating Management Team (OMT)</w:t>
            </w:r>
          </w:p>
        </w:tc>
      </w:tr>
      <w:tr>
        <w:trPr>
          <w:trHeight w:val="296"/>
        </w:trPr>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00" w:type="dxa"/>
            <w:vAlign w:val="bottom"/>
          </w:tcPr>
          <w:p>
            <w:pPr>
              <w:ind w:left="200"/>
              <w:spacing w:after="0"/>
              <w:rPr>
                <w:sz w:val="20"/>
                <w:szCs w:val="20"/>
                <w:color w:val="auto"/>
              </w:rPr>
            </w:pPr>
            <w:r>
              <w:rPr>
                <w:rFonts w:ascii="Courier New" w:cs="Courier New" w:eastAsia="Courier New" w:hAnsi="Courier New"/>
                <w:sz w:val="18"/>
                <w:szCs w:val="18"/>
                <w:color w:val="auto"/>
              </w:rPr>
              <w:t>Members</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Level 4</w:t>
            </w:r>
          </w:p>
        </w:tc>
        <w:tc>
          <w:tcPr>
            <w:tcW w:w="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3900" w:type="dxa"/>
            <w:vAlign w:val="bottom"/>
          </w:tcPr>
          <w:p>
            <w:pPr>
              <w:ind w:left="200"/>
              <w:spacing w:after="0"/>
              <w:rPr>
                <w:sz w:val="20"/>
                <w:szCs w:val="20"/>
                <w:color w:val="auto"/>
              </w:rPr>
            </w:pPr>
            <w:r>
              <w:rPr>
                <w:rFonts w:ascii="Courier New" w:cs="Courier New" w:eastAsia="Courier New" w:hAnsi="Courier New"/>
                <w:sz w:val="18"/>
                <w:szCs w:val="18"/>
                <w:color w:val="auto"/>
              </w:rPr>
              <w:t>Venture Managers</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Level 5</w:t>
            </w:r>
          </w:p>
        </w:tc>
        <w:tc>
          <w:tcPr>
            <w:tcW w:w="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3900" w:type="dxa"/>
            <w:vAlign w:val="bottom"/>
          </w:tcPr>
          <w:p>
            <w:pPr>
              <w:ind w:left="200"/>
              <w:spacing w:after="0"/>
              <w:rPr>
                <w:sz w:val="20"/>
                <w:szCs w:val="20"/>
                <w:color w:val="auto"/>
              </w:rPr>
            </w:pPr>
            <w:r>
              <w:rPr>
                <w:rFonts w:ascii="Courier New" w:cs="Courier New" w:eastAsia="Courier New" w:hAnsi="Courier New"/>
                <w:sz w:val="18"/>
                <w:szCs w:val="18"/>
                <w:color w:val="auto"/>
                <w:w w:val="97"/>
              </w:rPr>
              <w:t>Coated Products Division GM and OMT</w:t>
            </w:r>
          </w:p>
        </w:tc>
      </w:tr>
    </w:tbl>
    <w:p>
      <w:pPr>
        <w:spacing w:after="0" w:line="109" w:lineRule="exact"/>
        <w:rPr>
          <w:sz w:val="20"/>
          <w:szCs w:val="20"/>
          <w:color w:val="auto"/>
        </w:rPr>
      </w:pPr>
    </w:p>
    <w:p>
      <w:pPr>
        <w:ind w:left="1052" w:hanging="525"/>
        <w:spacing w:after="0"/>
        <w:tabs>
          <w:tab w:leader="none" w:pos="105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for Determining Incentive Compensation</w:t>
      </w:r>
    </w:p>
    <w:p>
      <w:pPr>
        <w:spacing w:after="0" w:line="201" w:lineRule="exact"/>
        <w:rPr>
          <w:sz w:val="20"/>
          <w:szCs w:val="20"/>
          <w:color w:val="auto"/>
        </w:rPr>
      </w:pPr>
    </w:p>
    <w:p>
      <w:pPr>
        <w:ind w:left="532" w:right="3359"/>
        <w:spacing w:after="0" w:line="289" w:lineRule="auto"/>
        <w:rPr>
          <w:sz w:val="20"/>
          <w:szCs w:val="20"/>
          <w:color w:val="auto"/>
        </w:rPr>
      </w:pPr>
      <w:r>
        <w:rPr>
          <w:rFonts w:ascii="Courier New" w:cs="Courier New" w:eastAsia="Courier New" w:hAnsi="Courier New"/>
          <w:sz w:val="16"/>
          <w:szCs w:val="16"/>
          <w:color w:val="auto"/>
        </w:rPr>
        <w:t>The Plan for Level 1 will be based on a two part evaluation system to determine the incentive compensation. In general, an objective evaluation based on corporate financial performance will comprise 60 percent of the incentive paid, and the balance, 40 percent of the incentive will be based upon the Senior Officer's or Manager's subjective evaluation of the individual's performance against specific individual goals and accomplishments.</w:t>
      </w:r>
    </w:p>
    <w:p>
      <w:pPr>
        <w:spacing w:after="0" w:line="77" w:lineRule="exact"/>
        <w:rPr>
          <w:sz w:val="20"/>
          <w:szCs w:val="20"/>
          <w:color w:val="auto"/>
        </w:rPr>
      </w:pPr>
    </w:p>
    <w:p>
      <w:pPr>
        <w:ind w:left="532" w:right="3359"/>
        <w:spacing w:after="0" w:line="250" w:lineRule="auto"/>
        <w:rPr>
          <w:sz w:val="20"/>
          <w:szCs w:val="20"/>
          <w:color w:val="auto"/>
        </w:rPr>
      </w:pPr>
      <w:r>
        <w:rPr>
          <w:rFonts w:ascii="Courier New" w:cs="Courier New" w:eastAsia="Courier New" w:hAnsi="Courier New"/>
          <w:sz w:val="18"/>
          <w:szCs w:val="18"/>
          <w:color w:val="auto"/>
        </w:rPr>
        <w:t>The Plan for Level 2 will be based on a three part evaluation system to determine the incentive compensation. In general, an objective evaluation based on operating unit financial performance will comprise 30 percent of the incentive. An objective evaluation based on corporate financial performance will comprise 30 percent of the incentive. The balance, 40 percent of the incentive will be based upon the Senior Officer's or Manager's subjective evaluation of the individual's performance against specific individual goals and accomplishments.</w:t>
      </w:r>
    </w:p>
    <w:p>
      <w:pPr>
        <w:spacing w:after="0" w:line="104" w:lineRule="exact"/>
        <w:rPr>
          <w:sz w:val="20"/>
          <w:szCs w:val="20"/>
          <w:color w:val="auto"/>
        </w:rPr>
      </w:pPr>
    </w:p>
    <w:p>
      <w:pPr>
        <w:ind w:left="532" w:right="3359"/>
        <w:spacing w:after="0" w:line="250" w:lineRule="auto"/>
        <w:rPr>
          <w:sz w:val="20"/>
          <w:szCs w:val="20"/>
          <w:color w:val="auto"/>
        </w:rPr>
      </w:pPr>
      <w:r>
        <w:rPr>
          <w:rFonts w:ascii="Courier New" w:cs="Courier New" w:eastAsia="Courier New" w:hAnsi="Courier New"/>
          <w:sz w:val="18"/>
          <w:szCs w:val="18"/>
          <w:color w:val="auto"/>
        </w:rPr>
        <w:t>The Plan for Level 3 will be based on a three part evaluation system to determine the incentive compensation. In general, an objective evaluation based on operating unit financial performance will comprise 40 percent of the incentive. An objective evaluation based on corporate financial performance will comprise 20 percent of the incentive. The balance, 40 percent of the incentive will be based upon the Senior Officer's or Manager's subjective evaluation of the individual's performance against specific individual goals and accomplishments.</w:t>
      </w:r>
    </w:p>
    <w:p>
      <w:pPr>
        <w:spacing w:after="0" w:line="104" w:lineRule="exact"/>
        <w:rPr>
          <w:sz w:val="20"/>
          <w:szCs w:val="20"/>
          <w:color w:val="auto"/>
        </w:rPr>
      </w:pPr>
    </w:p>
    <w:p>
      <w:pPr>
        <w:ind w:left="532" w:right="3479"/>
        <w:spacing w:after="0" w:line="420" w:lineRule="auto"/>
        <w:rPr>
          <w:sz w:val="20"/>
          <w:szCs w:val="20"/>
          <w:color w:val="auto"/>
        </w:rPr>
      </w:pPr>
      <w:r>
        <w:rPr>
          <w:rFonts w:ascii="Courier New" w:cs="Courier New" w:eastAsia="Courier New" w:hAnsi="Courier New"/>
          <w:sz w:val="16"/>
          <w:szCs w:val="16"/>
          <w:color w:val="auto"/>
        </w:rPr>
        <w:t>The Plan for Level 4 will be based on a two part evaluation system to determine the incentive compensation. An</w:t>
      </w:r>
    </w:p>
    <w:p>
      <w:pPr>
        <w:sectPr>
          <w:pgSz w:w="11900" w:h="16948" w:orient="portrait"/>
          <w:cols w:equalWidth="0" w:num="1">
            <w:col w:w="10211"/>
          </w:cols>
          <w:pgMar w:left="248" w:top="312" w:right="1440" w:bottom="0" w:gutter="0" w:footer="0" w:header="0"/>
        </w:sectPr>
      </w:pPr>
    </w:p>
    <w:bookmarkStart w:id="2" w:name="page3"/>
    <w:bookmarkEnd w:id="2"/>
    <w:p>
      <w:pPr>
        <w:spacing w:after="0" w:line="23" w:lineRule="exact"/>
        <w:rPr>
          <w:sz w:val="20"/>
          <w:szCs w:val="20"/>
          <w:color w:val="auto"/>
        </w:rPr>
      </w:pPr>
    </w:p>
    <w:p>
      <w:pPr>
        <w:ind w:left="532" w:right="3359"/>
        <w:spacing w:after="0" w:line="306" w:lineRule="auto"/>
        <w:rPr>
          <w:sz w:val="20"/>
          <w:szCs w:val="20"/>
          <w:color w:val="auto"/>
        </w:rPr>
      </w:pPr>
      <w:r>
        <w:rPr>
          <w:rFonts w:ascii="Courier New" w:cs="Courier New" w:eastAsia="Courier New" w:hAnsi="Courier New"/>
          <w:sz w:val="16"/>
          <w:szCs w:val="16"/>
          <w:color w:val="auto"/>
        </w:rPr>
        <w:t>objective evaluation based on corporate financial performance will comprise 25 percent of the incentive. The balance, 75 percent, will be based upon the Senior Officer's subjective evaluation of the individual's performance against specific individual goals and accomplishments.</w:t>
      </w:r>
    </w:p>
    <w:p>
      <w:pPr>
        <w:spacing w:after="0" w:line="60" w:lineRule="exact"/>
        <w:rPr>
          <w:sz w:val="20"/>
          <w:szCs w:val="20"/>
          <w:color w:val="auto"/>
        </w:rPr>
      </w:pPr>
    </w:p>
    <w:p>
      <w:pPr>
        <w:ind w:left="532" w:right="3359"/>
        <w:spacing w:after="0" w:line="250" w:lineRule="auto"/>
        <w:rPr>
          <w:sz w:val="20"/>
          <w:szCs w:val="20"/>
          <w:color w:val="auto"/>
        </w:rPr>
      </w:pPr>
      <w:r>
        <w:rPr>
          <w:rFonts w:ascii="Courier New" w:cs="Courier New" w:eastAsia="Courier New" w:hAnsi="Courier New"/>
          <w:sz w:val="18"/>
          <w:szCs w:val="18"/>
          <w:color w:val="auto"/>
        </w:rPr>
        <w:t>The Plan for Level 5 will be based on a three part evaluation system to determine incentive compensation. In general, an objective evaluation based on the matrices of IPD (1/2) and BCP (1/2) will comprise 30 percent of the incentive. An objective evaluation based on corporate financial performance will comprise 30 percent of the incentive. The balance, 40 percent of the incentive will be based upon the Senior Officer's or Manager's subjective evaluation of the individual's performance against specific individual goals and accomplishments.</w:t>
      </w:r>
    </w:p>
    <w:p>
      <w:pPr>
        <w:spacing w:after="0" w:line="104" w:lineRule="exact"/>
        <w:rPr>
          <w:sz w:val="20"/>
          <w:szCs w:val="20"/>
          <w:color w:val="auto"/>
        </w:rPr>
      </w:pPr>
    </w:p>
    <w:p>
      <w:pPr>
        <w:ind w:left="1052" w:hanging="525"/>
        <w:spacing w:after="0"/>
        <w:tabs>
          <w:tab w:leader="none" w:pos="105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Potential Incentive Payout</w:t>
      </w:r>
    </w:p>
    <w:p>
      <w:pPr>
        <w:spacing w:after="0" w:line="201" w:lineRule="exact"/>
        <w:rPr>
          <w:sz w:val="20"/>
          <w:szCs w:val="20"/>
          <w:color w:val="auto"/>
        </w:rPr>
      </w:pPr>
    </w:p>
    <w:p>
      <w:pPr>
        <w:ind w:left="532" w:right="3779"/>
        <w:spacing w:after="0" w:line="292" w:lineRule="auto"/>
        <w:rPr>
          <w:sz w:val="20"/>
          <w:szCs w:val="20"/>
          <w:color w:val="auto"/>
        </w:rPr>
      </w:pPr>
      <w:r>
        <w:rPr>
          <w:rFonts w:ascii="Courier New" w:cs="Courier New" w:eastAsia="Courier New" w:hAnsi="Courier New"/>
          <w:sz w:val="18"/>
          <w:szCs w:val="18"/>
          <w:color w:val="auto"/>
        </w:rPr>
        <w:t>The maximum annual incentive compensation shall be a percentage of the individual's Base Salary determined as follows:</w:t>
      </w:r>
    </w:p>
    <w:p>
      <w:pPr>
        <w:spacing w:after="0" w:line="65" w:lineRule="exact"/>
        <w:rPr>
          <w:sz w:val="20"/>
          <w:szCs w:val="20"/>
          <w:color w:val="auto"/>
        </w:rPr>
      </w:pPr>
    </w:p>
    <w:tbl>
      <w:tblPr>
        <w:tblLayout w:type="fixed"/>
        <w:tblInd w:w="1052" w:type="dxa"/>
        <w:tblCellMar>
          <w:top w:w="0" w:type="dxa"/>
          <w:left w:w="0" w:type="dxa"/>
          <w:bottom w:w="0" w:type="dxa"/>
          <w:right w:w="0" w:type="dxa"/>
        </w:tblCellMar>
      </w:tblPr>
      <w:tr>
        <w:trPr>
          <w:trHeight w:val="204"/>
        </w:trPr>
        <w:tc>
          <w:tcPr>
            <w:tcW w:w="1680" w:type="dxa"/>
            <w:vAlign w:val="bottom"/>
          </w:tcPr>
          <w:p>
            <w:pPr>
              <w:spacing w:after="0"/>
              <w:rPr>
                <w:sz w:val="20"/>
                <w:szCs w:val="20"/>
                <w:color w:val="auto"/>
              </w:rPr>
            </w:pPr>
            <w:r>
              <w:rPr>
                <w:rFonts w:ascii="Courier New" w:cs="Courier New" w:eastAsia="Courier New" w:hAnsi="Courier New"/>
                <w:sz w:val="18"/>
                <w:szCs w:val="18"/>
                <w:color w:val="auto"/>
              </w:rPr>
              <w:t>Chief Executive</w:t>
            </w: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Officer</w:t>
            </w:r>
          </w:p>
        </w:tc>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100%</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Chief Operating</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Officer</w:t>
            </w:r>
          </w:p>
        </w:tc>
        <w:tc>
          <w:tcPr>
            <w:tcW w:w="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Presidents</w:t>
            </w:r>
          </w:p>
        </w:tc>
        <w:tc>
          <w:tcPr>
            <w:tcW w:w="1380" w:type="dxa"/>
            <w:vAlign w:val="bottom"/>
          </w:tcPr>
          <w:p>
            <w:pPr>
              <w:spacing w:after="0"/>
              <w:rPr>
                <w:sz w:val="17"/>
                <w:szCs w:val="17"/>
                <w:color w:val="auto"/>
              </w:rPr>
            </w:pPr>
          </w:p>
        </w:tc>
        <w:tc>
          <w:tcPr>
            <w:tcW w:w="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w:t>
            </w:r>
          </w:p>
        </w:tc>
      </w:tr>
      <w:tr>
        <w:trPr>
          <w:trHeight w:val="203"/>
        </w:trPr>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Director-Group Operations</w:t>
            </w:r>
          </w:p>
        </w:tc>
        <w:tc>
          <w:tcPr>
            <w:tcW w:w="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General/Venture</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Managers</w:t>
            </w:r>
          </w:p>
        </w:tc>
        <w:tc>
          <w:tcPr>
            <w:tcW w:w="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Department Heads</w:t>
            </w:r>
          </w:p>
        </w:tc>
        <w:tc>
          <w:tcPr>
            <w:tcW w:w="1380" w:type="dxa"/>
            <w:vAlign w:val="bottom"/>
          </w:tcPr>
          <w:p>
            <w:pPr>
              <w:spacing w:after="0"/>
              <w:rPr>
                <w:sz w:val="17"/>
                <w:szCs w:val="17"/>
                <w:color w:val="auto"/>
              </w:rPr>
            </w:pPr>
          </w:p>
        </w:tc>
        <w:tc>
          <w:tcPr>
            <w:tcW w:w="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Operating Management Members</w:t>
            </w:r>
          </w:p>
        </w:tc>
        <w:tc>
          <w:tcPr>
            <w:tcW w:w="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r>
      <w:tr>
        <w:trPr>
          <w:trHeight w:val="296"/>
        </w:trPr>
        <w:tc>
          <w:tcPr>
            <w:tcW w:w="3060" w:type="dxa"/>
            <w:vAlign w:val="bottom"/>
            <w:gridSpan w:val="2"/>
          </w:tcPr>
          <w:p>
            <w:pPr>
              <w:spacing w:after="0"/>
              <w:rPr>
                <w:sz w:val="20"/>
                <w:szCs w:val="20"/>
                <w:color w:val="auto"/>
              </w:rPr>
            </w:pPr>
            <w:r>
              <w:rPr>
                <w:rFonts w:ascii="Courier New" w:cs="Courier New" w:eastAsia="Courier New" w:hAnsi="Courier New"/>
                <w:sz w:val="18"/>
                <w:szCs w:val="18"/>
                <w:color w:val="auto"/>
              </w:rPr>
              <w:t>Other Key Individuals</w:t>
            </w:r>
          </w:p>
        </w:tc>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r>
    </w:tbl>
    <w:p>
      <w:pPr>
        <w:spacing w:after="0" w:line="109" w:lineRule="exact"/>
        <w:rPr>
          <w:sz w:val="20"/>
          <w:szCs w:val="20"/>
          <w:color w:val="auto"/>
        </w:rPr>
      </w:pPr>
    </w:p>
    <w:p>
      <w:pPr>
        <w:ind w:left="1052" w:hanging="525"/>
        <w:spacing w:after="0"/>
        <w:tabs>
          <w:tab w:leader="none" w:pos="105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Measurement of Financial Performance</w:t>
      </w:r>
    </w:p>
    <w:p>
      <w:pPr>
        <w:spacing w:after="0" w:line="201" w:lineRule="exact"/>
        <w:rPr>
          <w:sz w:val="20"/>
          <w:szCs w:val="20"/>
          <w:color w:val="auto"/>
        </w:rPr>
      </w:pPr>
    </w:p>
    <w:p>
      <w:pPr>
        <w:ind w:left="532" w:right="3359"/>
        <w:spacing w:after="0" w:line="250" w:lineRule="auto"/>
        <w:rPr>
          <w:sz w:val="20"/>
          <w:szCs w:val="20"/>
          <w:color w:val="auto"/>
        </w:rPr>
      </w:pPr>
      <w:r>
        <w:rPr>
          <w:rFonts w:ascii="Courier New" w:cs="Courier New" w:eastAsia="Courier New" w:hAnsi="Courier New"/>
          <w:sz w:val="18"/>
          <w:szCs w:val="18"/>
          <w:color w:val="auto"/>
        </w:rPr>
        <w:t>Corporate financial performance will be based upon sales growth and net income as a percentage of sales. Operating units financial performance will be based upon sales growth and controllable contribution margin (except when noted) consistently measured across corporate, division, subsidiary or unit lines. Prior to the beginning of each fiscal year, or as soon after as possible, a matrix, similar to the schedule attached, will be prepared for each appropriate business unit and approved by the Compensation Committee of the Board of Directors.</w:t>
      </w:r>
    </w:p>
    <w:p>
      <w:pPr>
        <w:spacing w:after="0" w:line="104" w:lineRule="exact"/>
        <w:rPr>
          <w:sz w:val="20"/>
          <w:szCs w:val="20"/>
          <w:color w:val="auto"/>
        </w:rPr>
      </w:pPr>
    </w:p>
    <w:p>
      <w:pPr>
        <w:ind w:left="1052" w:hanging="525"/>
        <w:spacing w:after="0"/>
        <w:tabs>
          <w:tab w:leader="none" w:pos="105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Determination of Subjective Performance</w:t>
      </w:r>
    </w:p>
    <w:p>
      <w:pPr>
        <w:spacing w:after="0" w:line="201" w:lineRule="exact"/>
        <w:rPr>
          <w:sz w:val="20"/>
          <w:szCs w:val="20"/>
          <w:color w:val="auto"/>
        </w:rPr>
      </w:pPr>
    </w:p>
    <w:p>
      <w:pPr>
        <w:ind w:left="532" w:right="3579"/>
        <w:spacing w:after="0" w:line="274" w:lineRule="auto"/>
        <w:rPr>
          <w:sz w:val="20"/>
          <w:szCs w:val="20"/>
          <w:color w:val="auto"/>
        </w:rPr>
      </w:pPr>
      <w:r>
        <w:rPr>
          <w:rFonts w:ascii="Courier New" w:cs="Courier New" w:eastAsia="Courier New" w:hAnsi="Courier New"/>
          <w:sz w:val="18"/>
          <w:szCs w:val="18"/>
          <w:color w:val="auto"/>
        </w:rPr>
        <w:t>All of the subjective determinations will be subject to approval by the President and the appropriate Senior Manager, except that the President's will be determined by the Compensation Committee of the Board of Directors.</w:t>
      </w:r>
    </w:p>
    <w:p>
      <w:pPr>
        <w:spacing w:after="0" w:line="82" w:lineRule="exact"/>
        <w:rPr>
          <w:sz w:val="20"/>
          <w:szCs w:val="20"/>
          <w:color w:val="auto"/>
        </w:rPr>
      </w:pPr>
    </w:p>
    <w:p>
      <w:pPr>
        <w:ind w:left="1052" w:hanging="525"/>
        <w:spacing w:after="0"/>
        <w:tabs>
          <w:tab w:leader="none" w:pos="105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or Transfer of Employment</w:t>
      </w:r>
    </w:p>
    <w:p>
      <w:pPr>
        <w:spacing w:after="0" w:line="201" w:lineRule="exact"/>
        <w:rPr>
          <w:sz w:val="20"/>
          <w:szCs w:val="20"/>
          <w:color w:val="auto"/>
        </w:rPr>
      </w:pPr>
    </w:p>
    <w:p>
      <w:pPr>
        <w:ind w:left="532" w:right="3359"/>
        <w:spacing w:after="0" w:line="248" w:lineRule="auto"/>
        <w:rPr>
          <w:sz w:val="20"/>
          <w:szCs w:val="20"/>
          <w:color w:val="auto"/>
        </w:rPr>
      </w:pPr>
      <w:r>
        <w:rPr>
          <w:rFonts w:ascii="Courier New" w:cs="Courier New" w:eastAsia="Courier New" w:hAnsi="Courier New"/>
          <w:sz w:val="18"/>
          <w:szCs w:val="18"/>
          <w:color w:val="auto"/>
        </w:rPr>
        <w:t>Any individual who ceases to be an employee of the Company during a fiscal year for any reason whatsoever, whether voluntarily or involuntarily, except by reason of death, total disability, retirement, or entry into the armed services, shall not be entitled to any incentive compensation. An individual who dies become totally disable, retires, or enters the armed services during a fiscal year, and who, but for such event causing termination of employment, would have satisfied the conditions for eligibility, shall be entitled to incentive compensation based on his or her aggregate Base Salary earned up to the termination of employment.</w:t>
      </w:r>
    </w:p>
    <w:p>
      <w:pPr>
        <w:spacing w:after="0" w:line="105" w:lineRule="exact"/>
        <w:rPr>
          <w:sz w:val="20"/>
          <w:szCs w:val="20"/>
          <w:color w:val="auto"/>
        </w:rPr>
      </w:pPr>
    </w:p>
    <w:p>
      <w:pPr>
        <w:ind w:left="532" w:right="3479"/>
        <w:spacing w:after="0" w:line="260" w:lineRule="auto"/>
        <w:rPr>
          <w:sz w:val="20"/>
          <w:szCs w:val="20"/>
          <w:color w:val="auto"/>
        </w:rPr>
      </w:pPr>
      <w:r>
        <w:rPr>
          <w:rFonts w:ascii="Courier New" w:cs="Courier New" w:eastAsia="Courier New" w:hAnsi="Courier New"/>
          <w:sz w:val="18"/>
          <w:szCs w:val="18"/>
          <w:color w:val="auto"/>
        </w:rPr>
        <w:t>Any individual who first becomes eligible for incentive compensation during a fiscal year, or who changes his level of management shall receive incentive compensation with respect to that fiscal year based solely upon his aggregate Base Salary received while in the position which qualifies this person as a participant.</w:t>
      </w:r>
    </w:p>
    <w:p>
      <w:pPr>
        <w:spacing w:after="0" w:line="93" w:lineRule="exact"/>
        <w:rPr>
          <w:sz w:val="20"/>
          <w:szCs w:val="20"/>
          <w:color w:val="auto"/>
        </w:rPr>
      </w:pPr>
    </w:p>
    <w:p>
      <w:pPr>
        <w:ind w:left="532" w:hanging="532"/>
        <w:spacing w:after="0"/>
        <w:tabs>
          <w:tab w:leader="none" w:pos="5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Beneficiary Designation</w:t>
      </w:r>
    </w:p>
    <w:p>
      <w:pPr>
        <w:spacing w:after="0" w:line="201" w:lineRule="exact"/>
        <w:rPr>
          <w:rFonts w:ascii="Courier New" w:cs="Courier New" w:eastAsia="Courier New" w:hAnsi="Courier New"/>
          <w:sz w:val="18"/>
          <w:szCs w:val="18"/>
          <w:color w:val="auto"/>
        </w:rPr>
      </w:pPr>
    </w:p>
    <w:p>
      <w:pPr>
        <w:ind w:left="532" w:right="3359"/>
        <w:spacing w:after="0" w:line="30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 individual may designate in writing in a form satisfactory to the Company a beneficiary or beneficiaries to receive incentive compensation in the event of the individual's death, and payment by the Company in accordance with such designation shall fully discharge the Company from</w:t>
      </w:r>
    </w:p>
    <w:p>
      <w:pPr>
        <w:sectPr>
          <w:pgSz w:w="11900" w:h="16862" w:orient="portrait"/>
          <w:cols w:equalWidth="0" w:num="1">
            <w:col w:w="10211"/>
          </w:cols>
          <w:pgMar w:left="248" w:top="110" w:right="1440" w:bottom="0" w:gutter="0" w:footer="0" w:header="0"/>
        </w:sectPr>
      </w:pPr>
    </w:p>
    <w:bookmarkStart w:id="3" w:name="page4"/>
    <w:bookmarkEnd w:id="3"/>
    <w:p>
      <w:pPr>
        <w:spacing w:after="0" w:line="110" w:lineRule="exact"/>
        <w:rPr>
          <w:sz w:val="20"/>
          <w:szCs w:val="20"/>
          <w:color w:val="auto"/>
        </w:rPr>
      </w:pPr>
    </w:p>
    <w:tbl>
      <w:tblPr>
        <w:tblLayout w:type="fixed"/>
        <w:tblInd w:w="532" w:type="dxa"/>
        <w:tblCellMar>
          <w:top w:w="0" w:type="dxa"/>
          <w:left w:w="0" w:type="dxa"/>
          <w:bottom w:w="0" w:type="dxa"/>
          <w:right w:w="0" w:type="dxa"/>
        </w:tblCellMar>
      </w:tblPr>
      <w:tr>
        <w:trPr>
          <w:trHeight w:val="204"/>
        </w:trPr>
        <w:tc>
          <w:tcPr>
            <w:tcW w:w="2200" w:type="dxa"/>
            <w:vAlign w:val="bottom"/>
            <w:gridSpan w:val="2"/>
          </w:tcPr>
          <w:p>
            <w:pPr>
              <w:spacing w:after="0"/>
              <w:rPr>
                <w:sz w:val="20"/>
                <w:szCs w:val="20"/>
                <w:color w:val="auto"/>
              </w:rPr>
            </w:pPr>
            <w:r>
              <w:rPr>
                <w:rFonts w:ascii="Courier New" w:cs="Courier New" w:eastAsia="Courier New" w:hAnsi="Courier New"/>
                <w:sz w:val="18"/>
                <w:szCs w:val="18"/>
                <w:color w:val="auto"/>
                <w:w w:val="96"/>
              </w:rPr>
              <w:t>all liability for the</w:t>
            </w:r>
          </w:p>
        </w:tc>
        <w:tc>
          <w:tcPr>
            <w:tcW w:w="1860" w:type="dxa"/>
            <w:vAlign w:val="bottom"/>
          </w:tcPr>
          <w:p>
            <w:pPr>
              <w:ind w:left="120"/>
              <w:spacing w:after="0"/>
              <w:rPr>
                <w:sz w:val="20"/>
                <w:szCs w:val="20"/>
                <w:color w:val="auto"/>
              </w:rPr>
            </w:pPr>
            <w:r>
              <w:rPr>
                <w:rFonts w:ascii="Courier New" w:cs="Courier New" w:eastAsia="Courier New" w:hAnsi="Courier New"/>
                <w:sz w:val="18"/>
                <w:szCs w:val="18"/>
                <w:color w:val="auto"/>
              </w:rPr>
              <w:t>amount so paid.</w:t>
            </w:r>
          </w:p>
        </w:tc>
        <w:tc>
          <w:tcPr>
            <w:tcW w:w="2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The Company may</w:t>
            </w:r>
          </w:p>
        </w:tc>
      </w:tr>
      <w:tr>
        <w:trPr>
          <w:trHeight w:val="203"/>
        </w:trPr>
        <w:tc>
          <w:tcPr>
            <w:tcW w:w="2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refuse to accept any</w:t>
            </w:r>
          </w:p>
        </w:tc>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designation which</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contains</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unacceptable</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contingencies.</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If no</w:t>
            </w:r>
          </w:p>
        </w:tc>
        <w:tc>
          <w:tcPr>
            <w:tcW w:w="1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such designation</w:t>
            </w:r>
          </w:p>
        </w:tc>
        <w:tc>
          <w:tcPr>
            <w:tcW w:w="2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is on file with the</w:t>
            </w:r>
          </w:p>
        </w:tc>
      </w:tr>
      <w:tr>
        <w:trPr>
          <w:trHeight w:val="235"/>
        </w:trPr>
        <w:tc>
          <w:tcPr>
            <w:tcW w:w="1520" w:type="dxa"/>
            <w:vAlign w:val="bottom"/>
          </w:tcPr>
          <w:p>
            <w:pPr>
              <w:spacing w:after="0"/>
              <w:rPr>
                <w:sz w:val="20"/>
                <w:szCs w:val="20"/>
                <w:color w:val="auto"/>
              </w:rPr>
            </w:pPr>
            <w:r>
              <w:rPr>
                <w:rFonts w:ascii="Courier New" w:cs="Courier New" w:eastAsia="Courier New" w:hAnsi="Courier New"/>
                <w:sz w:val="18"/>
                <w:szCs w:val="18"/>
                <w:color w:val="auto"/>
                <w:w w:val="99"/>
              </w:rPr>
              <w:t>Company at the</w:t>
            </w: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rPr>
              <w:t>date,</w:t>
            </w:r>
          </w:p>
        </w:tc>
        <w:tc>
          <w:tcPr>
            <w:tcW w:w="2800" w:type="dxa"/>
            <w:vAlign w:val="bottom"/>
            <w:gridSpan w:val="2"/>
          </w:tcPr>
          <w:p>
            <w:pPr>
              <w:spacing w:after="0"/>
              <w:rPr>
                <w:sz w:val="20"/>
                <w:szCs w:val="20"/>
                <w:color w:val="auto"/>
              </w:rPr>
            </w:pPr>
            <w:r>
              <w:rPr>
                <w:rFonts w:ascii="Courier New" w:cs="Courier New" w:eastAsia="Courier New" w:hAnsi="Courier New"/>
                <w:sz w:val="18"/>
                <w:szCs w:val="18"/>
                <w:color w:val="auto"/>
                <w:w w:val="98"/>
              </w:rPr>
              <w:t>the incentive compensation</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shall be</w:t>
            </w:r>
          </w:p>
        </w:tc>
      </w:tr>
    </w:tbl>
    <w:p>
      <w:pPr>
        <w:ind w:left="532"/>
        <w:spacing w:after="0"/>
        <w:rPr>
          <w:sz w:val="20"/>
          <w:szCs w:val="20"/>
          <w:color w:val="auto"/>
        </w:rPr>
      </w:pPr>
      <w:r>
        <w:rPr>
          <w:rFonts w:ascii="Courier New" w:cs="Courier New" w:eastAsia="Courier New" w:hAnsi="Courier New"/>
          <w:sz w:val="18"/>
          <w:szCs w:val="18"/>
          <w:color w:val="auto"/>
        </w:rPr>
        <w:t>payable to the individual's personal representative.</w:t>
      </w:r>
    </w:p>
    <w:p>
      <w:pPr>
        <w:spacing w:after="0" w:line="169" w:lineRule="exact"/>
        <w:rPr>
          <w:sz w:val="20"/>
          <w:szCs w:val="20"/>
          <w:color w:val="auto"/>
        </w:rPr>
      </w:pPr>
    </w:p>
    <w:p>
      <w:pPr>
        <w:ind w:left="532" w:hanging="532"/>
        <w:spacing w:after="0"/>
        <w:tabs>
          <w:tab w:leader="none" w:pos="53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1" w:lineRule="exact"/>
        <w:rPr>
          <w:rFonts w:ascii="Courier New" w:cs="Courier New" w:eastAsia="Courier New" w:hAnsi="Courier New"/>
          <w:sz w:val="18"/>
          <w:szCs w:val="18"/>
          <w:color w:val="auto"/>
        </w:rPr>
      </w:pPr>
    </w:p>
    <w:p>
      <w:pPr>
        <w:ind w:left="532" w:right="3359"/>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used herein, the following terms shall have the following meanings:</w:t>
      </w:r>
    </w:p>
    <w:p>
      <w:pPr>
        <w:spacing w:after="0" w:line="18" w:lineRule="exact"/>
        <w:rPr>
          <w:rFonts w:ascii="Courier New" w:cs="Courier New" w:eastAsia="Courier New" w:hAnsi="Courier New"/>
          <w:sz w:val="18"/>
          <w:szCs w:val="18"/>
          <w:color w:val="auto"/>
        </w:rPr>
      </w:pPr>
    </w:p>
    <w:p>
      <w:pPr>
        <w:ind w:left="1052" w:right="3359" w:hanging="525"/>
        <w:spacing w:after="0" w:line="249" w:lineRule="auto"/>
        <w:tabs>
          <w:tab w:leader="none" w:pos="105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 Salary" means the gross salary paid during the fiscal year while in the position eligible for incentive compensation on account of which incentive compensation is payable (before any reduction for amounts voluntarily deferred under the Four Square Plan or additional deferred compensation plans) and does not include the value of fringe benefits, director's fees, sales incentives, additional compensation under this Plan, or amounts paid in lieu of other benefits earned as, for example, amounts paid in lieu of vacation benefits.</w:t>
      </w:r>
    </w:p>
    <w:p>
      <w:pPr>
        <w:spacing w:after="0" w:line="103" w:lineRule="exact"/>
        <w:rPr>
          <w:rFonts w:ascii="Courier New" w:cs="Courier New" w:eastAsia="Courier New" w:hAnsi="Courier New"/>
          <w:sz w:val="18"/>
          <w:szCs w:val="18"/>
          <w:color w:val="auto"/>
        </w:rPr>
      </w:pPr>
    </w:p>
    <w:p>
      <w:pPr>
        <w:ind w:left="1052" w:right="3359" w:hanging="525"/>
        <w:spacing w:after="0" w:line="253" w:lineRule="auto"/>
        <w:tabs>
          <w:tab w:leader="none" w:pos="105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Sales" means the Gross Sales less returns and allowances of the Company, Division, Subsidiary or Unit for the fiscal year computed in accordance with generally accepted accounting practices. In the event of any dispute as to the amount of Net Sales, the determination of the firm of certified public accountants then serving the Company shall be final and conclusive.</w:t>
      </w:r>
    </w:p>
    <w:p>
      <w:pPr>
        <w:spacing w:after="0" w:line="103" w:lineRule="exact"/>
        <w:rPr>
          <w:rFonts w:ascii="Courier New" w:cs="Courier New" w:eastAsia="Courier New" w:hAnsi="Courier New"/>
          <w:sz w:val="18"/>
          <w:szCs w:val="18"/>
          <w:color w:val="auto"/>
        </w:rPr>
      </w:pPr>
    </w:p>
    <w:p>
      <w:pPr>
        <w:ind w:left="1052" w:right="3359" w:hanging="525"/>
        <w:spacing w:after="0" w:line="274" w:lineRule="auto"/>
        <w:tabs>
          <w:tab w:leader="none" w:pos="105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"Fiscal Year" means the Company's fiscal year and shall relate to the period for which additional compensation is to be determined, although payment may be made in a subsequent fiscal year.</w:t>
      </w:r>
    </w:p>
    <w:p>
      <w:pPr>
        <w:spacing w:after="0" w:line="81" w:lineRule="exact"/>
        <w:rPr>
          <w:rFonts w:ascii="Courier New" w:cs="Courier New" w:eastAsia="Courier New" w:hAnsi="Courier New"/>
          <w:sz w:val="18"/>
          <w:szCs w:val="18"/>
          <w:color w:val="auto"/>
        </w:rPr>
      </w:pPr>
    </w:p>
    <w:p>
      <w:pPr>
        <w:ind w:left="1052" w:right="3359" w:hanging="525"/>
        <w:spacing w:after="0" w:line="256" w:lineRule="auto"/>
        <w:tabs>
          <w:tab w:leader="none" w:pos="105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Income" means the after tax earnings of the Company for the fiscal year computed in accordance with generally accepted accounting practices. In the event of any dispute as to the amount of Net Income, the determination of the firm of certified public accountants then serving the Company shall be final and conclusive.</w:t>
      </w:r>
    </w:p>
    <w:p>
      <w:pPr>
        <w:spacing w:after="0" w:line="98" w:lineRule="exact"/>
        <w:rPr>
          <w:rFonts w:ascii="Courier New" w:cs="Courier New" w:eastAsia="Courier New" w:hAnsi="Courier New"/>
          <w:sz w:val="18"/>
          <w:szCs w:val="18"/>
          <w:color w:val="auto"/>
        </w:rPr>
      </w:pPr>
    </w:p>
    <w:p>
      <w:pPr>
        <w:ind w:left="1052" w:right="3359" w:hanging="525"/>
        <w:spacing w:after="0" w:line="246" w:lineRule="auto"/>
        <w:tabs>
          <w:tab w:leader="none" w:pos="105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"Controllable Contribution Margin" is the result of subtracting expenses that are controlled by the business unit from the sales that business unit generates. Expenses that are controlled by the unit are: material usage, direct labor, production overhead, engineering/R&amp;D expense, sales/advertising expense, and administrative expense. Specifically excluded from these expenses are: fringe benefits, royalties, space charges, admin/management fees, other income or expenses. In the event of any dispute as to the amount of "Controllable Contribution Margin", the determination of the firm of certified public accountants then serving the Company shall be final and conclusive.</w:t>
      </w:r>
    </w:p>
    <w:p>
      <w:pPr>
        <w:spacing w:after="0" w:line="112" w:lineRule="exact"/>
        <w:rPr>
          <w:rFonts w:ascii="Courier New" w:cs="Courier New" w:eastAsia="Courier New" w:hAnsi="Courier New"/>
          <w:sz w:val="18"/>
          <w:szCs w:val="18"/>
          <w:color w:val="auto"/>
        </w:rPr>
      </w:pPr>
    </w:p>
    <w:p>
      <w:pPr>
        <w:ind w:left="1052" w:right="3899" w:hanging="525"/>
        <w:spacing w:after="0" w:line="344" w:lineRule="auto"/>
        <w:tabs>
          <w:tab w:leader="none" w:pos="1052"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"Cost" is the sum of material usage, direct labor, production overhead and production depreciation expenses that are controllable by a business unit.</w:t>
      </w:r>
    </w:p>
    <w:p>
      <w:pPr>
        <w:spacing w:after="0" w:line="30" w:lineRule="exact"/>
        <w:rPr>
          <w:rFonts w:ascii="Courier New" w:cs="Courier New" w:eastAsia="Courier New" w:hAnsi="Courier New"/>
          <w:sz w:val="16"/>
          <w:szCs w:val="16"/>
          <w:color w:val="auto"/>
        </w:rPr>
      </w:pPr>
    </w:p>
    <w:p>
      <w:pPr>
        <w:jc w:val="both"/>
        <w:ind w:left="1052" w:right="3359" w:hanging="525"/>
        <w:spacing w:after="0" w:line="292" w:lineRule="auto"/>
        <w:tabs>
          <w:tab w:leader="none" w:pos="105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 Percent" is the result of dividing "Cost" by "Net Sales" (both "Cost" and "Net Sales" are defined in this Plan.</w:t>
      </w:r>
    </w:p>
    <w:p>
      <w:pPr>
        <w:spacing w:after="0" w:line="66" w:lineRule="exact"/>
        <w:rPr>
          <w:rFonts w:ascii="Courier New" w:cs="Courier New" w:eastAsia="Courier New" w:hAnsi="Courier New"/>
          <w:sz w:val="18"/>
          <w:szCs w:val="18"/>
          <w:color w:val="auto"/>
        </w:rPr>
      </w:pPr>
    </w:p>
    <w:p>
      <w:pPr>
        <w:ind w:left="1052" w:right="3479" w:hanging="525"/>
        <w:spacing w:after="0" w:line="292" w:lineRule="auto"/>
        <w:tabs>
          <w:tab w:leader="none" w:pos="105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"Volume Growth" is defined as the net square yards coated. It excludes all reruns, product returns, test runs, scrap and any other unusable product.</w:t>
      </w:r>
    </w:p>
    <w:p>
      <w:pPr>
        <w:spacing w:after="0" w:line="66"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Date</w:t>
      </w:r>
    </w:p>
    <w:p>
      <w:pPr>
        <w:spacing w:after="0" w:line="201" w:lineRule="exact"/>
        <w:rPr>
          <w:rFonts w:ascii="Courier New" w:cs="Courier New" w:eastAsia="Courier New" w:hAnsi="Courier New"/>
          <w:sz w:val="18"/>
          <w:szCs w:val="18"/>
          <w:color w:val="auto"/>
        </w:rPr>
      </w:pPr>
    </w:p>
    <w:p>
      <w:pPr>
        <w:ind w:left="532" w:right="3579"/>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compensation shall be paid within 60 days after the end of the fiscal year for which paid.</w:t>
      </w:r>
    </w:p>
    <w:p>
      <w:pPr>
        <w:spacing w:after="0" w:line="18"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and Termination</w:t>
      </w:r>
    </w:p>
    <w:p>
      <w:pPr>
        <w:spacing w:after="0" w:line="201" w:lineRule="exact"/>
        <w:rPr>
          <w:rFonts w:ascii="Courier New" w:cs="Courier New" w:eastAsia="Courier New" w:hAnsi="Courier New"/>
          <w:sz w:val="18"/>
          <w:szCs w:val="18"/>
          <w:color w:val="auto"/>
        </w:rPr>
      </w:pPr>
    </w:p>
    <w:p>
      <w:pPr>
        <w:ind w:left="532" w:right="3359"/>
        <w:spacing w:after="0" w:line="42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Plan may be amended or terminated by the Board of Directors at any time provided, however, that no such action</w:t>
      </w:r>
    </w:p>
    <w:p>
      <w:pPr>
        <w:sectPr>
          <w:pgSz w:w="11900" w:h="16948" w:orient="portrait"/>
          <w:cols w:equalWidth="0" w:num="1">
            <w:col w:w="10211"/>
          </w:cols>
          <w:pgMar w:left="248" w:top="108" w:right="1440" w:bottom="0" w:gutter="0" w:footer="0" w:header="0"/>
        </w:sectPr>
      </w:pPr>
    </w:p>
    <w:bookmarkStart w:id="4" w:name="page5"/>
    <w:bookmarkEnd w:id="4"/>
    <w:p>
      <w:pPr>
        <w:ind w:left="532" w:right="3679"/>
        <w:spacing w:after="0" w:line="292" w:lineRule="auto"/>
        <w:rPr>
          <w:sz w:val="20"/>
          <w:szCs w:val="20"/>
          <w:color w:val="auto"/>
        </w:rPr>
      </w:pPr>
      <w:r>
        <w:rPr>
          <w:rFonts w:ascii="Courier New" w:cs="Courier New" w:eastAsia="Courier New" w:hAnsi="Courier New"/>
          <w:sz w:val="18"/>
          <w:szCs w:val="18"/>
          <w:color w:val="auto"/>
        </w:rPr>
        <w:t>which would adversely affect any individual shall be made with respect to any fiscal year after the first date thereof.</w:t>
      </w:r>
    </w:p>
    <w:p>
      <w:pPr>
        <w:spacing w:after="0" w:line="66" w:lineRule="exact"/>
        <w:rPr>
          <w:sz w:val="20"/>
          <w:szCs w:val="20"/>
          <w:color w:val="auto"/>
        </w:rPr>
      </w:pPr>
    </w:p>
    <w:p>
      <w:pPr>
        <w:ind w:left="532" w:hanging="532"/>
        <w:spacing w:after="0"/>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w:t>
      </w:r>
    </w:p>
    <w:p>
      <w:pPr>
        <w:spacing w:after="0" w:line="201" w:lineRule="exact"/>
        <w:rPr>
          <w:rFonts w:ascii="Courier New" w:cs="Courier New" w:eastAsia="Courier New" w:hAnsi="Courier New"/>
          <w:sz w:val="18"/>
          <w:szCs w:val="18"/>
          <w:color w:val="auto"/>
        </w:rPr>
      </w:pPr>
    </w:p>
    <w:p>
      <w:pPr>
        <w:ind w:left="532" w:right="3479"/>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shall be effective as to the fiscal year beginning August 1, 1993.</w:t>
      </w:r>
    </w:p>
    <w:sectPr>
      <w:pgSz w:w="11900" w:h="16838" w:orient="portrait"/>
      <w:cols w:equalWidth="0" w:num="1">
        <w:col w:w="10211"/>
      </w:cols>
      <w:pgMar w:left="248"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lvl w:ilvl="1">
      <w:lvlJc w:val="left"/>
      <w:lvlText w:val="%2."/>
      <w:numFmt w:val="upperLetter"/>
      <w:start w:val="1"/>
    </w:lvl>
  </w:abstractNum>
  <w:abstractNum w:abstractNumId="1">
    <w:nsid w:val="3D1B58BA"/>
    <w:multiLevelType w:val="hybridMultilevel"/>
    <w:lvl w:ilvl="0">
      <w:lvlJc w:val="left"/>
      <w:lvlText w:val="%1."/>
      <w:numFmt w:val="upperLetter"/>
      <w:start w:val="2"/>
    </w:lvl>
  </w:abstractNum>
  <w:abstractNum w:abstractNumId="2">
    <w:nsid w:val="507ED7AB"/>
    <w:multiLevelType w:val="hybridMultilevel"/>
    <w:lvl w:ilvl="0">
      <w:lvlJc w:val="left"/>
      <w:lvlText w:val="%1."/>
      <w:numFmt w:val="upperLetter"/>
      <w:start w:val="3"/>
    </w:lvl>
  </w:abstractNum>
  <w:abstractNum w:abstractNumId="3">
    <w:nsid w:val="2EB141F2"/>
    <w:multiLevelType w:val="hybridMultilevel"/>
    <w:lvl w:ilvl="0">
      <w:lvlJc w:val="left"/>
      <w:lvlText w:val="%1."/>
      <w:numFmt w:val="upperLetter"/>
      <w:start w:val="4"/>
    </w:lvl>
  </w:abstractNum>
  <w:abstractNum w:abstractNumId="4">
    <w:nsid w:val="41B71EFB"/>
    <w:multiLevelType w:val="hybridMultilevel"/>
    <w:lvl w:ilvl="0">
      <w:lvlJc w:val="left"/>
      <w:lvlText w:val="%1."/>
      <w:numFmt w:val="upperLetter"/>
      <w:start w:val="5"/>
    </w:lvl>
  </w:abstractNum>
  <w:abstractNum w:abstractNumId="5">
    <w:nsid w:val="79E2A9E3"/>
    <w:multiLevelType w:val="hybridMultilevel"/>
    <w:lvl w:ilvl="0">
      <w:lvlJc w:val="left"/>
      <w:lvlText w:val="%1."/>
      <w:numFmt w:val="upperLetter"/>
      <w:start w:val="6"/>
    </w:lvl>
  </w:abstractNum>
  <w:abstractNum w:abstractNumId="6">
    <w:nsid w:val="7545E146"/>
    <w:multiLevelType w:val="hybridMultilevel"/>
    <w:lvl w:ilvl="0">
      <w:lvlJc w:val="left"/>
      <w:lvlText w:val="%1."/>
      <w:numFmt w:val="decimal"/>
      <w:start w:val="3"/>
    </w:lvl>
  </w:abstractNum>
  <w:abstractNum w:abstractNumId="7">
    <w:nsid w:val="515F007C"/>
    <w:multiLevelType w:val="hybridMultilevel"/>
    <w:lvl w:ilvl="0">
      <w:lvlJc w:val="left"/>
      <w:lvlText w:val="%1."/>
      <w:numFmt w:val="decimal"/>
      <w:start w:val="4"/>
    </w:lvl>
    <w:lvl w:ilvl="1">
      <w:lvlJc w:val="left"/>
      <w:lvlText w:val="%2."/>
      <w:numFmt w:val="upperLetter"/>
      <w:start w:val="1"/>
    </w:lvl>
  </w:abstractNum>
  <w:abstractNum w:abstractNumId="8">
    <w:nsid w:val="5BD062C2"/>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2019-12-13T14:22:05Z</dcterms:created>
  <dcterms:modified xsi:type="dcterms:W3CDTF">2019-12-13T14:22:05Z</dcterms:modified>
</cp:coreProperties>
</file>