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71"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July 31, 2012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314" w:right="239" w:bottom="1440" w:gutter="0" w:footer="0" w:header="0"/>
        </w:sectPr>
      </w:pPr>
    </w:p>
    <w:p>
      <w:pPr>
        <w:spacing w:after="0" w:line="28" w:lineRule="exact"/>
        <w:rPr>
          <w:sz w:val="24"/>
          <w:szCs w:val="24"/>
          <w:color w:val="auto"/>
        </w:rPr>
      </w:pPr>
    </w:p>
    <w:p>
      <w:pPr>
        <w:ind w:left="460"/>
        <w:spacing w:after="0"/>
        <w:tabs>
          <w:tab w:leader="none" w:pos="432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ectPr>
          <w:pgSz w:w="11900" w:h="16838" w:orient="portrait"/>
          <w:cols w:equalWidth="0" w:num="1">
            <w:col w:w="11420"/>
          </w:cols>
          <w:pgMar w:left="240" w:top="314"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70"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1900" w:type="dxa"/>
            <w:vAlign w:val="bottom"/>
          </w:tcPr>
          <w:p>
            <w:pPr>
              <w:spacing w:after="0"/>
              <w:rPr>
                <w:sz w:val="18"/>
                <w:szCs w:val="18"/>
                <w:color w:val="auto"/>
              </w:rPr>
            </w:pPr>
          </w:p>
        </w:tc>
        <w:tc>
          <w:tcPr>
            <w:tcW w:w="4960" w:type="dxa"/>
            <w:vAlign w:val="bottom"/>
            <w:gridSpan w:val="4"/>
          </w:tcPr>
          <w:p>
            <w:pPr>
              <w:jc w:val="center"/>
              <w:ind w:right="3900"/>
              <w:spacing w:after="0"/>
              <w:rPr>
                <w:sz w:val="20"/>
                <w:szCs w:val="20"/>
                <w:color w:val="auto"/>
              </w:rPr>
            </w:pPr>
            <w:r>
              <w:rPr>
                <w:rFonts w:ascii="Arial" w:cs="Arial" w:eastAsia="Arial" w:hAnsi="Arial"/>
                <w:sz w:val="18"/>
                <w:szCs w:val="18"/>
                <w:b w:val="1"/>
                <w:bCs w:val="1"/>
                <w:color w:val="auto"/>
                <w:w w:val="86"/>
              </w:rPr>
              <w:t>Wisconsin</w:t>
            </w:r>
          </w:p>
        </w:tc>
        <w:tc>
          <w:tcPr>
            <w:tcW w:w="2220" w:type="dxa"/>
            <w:vAlign w:val="bottom"/>
            <w:gridSpan w:val="2"/>
          </w:tcPr>
          <w:p>
            <w:pPr>
              <w:jc w:val="center"/>
              <w:ind w:left="364"/>
              <w:spacing w:after="0"/>
              <w:rPr>
                <w:sz w:val="20"/>
                <w:szCs w:val="20"/>
                <w:color w:val="auto"/>
              </w:rPr>
            </w:pPr>
            <w:r>
              <w:rPr>
                <w:rFonts w:ascii="Arial" w:cs="Arial" w:eastAsia="Arial" w:hAnsi="Arial"/>
                <w:sz w:val="18"/>
                <w:szCs w:val="18"/>
                <w:b w:val="1"/>
                <w:bCs w:val="1"/>
                <w:color w:val="auto"/>
                <w:w w:val="89"/>
              </w:rPr>
              <w:t>39-0178960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60" w:type="dxa"/>
            <w:vAlign w:val="bottom"/>
            <w:gridSpan w:val="5"/>
          </w:tcPr>
          <w:p>
            <w:pPr>
              <w:jc w:val="center"/>
              <w:ind w:right="200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220" w:type="dxa"/>
            <w:vAlign w:val="bottom"/>
            <w:gridSpan w:val="2"/>
          </w:tcPr>
          <w:p>
            <w:pPr>
              <w:jc w:val="center"/>
              <w:ind w:left="364"/>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60" w:type="dxa"/>
            <w:vAlign w:val="bottom"/>
            <w:gridSpan w:val="5"/>
          </w:tcPr>
          <w:p>
            <w:pPr>
              <w:jc w:val="center"/>
              <w:ind w:right="1980"/>
              <w:spacing w:after="0"/>
              <w:rPr>
                <w:sz w:val="20"/>
                <w:szCs w:val="20"/>
                <w:color w:val="auto"/>
              </w:rPr>
            </w:pPr>
            <w:r>
              <w:rPr>
                <w:rFonts w:ascii="Arial" w:cs="Arial" w:eastAsia="Arial" w:hAnsi="Arial"/>
                <w:sz w:val="14"/>
                <w:szCs w:val="14"/>
                <w:b w:val="1"/>
                <w:bCs w:val="1"/>
                <w:color w:val="auto"/>
                <w:w w:val="88"/>
              </w:rPr>
              <w:t>incorporation or organization)</w:t>
            </w:r>
          </w:p>
        </w:tc>
        <w:tc>
          <w:tcPr>
            <w:tcW w:w="2220" w:type="dxa"/>
            <w:vAlign w:val="bottom"/>
            <w:gridSpan w:val="2"/>
          </w:tcPr>
          <w:p>
            <w:pPr>
              <w:jc w:val="center"/>
              <w:ind w:left="364"/>
              <w:spacing w:after="0"/>
              <w:rPr>
                <w:sz w:val="20"/>
                <w:szCs w:val="20"/>
                <w:color w:val="auto"/>
              </w:rPr>
            </w:pPr>
            <w:r>
              <w:rPr>
                <w:rFonts w:ascii="Arial" w:cs="Arial" w:eastAsia="Arial" w:hAnsi="Arial"/>
                <w:sz w:val="14"/>
                <w:szCs w:val="14"/>
                <w:b w:val="1"/>
                <w:bCs w:val="1"/>
                <w:color w:val="auto"/>
                <w:w w:val="89"/>
              </w:rPr>
              <w:t>Identification No.)</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6555 West Good Hope Road,</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Milwaukee, WI 53223</w:t>
            </w:r>
          </w:p>
        </w:tc>
        <w:tc>
          <w:tcPr>
            <w:tcW w:w="1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6440" w:type="dxa"/>
            <w:vAlign w:val="bottom"/>
            <w:gridSpan w:val="4"/>
          </w:tcPr>
          <w:p>
            <w:pPr>
              <w:jc w:val="center"/>
              <w:ind w:left="3978"/>
              <w:spacing w:after="0"/>
              <w:rPr>
                <w:sz w:val="20"/>
                <w:szCs w:val="20"/>
                <w:color w:val="auto"/>
              </w:rPr>
            </w:pPr>
            <w:r>
              <w:rPr>
                <w:rFonts w:ascii="Arial" w:cs="Arial" w:eastAsia="Arial" w:hAnsi="Arial"/>
                <w:sz w:val="18"/>
                <w:szCs w:val="18"/>
                <w:b w:val="1"/>
                <w:bCs w:val="1"/>
                <w:color w:val="auto"/>
                <w:w w:val="89"/>
              </w:rPr>
              <w:t>(414) 358-6600</w:t>
            </w:r>
          </w:p>
        </w:tc>
        <w:tc>
          <w:tcPr>
            <w:tcW w:w="4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40" w:type="dxa"/>
            <w:vAlign w:val="bottom"/>
            <w:gridSpan w:val="4"/>
          </w:tcPr>
          <w:p>
            <w:pPr>
              <w:jc w:val="center"/>
              <w:ind w:right="82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3880" w:type="dxa"/>
            <w:vAlign w:val="bottom"/>
            <w:gridSpan w:val="3"/>
          </w:tcPr>
          <w:p>
            <w:pPr>
              <w:spacing w:after="0"/>
              <w:rPr>
                <w:sz w:val="20"/>
                <w:szCs w:val="20"/>
                <w:color w:val="auto"/>
              </w:rPr>
            </w:pP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980" w:type="dxa"/>
            <w:vAlign w:val="bottom"/>
            <w:gridSpan w:val="2"/>
          </w:tcPr>
          <w:p>
            <w:pPr>
              <w:ind w:left="1020"/>
              <w:spacing w:after="0" w:line="201" w:lineRule="exact"/>
              <w:rPr>
                <w:sz w:val="20"/>
                <w:szCs w:val="20"/>
                <w:color w:val="auto"/>
              </w:rPr>
            </w:pPr>
            <w:r>
              <w:rPr>
                <w:rFonts w:ascii="Arial" w:cs="Arial" w:eastAsia="Arial" w:hAnsi="Arial"/>
                <w:sz w:val="18"/>
                <w:szCs w:val="18"/>
                <w:color w:val="auto"/>
                <w:w w:val="85"/>
              </w:rPr>
              <w:t>Class A Nonvoting Common</w:t>
            </w:r>
          </w:p>
        </w:tc>
        <w:tc>
          <w:tcPr>
            <w:tcW w:w="38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Stock, Par</w:t>
            </w:r>
          </w:p>
        </w:tc>
        <w:tc>
          <w:tcPr>
            <w:tcW w:w="2860" w:type="dxa"/>
            <w:vAlign w:val="bottom"/>
            <w:gridSpan w:val="4"/>
          </w:tcPr>
          <w:p>
            <w:pPr>
              <w:jc w:val="center"/>
              <w:ind w:right="200"/>
              <w:spacing w:after="0" w:line="201" w:lineRule="exact"/>
              <w:rPr>
                <w:sz w:val="20"/>
                <w:szCs w:val="20"/>
                <w:color w:val="auto"/>
              </w:rPr>
            </w:pPr>
            <w:r>
              <w:rPr>
                <w:rFonts w:ascii="Arial" w:cs="Arial" w:eastAsia="Arial" w:hAnsi="Arial"/>
                <w:sz w:val="18"/>
                <w:szCs w:val="18"/>
                <w:color w:val="auto"/>
                <w:w w:val="89"/>
              </w:rPr>
              <w:t>New York Stock Exchange</w:t>
            </w:r>
          </w:p>
        </w:tc>
        <w:tc>
          <w:tcPr>
            <w:tcW w:w="0" w:type="dxa"/>
            <w:vAlign w:val="bottom"/>
          </w:tcPr>
          <w:p>
            <w:pPr>
              <w:spacing w:after="0"/>
              <w:rPr>
                <w:sz w:val="1"/>
                <w:szCs w:val="1"/>
                <w:color w:val="auto"/>
              </w:rPr>
            </w:pPr>
          </w:p>
        </w:tc>
      </w:tr>
      <w:tr>
        <w:trPr>
          <w:trHeight w:val="222"/>
        </w:trPr>
        <w:tc>
          <w:tcPr>
            <w:tcW w:w="6860" w:type="dxa"/>
            <w:vAlign w:val="bottom"/>
            <w:gridSpan w:val="5"/>
          </w:tcPr>
          <w:p>
            <w:pPr>
              <w:jc w:val="center"/>
              <w:ind w:right="2000"/>
              <w:spacing w:after="0"/>
              <w:rPr>
                <w:sz w:val="20"/>
                <w:szCs w:val="20"/>
                <w:color w:val="auto"/>
              </w:rPr>
            </w:pPr>
            <w:r>
              <w:rPr>
                <w:rFonts w:ascii="Arial" w:cs="Arial" w:eastAsia="Arial" w:hAnsi="Arial"/>
                <w:sz w:val="18"/>
                <w:szCs w:val="18"/>
                <w:color w:val="auto"/>
                <w:w w:val="84"/>
              </w:rPr>
              <w:t>Value $.01 per share</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40" w:type="dxa"/>
            <w:vAlign w:val="bottom"/>
            <w:gridSpan w:val="4"/>
          </w:tcPr>
          <w:p>
            <w:pPr>
              <w:jc w:val="center"/>
              <w:ind w:right="804"/>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None</w:t>
            </w: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0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80" w:type="dxa"/>
            <w:vAlign w:val="bottom"/>
            <w:gridSpan w:val="2"/>
          </w:tcPr>
          <w:p>
            <w:pPr>
              <w:spacing w:after="0"/>
              <w:rPr>
                <w:sz w:val="14"/>
                <w:szCs w:val="14"/>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5">
            <w:col w:w="7700" w:space="160"/>
            <w:col w:w="260" w:space="80"/>
            <w:col w:w="160" w:space="180"/>
            <w:col w:w="220" w:space="80"/>
            <w:col w:w="2580"/>
          </w:cols>
          <w:pgMar w:left="240" w:top="314"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aggregate market value of the non-voting common stock held by non-affiliates of the registrant as of January 31, 2012, was approximately</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$1,441,914,982 based on closing sale price of $32.37 per share on that date as reported for the New York Stock Exchange. As of September 20, 2012, there were</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47,406,559 outstanding shares of Class A Nonvoting Common Stock (the “Class A Common Stock”), and 3,538,628 shares of Class B Common Stock. The Class</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color w:val="auto"/>
        </w:rPr>
        <w:t>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are filing this Amendment No. 1 on Form 10-K/A (this “Amendment”) to our Annual Report on Form 10-K for the fiscal year ended July 31, 2012, which was filed on September 27, 2012 (the “Original Form 10-K”), to amend and restate Exhibit 23 to correct a clerical error. This Amendment does not amend any other information set forth in the Original Form 10-K, and we have not updated the disclosures therein to reflect any events that may have occurred at a date subsequent to the date of the Original Form 10-K.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28th day of September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jc w:val="center"/>
        <w:ind w:left="4280"/>
        <w:spacing w:after="0"/>
        <w:rPr>
          <w:sz w:val="20"/>
          <w:szCs w:val="20"/>
          <w:color w:val="auto"/>
        </w:rPr>
      </w:pPr>
      <w:r>
        <w:rPr>
          <w:rFonts w:ascii="Arial" w:cs="Arial" w:eastAsia="Arial" w:hAnsi="Arial"/>
          <w:sz w:val="18"/>
          <w:szCs w:val="18"/>
          <w:color w:val="auto"/>
        </w:rPr>
        <w:t>By:  /</w:t>
      </w:r>
      <w:r>
        <w:rPr>
          <w:rFonts w:ascii="Arial" w:cs="Arial" w:eastAsia="Arial" w:hAnsi="Arial"/>
          <w:sz w:val="14"/>
          <w:szCs w:val="14"/>
          <w:color w:val="auto"/>
        </w:rPr>
        <w:t>S</w:t>
      </w:r>
      <w:r>
        <w:rPr>
          <w:rFonts w:ascii="Arial" w:cs="Arial" w:eastAsia="Arial" w:hAnsi="Arial"/>
          <w:sz w:val="18"/>
          <w:szCs w:val="18"/>
          <w:color w:val="auto"/>
        </w:rPr>
        <w:t>/ T</w:t>
      </w:r>
      <w:r>
        <w:rPr>
          <w:rFonts w:ascii="Arial" w:cs="Arial" w:eastAsia="Arial" w:hAnsi="Arial"/>
          <w:sz w:val="14"/>
          <w:szCs w:val="14"/>
          <w:color w:val="auto"/>
        </w:rPr>
        <w:t>HOMAS J</w:t>
      </w:r>
      <w:r>
        <w:rPr>
          <w:rFonts w:ascii="Arial" w:cs="Arial" w:eastAsia="Arial" w:hAnsi="Arial"/>
          <w:sz w:val="18"/>
          <w:szCs w:val="18"/>
          <w:color w:val="auto"/>
        </w:rPr>
        <w:t xml:space="preserve">. </w:t>
      </w:r>
      <w:r>
        <w:rPr>
          <w:rFonts w:ascii="Arial" w:cs="Arial" w:eastAsia="Arial" w:hAnsi="Arial"/>
          <w:sz w:val="14"/>
          <w:szCs w:val="14"/>
          <w:color w:val="auto"/>
        </w:rPr>
        <w:t>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(Principal Financial Officer)</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274"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Nos. 333-38857, 333-38859, 333-44505, 333-92417, 333-99615, 333-110949, 333-122867, 333-134503, 333-137686, 333-141402, 333-162538 and 333-177039 on Form S-8 and 333-177529 on Form S-3 of our reports dated September 27, 2012,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2019-12-09T09:07:40Z</dcterms:created>
  <dcterms:modified xsi:type="dcterms:W3CDTF">2019-12-09T09:07:40Z</dcterms:modified>
</cp:coreProperties>
</file>