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149860</wp:posOffset>
            </wp:positionV>
            <wp:extent cx="669734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97345" cy="24765"/>
                    </a:xfrm>
                    <a:prstGeom prst="rect">
                      <a:avLst/>
                    </a:prstGeom>
                    <a:noFill/>
                  </pic:spPr>
                </pic:pic>
              </a:graphicData>
            </a:graphic>
          </wp:anchor>
        </w:drawing>
      </w:r>
    </w:p>
    <w:p>
      <w:pPr>
        <w:spacing w:after="0" w:line="289"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3" w:lineRule="exact"/>
        <w:rPr>
          <w:sz w:val="20"/>
          <w:szCs w:val="20"/>
          <w:color w:val="auto"/>
        </w:rPr>
      </w:pPr>
    </w:p>
    <w:p>
      <w:pPr>
        <w:jc w:val="center"/>
        <w:ind w:right="-59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59690</wp:posOffset>
            </wp:positionV>
            <wp:extent cx="106743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67435" cy="6350"/>
                    </a:xfrm>
                    <a:prstGeom prst="rect">
                      <a:avLst/>
                    </a:prstGeom>
                    <a:noFill/>
                  </pic:spPr>
                </pic:pic>
              </a:graphicData>
            </a:graphic>
          </wp:anchor>
        </w:drawing>
      </w:r>
    </w:p>
    <w:p>
      <w:pPr>
        <w:spacing w:after="0" w:line="152" w:lineRule="exact"/>
        <w:rPr>
          <w:sz w:val="20"/>
          <w:szCs w:val="20"/>
          <w:color w:val="auto"/>
        </w:rPr>
      </w:pPr>
    </w:p>
    <w:p>
      <w:pPr>
        <w:ind w:left="5180"/>
        <w:spacing w:after="0"/>
        <w:rPr>
          <w:sz w:val="20"/>
          <w:szCs w:val="20"/>
          <w:color w:val="auto"/>
        </w:rPr>
      </w:pPr>
      <w:r>
        <w:rPr>
          <w:rFonts w:ascii="Arial" w:cs="Arial" w:eastAsia="Arial" w:hAnsi="Arial"/>
          <w:sz w:val="24"/>
          <w:szCs w:val="24"/>
          <w:b w:val="1"/>
          <w:bCs w:val="1"/>
          <w:color w:val="auto"/>
        </w:rPr>
        <w:t>Form 10-K</w:t>
      </w:r>
    </w:p>
    <w:p>
      <w:pPr>
        <w:spacing w:after="0" w:line="97" w:lineRule="exact"/>
        <w:rPr>
          <w:sz w:val="20"/>
          <w:szCs w:val="20"/>
          <w:color w:val="auto"/>
        </w:rPr>
      </w:pPr>
    </w:p>
    <w:p>
      <w:pPr>
        <w:ind w:left="1720" w:hanging="798"/>
        <w:spacing w:after="0"/>
        <w:tabs>
          <w:tab w:leader="none" w:pos="17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24" w:lineRule="exact"/>
        <w:rPr>
          <w:sz w:val="20"/>
          <w:szCs w:val="20"/>
          <w:color w:val="auto"/>
        </w:rPr>
      </w:pPr>
    </w:p>
    <w:p>
      <w:pPr>
        <w:ind w:left="1720"/>
        <w:spacing w:after="0"/>
        <w:rPr>
          <w:sz w:val="20"/>
          <w:szCs w:val="20"/>
          <w:color w:val="auto"/>
        </w:rPr>
      </w:pPr>
      <w:r>
        <w:rPr>
          <w:rFonts w:ascii="Arial" w:cs="Arial" w:eastAsia="Arial" w:hAnsi="Arial"/>
          <w:sz w:val="13"/>
          <w:szCs w:val="13"/>
          <w:b w:val="1"/>
          <w:bCs w:val="1"/>
          <w:color w:val="auto"/>
        </w:rPr>
        <w:t>For the fiscal year ended July 31, 2006</w:t>
      </w:r>
    </w:p>
    <w:p>
      <w:pPr>
        <w:spacing w:after="0" w:line="10"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OR</w:t>
      </w:r>
    </w:p>
    <w:p>
      <w:pPr>
        <w:spacing w:after="0" w:line="7" w:lineRule="exact"/>
        <w:rPr>
          <w:sz w:val="20"/>
          <w:szCs w:val="20"/>
          <w:color w:val="auto"/>
        </w:rPr>
      </w:pPr>
    </w:p>
    <w:p>
      <w:pPr>
        <w:ind w:left="1720" w:hanging="768"/>
        <w:spacing w:after="0"/>
        <w:tabs>
          <w:tab w:leader="none" w:pos="172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TRANSITION REPORT PURSUANT TO SECTION 13 OR 15(d) OF THE SECURITIES EXCHANGE ACT OF 1934</w:t>
      </w:r>
    </w:p>
    <w:p>
      <w:pPr>
        <w:sectPr>
          <w:pgSz w:w="11900" w:h="16838" w:orient="portrait"/>
          <w:cols w:equalWidth="0" w:num="1">
            <w:col w:w="10880"/>
          </w:cols>
          <w:pgMar w:left="220" w:top="127" w:right="799" w:bottom="1440" w:gutter="0" w:footer="0" w:header="0"/>
        </w:sectPr>
      </w:pPr>
    </w:p>
    <w:p>
      <w:pPr>
        <w:spacing w:after="0" w:line="14" w:lineRule="exact"/>
        <w:rPr>
          <w:sz w:val="20"/>
          <w:szCs w:val="20"/>
          <w:color w:val="auto"/>
        </w:rPr>
      </w:pPr>
    </w:p>
    <w:p>
      <w:pPr>
        <w:ind w:left="1720"/>
        <w:spacing w:after="0"/>
        <w:rPr>
          <w:sz w:val="20"/>
          <w:szCs w:val="20"/>
          <w:color w:val="auto"/>
        </w:rPr>
      </w:pPr>
      <w:r>
        <w:rPr>
          <w:rFonts w:ascii="Arial" w:cs="Arial" w:eastAsia="Arial" w:hAnsi="Arial"/>
          <w:sz w:val="12"/>
          <w:szCs w:val="12"/>
          <w:b w:val="1"/>
          <w:bCs w:val="1"/>
          <w:color w:val="auto"/>
        </w:rPr>
        <w:t>For the transition period 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to</w:t>
      </w:r>
    </w:p>
    <w:p>
      <w:pPr>
        <w:spacing w:after="0" w:line="98" w:lineRule="exact"/>
        <w:rPr>
          <w:sz w:val="20"/>
          <w:szCs w:val="20"/>
          <w:color w:val="auto"/>
        </w:rPr>
      </w:pPr>
    </w:p>
    <w:p>
      <w:pPr>
        <w:sectPr>
          <w:pgSz w:w="11900" w:h="16838" w:orient="portrait"/>
          <w:cols w:equalWidth="0" w:num="2">
            <w:col w:w="3420" w:space="360"/>
            <w:col w:w="7100"/>
          </w:cols>
          <w:pgMar w:left="220" w:top="127" w:right="799" w:bottom="1440" w:gutter="0" w:footer="0" w:header="0"/>
          <w:type w:val="continuous"/>
        </w:sectPr>
      </w:pPr>
    </w:p>
    <w:p>
      <w:pPr>
        <w:ind w:left="4820"/>
        <w:spacing w:after="0"/>
        <w:rPr>
          <w:sz w:val="20"/>
          <w:szCs w:val="20"/>
          <w:color w:val="auto"/>
        </w:rPr>
      </w:pPr>
      <w:r>
        <w:rPr>
          <w:rFonts w:ascii="Arial" w:cs="Arial" w:eastAsia="Arial" w:hAnsi="Arial"/>
          <w:sz w:val="11"/>
          <w:szCs w:val="11"/>
          <w:b w:val="1"/>
          <w:bCs w:val="1"/>
          <w:color w:val="auto"/>
        </w:rPr>
        <w:t>Commission file number 1-14959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90170</wp:posOffset>
            </wp:positionV>
            <wp:extent cx="106743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7435" cy="6350"/>
                    </a:xfrm>
                    <a:prstGeom prst="rect">
                      <a:avLst/>
                    </a:prstGeom>
                    <a:noFill/>
                  </pic:spPr>
                </pic:pic>
              </a:graphicData>
            </a:graphic>
          </wp:anchor>
        </w:drawing>
      </w:r>
    </w:p>
    <w:p>
      <w:pPr>
        <w:sectPr>
          <w:pgSz w:w="11900" w:h="16838" w:orient="portrait"/>
          <w:cols w:equalWidth="0" w:num="1">
            <w:col w:w="10880"/>
          </w:cols>
          <w:pgMar w:left="220" w:top="127" w:right="799" w:bottom="1440" w:gutter="0" w:footer="0" w:header="0"/>
          <w:type w:val="continuous"/>
        </w:sectPr>
      </w:pPr>
    </w:p>
    <w:p>
      <w:pPr>
        <w:spacing w:after="0" w:line="219" w:lineRule="exact"/>
        <w:rPr>
          <w:sz w:val="20"/>
          <w:szCs w:val="20"/>
          <w:color w:val="auto"/>
        </w:rPr>
      </w:pPr>
    </w:p>
    <w:tbl>
      <w:tblPr>
        <w:tblLayout w:type="fixed"/>
        <w:tblInd w:w="1420" w:type="dxa"/>
        <w:tblCellMar>
          <w:top w:w="0" w:type="dxa"/>
          <w:left w:w="0" w:type="dxa"/>
          <w:bottom w:w="0" w:type="dxa"/>
          <w:right w:w="0" w:type="dxa"/>
        </w:tblCellMar>
      </w:tblPr>
      <w:tr>
        <w:trPr>
          <w:trHeight w:val="382"/>
        </w:trPr>
        <w:tc>
          <w:tcPr>
            <w:tcW w:w="7800" w:type="dxa"/>
            <w:vAlign w:val="bottom"/>
            <w:gridSpan w:val="2"/>
          </w:tcPr>
          <w:p>
            <w:pPr>
              <w:jc w:val="center"/>
              <w:ind w:left="772"/>
              <w:spacing w:after="0"/>
              <w:rPr>
                <w:sz w:val="20"/>
                <w:szCs w:val="20"/>
                <w:color w:val="auto"/>
              </w:rPr>
            </w:pPr>
            <w:r>
              <w:rPr>
                <w:rFonts w:ascii="Arial" w:cs="Arial" w:eastAsia="Arial" w:hAnsi="Arial"/>
                <w:sz w:val="31"/>
                <w:szCs w:val="31"/>
                <w:b w:val="1"/>
                <w:bCs w:val="1"/>
                <w:color w:val="auto"/>
              </w:rPr>
              <w:t>BRADY CORPORATION</w:t>
            </w:r>
          </w:p>
        </w:tc>
      </w:tr>
      <w:tr>
        <w:trPr>
          <w:trHeight w:val="131"/>
        </w:trPr>
        <w:tc>
          <w:tcPr>
            <w:tcW w:w="7800" w:type="dxa"/>
            <w:vAlign w:val="bottom"/>
            <w:gridSpan w:val="2"/>
          </w:tcPr>
          <w:p>
            <w:pPr>
              <w:jc w:val="center"/>
              <w:ind w:left="752"/>
              <w:spacing w:after="0"/>
              <w:rPr>
                <w:sz w:val="20"/>
                <w:szCs w:val="20"/>
                <w:color w:val="auto"/>
              </w:rPr>
            </w:pPr>
            <w:r>
              <w:rPr>
                <w:rFonts w:ascii="Arial" w:cs="Arial" w:eastAsia="Arial" w:hAnsi="Arial"/>
                <w:sz w:val="10"/>
                <w:szCs w:val="10"/>
                <w:i w:val="1"/>
                <w:iCs w:val="1"/>
                <w:color w:val="auto"/>
                <w:w w:val="95"/>
              </w:rPr>
              <w:t>(Exact name of registrant as specified in charter)</w:t>
            </w:r>
          </w:p>
        </w:tc>
      </w:tr>
      <w:tr>
        <w:trPr>
          <w:trHeight w:val="232"/>
        </w:trPr>
        <w:tc>
          <w:tcPr>
            <w:tcW w:w="3440" w:type="dxa"/>
            <w:vAlign w:val="bottom"/>
          </w:tcPr>
          <w:p>
            <w:pPr>
              <w:jc w:val="center"/>
              <w:ind w:right="12"/>
              <w:spacing w:after="0"/>
              <w:rPr>
                <w:sz w:val="20"/>
                <w:szCs w:val="20"/>
                <w:color w:val="auto"/>
              </w:rPr>
            </w:pPr>
            <w:r>
              <w:rPr>
                <w:rFonts w:ascii="Arial" w:cs="Arial" w:eastAsia="Arial" w:hAnsi="Arial"/>
                <w:sz w:val="13"/>
                <w:szCs w:val="13"/>
                <w:b w:val="1"/>
                <w:bCs w:val="1"/>
                <w:color w:val="auto"/>
                <w:w w:val="86"/>
              </w:rPr>
              <w:t>Wisconsin</w:t>
            </w:r>
          </w:p>
        </w:tc>
        <w:tc>
          <w:tcPr>
            <w:tcW w:w="4360" w:type="dxa"/>
            <w:vAlign w:val="bottom"/>
          </w:tcPr>
          <w:p>
            <w:pPr>
              <w:jc w:val="right"/>
              <w:ind w:right="416"/>
              <w:spacing w:after="0"/>
              <w:rPr>
                <w:sz w:val="20"/>
                <w:szCs w:val="20"/>
                <w:color w:val="auto"/>
              </w:rPr>
            </w:pPr>
            <w:r>
              <w:rPr>
                <w:rFonts w:ascii="Arial" w:cs="Arial" w:eastAsia="Arial" w:hAnsi="Arial"/>
                <w:sz w:val="13"/>
                <w:szCs w:val="13"/>
                <w:b w:val="1"/>
                <w:bCs w:val="1"/>
                <w:color w:val="auto"/>
              </w:rPr>
              <w:t>39-0178960</w:t>
            </w:r>
          </w:p>
        </w:tc>
      </w:tr>
      <w:tr>
        <w:trPr>
          <w:trHeight w:val="108"/>
        </w:trPr>
        <w:tc>
          <w:tcPr>
            <w:tcW w:w="3440" w:type="dxa"/>
            <w:vAlign w:val="bottom"/>
          </w:tcPr>
          <w:p>
            <w:pPr>
              <w:jc w:val="center"/>
              <w:ind w:right="12"/>
              <w:spacing w:after="0" w:line="108" w:lineRule="exact"/>
              <w:rPr>
                <w:sz w:val="20"/>
                <w:szCs w:val="20"/>
                <w:color w:val="auto"/>
              </w:rPr>
            </w:pPr>
            <w:r>
              <w:rPr>
                <w:rFonts w:ascii="Arial" w:cs="Arial" w:eastAsia="Arial" w:hAnsi="Arial"/>
                <w:sz w:val="10"/>
                <w:szCs w:val="10"/>
                <w:i w:val="1"/>
                <w:iCs w:val="1"/>
                <w:color w:val="auto"/>
                <w:w w:val="99"/>
              </w:rPr>
              <w:t>(State or other jurisdiction of</w:t>
            </w:r>
          </w:p>
        </w:tc>
        <w:tc>
          <w:tcPr>
            <w:tcW w:w="4360" w:type="dxa"/>
            <w:vAlign w:val="bottom"/>
          </w:tcPr>
          <w:p>
            <w:pPr>
              <w:jc w:val="center"/>
              <w:ind w:left="2716"/>
              <w:spacing w:after="0" w:line="108" w:lineRule="exact"/>
              <w:rPr>
                <w:sz w:val="20"/>
                <w:szCs w:val="20"/>
                <w:color w:val="auto"/>
              </w:rPr>
            </w:pPr>
            <w:r>
              <w:rPr>
                <w:rFonts w:ascii="Arial" w:cs="Arial" w:eastAsia="Arial" w:hAnsi="Arial"/>
                <w:sz w:val="10"/>
                <w:szCs w:val="10"/>
                <w:i w:val="1"/>
                <w:iCs w:val="1"/>
                <w:color w:val="auto"/>
                <w:w w:val="97"/>
              </w:rPr>
              <w:t>(IRS Employer Identification No.)</w:t>
            </w:r>
          </w:p>
        </w:tc>
      </w:tr>
      <w:tr>
        <w:trPr>
          <w:trHeight w:val="131"/>
        </w:trPr>
        <w:tc>
          <w:tcPr>
            <w:tcW w:w="3440" w:type="dxa"/>
            <w:vAlign w:val="bottom"/>
          </w:tcPr>
          <w:p>
            <w:pPr>
              <w:jc w:val="center"/>
              <w:ind w:right="12"/>
              <w:spacing w:after="0"/>
              <w:rPr>
                <w:sz w:val="20"/>
                <w:szCs w:val="20"/>
                <w:color w:val="auto"/>
              </w:rPr>
            </w:pPr>
            <w:r>
              <w:rPr>
                <w:rFonts w:ascii="Arial" w:cs="Arial" w:eastAsia="Arial" w:hAnsi="Arial"/>
                <w:sz w:val="10"/>
                <w:szCs w:val="10"/>
                <w:i w:val="1"/>
                <w:iCs w:val="1"/>
                <w:color w:val="auto"/>
                <w:w w:val="98"/>
              </w:rPr>
              <w:t>incorporation or organization)</w:t>
            </w:r>
          </w:p>
        </w:tc>
        <w:tc>
          <w:tcPr>
            <w:tcW w:w="4360" w:type="dxa"/>
            <w:vAlign w:val="bottom"/>
          </w:tcPr>
          <w:p>
            <w:pPr>
              <w:spacing w:after="0"/>
              <w:rPr>
                <w:sz w:val="11"/>
                <w:szCs w:val="11"/>
                <w:color w:val="auto"/>
              </w:rPr>
            </w:pPr>
          </w:p>
        </w:tc>
      </w:tr>
      <w:tr>
        <w:trPr>
          <w:trHeight w:val="213"/>
        </w:trPr>
        <w:tc>
          <w:tcPr>
            <w:tcW w:w="3440" w:type="dxa"/>
            <w:vAlign w:val="bottom"/>
          </w:tcPr>
          <w:p>
            <w:pPr>
              <w:spacing w:after="0"/>
              <w:rPr>
                <w:sz w:val="18"/>
                <w:szCs w:val="18"/>
                <w:color w:val="auto"/>
              </w:rPr>
            </w:pPr>
          </w:p>
        </w:tc>
        <w:tc>
          <w:tcPr>
            <w:tcW w:w="4360" w:type="dxa"/>
            <w:vAlign w:val="bottom"/>
          </w:tcPr>
          <w:p>
            <w:pPr>
              <w:jc w:val="center"/>
              <w:ind w:right="2536"/>
              <w:spacing w:after="0"/>
              <w:rPr>
                <w:sz w:val="20"/>
                <w:szCs w:val="20"/>
                <w:color w:val="auto"/>
              </w:rPr>
            </w:pPr>
            <w:r>
              <w:rPr>
                <w:rFonts w:ascii="Arial" w:cs="Arial" w:eastAsia="Arial" w:hAnsi="Arial"/>
                <w:sz w:val="13"/>
                <w:szCs w:val="13"/>
                <w:b w:val="1"/>
                <w:bCs w:val="1"/>
                <w:color w:val="auto"/>
                <w:w w:val="90"/>
              </w:rPr>
              <w:t>6555 West Good Hope Road,</w:t>
            </w:r>
          </w:p>
        </w:tc>
      </w:tr>
      <w:tr>
        <w:trPr>
          <w:trHeight w:val="157"/>
        </w:trPr>
        <w:tc>
          <w:tcPr>
            <w:tcW w:w="3440" w:type="dxa"/>
            <w:vAlign w:val="bottom"/>
          </w:tcPr>
          <w:p>
            <w:pPr>
              <w:spacing w:after="0"/>
              <w:rPr>
                <w:sz w:val="13"/>
                <w:szCs w:val="13"/>
                <w:color w:val="auto"/>
              </w:rPr>
            </w:pPr>
          </w:p>
        </w:tc>
        <w:tc>
          <w:tcPr>
            <w:tcW w:w="4360" w:type="dxa"/>
            <w:vAlign w:val="bottom"/>
          </w:tcPr>
          <w:p>
            <w:pPr>
              <w:jc w:val="center"/>
              <w:ind w:right="2556"/>
              <w:spacing w:after="0"/>
              <w:rPr>
                <w:sz w:val="20"/>
                <w:szCs w:val="20"/>
                <w:color w:val="auto"/>
              </w:rPr>
            </w:pPr>
            <w:r>
              <w:rPr>
                <w:rFonts w:ascii="Arial" w:cs="Arial" w:eastAsia="Arial" w:hAnsi="Arial"/>
                <w:sz w:val="13"/>
                <w:szCs w:val="13"/>
                <w:b w:val="1"/>
                <w:bCs w:val="1"/>
                <w:color w:val="auto"/>
                <w:w w:val="95"/>
              </w:rPr>
              <w:t>Milwaukee, WI 53223</w:t>
            </w:r>
          </w:p>
        </w:tc>
      </w:tr>
      <w:tr>
        <w:trPr>
          <w:trHeight w:val="131"/>
        </w:trPr>
        <w:tc>
          <w:tcPr>
            <w:tcW w:w="7800" w:type="dxa"/>
            <w:vAlign w:val="bottom"/>
            <w:gridSpan w:val="2"/>
          </w:tcPr>
          <w:p>
            <w:pPr>
              <w:jc w:val="center"/>
              <w:ind w:left="772"/>
              <w:spacing w:after="0"/>
              <w:rPr>
                <w:sz w:val="20"/>
                <w:szCs w:val="20"/>
                <w:color w:val="auto"/>
              </w:rPr>
            </w:pPr>
            <w:r>
              <w:rPr>
                <w:rFonts w:ascii="Arial" w:cs="Arial" w:eastAsia="Arial" w:hAnsi="Arial"/>
                <w:sz w:val="10"/>
                <w:szCs w:val="10"/>
                <w:i w:val="1"/>
                <w:iCs w:val="1"/>
                <w:color w:val="auto"/>
                <w:w w:val="95"/>
              </w:rPr>
              <w:t>(Address of principal executive offices) (Zip Code)</w:t>
            </w:r>
          </w:p>
        </w:tc>
      </w:tr>
      <w:tr>
        <w:trPr>
          <w:trHeight w:val="213"/>
        </w:trPr>
        <w:tc>
          <w:tcPr>
            <w:tcW w:w="3440" w:type="dxa"/>
            <w:vAlign w:val="bottom"/>
          </w:tcPr>
          <w:p>
            <w:pPr>
              <w:spacing w:after="0"/>
              <w:rPr>
                <w:sz w:val="18"/>
                <w:szCs w:val="18"/>
                <w:color w:val="auto"/>
              </w:rPr>
            </w:pPr>
          </w:p>
        </w:tc>
        <w:tc>
          <w:tcPr>
            <w:tcW w:w="4360" w:type="dxa"/>
            <w:vAlign w:val="bottom"/>
          </w:tcPr>
          <w:p>
            <w:pPr>
              <w:jc w:val="center"/>
              <w:ind w:right="2556"/>
              <w:spacing w:after="0"/>
              <w:rPr>
                <w:sz w:val="20"/>
                <w:szCs w:val="20"/>
                <w:color w:val="auto"/>
              </w:rPr>
            </w:pPr>
            <w:r>
              <w:rPr>
                <w:rFonts w:ascii="Arial" w:cs="Arial" w:eastAsia="Arial" w:hAnsi="Arial"/>
                <w:sz w:val="13"/>
                <w:szCs w:val="13"/>
                <w:b w:val="1"/>
                <w:bCs w:val="1"/>
                <w:color w:val="auto"/>
                <w:w w:val="92"/>
              </w:rPr>
              <w:t>(414) 358-6600</w:t>
            </w:r>
          </w:p>
        </w:tc>
      </w:tr>
      <w:tr>
        <w:trPr>
          <w:trHeight w:val="131"/>
        </w:trPr>
        <w:tc>
          <w:tcPr>
            <w:tcW w:w="7800" w:type="dxa"/>
            <w:vAlign w:val="bottom"/>
            <w:gridSpan w:val="2"/>
          </w:tcPr>
          <w:p>
            <w:pPr>
              <w:jc w:val="center"/>
              <w:ind w:left="752"/>
              <w:spacing w:after="0"/>
              <w:rPr>
                <w:sz w:val="20"/>
                <w:szCs w:val="20"/>
                <w:color w:val="auto"/>
              </w:rPr>
            </w:pPr>
            <w:r>
              <w:rPr>
                <w:rFonts w:ascii="Arial" w:cs="Arial" w:eastAsia="Arial" w:hAnsi="Arial"/>
                <w:sz w:val="10"/>
                <w:szCs w:val="10"/>
                <w:i w:val="1"/>
                <w:iCs w:val="1"/>
                <w:color w:val="auto"/>
                <w:w w:val="94"/>
              </w:rPr>
              <w:t>(Registrant’s telephone number, including area code)</w:t>
            </w:r>
          </w:p>
        </w:tc>
      </w:tr>
      <w:tr>
        <w:trPr>
          <w:trHeight w:val="214"/>
        </w:trPr>
        <w:tc>
          <w:tcPr>
            <w:tcW w:w="7800" w:type="dxa"/>
            <w:vAlign w:val="bottom"/>
            <w:gridSpan w:val="2"/>
          </w:tcPr>
          <w:p>
            <w:pPr>
              <w:jc w:val="center"/>
              <w:ind w:left="772"/>
              <w:spacing w:after="0"/>
              <w:rPr>
                <w:sz w:val="20"/>
                <w:szCs w:val="20"/>
                <w:color w:val="auto"/>
              </w:rPr>
            </w:pPr>
            <w:r>
              <w:rPr>
                <w:rFonts w:ascii="Arial" w:cs="Arial" w:eastAsia="Arial" w:hAnsi="Arial"/>
                <w:sz w:val="13"/>
                <w:szCs w:val="13"/>
                <w:b w:val="1"/>
                <w:bCs w:val="1"/>
                <w:color w:val="auto"/>
                <w:w w:val="89"/>
              </w:rPr>
              <w:t>Securities registered pursuant to Section 12(b) of the Act:</w:t>
            </w:r>
          </w:p>
        </w:tc>
      </w:tr>
      <w:tr>
        <w:trPr>
          <w:trHeight w:val="256"/>
        </w:trPr>
        <w:tc>
          <w:tcPr>
            <w:tcW w:w="3440" w:type="dxa"/>
            <w:vAlign w:val="bottom"/>
          </w:tcPr>
          <w:p>
            <w:pPr>
              <w:ind w:left="1660"/>
              <w:spacing w:after="0"/>
              <w:rPr>
                <w:sz w:val="20"/>
                <w:szCs w:val="20"/>
                <w:color w:val="auto"/>
              </w:rPr>
            </w:pPr>
            <w:r>
              <w:rPr>
                <w:rFonts w:ascii="Arial" w:cs="Arial" w:eastAsia="Arial" w:hAnsi="Arial"/>
                <w:sz w:val="13"/>
                <w:szCs w:val="13"/>
                <w:b w:val="1"/>
                <w:bCs w:val="1"/>
                <w:color w:val="auto"/>
              </w:rPr>
              <w:t>Title of each class</w:t>
            </w:r>
          </w:p>
        </w:tc>
        <w:tc>
          <w:tcPr>
            <w:tcW w:w="4360" w:type="dxa"/>
            <w:vAlign w:val="bottom"/>
          </w:tcPr>
          <w:p>
            <w:pPr>
              <w:ind w:left="1080"/>
              <w:spacing w:after="0"/>
              <w:rPr>
                <w:sz w:val="20"/>
                <w:szCs w:val="20"/>
                <w:color w:val="auto"/>
              </w:rPr>
            </w:pPr>
            <w:r>
              <w:rPr>
                <w:rFonts w:ascii="Arial" w:cs="Arial" w:eastAsia="Arial" w:hAnsi="Arial"/>
                <w:sz w:val="13"/>
                <w:szCs w:val="13"/>
                <w:b w:val="1"/>
                <w:bCs w:val="1"/>
                <w:color w:val="auto"/>
              </w:rPr>
              <w:t>Name of each exchange on which registered</w:t>
            </w:r>
          </w:p>
        </w:tc>
      </w:tr>
      <w:tr>
        <w:trPr>
          <w:trHeight w:val="216"/>
        </w:trPr>
        <w:tc>
          <w:tcPr>
            <w:tcW w:w="3440" w:type="dxa"/>
            <w:vAlign w:val="bottom"/>
          </w:tcPr>
          <w:p>
            <w:pPr>
              <w:jc w:val="center"/>
              <w:ind w:right="12"/>
              <w:spacing w:after="0"/>
              <w:rPr>
                <w:sz w:val="20"/>
                <w:szCs w:val="20"/>
                <w:color w:val="auto"/>
              </w:rPr>
            </w:pPr>
            <w:r>
              <w:rPr>
                <w:rFonts w:ascii="Arial" w:cs="Arial" w:eastAsia="Arial" w:hAnsi="Arial"/>
                <w:sz w:val="13"/>
                <w:szCs w:val="13"/>
                <w:b w:val="1"/>
                <w:bCs w:val="1"/>
                <w:color w:val="auto"/>
                <w:w w:val="90"/>
              </w:rPr>
              <w:t>Class A Nonvoting Common Stock, Par Value $.01 per share</w:t>
            </w:r>
          </w:p>
        </w:tc>
        <w:tc>
          <w:tcPr>
            <w:tcW w:w="4360" w:type="dxa"/>
            <w:vAlign w:val="bottom"/>
          </w:tcPr>
          <w:p>
            <w:pPr>
              <w:ind w:left="2880"/>
              <w:spacing w:after="0"/>
              <w:rPr>
                <w:sz w:val="20"/>
                <w:szCs w:val="20"/>
                <w:color w:val="auto"/>
              </w:rPr>
            </w:pPr>
            <w:r>
              <w:rPr>
                <w:rFonts w:ascii="Arial" w:cs="Arial" w:eastAsia="Arial" w:hAnsi="Arial"/>
                <w:sz w:val="13"/>
                <w:szCs w:val="13"/>
                <w:b w:val="1"/>
                <w:bCs w:val="1"/>
                <w:color w:val="auto"/>
                <w:w w:val="89"/>
              </w:rPr>
              <w:t>New York Stock Exchange</w:t>
            </w:r>
          </w:p>
        </w:tc>
      </w:tr>
      <w:tr>
        <w:trPr>
          <w:trHeight w:val="224"/>
        </w:trPr>
        <w:tc>
          <w:tcPr>
            <w:tcW w:w="7800" w:type="dxa"/>
            <w:vAlign w:val="bottom"/>
            <w:gridSpan w:val="2"/>
          </w:tcPr>
          <w:p>
            <w:pPr>
              <w:jc w:val="center"/>
              <w:ind w:left="772"/>
              <w:spacing w:after="0"/>
              <w:rPr>
                <w:sz w:val="20"/>
                <w:szCs w:val="20"/>
                <w:color w:val="auto"/>
              </w:rPr>
            </w:pPr>
            <w:r>
              <w:rPr>
                <w:rFonts w:ascii="Arial" w:cs="Arial" w:eastAsia="Arial" w:hAnsi="Arial"/>
                <w:sz w:val="13"/>
                <w:szCs w:val="13"/>
                <w:b w:val="1"/>
                <w:bCs w:val="1"/>
                <w:color w:val="auto"/>
                <w:w w:val="89"/>
              </w:rPr>
              <w:t>Securities registered pursuant to Section 12(g) of the Act:</w:t>
            </w:r>
          </w:p>
        </w:tc>
      </w:tr>
      <w:tr>
        <w:trPr>
          <w:trHeight w:val="169"/>
        </w:trPr>
        <w:tc>
          <w:tcPr>
            <w:tcW w:w="3440" w:type="dxa"/>
            <w:vAlign w:val="bottom"/>
          </w:tcPr>
          <w:p>
            <w:pPr>
              <w:spacing w:after="0"/>
              <w:rPr>
                <w:sz w:val="14"/>
                <w:szCs w:val="14"/>
                <w:color w:val="auto"/>
              </w:rPr>
            </w:pPr>
          </w:p>
        </w:tc>
        <w:tc>
          <w:tcPr>
            <w:tcW w:w="4360" w:type="dxa"/>
            <w:vAlign w:val="bottom"/>
          </w:tcPr>
          <w:p>
            <w:pPr>
              <w:jc w:val="center"/>
              <w:ind w:right="2556"/>
              <w:spacing w:after="0"/>
              <w:rPr>
                <w:sz w:val="20"/>
                <w:szCs w:val="20"/>
                <w:color w:val="auto"/>
              </w:rPr>
            </w:pPr>
            <w:r>
              <w:rPr>
                <w:rFonts w:ascii="Arial" w:cs="Arial" w:eastAsia="Arial" w:hAnsi="Arial"/>
                <w:sz w:val="13"/>
                <w:szCs w:val="13"/>
                <w:b w:val="1"/>
                <w:bCs w:val="1"/>
                <w:color w:val="auto"/>
                <w:w w:val="92"/>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1952625</wp:posOffset>
            </wp:positionH>
            <wp:positionV relativeFrom="paragraph">
              <wp:posOffset>-379095</wp:posOffset>
            </wp:positionV>
            <wp:extent cx="3111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6350"/>
                    </a:xfrm>
                    <a:prstGeom prst="rect">
                      <a:avLst/>
                    </a:prstGeom>
                    <a:noFill/>
                  </pic:spPr>
                </pic:pic>
              </a:graphicData>
            </a:graphic>
          </wp:anchor>
        </w:drawing>
        <w:drawing>
          <wp:anchor simplePos="0" relativeHeight="251657728" behindDoc="1" locked="0" layoutInCell="0" allowOverlap="1">
            <wp:simplePos x="0" y="0"/>
            <wp:positionH relativeFrom="column">
              <wp:posOffset>3775075</wp:posOffset>
            </wp:positionH>
            <wp:positionV relativeFrom="paragraph">
              <wp:posOffset>-379095</wp:posOffset>
            </wp:positionV>
            <wp:extent cx="3111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15" cy="6350"/>
                    </a:xfrm>
                    <a:prstGeom prst="rect">
                      <a:avLst/>
                    </a:prstGeom>
                    <a:noFill/>
                  </pic:spPr>
                </pic:pic>
              </a:graphicData>
            </a:graphic>
          </wp:anchor>
        </w:drawing>
      </w:r>
    </w:p>
    <w:p>
      <w:pPr>
        <w:sectPr>
          <w:pgSz w:w="11900" w:h="16838" w:orient="portrait"/>
          <w:cols w:equalWidth="0" w:num="1">
            <w:col w:w="10880"/>
          </w:cols>
          <w:pgMar w:left="220" w:top="127" w:right="799" w:bottom="1440" w:gutter="0" w:footer="0" w:header="0"/>
          <w:type w:val="continuous"/>
        </w:sectPr>
      </w:pPr>
    </w:p>
    <w:p>
      <w:pPr>
        <w:spacing w:after="0" w:line="56" w:lineRule="exact"/>
        <w:rPr>
          <w:sz w:val="20"/>
          <w:szCs w:val="20"/>
          <w:color w:val="auto"/>
        </w:rPr>
      </w:pPr>
    </w:p>
    <w:p>
      <w:pPr>
        <w:ind w:left="780"/>
        <w:spacing w:after="0" w:line="127" w:lineRule="exact"/>
        <w:rPr>
          <w:sz w:val="20"/>
          <w:szCs w:val="20"/>
          <w:color w:val="auto"/>
        </w:rPr>
      </w:pPr>
      <w:r>
        <w:rPr>
          <w:rFonts w:ascii="Arial" w:cs="Arial" w:eastAsia="Arial" w:hAnsi="Arial"/>
          <w:sz w:val="11"/>
          <w:szCs w:val="11"/>
          <w:color w:val="auto"/>
        </w:rPr>
        <w:t xml:space="preserve">Indicate by check mark if the registrant is a well-known seasoned issuer, as defined in Rule 405 of the Securities Act. Yes </w:t>
      </w:r>
      <w:r>
        <w:rPr>
          <w:rFonts w:ascii="MS PGothic" w:cs="MS PGothic" w:eastAsia="MS PGothic" w:hAnsi="MS PGothic"/>
          <w:sz w:val="11"/>
          <w:szCs w:val="11"/>
          <w:color w:val="auto"/>
        </w:rPr>
        <w:t>☑</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12"/>
          <w:szCs w:val="12"/>
          <w:color w:val="auto"/>
        </w:rPr>
        <w:t>No o</w:t>
      </w:r>
    </w:p>
    <w:p>
      <w:pPr>
        <w:spacing w:after="0" w:line="83" w:lineRule="exact"/>
        <w:rPr>
          <w:sz w:val="20"/>
          <w:szCs w:val="20"/>
          <w:color w:val="auto"/>
        </w:rPr>
      </w:pPr>
    </w:p>
    <w:p>
      <w:pPr>
        <w:sectPr>
          <w:pgSz w:w="11900" w:h="16838" w:orient="portrait"/>
          <w:cols w:equalWidth="0" w:num="2">
            <w:col w:w="7320" w:space="160"/>
            <w:col w:w="3400"/>
          </w:cols>
          <w:pgMar w:left="220" w:top="127" w:right="799" w:bottom="1440" w:gutter="0" w:footer="0" w:header="0"/>
          <w:type w:val="continuous"/>
        </w:sectPr>
      </w:pPr>
    </w:p>
    <w:p>
      <w:pPr>
        <w:spacing w:after="0" w:line="25" w:lineRule="exact"/>
        <w:rPr>
          <w:sz w:val="20"/>
          <w:szCs w:val="20"/>
          <w:color w:val="auto"/>
        </w:rPr>
      </w:pPr>
    </w:p>
    <w:p>
      <w:pPr>
        <w:ind w:left="780"/>
        <w:spacing w:after="0"/>
        <w:rPr>
          <w:sz w:val="20"/>
          <w:szCs w:val="20"/>
          <w:color w:val="auto"/>
        </w:rPr>
      </w:pPr>
      <w:r>
        <w:rPr>
          <w:rFonts w:ascii="Arial" w:cs="Arial" w:eastAsia="Arial" w:hAnsi="Arial"/>
          <w:sz w:val="12"/>
          <w:szCs w:val="12"/>
          <w:color w:val="auto"/>
        </w:rPr>
        <w:t>Indicate by check mark if the registrant is not required to file reports pursuant to Section 13 or Section 15(d) of the Act. Yes o</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r>
        <w:rPr>
          <w:rFonts w:ascii="Arial" w:cs="Arial" w:eastAsia="Arial" w:hAnsi="Arial"/>
          <w:sz w:val="11"/>
          <w:szCs w:val="11"/>
          <w:color w:val="auto"/>
        </w:rPr>
        <w:t xml:space="preserve">No </w:t>
      </w:r>
      <w:r>
        <w:rPr>
          <w:rFonts w:ascii="MS PGothic" w:cs="MS PGothic" w:eastAsia="MS PGothic" w:hAnsi="MS PGothic"/>
          <w:sz w:val="11"/>
          <w:szCs w:val="11"/>
          <w:color w:val="auto"/>
        </w:rPr>
        <w:t>☑</w:t>
      </w:r>
    </w:p>
    <w:p>
      <w:pPr>
        <w:spacing w:after="0" w:line="144" w:lineRule="exact"/>
        <w:rPr>
          <w:sz w:val="20"/>
          <w:szCs w:val="20"/>
          <w:color w:val="auto"/>
        </w:rPr>
      </w:pPr>
    </w:p>
    <w:p>
      <w:pPr>
        <w:sectPr>
          <w:pgSz w:w="11900" w:h="16838" w:orient="portrait"/>
          <w:cols w:equalWidth="0" w:num="2">
            <w:col w:w="7400" w:space="160"/>
            <w:col w:w="3320"/>
          </w:cols>
          <w:pgMar w:left="220" w:top="127" w:right="799" w:bottom="1440" w:gutter="0" w:footer="0" w:header="0"/>
          <w:type w:val="continuous"/>
        </w:sectPr>
      </w:pPr>
    </w:p>
    <w:p>
      <w:pPr>
        <w:ind w:left="460" w:right="80" w:firstLine="317"/>
        <w:spacing w:after="0" w:line="169"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65" w:lineRule="exact"/>
        <w:rPr>
          <w:sz w:val="20"/>
          <w:szCs w:val="20"/>
          <w:color w:val="auto"/>
        </w:rPr>
      </w:pPr>
    </w:p>
    <w:p>
      <w:pPr>
        <w:ind w:left="460" w:right="120" w:firstLine="317"/>
        <w:spacing w:after="0" w:line="169"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spacing w:after="0" w:line="65" w:lineRule="exact"/>
        <w:rPr>
          <w:sz w:val="20"/>
          <w:szCs w:val="20"/>
          <w:color w:val="auto"/>
        </w:rPr>
      </w:pPr>
    </w:p>
    <w:p>
      <w:pPr>
        <w:ind w:left="780"/>
        <w:spacing w:after="0"/>
        <w:rPr>
          <w:sz w:val="20"/>
          <w:szCs w:val="20"/>
          <w:color w:val="auto"/>
        </w:rPr>
      </w:pPr>
      <w:r>
        <w:rPr>
          <w:rFonts w:ascii="Arial" w:cs="Arial" w:eastAsia="Arial" w:hAnsi="Arial"/>
          <w:sz w:val="12"/>
          <w:szCs w:val="12"/>
          <w:color w:val="auto"/>
        </w:rPr>
        <w:t>Indicate by check mark whether the registrant is a large accelerated filer, an accelerated filer, or a non-accelerated filer. See definition of “accelerated filer and large accelerated filer” in</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3"/>
          <w:szCs w:val="13"/>
          <w:color w:val="auto"/>
        </w:rPr>
        <w:t>Rule 12b-2 of the Exchange Act. (Check one):</w:t>
      </w:r>
    </w:p>
    <w:p>
      <w:pPr>
        <w:sectPr>
          <w:pgSz w:w="11900" w:h="16838" w:orient="portrait"/>
          <w:cols w:equalWidth="0" w:num="1">
            <w:col w:w="10880"/>
          </w:cols>
          <w:pgMar w:left="220" w:top="127" w:right="799" w:bottom="1440" w:gutter="0" w:footer="0" w:header="0"/>
          <w:type w:val="continuous"/>
        </w:sectPr>
      </w:pPr>
    </w:p>
    <w:p>
      <w:pPr>
        <w:spacing w:after="0" w:line="54" w:lineRule="exact"/>
        <w:rPr>
          <w:sz w:val="20"/>
          <w:szCs w:val="20"/>
          <w:color w:val="auto"/>
        </w:rPr>
      </w:pPr>
    </w:p>
    <w:p>
      <w:pPr>
        <w:ind w:left="3640"/>
        <w:spacing w:after="0" w:line="127" w:lineRule="exact"/>
        <w:rPr>
          <w:sz w:val="20"/>
          <w:szCs w:val="20"/>
          <w:color w:val="auto"/>
        </w:rPr>
      </w:pPr>
      <w:r>
        <w:rPr>
          <w:rFonts w:ascii="Arial" w:cs="Arial" w:eastAsia="Arial" w:hAnsi="Arial"/>
          <w:sz w:val="11"/>
          <w:szCs w:val="11"/>
          <w:color w:val="auto"/>
        </w:rPr>
        <w:t xml:space="preserve">Large accelerated filer </w:t>
      </w:r>
      <w:r>
        <w:rPr>
          <w:rFonts w:ascii="MS PGothic" w:cs="MS PGothic" w:eastAsia="MS PGothic" w:hAnsi="MS PGothic"/>
          <w:sz w:val="11"/>
          <w:szCs w:val="11"/>
          <w:color w:val="auto"/>
        </w:rPr>
        <w:t>☑</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Accelerated filer o</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Arial" w:cs="Arial" w:eastAsia="Arial" w:hAnsi="Arial"/>
          <w:sz w:val="12"/>
          <w:szCs w:val="12"/>
          <w:color w:val="auto"/>
        </w:rPr>
        <w:t>Non-accelerated filer o</w:t>
      </w:r>
    </w:p>
    <w:p>
      <w:pPr>
        <w:spacing w:after="0" w:line="83" w:lineRule="exact"/>
        <w:rPr>
          <w:sz w:val="20"/>
          <w:szCs w:val="20"/>
          <w:color w:val="auto"/>
        </w:rPr>
      </w:pPr>
    </w:p>
    <w:p>
      <w:pPr>
        <w:sectPr>
          <w:pgSz w:w="11900" w:h="16838" w:orient="portrait"/>
          <w:cols w:equalWidth="0" w:num="3">
            <w:col w:w="4960" w:space="360"/>
            <w:col w:w="980" w:space="320"/>
            <w:col w:w="4260"/>
          </w:cols>
          <w:pgMar w:left="220" w:top="127" w:right="799" w:bottom="1440" w:gutter="0" w:footer="0" w:header="0"/>
          <w:type w:val="continuous"/>
        </w:sectPr>
      </w:pPr>
    </w:p>
    <w:p>
      <w:pPr>
        <w:spacing w:after="0" w:line="25" w:lineRule="exact"/>
        <w:rPr>
          <w:sz w:val="20"/>
          <w:szCs w:val="20"/>
          <w:color w:val="auto"/>
        </w:rPr>
      </w:pPr>
    </w:p>
    <w:p>
      <w:pPr>
        <w:ind w:left="780"/>
        <w:spacing w:after="0"/>
        <w:rPr>
          <w:sz w:val="20"/>
          <w:szCs w:val="20"/>
          <w:color w:val="auto"/>
        </w:rPr>
      </w:pPr>
      <w:r>
        <w:rPr>
          <w:rFonts w:ascii="Arial" w:cs="Arial" w:eastAsia="Arial" w:hAnsi="Arial"/>
          <w:sz w:val="11"/>
          <w:szCs w:val="11"/>
          <w:color w:val="auto"/>
        </w:rPr>
        <w:t>Indicate by check mark whether the registrant is a shell company (as defined in Rule 12b-2 of the Act). Yes o</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132" w:lineRule="exact"/>
        <w:rPr>
          <w:sz w:val="20"/>
          <w:szCs w:val="20"/>
          <w:color w:val="auto"/>
        </w:rPr>
      </w:pPr>
    </w:p>
    <w:p>
      <w:pPr>
        <w:sectPr>
          <w:pgSz w:w="11900" w:h="16838" w:orient="portrait"/>
          <w:cols w:equalWidth="0" w:num="2">
            <w:col w:w="6520" w:space="160"/>
            <w:col w:w="4200"/>
          </w:cols>
          <w:pgMar w:left="220" w:top="127" w:right="799" w:bottom="1440" w:gutter="0" w:footer="0" w:header="0"/>
          <w:type w:val="continuous"/>
        </w:sectPr>
      </w:pPr>
    </w:p>
    <w:p>
      <w:pPr>
        <w:ind w:left="780"/>
        <w:spacing w:after="0"/>
        <w:rPr>
          <w:sz w:val="20"/>
          <w:szCs w:val="20"/>
          <w:color w:val="auto"/>
        </w:rPr>
      </w:pPr>
      <w:r>
        <w:rPr>
          <w:rFonts w:ascii="Arial" w:cs="Arial" w:eastAsia="Arial" w:hAnsi="Arial"/>
          <w:sz w:val="12"/>
          <w:szCs w:val="12"/>
          <w:color w:val="auto"/>
        </w:rPr>
        <w:t>The aggregate market value of the non-voting common stock held by non-affiliates of the registrant as of January 31, 2006 was approximately $1,652,282,432 (based on closing sale price of</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1"/>
          <w:szCs w:val="11"/>
          <w:color w:val="auto"/>
        </w:rPr>
        <w:t>$39.77 per share on that date as reported for the New York Stock Exchange). As of September 29, 2006, there were outstanding 50,192,742 shares of Class A Nonvoting Common Stock (the “Class A</w:t>
      </w:r>
    </w:p>
    <w:p>
      <w:pPr>
        <w:spacing w:after="0" w:line="31" w:lineRule="exact"/>
        <w:rPr>
          <w:sz w:val="20"/>
          <w:szCs w:val="20"/>
          <w:color w:val="auto"/>
        </w:rPr>
      </w:pPr>
    </w:p>
    <w:p>
      <w:pPr>
        <w:ind w:left="460"/>
        <w:spacing w:after="0"/>
        <w:rPr>
          <w:sz w:val="20"/>
          <w:szCs w:val="20"/>
          <w:color w:val="auto"/>
        </w:rPr>
      </w:pPr>
      <w:r>
        <w:rPr>
          <w:rFonts w:ascii="Arial" w:cs="Arial" w:eastAsia="Arial" w:hAnsi="Arial"/>
          <w:sz w:val="13"/>
          <w:szCs w:val="13"/>
          <w:color w:val="auto"/>
        </w:rPr>
        <w:t>Common Stock”), and 3,538,628 shares of Class B Common Stock. The Class B Common Stock, all of which is held by affiliates of the registrant, is the only voting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80645</wp:posOffset>
            </wp:positionV>
            <wp:extent cx="6697345" cy="18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97345" cy="184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196215</wp:posOffset>
            </wp:positionV>
            <wp:extent cx="729043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80"/>
          </w:cols>
          <w:pgMar w:left="220" w:top="127" w:right="799" w:bottom="1440" w:gutter="0" w:footer="0" w:header="0"/>
          <w:type w:val="continuous"/>
        </w:sectPr>
      </w:pPr>
    </w:p>
    <w:bookmarkStart w:id="2" w:name="page3"/>
    <w:bookmarkEnd w:id="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20" w:type="dxa"/>
            <w:vAlign w:val="bottom"/>
            <w:gridSpan w:val="7"/>
          </w:tcPr>
          <w:p>
            <w:pPr>
              <w:jc w:val="center"/>
              <w:ind w:right="4300"/>
              <w:spacing w:after="0"/>
              <w:rPr>
                <w:sz w:val="20"/>
                <w:szCs w:val="20"/>
                <w:color w:val="auto"/>
              </w:rPr>
            </w:pPr>
            <w:r>
              <w:rPr>
                <w:rFonts w:ascii="Arial" w:cs="Arial" w:eastAsia="Arial" w:hAnsi="Arial"/>
                <w:sz w:val="13"/>
                <w:szCs w:val="13"/>
                <w:b w:val="1"/>
                <w:bCs w:val="1"/>
                <w:color w:val="auto"/>
              </w:rPr>
              <w:t>INDEX</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453"/>
        </w:trPr>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80" w:type="dxa"/>
            <w:vAlign w:val="bottom"/>
            <w:gridSpan w:val="2"/>
          </w:tcPr>
          <w:p>
            <w:pPr>
              <w:jc w:val="right"/>
              <w:ind w:right="940"/>
              <w:spacing w:after="0"/>
              <w:rPr>
                <w:sz w:val="20"/>
                <w:szCs w:val="20"/>
                <w:color w:val="auto"/>
              </w:rPr>
            </w:pPr>
            <w:r>
              <w:rPr>
                <w:rFonts w:ascii="Arial" w:cs="Arial" w:eastAsia="Arial" w:hAnsi="Arial"/>
                <w:sz w:val="10"/>
                <w:szCs w:val="10"/>
                <w:b w:val="1"/>
                <w:bCs w:val="1"/>
                <w:color w:val="auto"/>
              </w:rPr>
              <w:t>Page</w:t>
            </w:r>
          </w:p>
        </w:tc>
      </w:tr>
      <w:tr>
        <w:trPr>
          <w:trHeight w:val="157"/>
        </w:trPr>
        <w:tc>
          <w:tcPr>
            <w:tcW w:w="1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20" w:type="dxa"/>
            <w:vAlign w:val="bottom"/>
            <w:gridSpan w:val="7"/>
          </w:tcPr>
          <w:p>
            <w:pPr>
              <w:jc w:val="center"/>
              <w:ind w:right="4300"/>
              <w:spacing w:after="0"/>
              <w:rPr>
                <w:rFonts w:ascii="Arial" w:cs="Arial" w:eastAsia="Arial" w:hAnsi="Arial"/>
                <w:sz w:val="13"/>
                <w:szCs w:val="13"/>
                <w:b w:val="1"/>
                <w:bCs w:val="1"/>
                <w:color w:val="0000EE"/>
                <w:w w:val="98"/>
              </w:rPr>
            </w:pPr>
            <w:hyperlink w:anchor="page5">
              <w:r>
                <w:rPr>
                  <w:rFonts w:ascii="Arial" w:cs="Arial" w:eastAsia="Arial" w:hAnsi="Arial"/>
                  <w:sz w:val="13"/>
                  <w:szCs w:val="13"/>
                  <w:b w:val="1"/>
                  <w:bCs w:val="1"/>
                  <w:color w:val="0000EE"/>
                  <w:w w:val="98"/>
                </w:rPr>
                <w:t>PART I</w:t>
              </w:r>
            </w:hyperlink>
          </w:p>
        </w:tc>
        <w:tc>
          <w:tcPr>
            <w:tcW w:w="480" w:type="dxa"/>
            <w:vAlign w:val="bottom"/>
            <w:tcBorders>
              <w:top w:val="single" w:sz="8" w:color="auto"/>
            </w:tcBorders>
          </w:tcPr>
          <w:p>
            <w:pPr>
              <w:spacing w:after="0"/>
              <w:rPr>
                <w:sz w:val="13"/>
                <w:szCs w:val="13"/>
                <w:color w:val="auto"/>
              </w:rPr>
            </w:pPr>
          </w:p>
        </w:tc>
        <w:tc>
          <w:tcPr>
            <w:tcW w:w="800" w:type="dxa"/>
            <w:vAlign w:val="bottom"/>
          </w:tcPr>
          <w:p>
            <w:pPr>
              <w:spacing w:after="0"/>
              <w:rPr>
                <w:sz w:val="13"/>
                <w:szCs w:val="13"/>
                <w:color w:val="auto"/>
              </w:rPr>
            </w:pPr>
          </w:p>
        </w:tc>
      </w:tr>
      <w:tr>
        <w:trPr>
          <w:trHeight w:val="137"/>
        </w:trPr>
        <w:tc>
          <w:tcPr>
            <w:tcW w:w="1060" w:type="dxa"/>
            <w:vAlign w:val="bottom"/>
          </w:tcPr>
          <w:p>
            <w:pPr>
              <w:spacing w:after="0"/>
              <w:rPr>
                <w:sz w:val="11"/>
                <w:szCs w:val="11"/>
                <w:color w:val="auto"/>
              </w:rPr>
            </w:pPr>
          </w:p>
        </w:tc>
        <w:tc>
          <w:tcPr>
            <w:tcW w:w="1040" w:type="dxa"/>
            <w:vAlign w:val="bottom"/>
            <w:gridSpan w:val="4"/>
          </w:tcPr>
          <w:p>
            <w:pPr>
              <w:spacing w:after="0" w:line="138" w:lineRule="exact"/>
              <w:rPr>
                <w:rFonts w:ascii="Arial" w:cs="Arial" w:eastAsia="Arial" w:hAnsi="Arial"/>
                <w:sz w:val="13"/>
                <w:szCs w:val="13"/>
                <w:color w:val="0000EE"/>
              </w:rPr>
            </w:pPr>
            <w:hyperlink w:anchor="page5">
              <w:r>
                <w:rPr>
                  <w:rFonts w:ascii="Arial" w:cs="Arial" w:eastAsia="Arial" w:hAnsi="Arial"/>
                  <w:sz w:val="13"/>
                  <w:szCs w:val="13"/>
                  <w:color w:val="0000EE"/>
                </w:rPr>
                <w:t>Item 1.</w:t>
              </w:r>
            </w:hyperlink>
          </w:p>
        </w:tc>
        <w:tc>
          <w:tcPr>
            <w:tcW w:w="3360" w:type="dxa"/>
            <w:vAlign w:val="bottom"/>
            <w:gridSpan w:val="33"/>
          </w:tcPr>
          <w:p>
            <w:pPr>
              <w:spacing w:after="0" w:line="138" w:lineRule="exact"/>
              <w:rPr>
                <w:rFonts w:ascii="Arial" w:cs="Arial" w:eastAsia="Arial" w:hAnsi="Arial"/>
                <w:sz w:val="13"/>
                <w:szCs w:val="13"/>
                <w:color w:val="0000EE"/>
              </w:rPr>
            </w:pPr>
            <w:hyperlink w:anchor="page5">
              <w:r>
                <w:rPr>
                  <w:rFonts w:ascii="Arial" w:cs="Arial" w:eastAsia="Arial" w:hAnsi="Arial"/>
                  <w:sz w:val="13"/>
                  <w:szCs w:val="13"/>
                  <w:color w:val="0000EE"/>
                </w:rPr>
                <w:t>Business</w:t>
              </w:r>
            </w:hyperlink>
          </w:p>
        </w:tc>
        <w:tc>
          <w:tcPr>
            <w:tcW w:w="420" w:type="dxa"/>
            <w:vAlign w:val="bottom"/>
            <w:tcBorders>
              <w:top w:val="single" w:sz="8" w:color="0000EE"/>
            </w:tcBorders>
          </w:tcPr>
          <w:p>
            <w:pPr>
              <w:spacing w:after="0"/>
              <w:rPr>
                <w:sz w:val="11"/>
                <w:szCs w:val="11"/>
                <w:color w:val="auto"/>
              </w:rPr>
            </w:pPr>
          </w:p>
        </w:tc>
        <w:tc>
          <w:tcPr>
            <w:tcW w:w="4300" w:type="dxa"/>
            <w:vAlign w:val="bottom"/>
            <w:gridSpan w:val="6"/>
          </w:tcPr>
          <w:p>
            <w:pPr>
              <w:spacing w:after="0"/>
              <w:rPr>
                <w:sz w:val="11"/>
                <w:szCs w:val="11"/>
                <w:color w:val="auto"/>
              </w:rPr>
            </w:pPr>
          </w:p>
        </w:tc>
        <w:tc>
          <w:tcPr>
            <w:tcW w:w="1280" w:type="dxa"/>
            <w:vAlign w:val="bottom"/>
            <w:gridSpan w:val="2"/>
          </w:tcPr>
          <w:p>
            <w:pPr>
              <w:jc w:val="right"/>
              <w:ind w:right="800"/>
              <w:spacing w:after="0" w:line="138" w:lineRule="exact"/>
              <w:rPr>
                <w:sz w:val="20"/>
                <w:szCs w:val="20"/>
                <w:color w:val="auto"/>
              </w:rPr>
            </w:pPr>
            <w:r>
              <w:rPr>
                <w:rFonts w:ascii="Arial" w:cs="Arial" w:eastAsia="Arial" w:hAnsi="Arial"/>
                <w:sz w:val="13"/>
                <w:szCs w:val="13"/>
                <w:color w:val="auto"/>
              </w:rPr>
              <w:t>I-1</w:t>
            </w:r>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r>
      <w:tr>
        <w:trPr>
          <w:trHeight w:val="137"/>
        </w:trPr>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80" w:type="dxa"/>
            <w:vAlign w:val="bottom"/>
            <w:gridSpan w:val="40"/>
          </w:tcPr>
          <w:p>
            <w:pPr>
              <w:spacing w:after="0" w:line="138" w:lineRule="exact"/>
              <w:rPr>
                <w:rFonts w:ascii="Arial" w:cs="Arial" w:eastAsia="Arial" w:hAnsi="Arial"/>
                <w:sz w:val="13"/>
                <w:szCs w:val="13"/>
                <w:color w:val="0000EE"/>
              </w:rPr>
            </w:pPr>
            <w:hyperlink w:anchor="page5">
              <w:r>
                <w:rPr>
                  <w:rFonts w:ascii="Arial" w:cs="Arial" w:eastAsia="Arial" w:hAnsi="Arial"/>
                  <w:sz w:val="13"/>
                  <w:szCs w:val="13"/>
                  <w:color w:val="0000EE"/>
                </w:rPr>
                <w:t>General Development of Business</w:t>
              </w:r>
            </w:hyperlink>
          </w:p>
        </w:tc>
        <w:tc>
          <w:tcPr>
            <w:tcW w:w="1280" w:type="dxa"/>
            <w:vAlign w:val="bottom"/>
            <w:gridSpan w:val="2"/>
          </w:tcPr>
          <w:p>
            <w:pPr>
              <w:jc w:val="right"/>
              <w:ind w:right="800"/>
              <w:spacing w:after="0" w:line="138" w:lineRule="exact"/>
              <w:rPr>
                <w:sz w:val="20"/>
                <w:szCs w:val="20"/>
                <w:color w:val="auto"/>
              </w:rPr>
            </w:pPr>
            <w:r>
              <w:rPr>
                <w:rFonts w:ascii="Arial" w:cs="Arial" w:eastAsia="Arial" w:hAnsi="Arial"/>
                <w:sz w:val="13"/>
                <w:szCs w:val="13"/>
                <w:color w:val="auto"/>
              </w:rPr>
              <w:t>I-1</w:t>
            </w:r>
          </w:p>
        </w:tc>
      </w:tr>
      <w:tr>
        <w:trPr>
          <w:trHeight w:val="20"/>
        </w:trPr>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r>
      <w:tr>
        <w:trPr>
          <w:trHeight w:val="137"/>
        </w:trPr>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520" w:type="dxa"/>
            <w:vAlign w:val="bottom"/>
            <w:tcBorders>
              <w:bottom w:val="single" w:sz="8" w:color="0000EE"/>
            </w:tcBorders>
            <w:gridSpan w:val="27"/>
          </w:tcPr>
          <w:p>
            <w:pPr>
              <w:spacing w:after="0" w:line="138" w:lineRule="exact"/>
              <w:rPr>
                <w:rFonts w:ascii="Arial" w:cs="Arial" w:eastAsia="Arial" w:hAnsi="Arial"/>
                <w:sz w:val="13"/>
                <w:szCs w:val="13"/>
                <w:color w:val="0000EE"/>
                <w:w w:val="92"/>
              </w:rPr>
            </w:pPr>
            <w:hyperlink w:anchor="page5">
              <w:r>
                <w:rPr>
                  <w:rFonts w:ascii="Arial" w:cs="Arial" w:eastAsia="Arial" w:hAnsi="Arial"/>
                  <w:sz w:val="13"/>
                  <w:szCs w:val="13"/>
                  <w:color w:val="0000EE"/>
                  <w:w w:val="92"/>
                </w:rPr>
                <w:t>Financial Information About Industry Segments</w:t>
              </w:r>
            </w:hyperlink>
          </w:p>
        </w:tc>
        <w:tc>
          <w:tcPr>
            <w:tcW w:w="5560" w:type="dxa"/>
            <w:vAlign w:val="bottom"/>
            <w:gridSpan w:val="13"/>
          </w:tcPr>
          <w:p>
            <w:pPr>
              <w:spacing w:after="0"/>
              <w:rPr>
                <w:sz w:val="11"/>
                <w:szCs w:val="11"/>
                <w:color w:val="auto"/>
              </w:rPr>
            </w:pPr>
          </w:p>
        </w:tc>
        <w:tc>
          <w:tcPr>
            <w:tcW w:w="1280" w:type="dxa"/>
            <w:vAlign w:val="bottom"/>
            <w:gridSpan w:val="2"/>
          </w:tcPr>
          <w:p>
            <w:pPr>
              <w:jc w:val="right"/>
              <w:ind w:right="800"/>
              <w:spacing w:after="0" w:line="138" w:lineRule="exact"/>
              <w:rPr>
                <w:sz w:val="20"/>
                <w:szCs w:val="20"/>
                <w:color w:val="auto"/>
              </w:rPr>
            </w:pPr>
            <w:r>
              <w:rPr>
                <w:rFonts w:ascii="Arial" w:cs="Arial" w:eastAsia="Arial" w:hAnsi="Arial"/>
                <w:sz w:val="13"/>
                <w:szCs w:val="13"/>
                <w:color w:val="auto"/>
              </w:rPr>
              <w:t>I-1</w:t>
            </w:r>
          </w:p>
        </w:tc>
      </w:tr>
      <w:tr>
        <w:trPr>
          <w:trHeight w:val="137"/>
        </w:trPr>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80" w:type="dxa"/>
            <w:vAlign w:val="bottom"/>
            <w:gridSpan w:val="40"/>
          </w:tcPr>
          <w:p>
            <w:pPr>
              <w:spacing w:after="0" w:line="138" w:lineRule="exact"/>
              <w:rPr>
                <w:rFonts w:ascii="Arial" w:cs="Arial" w:eastAsia="Arial" w:hAnsi="Arial"/>
                <w:sz w:val="13"/>
                <w:szCs w:val="13"/>
                <w:color w:val="0000EE"/>
              </w:rPr>
            </w:pPr>
            <w:hyperlink w:anchor="page5">
              <w:r>
                <w:rPr>
                  <w:rFonts w:ascii="Arial" w:cs="Arial" w:eastAsia="Arial" w:hAnsi="Arial"/>
                  <w:sz w:val="13"/>
                  <w:szCs w:val="13"/>
                  <w:color w:val="0000EE"/>
                </w:rPr>
                <w:t>Narrative Description of Business:</w:t>
              </w:r>
            </w:hyperlink>
          </w:p>
        </w:tc>
        <w:tc>
          <w:tcPr>
            <w:tcW w:w="1280" w:type="dxa"/>
            <w:vAlign w:val="bottom"/>
            <w:gridSpan w:val="2"/>
          </w:tcPr>
          <w:p>
            <w:pPr>
              <w:jc w:val="right"/>
              <w:ind w:right="800"/>
              <w:spacing w:after="0" w:line="138" w:lineRule="exact"/>
              <w:rPr>
                <w:sz w:val="20"/>
                <w:szCs w:val="20"/>
                <w:color w:val="auto"/>
              </w:rPr>
            </w:pPr>
            <w:r>
              <w:rPr>
                <w:rFonts w:ascii="Arial" w:cs="Arial" w:eastAsia="Arial" w:hAnsi="Arial"/>
                <w:sz w:val="13"/>
                <w:szCs w:val="13"/>
                <w:color w:val="auto"/>
              </w:rPr>
              <w:t>I-1</w:t>
            </w:r>
          </w:p>
        </w:tc>
      </w:tr>
      <w:tr>
        <w:trPr>
          <w:trHeight w:val="137"/>
        </w:trPr>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Borders>
              <w:top w:val="single" w:sz="8" w:color="0000EE"/>
              <w:bottom w:val="single" w:sz="8" w:color="0000EE"/>
            </w:tcBorders>
            <w:gridSpan w:val="4"/>
          </w:tcPr>
          <w:p>
            <w:pPr>
              <w:spacing w:after="0" w:line="138" w:lineRule="exact"/>
              <w:rPr>
                <w:rFonts w:ascii="Arial" w:cs="Arial" w:eastAsia="Arial" w:hAnsi="Arial"/>
                <w:sz w:val="13"/>
                <w:szCs w:val="13"/>
                <w:color w:val="0000EE"/>
                <w:w w:val="92"/>
              </w:rPr>
            </w:pPr>
            <w:hyperlink w:anchor="page5">
              <w:r>
                <w:rPr>
                  <w:rFonts w:ascii="Arial" w:cs="Arial" w:eastAsia="Arial" w:hAnsi="Arial"/>
                  <w:sz w:val="13"/>
                  <w:szCs w:val="13"/>
                  <w:color w:val="0000EE"/>
                  <w:w w:val="92"/>
                </w:rPr>
                <w:t>Overview</w:t>
              </w:r>
            </w:hyperlink>
          </w:p>
        </w:tc>
        <w:tc>
          <w:tcPr>
            <w:tcW w:w="1280" w:type="dxa"/>
            <w:vAlign w:val="bottom"/>
            <w:tcBorders>
              <w:top w:val="single" w:sz="8" w:color="0000EE"/>
            </w:tcBorders>
            <w:gridSpan w:val="17"/>
          </w:tcPr>
          <w:p>
            <w:pPr>
              <w:spacing w:after="0"/>
              <w:rPr>
                <w:sz w:val="11"/>
                <w:szCs w:val="11"/>
                <w:color w:val="auto"/>
              </w:rPr>
            </w:pPr>
          </w:p>
        </w:tc>
        <w:tc>
          <w:tcPr>
            <w:tcW w:w="6280" w:type="dxa"/>
            <w:vAlign w:val="bottom"/>
            <w:gridSpan w:val="19"/>
          </w:tcPr>
          <w:p>
            <w:pPr>
              <w:spacing w:after="0"/>
              <w:rPr>
                <w:sz w:val="11"/>
                <w:szCs w:val="11"/>
                <w:color w:val="auto"/>
              </w:rPr>
            </w:pPr>
          </w:p>
        </w:tc>
        <w:tc>
          <w:tcPr>
            <w:tcW w:w="1280" w:type="dxa"/>
            <w:vAlign w:val="bottom"/>
            <w:gridSpan w:val="2"/>
          </w:tcPr>
          <w:p>
            <w:pPr>
              <w:jc w:val="right"/>
              <w:ind w:right="800"/>
              <w:spacing w:after="0" w:line="138" w:lineRule="exact"/>
              <w:rPr>
                <w:sz w:val="20"/>
                <w:szCs w:val="20"/>
                <w:color w:val="auto"/>
              </w:rPr>
            </w:pPr>
            <w:r>
              <w:rPr>
                <w:rFonts w:ascii="Arial" w:cs="Arial" w:eastAsia="Arial" w:hAnsi="Arial"/>
                <w:sz w:val="13"/>
                <w:szCs w:val="13"/>
                <w:color w:val="auto"/>
              </w:rPr>
              <w:t>I-1</w:t>
            </w:r>
          </w:p>
        </w:tc>
      </w:tr>
      <w:tr>
        <w:trPr>
          <w:trHeight w:val="137"/>
        </w:trPr>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80" w:type="dxa"/>
            <w:vAlign w:val="bottom"/>
            <w:gridSpan w:val="40"/>
          </w:tcPr>
          <w:p>
            <w:pPr>
              <w:spacing w:after="0" w:line="138" w:lineRule="exact"/>
              <w:rPr>
                <w:rFonts w:ascii="Arial" w:cs="Arial" w:eastAsia="Arial" w:hAnsi="Arial"/>
                <w:sz w:val="13"/>
                <w:szCs w:val="13"/>
                <w:color w:val="0000EE"/>
              </w:rPr>
            </w:pPr>
            <w:hyperlink w:anchor="page5">
              <w:r>
                <w:rPr>
                  <w:rFonts w:ascii="Arial" w:cs="Arial" w:eastAsia="Arial" w:hAnsi="Arial"/>
                  <w:sz w:val="13"/>
                  <w:szCs w:val="13"/>
                  <w:color w:val="0000EE"/>
                </w:rPr>
                <w:t>Competitive Strengths</w:t>
              </w:r>
            </w:hyperlink>
          </w:p>
        </w:tc>
        <w:tc>
          <w:tcPr>
            <w:tcW w:w="1280" w:type="dxa"/>
            <w:vAlign w:val="bottom"/>
            <w:gridSpan w:val="2"/>
          </w:tcPr>
          <w:p>
            <w:pPr>
              <w:jc w:val="right"/>
              <w:ind w:right="800"/>
              <w:spacing w:after="0" w:line="138" w:lineRule="exact"/>
              <w:rPr>
                <w:sz w:val="20"/>
                <w:szCs w:val="20"/>
                <w:color w:val="auto"/>
              </w:rPr>
            </w:pPr>
            <w:r>
              <w:rPr>
                <w:rFonts w:ascii="Arial" w:cs="Arial" w:eastAsia="Arial" w:hAnsi="Arial"/>
                <w:sz w:val="13"/>
                <w:szCs w:val="13"/>
                <w:color w:val="auto"/>
              </w:rPr>
              <w:t>I-1</w:t>
            </w:r>
          </w:p>
        </w:tc>
      </w:tr>
      <w:tr>
        <w:trPr>
          <w:trHeight w:val="137"/>
        </w:trPr>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tcBorders>
              <w:top w:val="single" w:sz="8" w:color="0000EE"/>
            </w:tcBorders>
            <w:gridSpan w:val="14"/>
          </w:tcPr>
          <w:p>
            <w:pPr>
              <w:spacing w:after="0" w:line="138" w:lineRule="exact"/>
              <w:rPr>
                <w:rFonts w:ascii="Arial" w:cs="Arial" w:eastAsia="Arial" w:hAnsi="Arial"/>
                <w:sz w:val="13"/>
                <w:szCs w:val="13"/>
                <w:color w:val="0000EE"/>
              </w:rPr>
            </w:pPr>
            <w:hyperlink w:anchor="page7">
              <w:r>
                <w:rPr>
                  <w:rFonts w:ascii="Arial" w:cs="Arial" w:eastAsia="Arial" w:hAnsi="Arial"/>
                  <w:sz w:val="13"/>
                  <w:szCs w:val="13"/>
                  <w:color w:val="0000EE"/>
                </w:rPr>
                <w:t>Key Strategies</w:t>
              </w:r>
            </w:hyperlink>
          </w:p>
        </w:tc>
        <w:tc>
          <w:tcPr>
            <w:tcW w:w="6920" w:type="dxa"/>
            <w:vAlign w:val="bottom"/>
            <w:gridSpan w:val="26"/>
          </w:tcPr>
          <w:p>
            <w:pPr>
              <w:spacing w:after="0"/>
              <w:rPr>
                <w:sz w:val="11"/>
                <w:szCs w:val="11"/>
                <w:color w:val="auto"/>
              </w:rPr>
            </w:pPr>
          </w:p>
        </w:tc>
        <w:tc>
          <w:tcPr>
            <w:tcW w:w="1280" w:type="dxa"/>
            <w:vAlign w:val="bottom"/>
            <w:gridSpan w:val="2"/>
          </w:tcPr>
          <w:p>
            <w:pPr>
              <w:jc w:val="right"/>
              <w:ind w:right="800"/>
              <w:spacing w:after="0" w:line="138" w:lineRule="exact"/>
              <w:rPr>
                <w:sz w:val="20"/>
                <w:szCs w:val="20"/>
                <w:color w:val="auto"/>
              </w:rPr>
            </w:pPr>
            <w:r>
              <w:rPr>
                <w:rFonts w:ascii="Arial" w:cs="Arial" w:eastAsia="Arial" w:hAnsi="Arial"/>
                <w:sz w:val="13"/>
                <w:szCs w:val="13"/>
                <w:color w:val="auto"/>
              </w:rPr>
              <w:t>I-3</w:t>
            </w:r>
          </w:p>
        </w:tc>
      </w:tr>
      <w:tr>
        <w:trPr>
          <w:trHeight w:val="137"/>
        </w:trPr>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Borders>
              <w:top w:val="single" w:sz="8" w:color="0000EE"/>
              <w:bottom w:val="single" w:sz="8" w:color="0000EE"/>
            </w:tcBorders>
            <w:gridSpan w:val="3"/>
          </w:tcPr>
          <w:p>
            <w:pPr>
              <w:spacing w:after="0" w:line="138" w:lineRule="exact"/>
              <w:rPr>
                <w:rFonts w:ascii="Arial" w:cs="Arial" w:eastAsia="Arial" w:hAnsi="Arial"/>
                <w:sz w:val="13"/>
                <w:szCs w:val="13"/>
                <w:color w:val="0000EE"/>
                <w:w w:val="85"/>
              </w:rPr>
            </w:pPr>
            <w:hyperlink w:anchor="page8">
              <w:r>
                <w:rPr>
                  <w:rFonts w:ascii="Arial" w:cs="Arial" w:eastAsia="Arial" w:hAnsi="Arial"/>
                  <w:sz w:val="13"/>
                  <w:szCs w:val="13"/>
                  <w:color w:val="0000EE"/>
                  <w:w w:val="85"/>
                </w:rPr>
                <w:t>Products</w:t>
              </w:r>
            </w:hyperlink>
          </w:p>
        </w:tc>
        <w:tc>
          <w:tcPr>
            <w:tcW w:w="280" w:type="dxa"/>
            <w:vAlign w:val="bottom"/>
            <w:tcBorders>
              <w:top w:val="single" w:sz="8" w:color="0000EE"/>
            </w:tcBorders>
            <w:gridSpan w:val="8"/>
          </w:tcPr>
          <w:p>
            <w:pPr>
              <w:spacing w:after="0"/>
              <w:rPr>
                <w:sz w:val="11"/>
                <w:szCs w:val="11"/>
                <w:color w:val="auto"/>
              </w:rPr>
            </w:pPr>
          </w:p>
        </w:tc>
        <w:tc>
          <w:tcPr>
            <w:tcW w:w="7320" w:type="dxa"/>
            <w:vAlign w:val="bottom"/>
            <w:gridSpan w:val="29"/>
          </w:tcPr>
          <w:p>
            <w:pPr>
              <w:spacing w:after="0"/>
              <w:rPr>
                <w:sz w:val="11"/>
                <w:szCs w:val="11"/>
                <w:color w:val="auto"/>
              </w:rPr>
            </w:pPr>
          </w:p>
        </w:tc>
        <w:tc>
          <w:tcPr>
            <w:tcW w:w="1280" w:type="dxa"/>
            <w:vAlign w:val="bottom"/>
            <w:gridSpan w:val="2"/>
          </w:tcPr>
          <w:p>
            <w:pPr>
              <w:jc w:val="right"/>
              <w:ind w:right="800"/>
              <w:spacing w:after="0" w:line="138" w:lineRule="exact"/>
              <w:rPr>
                <w:sz w:val="20"/>
                <w:szCs w:val="20"/>
                <w:color w:val="auto"/>
              </w:rPr>
            </w:pPr>
            <w:r>
              <w:rPr>
                <w:rFonts w:ascii="Arial" w:cs="Arial" w:eastAsia="Arial" w:hAnsi="Arial"/>
                <w:sz w:val="13"/>
                <w:szCs w:val="13"/>
                <w:color w:val="auto"/>
              </w:rPr>
              <w:t>I-4</w:t>
            </w:r>
          </w:p>
        </w:tc>
      </w:tr>
      <w:tr>
        <w:trPr>
          <w:trHeight w:val="137"/>
        </w:trPr>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Borders>
              <w:bottom w:val="single" w:sz="8" w:color="0000EE"/>
            </w:tcBorders>
            <w:gridSpan w:val="13"/>
          </w:tcPr>
          <w:p>
            <w:pPr>
              <w:spacing w:after="0" w:line="138" w:lineRule="exact"/>
              <w:rPr>
                <w:rFonts w:ascii="Arial" w:cs="Arial" w:eastAsia="Arial" w:hAnsi="Arial"/>
                <w:sz w:val="13"/>
                <w:szCs w:val="13"/>
                <w:color w:val="0000EE"/>
                <w:w w:val="89"/>
              </w:rPr>
            </w:pPr>
            <w:hyperlink w:anchor="page9">
              <w:r>
                <w:rPr>
                  <w:rFonts w:ascii="Arial" w:cs="Arial" w:eastAsia="Arial" w:hAnsi="Arial"/>
                  <w:sz w:val="13"/>
                  <w:szCs w:val="13"/>
                  <w:color w:val="0000EE"/>
                  <w:w w:val="89"/>
                </w:rPr>
                <w:t>Marketing and Sales</w:t>
              </w:r>
            </w:hyperlink>
          </w:p>
        </w:tc>
        <w:tc>
          <w:tcPr>
            <w:tcW w:w="7000" w:type="dxa"/>
            <w:vAlign w:val="bottom"/>
            <w:gridSpan w:val="27"/>
          </w:tcPr>
          <w:p>
            <w:pPr>
              <w:spacing w:after="0"/>
              <w:rPr>
                <w:sz w:val="11"/>
                <w:szCs w:val="11"/>
                <w:color w:val="auto"/>
              </w:rPr>
            </w:pPr>
          </w:p>
        </w:tc>
        <w:tc>
          <w:tcPr>
            <w:tcW w:w="1280" w:type="dxa"/>
            <w:vAlign w:val="bottom"/>
            <w:gridSpan w:val="2"/>
          </w:tcPr>
          <w:p>
            <w:pPr>
              <w:jc w:val="right"/>
              <w:ind w:right="800"/>
              <w:spacing w:after="0" w:line="138" w:lineRule="exact"/>
              <w:rPr>
                <w:sz w:val="20"/>
                <w:szCs w:val="20"/>
                <w:color w:val="auto"/>
              </w:rPr>
            </w:pPr>
            <w:r>
              <w:rPr>
                <w:rFonts w:ascii="Arial" w:cs="Arial" w:eastAsia="Arial" w:hAnsi="Arial"/>
                <w:sz w:val="13"/>
                <w:szCs w:val="13"/>
                <w:color w:val="auto"/>
              </w:rPr>
              <w:t>I-5</w:t>
            </w:r>
          </w:p>
        </w:tc>
      </w:tr>
      <w:tr>
        <w:trPr>
          <w:trHeight w:val="137"/>
        </w:trPr>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80" w:type="dxa"/>
            <w:vAlign w:val="bottom"/>
            <w:gridSpan w:val="40"/>
          </w:tcPr>
          <w:p>
            <w:pPr>
              <w:spacing w:after="0" w:line="138" w:lineRule="exact"/>
              <w:rPr>
                <w:rFonts w:ascii="Arial" w:cs="Arial" w:eastAsia="Arial" w:hAnsi="Arial"/>
                <w:sz w:val="13"/>
                <w:szCs w:val="13"/>
                <w:color w:val="0000EE"/>
              </w:rPr>
            </w:pPr>
            <w:hyperlink w:anchor="page10">
              <w:r>
                <w:rPr>
                  <w:rFonts w:ascii="Arial" w:cs="Arial" w:eastAsia="Arial" w:hAnsi="Arial"/>
                  <w:sz w:val="13"/>
                  <w:szCs w:val="13"/>
                  <w:color w:val="0000EE"/>
                </w:rPr>
                <w:t>Brands</w:t>
              </w:r>
            </w:hyperlink>
          </w:p>
        </w:tc>
        <w:tc>
          <w:tcPr>
            <w:tcW w:w="1280" w:type="dxa"/>
            <w:vAlign w:val="bottom"/>
            <w:gridSpan w:val="2"/>
          </w:tcPr>
          <w:p>
            <w:pPr>
              <w:jc w:val="right"/>
              <w:ind w:right="800"/>
              <w:spacing w:after="0" w:line="138" w:lineRule="exact"/>
              <w:rPr>
                <w:sz w:val="20"/>
                <w:szCs w:val="20"/>
                <w:color w:val="auto"/>
              </w:rPr>
            </w:pPr>
            <w:r>
              <w:rPr>
                <w:rFonts w:ascii="Arial" w:cs="Arial" w:eastAsia="Arial" w:hAnsi="Arial"/>
                <w:sz w:val="13"/>
                <w:szCs w:val="13"/>
                <w:color w:val="auto"/>
              </w:rPr>
              <w:t>I-6</w:t>
            </w:r>
          </w:p>
        </w:tc>
      </w:tr>
      <w:tr>
        <w:trPr>
          <w:trHeight w:val="20"/>
        </w:trPr>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r>
      <w:tr>
        <w:trPr>
          <w:trHeight w:val="137"/>
        </w:trPr>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80" w:type="dxa"/>
            <w:vAlign w:val="bottom"/>
            <w:gridSpan w:val="40"/>
          </w:tcPr>
          <w:p>
            <w:pPr>
              <w:spacing w:after="0" w:line="138" w:lineRule="exact"/>
              <w:rPr>
                <w:rFonts w:ascii="Arial" w:cs="Arial" w:eastAsia="Arial" w:hAnsi="Arial"/>
                <w:sz w:val="13"/>
                <w:szCs w:val="13"/>
                <w:color w:val="0000EE"/>
              </w:rPr>
            </w:pPr>
            <w:hyperlink w:anchor="page10">
              <w:r>
                <w:rPr>
                  <w:rFonts w:ascii="Arial" w:cs="Arial" w:eastAsia="Arial" w:hAnsi="Arial"/>
                  <w:sz w:val="13"/>
                  <w:szCs w:val="13"/>
                  <w:color w:val="0000EE"/>
                </w:rPr>
                <w:t>Manufacturing Process and Raw Materials</w:t>
              </w:r>
            </w:hyperlink>
          </w:p>
        </w:tc>
        <w:tc>
          <w:tcPr>
            <w:tcW w:w="1280" w:type="dxa"/>
            <w:vAlign w:val="bottom"/>
            <w:gridSpan w:val="2"/>
          </w:tcPr>
          <w:p>
            <w:pPr>
              <w:jc w:val="right"/>
              <w:ind w:right="800"/>
              <w:spacing w:after="0" w:line="138" w:lineRule="exact"/>
              <w:rPr>
                <w:sz w:val="20"/>
                <w:szCs w:val="20"/>
                <w:color w:val="auto"/>
              </w:rPr>
            </w:pPr>
            <w:r>
              <w:rPr>
                <w:rFonts w:ascii="Arial" w:cs="Arial" w:eastAsia="Arial" w:hAnsi="Arial"/>
                <w:sz w:val="13"/>
                <w:szCs w:val="13"/>
                <w:color w:val="auto"/>
              </w:rPr>
              <w:t>I-6</w:t>
            </w:r>
          </w:p>
        </w:tc>
      </w:tr>
      <w:tr>
        <w:trPr>
          <w:trHeight w:val="137"/>
        </w:trPr>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20" w:type="dxa"/>
            <w:vAlign w:val="bottom"/>
            <w:tcBorders>
              <w:top w:val="single" w:sz="8" w:color="0000EE"/>
              <w:bottom w:val="single" w:sz="8" w:color="0000EE"/>
            </w:tcBorders>
            <w:gridSpan w:val="23"/>
          </w:tcPr>
          <w:p>
            <w:pPr>
              <w:spacing w:after="0" w:line="138" w:lineRule="exact"/>
              <w:rPr>
                <w:rFonts w:ascii="Arial" w:cs="Arial" w:eastAsia="Arial" w:hAnsi="Arial"/>
                <w:sz w:val="13"/>
                <w:szCs w:val="13"/>
                <w:color w:val="0000EE"/>
                <w:w w:val="90"/>
              </w:rPr>
            </w:pPr>
            <w:hyperlink w:anchor="page11">
              <w:r>
                <w:rPr>
                  <w:rFonts w:ascii="Arial" w:cs="Arial" w:eastAsia="Arial" w:hAnsi="Arial"/>
                  <w:sz w:val="13"/>
                  <w:szCs w:val="13"/>
                  <w:color w:val="0000EE"/>
                  <w:w w:val="90"/>
                </w:rPr>
                <w:t>Technology and Product Development</w:t>
              </w:r>
            </w:hyperlink>
          </w:p>
        </w:tc>
        <w:tc>
          <w:tcPr>
            <w:tcW w:w="200" w:type="dxa"/>
            <w:vAlign w:val="bottom"/>
            <w:tcBorders>
              <w:top w:val="single" w:sz="8" w:color="0000EE"/>
            </w:tcBorders>
            <w:gridSpan w:val="2"/>
          </w:tcPr>
          <w:p>
            <w:pPr>
              <w:spacing w:after="0"/>
              <w:rPr>
                <w:sz w:val="11"/>
                <w:szCs w:val="11"/>
                <w:color w:val="auto"/>
              </w:rPr>
            </w:pPr>
          </w:p>
        </w:tc>
        <w:tc>
          <w:tcPr>
            <w:tcW w:w="5860" w:type="dxa"/>
            <w:vAlign w:val="bottom"/>
            <w:gridSpan w:val="15"/>
          </w:tcPr>
          <w:p>
            <w:pPr>
              <w:spacing w:after="0"/>
              <w:rPr>
                <w:sz w:val="11"/>
                <w:szCs w:val="11"/>
                <w:color w:val="auto"/>
              </w:rPr>
            </w:pPr>
          </w:p>
        </w:tc>
        <w:tc>
          <w:tcPr>
            <w:tcW w:w="1280" w:type="dxa"/>
            <w:vAlign w:val="bottom"/>
            <w:gridSpan w:val="2"/>
          </w:tcPr>
          <w:p>
            <w:pPr>
              <w:jc w:val="right"/>
              <w:ind w:right="800"/>
              <w:spacing w:after="0" w:line="138" w:lineRule="exact"/>
              <w:rPr>
                <w:sz w:val="20"/>
                <w:szCs w:val="20"/>
                <w:color w:val="auto"/>
              </w:rPr>
            </w:pPr>
            <w:r>
              <w:rPr>
                <w:rFonts w:ascii="Arial" w:cs="Arial" w:eastAsia="Arial" w:hAnsi="Arial"/>
                <w:sz w:val="13"/>
                <w:szCs w:val="13"/>
                <w:color w:val="auto"/>
              </w:rPr>
              <w:t>I-7</w:t>
            </w:r>
          </w:p>
        </w:tc>
      </w:tr>
      <w:tr>
        <w:trPr>
          <w:trHeight w:val="137"/>
        </w:trPr>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tcBorders>
              <w:bottom w:val="single" w:sz="8" w:color="0000EE"/>
            </w:tcBorders>
            <w:gridSpan w:val="16"/>
          </w:tcPr>
          <w:p>
            <w:pPr>
              <w:spacing w:after="0" w:line="138" w:lineRule="exact"/>
              <w:rPr>
                <w:rFonts w:ascii="Arial" w:cs="Arial" w:eastAsia="Arial" w:hAnsi="Arial"/>
                <w:sz w:val="13"/>
                <w:szCs w:val="13"/>
                <w:color w:val="0000EE"/>
                <w:w w:val="90"/>
              </w:rPr>
            </w:pPr>
            <w:hyperlink w:anchor="page11">
              <w:r>
                <w:rPr>
                  <w:rFonts w:ascii="Arial" w:cs="Arial" w:eastAsia="Arial" w:hAnsi="Arial"/>
                  <w:sz w:val="13"/>
                  <w:szCs w:val="13"/>
                  <w:color w:val="0000EE"/>
                  <w:w w:val="90"/>
                </w:rPr>
                <w:t>International Operations</w:t>
              </w:r>
            </w:hyperlink>
          </w:p>
        </w:tc>
        <w:tc>
          <w:tcPr>
            <w:tcW w:w="6800" w:type="dxa"/>
            <w:vAlign w:val="bottom"/>
            <w:gridSpan w:val="24"/>
          </w:tcPr>
          <w:p>
            <w:pPr>
              <w:spacing w:after="0"/>
              <w:rPr>
                <w:sz w:val="11"/>
                <w:szCs w:val="11"/>
                <w:color w:val="auto"/>
              </w:rPr>
            </w:pPr>
          </w:p>
        </w:tc>
        <w:tc>
          <w:tcPr>
            <w:tcW w:w="1280" w:type="dxa"/>
            <w:vAlign w:val="bottom"/>
            <w:gridSpan w:val="2"/>
          </w:tcPr>
          <w:p>
            <w:pPr>
              <w:jc w:val="right"/>
              <w:ind w:right="800"/>
              <w:spacing w:after="0" w:line="138" w:lineRule="exact"/>
              <w:rPr>
                <w:sz w:val="20"/>
                <w:szCs w:val="20"/>
                <w:color w:val="auto"/>
              </w:rPr>
            </w:pPr>
            <w:r>
              <w:rPr>
                <w:rFonts w:ascii="Arial" w:cs="Arial" w:eastAsia="Arial" w:hAnsi="Arial"/>
                <w:sz w:val="13"/>
                <w:szCs w:val="13"/>
                <w:color w:val="auto"/>
              </w:rPr>
              <w:t>I-7</w:t>
            </w:r>
          </w:p>
        </w:tc>
      </w:tr>
      <w:tr>
        <w:trPr>
          <w:trHeight w:val="137"/>
        </w:trPr>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80" w:type="dxa"/>
            <w:vAlign w:val="bottom"/>
            <w:gridSpan w:val="40"/>
          </w:tcPr>
          <w:p>
            <w:pPr>
              <w:spacing w:after="0" w:line="138" w:lineRule="exact"/>
              <w:rPr>
                <w:rFonts w:ascii="Arial" w:cs="Arial" w:eastAsia="Arial" w:hAnsi="Arial"/>
                <w:sz w:val="13"/>
                <w:szCs w:val="13"/>
                <w:color w:val="0000EE"/>
              </w:rPr>
            </w:pPr>
            <w:hyperlink w:anchor="page11">
              <w:r>
                <w:rPr>
                  <w:rFonts w:ascii="Arial" w:cs="Arial" w:eastAsia="Arial" w:hAnsi="Arial"/>
                  <w:sz w:val="13"/>
                  <w:szCs w:val="13"/>
                  <w:color w:val="0000EE"/>
                </w:rPr>
                <w:t>Competition</w:t>
              </w:r>
            </w:hyperlink>
          </w:p>
        </w:tc>
        <w:tc>
          <w:tcPr>
            <w:tcW w:w="1280" w:type="dxa"/>
            <w:vAlign w:val="bottom"/>
            <w:gridSpan w:val="2"/>
          </w:tcPr>
          <w:p>
            <w:pPr>
              <w:jc w:val="right"/>
              <w:ind w:right="800"/>
              <w:spacing w:after="0" w:line="138" w:lineRule="exact"/>
              <w:rPr>
                <w:sz w:val="20"/>
                <w:szCs w:val="20"/>
                <w:color w:val="auto"/>
              </w:rPr>
            </w:pPr>
            <w:r>
              <w:rPr>
                <w:rFonts w:ascii="Arial" w:cs="Arial" w:eastAsia="Arial" w:hAnsi="Arial"/>
                <w:sz w:val="13"/>
                <w:szCs w:val="13"/>
                <w:color w:val="auto"/>
              </w:rPr>
              <w:t>I-7</w:t>
            </w:r>
          </w:p>
        </w:tc>
      </w:tr>
      <w:tr>
        <w:trPr>
          <w:trHeight w:val="137"/>
        </w:trPr>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Borders>
              <w:top w:val="single" w:sz="8" w:color="0000EE"/>
              <w:bottom w:val="single" w:sz="8" w:color="0000EE"/>
            </w:tcBorders>
            <w:gridSpan w:val="2"/>
          </w:tcPr>
          <w:p>
            <w:pPr>
              <w:spacing w:after="0" w:line="138" w:lineRule="exact"/>
              <w:rPr>
                <w:rFonts w:ascii="Arial" w:cs="Arial" w:eastAsia="Arial" w:hAnsi="Arial"/>
                <w:sz w:val="13"/>
                <w:szCs w:val="13"/>
                <w:color w:val="0000EE"/>
                <w:w w:val="90"/>
              </w:rPr>
            </w:pPr>
            <w:hyperlink w:anchor="page12">
              <w:r>
                <w:rPr>
                  <w:rFonts w:ascii="Arial" w:cs="Arial" w:eastAsia="Arial" w:hAnsi="Arial"/>
                  <w:sz w:val="13"/>
                  <w:szCs w:val="13"/>
                  <w:color w:val="0000EE"/>
                  <w:w w:val="90"/>
                </w:rPr>
                <w:t>Backlog</w:t>
              </w:r>
            </w:hyperlink>
          </w:p>
        </w:tc>
        <w:tc>
          <w:tcPr>
            <w:tcW w:w="200" w:type="dxa"/>
            <w:vAlign w:val="bottom"/>
            <w:tcBorders>
              <w:top w:val="single" w:sz="8" w:color="0000EE"/>
            </w:tcBorders>
            <w:gridSpan w:val="4"/>
          </w:tcPr>
          <w:p>
            <w:pPr>
              <w:spacing w:after="0"/>
              <w:rPr>
                <w:sz w:val="11"/>
                <w:szCs w:val="11"/>
                <w:color w:val="auto"/>
              </w:rPr>
            </w:pPr>
          </w:p>
        </w:tc>
        <w:tc>
          <w:tcPr>
            <w:tcW w:w="7440" w:type="dxa"/>
            <w:vAlign w:val="bottom"/>
            <w:gridSpan w:val="34"/>
          </w:tcPr>
          <w:p>
            <w:pPr>
              <w:spacing w:after="0"/>
              <w:rPr>
                <w:sz w:val="11"/>
                <w:szCs w:val="11"/>
                <w:color w:val="auto"/>
              </w:rPr>
            </w:pPr>
          </w:p>
        </w:tc>
        <w:tc>
          <w:tcPr>
            <w:tcW w:w="1280" w:type="dxa"/>
            <w:vAlign w:val="bottom"/>
            <w:gridSpan w:val="2"/>
          </w:tcPr>
          <w:p>
            <w:pPr>
              <w:jc w:val="right"/>
              <w:ind w:right="800"/>
              <w:spacing w:after="0" w:line="138" w:lineRule="exact"/>
              <w:rPr>
                <w:sz w:val="20"/>
                <w:szCs w:val="20"/>
                <w:color w:val="auto"/>
              </w:rPr>
            </w:pPr>
            <w:r>
              <w:rPr>
                <w:rFonts w:ascii="Arial" w:cs="Arial" w:eastAsia="Arial" w:hAnsi="Arial"/>
                <w:sz w:val="13"/>
                <w:szCs w:val="13"/>
                <w:color w:val="auto"/>
              </w:rPr>
              <w:t>I-8</w:t>
            </w:r>
          </w:p>
        </w:tc>
      </w:tr>
      <w:tr>
        <w:trPr>
          <w:trHeight w:val="137"/>
        </w:trPr>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Borders>
              <w:bottom w:val="single" w:sz="8" w:color="0000EE"/>
            </w:tcBorders>
            <w:gridSpan w:val="9"/>
          </w:tcPr>
          <w:p>
            <w:pPr>
              <w:spacing w:after="0" w:line="138" w:lineRule="exact"/>
              <w:rPr>
                <w:rFonts w:ascii="Arial" w:cs="Arial" w:eastAsia="Arial" w:hAnsi="Arial"/>
                <w:sz w:val="13"/>
                <w:szCs w:val="13"/>
                <w:color w:val="0000EE"/>
                <w:w w:val="93"/>
              </w:rPr>
            </w:pPr>
            <w:hyperlink w:anchor="page12">
              <w:r>
                <w:rPr>
                  <w:rFonts w:ascii="Arial" w:cs="Arial" w:eastAsia="Arial" w:hAnsi="Arial"/>
                  <w:sz w:val="13"/>
                  <w:szCs w:val="13"/>
                  <w:color w:val="0000EE"/>
                  <w:w w:val="93"/>
                </w:rPr>
                <w:t>Environment</w:t>
              </w:r>
            </w:hyperlink>
          </w:p>
        </w:tc>
        <w:tc>
          <w:tcPr>
            <w:tcW w:w="7380" w:type="dxa"/>
            <w:vAlign w:val="bottom"/>
            <w:gridSpan w:val="31"/>
          </w:tcPr>
          <w:p>
            <w:pPr>
              <w:spacing w:after="0"/>
              <w:rPr>
                <w:sz w:val="11"/>
                <w:szCs w:val="11"/>
                <w:color w:val="auto"/>
              </w:rPr>
            </w:pPr>
          </w:p>
        </w:tc>
        <w:tc>
          <w:tcPr>
            <w:tcW w:w="1280" w:type="dxa"/>
            <w:vAlign w:val="bottom"/>
            <w:gridSpan w:val="2"/>
          </w:tcPr>
          <w:p>
            <w:pPr>
              <w:jc w:val="right"/>
              <w:ind w:right="800"/>
              <w:spacing w:after="0" w:line="138" w:lineRule="exact"/>
              <w:rPr>
                <w:sz w:val="20"/>
                <w:szCs w:val="20"/>
                <w:color w:val="auto"/>
              </w:rPr>
            </w:pPr>
            <w:r>
              <w:rPr>
                <w:rFonts w:ascii="Arial" w:cs="Arial" w:eastAsia="Arial" w:hAnsi="Arial"/>
                <w:sz w:val="13"/>
                <w:szCs w:val="13"/>
                <w:color w:val="auto"/>
              </w:rPr>
              <w:t>I-8</w:t>
            </w:r>
          </w:p>
        </w:tc>
      </w:tr>
      <w:tr>
        <w:trPr>
          <w:trHeight w:val="137"/>
        </w:trPr>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Borders>
              <w:bottom w:val="single" w:sz="8" w:color="0000EE"/>
            </w:tcBorders>
            <w:gridSpan w:val="5"/>
          </w:tcPr>
          <w:p>
            <w:pPr>
              <w:spacing w:after="0" w:line="138" w:lineRule="exact"/>
              <w:rPr>
                <w:rFonts w:ascii="Arial" w:cs="Arial" w:eastAsia="Arial" w:hAnsi="Arial"/>
                <w:sz w:val="13"/>
                <w:szCs w:val="13"/>
                <w:color w:val="0000EE"/>
                <w:w w:val="87"/>
              </w:rPr>
            </w:pPr>
            <w:hyperlink w:anchor="page12">
              <w:r>
                <w:rPr>
                  <w:rFonts w:ascii="Arial" w:cs="Arial" w:eastAsia="Arial" w:hAnsi="Arial"/>
                  <w:sz w:val="13"/>
                  <w:szCs w:val="13"/>
                  <w:color w:val="0000EE"/>
                  <w:w w:val="87"/>
                </w:rPr>
                <w:t>Employees</w:t>
              </w:r>
            </w:hyperlink>
          </w:p>
        </w:tc>
        <w:tc>
          <w:tcPr>
            <w:tcW w:w="7500" w:type="dxa"/>
            <w:vAlign w:val="bottom"/>
            <w:gridSpan w:val="35"/>
          </w:tcPr>
          <w:p>
            <w:pPr>
              <w:spacing w:after="0"/>
              <w:rPr>
                <w:sz w:val="11"/>
                <w:szCs w:val="11"/>
                <w:color w:val="auto"/>
              </w:rPr>
            </w:pPr>
          </w:p>
        </w:tc>
        <w:tc>
          <w:tcPr>
            <w:tcW w:w="1280" w:type="dxa"/>
            <w:vAlign w:val="bottom"/>
            <w:gridSpan w:val="2"/>
          </w:tcPr>
          <w:p>
            <w:pPr>
              <w:jc w:val="right"/>
              <w:ind w:right="800"/>
              <w:spacing w:after="0" w:line="138" w:lineRule="exact"/>
              <w:rPr>
                <w:sz w:val="20"/>
                <w:szCs w:val="20"/>
                <w:color w:val="auto"/>
              </w:rPr>
            </w:pPr>
            <w:r>
              <w:rPr>
                <w:rFonts w:ascii="Arial" w:cs="Arial" w:eastAsia="Arial" w:hAnsi="Arial"/>
                <w:sz w:val="13"/>
                <w:szCs w:val="13"/>
                <w:color w:val="auto"/>
              </w:rPr>
              <w:t>I-8</w:t>
            </w:r>
          </w:p>
        </w:tc>
      </w:tr>
      <w:tr>
        <w:trPr>
          <w:trHeight w:val="137"/>
        </w:trPr>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Borders>
              <w:bottom w:val="single" w:sz="8" w:color="0000EE"/>
            </w:tcBorders>
            <w:gridSpan w:val="8"/>
          </w:tcPr>
          <w:p>
            <w:pPr>
              <w:spacing w:after="0" w:line="138" w:lineRule="exact"/>
              <w:rPr>
                <w:rFonts w:ascii="Arial" w:cs="Arial" w:eastAsia="Arial" w:hAnsi="Arial"/>
                <w:sz w:val="13"/>
                <w:szCs w:val="13"/>
                <w:color w:val="0000EE"/>
                <w:w w:val="95"/>
              </w:rPr>
            </w:pPr>
            <w:hyperlink w:anchor="page12">
              <w:r>
                <w:rPr>
                  <w:rFonts w:ascii="Arial" w:cs="Arial" w:eastAsia="Arial" w:hAnsi="Arial"/>
                  <w:sz w:val="13"/>
                  <w:szCs w:val="13"/>
                  <w:color w:val="0000EE"/>
                  <w:w w:val="95"/>
                </w:rPr>
                <w:t>Acquisitions</w:t>
              </w:r>
            </w:hyperlink>
          </w:p>
        </w:tc>
        <w:tc>
          <w:tcPr>
            <w:tcW w:w="7400" w:type="dxa"/>
            <w:vAlign w:val="bottom"/>
            <w:gridSpan w:val="32"/>
          </w:tcPr>
          <w:p>
            <w:pPr>
              <w:spacing w:after="0"/>
              <w:rPr>
                <w:sz w:val="11"/>
                <w:szCs w:val="11"/>
                <w:color w:val="auto"/>
              </w:rPr>
            </w:pPr>
          </w:p>
        </w:tc>
        <w:tc>
          <w:tcPr>
            <w:tcW w:w="1280" w:type="dxa"/>
            <w:vAlign w:val="bottom"/>
            <w:gridSpan w:val="2"/>
          </w:tcPr>
          <w:p>
            <w:pPr>
              <w:jc w:val="right"/>
              <w:ind w:right="800"/>
              <w:spacing w:after="0" w:line="138" w:lineRule="exact"/>
              <w:rPr>
                <w:sz w:val="20"/>
                <w:szCs w:val="20"/>
                <w:color w:val="auto"/>
              </w:rPr>
            </w:pPr>
            <w:r>
              <w:rPr>
                <w:rFonts w:ascii="Arial" w:cs="Arial" w:eastAsia="Arial" w:hAnsi="Arial"/>
                <w:sz w:val="13"/>
                <w:szCs w:val="13"/>
                <w:color w:val="auto"/>
              </w:rPr>
              <w:t>I-8</w:t>
            </w:r>
          </w:p>
        </w:tc>
      </w:tr>
      <w:tr>
        <w:trPr>
          <w:trHeight w:val="137"/>
        </w:trPr>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80" w:type="dxa"/>
            <w:vAlign w:val="bottom"/>
            <w:gridSpan w:val="40"/>
          </w:tcPr>
          <w:p>
            <w:pPr>
              <w:spacing w:after="0" w:line="138" w:lineRule="exact"/>
              <w:rPr>
                <w:rFonts w:ascii="Arial" w:cs="Arial" w:eastAsia="Arial" w:hAnsi="Arial"/>
                <w:sz w:val="13"/>
                <w:szCs w:val="13"/>
                <w:color w:val="0000EE"/>
              </w:rPr>
            </w:pPr>
            <w:hyperlink w:anchor="page12">
              <w:r>
                <w:rPr>
                  <w:rFonts w:ascii="Arial" w:cs="Arial" w:eastAsia="Arial" w:hAnsi="Arial"/>
                  <w:sz w:val="13"/>
                  <w:szCs w:val="13"/>
                  <w:color w:val="0000EE"/>
                </w:rPr>
                <w:t>Financial Information About Foreign and Domestic Operations and Export Sales</w:t>
              </w:r>
            </w:hyperlink>
          </w:p>
        </w:tc>
        <w:tc>
          <w:tcPr>
            <w:tcW w:w="1280" w:type="dxa"/>
            <w:vAlign w:val="bottom"/>
            <w:gridSpan w:val="2"/>
          </w:tcPr>
          <w:p>
            <w:pPr>
              <w:jc w:val="right"/>
              <w:ind w:right="800"/>
              <w:spacing w:after="0" w:line="138" w:lineRule="exact"/>
              <w:rPr>
                <w:sz w:val="20"/>
                <w:szCs w:val="20"/>
                <w:color w:val="auto"/>
              </w:rPr>
            </w:pPr>
            <w:r>
              <w:rPr>
                <w:rFonts w:ascii="Arial" w:cs="Arial" w:eastAsia="Arial" w:hAnsi="Arial"/>
                <w:sz w:val="13"/>
                <w:szCs w:val="13"/>
                <w:color w:val="auto"/>
              </w:rPr>
              <w:t>I-8</w:t>
            </w:r>
          </w:p>
        </w:tc>
      </w:tr>
      <w:tr>
        <w:trPr>
          <w:trHeight w:val="137"/>
        </w:trPr>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20" w:type="dxa"/>
            <w:vAlign w:val="bottom"/>
            <w:tcBorders>
              <w:top w:val="single" w:sz="8" w:color="0000EE"/>
            </w:tcBorders>
            <w:gridSpan w:val="37"/>
          </w:tcPr>
          <w:p>
            <w:pPr>
              <w:spacing w:after="0" w:line="138" w:lineRule="exact"/>
              <w:rPr>
                <w:rFonts w:ascii="Arial" w:cs="Arial" w:eastAsia="Arial" w:hAnsi="Arial"/>
                <w:sz w:val="13"/>
                <w:szCs w:val="13"/>
                <w:color w:val="0000EE"/>
              </w:rPr>
            </w:pPr>
            <w:hyperlink w:anchor="page12">
              <w:r>
                <w:rPr>
                  <w:rFonts w:ascii="Arial" w:cs="Arial" w:eastAsia="Arial" w:hAnsi="Arial"/>
                  <w:sz w:val="13"/>
                  <w:szCs w:val="13"/>
                  <w:color w:val="0000EE"/>
                </w:rPr>
                <w:t>Information Available on the Internet</w:t>
              </w:r>
            </w:hyperlink>
          </w:p>
        </w:tc>
        <w:tc>
          <w:tcPr>
            <w:tcW w:w="3860" w:type="dxa"/>
            <w:vAlign w:val="bottom"/>
            <w:gridSpan w:val="3"/>
          </w:tcPr>
          <w:p>
            <w:pPr>
              <w:spacing w:after="0"/>
              <w:rPr>
                <w:sz w:val="11"/>
                <w:szCs w:val="11"/>
                <w:color w:val="auto"/>
              </w:rPr>
            </w:pPr>
          </w:p>
        </w:tc>
        <w:tc>
          <w:tcPr>
            <w:tcW w:w="1280" w:type="dxa"/>
            <w:vAlign w:val="bottom"/>
            <w:gridSpan w:val="2"/>
          </w:tcPr>
          <w:p>
            <w:pPr>
              <w:jc w:val="right"/>
              <w:ind w:right="800"/>
              <w:spacing w:after="0" w:line="138" w:lineRule="exact"/>
              <w:rPr>
                <w:sz w:val="20"/>
                <w:szCs w:val="20"/>
                <w:color w:val="auto"/>
              </w:rPr>
            </w:pPr>
            <w:r>
              <w:rPr>
                <w:rFonts w:ascii="Arial" w:cs="Arial" w:eastAsia="Arial" w:hAnsi="Arial"/>
                <w:sz w:val="13"/>
                <w:szCs w:val="13"/>
                <w:color w:val="auto"/>
              </w:rPr>
              <w:t>I-8</w:t>
            </w:r>
          </w:p>
        </w:tc>
      </w:tr>
      <w:tr>
        <w:trPr>
          <w:trHeight w:val="137"/>
        </w:trPr>
        <w:tc>
          <w:tcPr>
            <w:tcW w:w="1060" w:type="dxa"/>
            <w:vAlign w:val="bottom"/>
          </w:tcPr>
          <w:p>
            <w:pPr>
              <w:spacing w:after="0"/>
              <w:rPr>
                <w:sz w:val="11"/>
                <w:szCs w:val="11"/>
                <w:color w:val="auto"/>
              </w:rPr>
            </w:pPr>
          </w:p>
        </w:tc>
        <w:tc>
          <w:tcPr>
            <w:tcW w:w="480" w:type="dxa"/>
            <w:vAlign w:val="bottom"/>
            <w:tcBorders>
              <w:bottom w:val="single" w:sz="8" w:color="0000EE"/>
            </w:tcBorders>
            <w:gridSpan w:val="3"/>
          </w:tcPr>
          <w:p>
            <w:pPr>
              <w:spacing w:after="0" w:line="138" w:lineRule="exact"/>
              <w:rPr>
                <w:rFonts w:ascii="Arial" w:cs="Arial" w:eastAsia="Arial" w:hAnsi="Arial"/>
                <w:sz w:val="13"/>
                <w:szCs w:val="13"/>
                <w:color w:val="0000EE"/>
                <w:w w:val="94"/>
              </w:rPr>
            </w:pPr>
            <w:hyperlink w:anchor="page13">
              <w:r>
                <w:rPr>
                  <w:rFonts w:ascii="Arial" w:cs="Arial" w:eastAsia="Arial" w:hAnsi="Arial"/>
                  <w:sz w:val="13"/>
                  <w:szCs w:val="13"/>
                  <w:color w:val="0000EE"/>
                  <w:w w:val="94"/>
                </w:rPr>
                <w:t>Item 1A.</w:t>
              </w:r>
            </w:hyperlink>
          </w:p>
        </w:tc>
        <w:tc>
          <w:tcPr>
            <w:tcW w:w="560" w:type="dxa"/>
            <w:vAlign w:val="bottom"/>
          </w:tcPr>
          <w:p>
            <w:pPr>
              <w:spacing w:after="0"/>
              <w:rPr>
                <w:sz w:val="11"/>
                <w:szCs w:val="11"/>
                <w:color w:val="auto"/>
              </w:rPr>
            </w:pPr>
          </w:p>
        </w:tc>
        <w:tc>
          <w:tcPr>
            <w:tcW w:w="660" w:type="dxa"/>
            <w:vAlign w:val="bottom"/>
            <w:tcBorders>
              <w:top w:val="single" w:sz="8" w:color="0000EE"/>
              <w:bottom w:val="single" w:sz="8" w:color="0000EE"/>
            </w:tcBorders>
            <w:gridSpan w:val="7"/>
          </w:tcPr>
          <w:p>
            <w:pPr>
              <w:spacing w:after="0" w:line="138" w:lineRule="exact"/>
              <w:rPr>
                <w:rFonts w:ascii="Arial" w:cs="Arial" w:eastAsia="Arial" w:hAnsi="Arial"/>
                <w:sz w:val="13"/>
                <w:szCs w:val="13"/>
                <w:color w:val="0000EE"/>
                <w:w w:val="88"/>
              </w:rPr>
            </w:pPr>
            <w:hyperlink w:anchor="page13">
              <w:r>
                <w:rPr>
                  <w:rFonts w:ascii="Arial" w:cs="Arial" w:eastAsia="Arial" w:hAnsi="Arial"/>
                  <w:sz w:val="13"/>
                  <w:szCs w:val="13"/>
                  <w:color w:val="0000EE"/>
                  <w:w w:val="88"/>
                </w:rPr>
                <w:t>Risk Factors</w:t>
              </w:r>
            </w:hyperlink>
          </w:p>
        </w:tc>
        <w:tc>
          <w:tcPr>
            <w:tcW w:w="1280" w:type="dxa"/>
            <w:vAlign w:val="bottom"/>
            <w:tcBorders>
              <w:top w:val="single" w:sz="8" w:color="0000EE"/>
            </w:tcBorders>
            <w:gridSpan w:val="15"/>
          </w:tcPr>
          <w:p>
            <w:pPr>
              <w:spacing w:after="0"/>
              <w:rPr>
                <w:sz w:val="11"/>
                <w:szCs w:val="11"/>
                <w:color w:val="auto"/>
              </w:rPr>
            </w:pPr>
          </w:p>
        </w:tc>
        <w:tc>
          <w:tcPr>
            <w:tcW w:w="6140" w:type="dxa"/>
            <w:vAlign w:val="bottom"/>
            <w:gridSpan w:val="18"/>
          </w:tcPr>
          <w:p>
            <w:pPr>
              <w:spacing w:after="0"/>
              <w:rPr>
                <w:sz w:val="11"/>
                <w:szCs w:val="11"/>
                <w:color w:val="auto"/>
              </w:rPr>
            </w:pPr>
          </w:p>
        </w:tc>
        <w:tc>
          <w:tcPr>
            <w:tcW w:w="1280" w:type="dxa"/>
            <w:vAlign w:val="bottom"/>
            <w:gridSpan w:val="2"/>
          </w:tcPr>
          <w:p>
            <w:pPr>
              <w:jc w:val="right"/>
              <w:ind w:right="800"/>
              <w:spacing w:after="0" w:line="138" w:lineRule="exact"/>
              <w:rPr>
                <w:sz w:val="20"/>
                <w:szCs w:val="20"/>
                <w:color w:val="auto"/>
              </w:rPr>
            </w:pPr>
            <w:r>
              <w:rPr>
                <w:rFonts w:ascii="Arial" w:cs="Arial" w:eastAsia="Arial" w:hAnsi="Arial"/>
                <w:sz w:val="13"/>
                <w:szCs w:val="13"/>
                <w:color w:val="auto"/>
              </w:rPr>
              <w:t>I-9</w:t>
            </w:r>
          </w:p>
        </w:tc>
      </w:tr>
      <w:tr>
        <w:trPr>
          <w:trHeight w:val="137"/>
        </w:trPr>
        <w:tc>
          <w:tcPr>
            <w:tcW w:w="1060" w:type="dxa"/>
            <w:vAlign w:val="bottom"/>
          </w:tcPr>
          <w:p>
            <w:pPr>
              <w:spacing w:after="0"/>
              <w:rPr>
                <w:sz w:val="11"/>
                <w:szCs w:val="11"/>
                <w:color w:val="auto"/>
              </w:rPr>
            </w:pPr>
          </w:p>
        </w:tc>
        <w:tc>
          <w:tcPr>
            <w:tcW w:w="460" w:type="dxa"/>
            <w:vAlign w:val="bottom"/>
            <w:gridSpan w:val="2"/>
          </w:tcPr>
          <w:p>
            <w:pPr>
              <w:spacing w:after="0" w:line="138" w:lineRule="exact"/>
              <w:rPr>
                <w:rFonts w:ascii="Arial" w:cs="Arial" w:eastAsia="Arial" w:hAnsi="Arial"/>
                <w:sz w:val="13"/>
                <w:szCs w:val="13"/>
                <w:color w:val="0000EE"/>
                <w:w w:val="90"/>
              </w:rPr>
            </w:pPr>
            <w:hyperlink w:anchor="page16">
              <w:r>
                <w:rPr>
                  <w:rFonts w:ascii="Arial" w:cs="Arial" w:eastAsia="Arial" w:hAnsi="Arial"/>
                  <w:sz w:val="13"/>
                  <w:szCs w:val="13"/>
                  <w:color w:val="0000EE"/>
                  <w:w w:val="90"/>
                </w:rPr>
                <w:t>Item 1B.</w:t>
              </w:r>
            </w:hyperlink>
          </w:p>
        </w:tc>
        <w:tc>
          <w:tcPr>
            <w:tcW w:w="580" w:type="dxa"/>
            <w:vAlign w:val="bottom"/>
            <w:gridSpan w:val="2"/>
          </w:tcPr>
          <w:p>
            <w:pPr>
              <w:spacing w:after="0"/>
              <w:rPr>
                <w:sz w:val="11"/>
                <w:szCs w:val="11"/>
                <w:color w:val="auto"/>
              </w:rPr>
            </w:pPr>
          </w:p>
        </w:tc>
        <w:tc>
          <w:tcPr>
            <w:tcW w:w="8080" w:type="dxa"/>
            <w:vAlign w:val="bottom"/>
            <w:gridSpan w:val="40"/>
          </w:tcPr>
          <w:p>
            <w:pPr>
              <w:spacing w:after="0" w:line="138" w:lineRule="exact"/>
              <w:rPr>
                <w:rFonts w:ascii="Arial" w:cs="Arial" w:eastAsia="Arial" w:hAnsi="Arial"/>
                <w:sz w:val="13"/>
                <w:szCs w:val="13"/>
                <w:color w:val="0000EE"/>
              </w:rPr>
            </w:pPr>
            <w:hyperlink w:anchor="page16">
              <w:r>
                <w:rPr>
                  <w:rFonts w:ascii="Arial" w:cs="Arial" w:eastAsia="Arial" w:hAnsi="Arial"/>
                  <w:sz w:val="13"/>
                  <w:szCs w:val="13"/>
                  <w:color w:val="0000EE"/>
                </w:rPr>
                <w:t>Unresolved Staff Comments</w:t>
              </w:r>
            </w:hyperlink>
          </w:p>
        </w:tc>
        <w:tc>
          <w:tcPr>
            <w:tcW w:w="1280" w:type="dxa"/>
            <w:vAlign w:val="bottom"/>
            <w:gridSpan w:val="2"/>
          </w:tcPr>
          <w:p>
            <w:pPr>
              <w:jc w:val="right"/>
              <w:ind w:right="800"/>
              <w:spacing w:after="0" w:line="138" w:lineRule="exact"/>
              <w:rPr>
                <w:sz w:val="20"/>
                <w:szCs w:val="20"/>
                <w:color w:val="auto"/>
              </w:rPr>
            </w:pPr>
            <w:r>
              <w:rPr>
                <w:rFonts w:ascii="Arial" w:cs="Arial" w:eastAsia="Arial" w:hAnsi="Arial"/>
                <w:sz w:val="13"/>
                <w:szCs w:val="13"/>
                <w:color w:val="auto"/>
              </w:rPr>
              <w:t>I-12</w:t>
            </w:r>
          </w:p>
        </w:tc>
      </w:tr>
      <w:tr>
        <w:trPr>
          <w:trHeight w:val="137"/>
        </w:trPr>
        <w:tc>
          <w:tcPr>
            <w:tcW w:w="1060" w:type="dxa"/>
            <w:vAlign w:val="bottom"/>
          </w:tcPr>
          <w:p>
            <w:pPr>
              <w:spacing w:after="0"/>
              <w:rPr>
                <w:sz w:val="11"/>
                <w:szCs w:val="11"/>
                <w:color w:val="auto"/>
              </w:rPr>
            </w:pPr>
          </w:p>
        </w:tc>
        <w:tc>
          <w:tcPr>
            <w:tcW w:w="460" w:type="dxa"/>
            <w:vAlign w:val="bottom"/>
            <w:tcBorders>
              <w:top w:val="single" w:sz="8" w:color="0000EE"/>
            </w:tcBorders>
            <w:gridSpan w:val="2"/>
          </w:tcPr>
          <w:p>
            <w:pPr>
              <w:spacing w:after="0" w:line="138" w:lineRule="exact"/>
              <w:rPr>
                <w:rFonts w:ascii="Arial" w:cs="Arial" w:eastAsia="Arial" w:hAnsi="Arial"/>
                <w:sz w:val="13"/>
                <w:szCs w:val="13"/>
                <w:color w:val="0000EE"/>
              </w:rPr>
            </w:pPr>
            <w:hyperlink w:anchor="page16">
              <w:r>
                <w:rPr>
                  <w:rFonts w:ascii="Arial" w:cs="Arial" w:eastAsia="Arial" w:hAnsi="Arial"/>
                  <w:sz w:val="13"/>
                  <w:szCs w:val="13"/>
                  <w:color w:val="0000EE"/>
                </w:rPr>
                <w:t>Item 2.</w:t>
              </w:r>
            </w:hyperlink>
          </w:p>
        </w:tc>
        <w:tc>
          <w:tcPr>
            <w:tcW w:w="580" w:type="dxa"/>
            <w:vAlign w:val="bottom"/>
            <w:gridSpan w:val="2"/>
          </w:tcPr>
          <w:p>
            <w:pPr>
              <w:spacing w:after="0"/>
              <w:rPr>
                <w:sz w:val="11"/>
                <w:szCs w:val="11"/>
                <w:color w:val="auto"/>
              </w:rPr>
            </w:pPr>
          </w:p>
        </w:tc>
        <w:tc>
          <w:tcPr>
            <w:tcW w:w="1480" w:type="dxa"/>
            <w:vAlign w:val="bottom"/>
            <w:tcBorders>
              <w:top w:val="single" w:sz="8" w:color="0000EE"/>
            </w:tcBorders>
            <w:gridSpan w:val="18"/>
          </w:tcPr>
          <w:p>
            <w:pPr>
              <w:spacing w:after="0" w:line="138" w:lineRule="exact"/>
              <w:rPr>
                <w:rFonts w:ascii="Arial" w:cs="Arial" w:eastAsia="Arial" w:hAnsi="Arial"/>
                <w:sz w:val="13"/>
                <w:szCs w:val="13"/>
                <w:color w:val="0000EE"/>
              </w:rPr>
            </w:pPr>
            <w:hyperlink w:anchor="page16">
              <w:r>
                <w:rPr>
                  <w:rFonts w:ascii="Arial" w:cs="Arial" w:eastAsia="Arial" w:hAnsi="Arial"/>
                  <w:sz w:val="13"/>
                  <w:szCs w:val="13"/>
                  <w:color w:val="0000EE"/>
                </w:rPr>
                <w:t>Properties</w:t>
              </w:r>
            </w:hyperlink>
          </w:p>
        </w:tc>
        <w:tc>
          <w:tcPr>
            <w:tcW w:w="6600" w:type="dxa"/>
            <w:vAlign w:val="bottom"/>
            <w:gridSpan w:val="22"/>
          </w:tcPr>
          <w:p>
            <w:pPr>
              <w:spacing w:after="0"/>
              <w:rPr>
                <w:sz w:val="11"/>
                <w:szCs w:val="11"/>
                <w:color w:val="auto"/>
              </w:rPr>
            </w:pPr>
          </w:p>
        </w:tc>
        <w:tc>
          <w:tcPr>
            <w:tcW w:w="1280" w:type="dxa"/>
            <w:vAlign w:val="bottom"/>
            <w:gridSpan w:val="2"/>
          </w:tcPr>
          <w:p>
            <w:pPr>
              <w:jc w:val="right"/>
              <w:ind w:right="800"/>
              <w:spacing w:after="0" w:line="138" w:lineRule="exact"/>
              <w:rPr>
                <w:sz w:val="20"/>
                <w:szCs w:val="20"/>
                <w:color w:val="auto"/>
              </w:rPr>
            </w:pPr>
            <w:r>
              <w:rPr>
                <w:rFonts w:ascii="Arial" w:cs="Arial" w:eastAsia="Arial" w:hAnsi="Arial"/>
                <w:sz w:val="13"/>
                <w:szCs w:val="13"/>
                <w:color w:val="auto"/>
              </w:rPr>
              <w:t>I-12</w:t>
            </w:r>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r>
      <w:tr>
        <w:trPr>
          <w:trHeight w:val="137"/>
        </w:trPr>
        <w:tc>
          <w:tcPr>
            <w:tcW w:w="1060" w:type="dxa"/>
            <w:vAlign w:val="bottom"/>
          </w:tcPr>
          <w:p>
            <w:pPr>
              <w:spacing w:after="0"/>
              <w:rPr>
                <w:sz w:val="11"/>
                <w:szCs w:val="11"/>
                <w:color w:val="auto"/>
              </w:rPr>
            </w:pPr>
          </w:p>
        </w:tc>
        <w:tc>
          <w:tcPr>
            <w:tcW w:w="1040" w:type="dxa"/>
            <w:vAlign w:val="bottom"/>
            <w:gridSpan w:val="4"/>
          </w:tcPr>
          <w:p>
            <w:pPr>
              <w:spacing w:after="0" w:line="138" w:lineRule="exact"/>
              <w:rPr>
                <w:rFonts w:ascii="Arial" w:cs="Arial" w:eastAsia="Arial" w:hAnsi="Arial"/>
                <w:sz w:val="13"/>
                <w:szCs w:val="13"/>
                <w:color w:val="0000EE"/>
              </w:rPr>
            </w:pPr>
            <w:hyperlink w:anchor="page16">
              <w:r>
                <w:rPr>
                  <w:rFonts w:ascii="Arial" w:cs="Arial" w:eastAsia="Arial" w:hAnsi="Arial"/>
                  <w:sz w:val="13"/>
                  <w:szCs w:val="13"/>
                  <w:color w:val="0000EE"/>
                </w:rPr>
                <w:t>Item 3.</w:t>
              </w:r>
            </w:hyperlink>
          </w:p>
        </w:tc>
        <w:tc>
          <w:tcPr>
            <w:tcW w:w="8080" w:type="dxa"/>
            <w:vAlign w:val="bottom"/>
            <w:gridSpan w:val="40"/>
          </w:tcPr>
          <w:p>
            <w:pPr>
              <w:spacing w:after="0" w:line="138" w:lineRule="exact"/>
              <w:rPr>
                <w:rFonts w:ascii="Arial" w:cs="Arial" w:eastAsia="Arial" w:hAnsi="Arial"/>
                <w:sz w:val="13"/>
                <w:szCs w:val="13"/>
                <w:color w:val="0000EE"/>
              </w:rPr>
            </w:pPr>
            <w:hyperlink w:anchor="page16">
              <w:r>
                <w:rPr>
                  <w:rFonts w:ascii="Arial" w:cs="Arial" w:eastAsia="Arial" w:hAnsi="Arial"/>
                  <w:sz w:val="13"/>
                  <w:szCs w:val="13"/>
                  <w:color w:val="0000EE"/>
                </w:rPr>
                <w:t>Legal Proceedings</w:t>
              </w:r>
            </w:hyperlink>
          </w:p>
        </w:tc>
        <w:tc>
          <w:tcPr>
            <w:tcW w:w="1280" w:type="dxa"/>
            <w:vAlign w:val="bottom"/>
            <w:gridSpan w:val="2"/>
          </w:tcPr>
          <w:p>
            <w:pPr>
              <w:jc w:val="right"/>
              <w:ind w:right="800"/>
              <w:spacing w:after="0" w:line="138" w:lineRule="exact"/>
              <w:rPr>
                <w:sz w:val="20"/>
                <w:szCs w:val="20"/>
                <w:color w:val="auto"/>
              </w:rPr>
            </w:pPr>
            <w:r>
              <w:rPr>
                <w:rFonts w:ascii="Arial" w:cs="Arial" w:eastAsia="Arial" w:hAnsi="Arial"/>
                <w:sz w:val="13"/>
                <w:szCs w:val="13"/>
                <w:color w:val="auto"/>
              </w:rPr>
              <w:t>I-12</w:t>
            </w:r>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740" w:type="dxa"/>
            <w:vAlign w:val="bottom"/>
            <w:gridSpan w:val="10"/>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r>
      <w:tr>
        <w:trPr>
          <w:trHeight w:val="137"/>
        </w:trPr>
        <w:tc>
          <w:tcPr>
            <w:tcW w:w="1060" w:type="dxa"/>
            <w:vAlign w:val="bottom"/>
          </w:tcPr>
          <w:p>
            <w:pPr>
              <w:spacing w:after="0"/>
              <w:rPr>
                <w:sz w:val="11"/>
                <w:szCs w:val="11"/>
                <w:color w:val="auto"/>
              </w:rPr>
            </w:pPr>
          </w:p>
        </w:tc>
        <w:tc>
          <w:tcPr>
            <w:tcW w:w="1040" w:type="dxa"/>
            <w:vAlign w:val="bottom"/>
            <w:gridSpan w:val="4"/>
          </w:tcPr>
          <w:p>
            <w:pPr>
              <w:spacing w:after="0" w:line="138" w:lineRule="exact"/>
              <w:rPr>
                <w:rFonts w:ascii="Arial" w:cs="Arial" w:eastAsia="Arial" w:hAnsi="Arial"/>
                <w:sz w:val="13"/>
                <w:szCs w:val="13"/>
                <w:color w:val="0000EE"/>
              </w:rPr>
            </w:pPr>
            <w:hyperlink w:anchor="page16">
              <w:r>
                <w:rPr>
                  <w:rFonts w:ascii="Arial" w:cs="Arial" w:eastAsia="Arial" w:hAnsi="Arial"/>
                  <w:sz w:val="13"/>
                  <w:szCs w:val="13"/>
                  <w:color w:val="0000EE"/>
                </w:rPr>
                <w:t>Item 4.</w:t>
              </w:r>
            </w:hyperlink>
          </w:p>
        </w:tc>
        <w:tc>
          <w:tcPr>
            <w:tcW w:w="8080" w:type="dxa"/>
            <w:vAlign w:val="bottom"/>
            <w:gridSpan w:val="40"/>
          </w:tcPr>
          <w:p>
            <w:pPr>
              <w:spacing w:after="0" w:line="138" w:lineRule="exact"/>
              <w:rPr>
                <w:rFonts w:ascii="Arial" w:cs="Arial" w:eastAsia="Arial" w:hAnsi="Arial"/>
                <w:sz w:val="13"/>
                <w:szCs w:val="13"/>
                <w:color w:val="0000EE"/>
              </w:rPr>
            </w:pPr>
            <w:hyperlink w:anchor="page16">
              <w:r>
                <w:rPr>
                  <w:rFonts w:ascii="Arial" w:cs="Arial" w:eastAsia="Arial" w:hAnsi="Arial"/>
                  <w:sz w:val="13"/>
                  <w:szCs w:val="13"/>
                  <w:color w:val="0000EE"/>
                </w:rPr>
                <w:t>Submission of Matters to a Vote of Security Holders</w:t>
              </w:r>
            </w:hyperlink>
          </w:p>
        </w:tc>
        <w:tc>
          <w:tcPr>
            <w:tcW w:w="1280" w:type="dxa"/>
            <w:vAlign w:val="bottom"/>
            <w:gridSpan w:val="2"/>
          </w:tcPr>
          <w:p>
            <w:pPr>
              <w:jc w:val="right"/>
              <w:ind w:right="800"/>
              <w:spacing w:after="0" w:line="138" w:lineRule="exact"/>
              <w:rPr>
                <w:sz w:val="20"/>
                <w:szCs w:val="20"/>
                <w:color w:val="auto"/>
              </w:rPr>
            </w:pPr>
            <w:r>
              <w:rPr>
                <w:rFonts w:ascii="Arial" w:cs="Arial" w:eastAsia="Arial" w:hAnsi="Arial"/>
                <w:sz w:val="13"/>
                <w:szCs w:val="13"/>
                <w:color w:val="auto"/>
              </w:rPr>
              <w:t>I-12</w:t>
            </w:r>
          </w:p>
        </w:tc>
      </w:tr>
      <w:tr>
        <w:trPr>
          <w:trHeight w:val="255"/>
        </w:trPr>
        <w:tc>
          <w:tcPr>
            <w:tcW w:w="1060" w:type="dxa"/>
            <w:vAlign w:val="bottom"/>
          </w:tcPr>
          <w:p>
            <w:pPr>
              <w:spacing w:after="0"/>
              <w:rPr>
                <w:sz w:val="22"/>
                <w:szCs w:val="22"/>
                <w:color w:val="auto"/>
              </w:rPr>
            </w:pPr>
          </w:p>
        </w:tc>
        <w:tc>
          <w:tcPr>
            <w:tcW w:w="360" w:type="dxa"/>
            <w:vAlign w:val="bottom"/>
            <w:tcBorders>
              <w:top w:val="single" w:sz="8" w:color="0000EE"/>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6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Borders>
              <w:bottom w:val="single" w:sz="8" w:color="0000EE"/>
            </w:tcBorders>
            <w:gridSpan w:val="3"/>
          </w:tcPr>
          <w:p>
            <w:pPr>
              <w:jc w:val="center"/>
              <w:spacing w:after="0"/>
              <w:rPr>
                <w:rFonts w:ascii="Arial" w:cs="Arial" w:eastAsia="Arial" w:hAnsi="Arial"/>
                <w:sz w:val="13"/>
                <w:szCs w:val="13"/>
                <w:b w:val="1"/>
                <w:bCs w:val="1"/>
                <w:color w:val="0000EE"/>
              </w:rPr>
            </w:pPr>
            <w:hyperlink w:anchor="page17">
              <w:r>
                <w:rPr>
                  <w:rFonts w:ascii="Arial" w:cs="Arial" w:eastAsia="Arial" w:hAnsi="Arial"/>
                  <w:sz w:val="13"/>
                  <w:szCs w:val="13"/>
                  <w:b w:val="1"/>
                  <w:bCs w:val="1"/>
                  <w:color w:val="0000EE"/>
                </w:rPr>
                <w:t>PART II</w:t>
              </w:r>
            </w:hyperlink>
          </w:p>
        </w:tc>
        <w:tc>
          <w:tcPr>
            <w:tcW w:w="4260" w:type="dxa"/>
            <w:vAlign w:val="bottom"/>
            <w:gridSpan w:val="5"/>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137"/>
        </w:trPr>
        <w:tc>
          <w:tcPr>
            <w:tcW w:w="1060" w:type="dxa"/>
            <w:vAlign w:val="bottom"/>
          </w:tcPr>
          <w:p>
            <w:pPr>
              <w:spacing w:after="0"/>
              <w:rPr>
                <w:sz w:val="11"/>
                <w:szCs w:val="11"/>
                <w:color w:val="auto"/>
              </w:rPr>
            </w:pPr>
          </w:p>
        </w:tc>
        <w:tc>
          <w:tcPr>
            <w:tcW w:w="1040" w:type="dxa"/>
            <w:vAlign w:val="bottom"/>
            <w:gridSpan w:val="4"/>
          </w:tcPr>
          <w:p>
            <w:pPr>
              <w:spacing w:after="0" w:line="138" w:lineRule="exact"/>
              <w:rPr>
                <w:rFonts w:ascii="Arial" w:cs="Arial" w:eastAsia="Arial" w:hAnsi="Arial"/>
                <w:sz w:val="13"/>
                <w:szCs w:val="13"/>
                <w:color w:val="0000EE"/>
              </w:rPr>
            </w:pPr>
            <w:hyperlink w:anchor="page17">
              <w:r>
                <w:rPr>
                  <w:rFonts w:ascii="Arial" w:cs="Arial" w:eastAsia="Arial" w:hAnsi="Arial"/>
                  <w:sz w:val="13"/>
                  <w:szCs w:val="13"/>
                  <w:color w:val="0000EE"/>
                </w:rPr>
                <w:t>Item 5.</w:t>
              </w:r>
            </w:hyperlink>
          </w:p>
        </w:tc>
        <w:tc>
          <w:tcPr>
            <w:tcW w:w="8080" w:type="dxa"/>
            <w:vAlign w:val="bottom"/>
            <w:gridSpan w:val="40"/>
          </w:tcPr>
          <w:p>
            <w:pPr>
              <w:spacing w:after="0" w:line="138" w:lineRule="exact"/>
              <w:rPr>
                <w:rFonts w:ascii="Arial" w:cs="Arial" w:eastAsia="Arial" w:hAnsi="Arial"/>
                <w:sz w:val="13"/>
                <w:szCs w:val="13"/>
                <w:color w:val="0000EE"/>
              </w:rPr>
            </w:pPr>
            <w:hyperlink w:anchor="page17">
              <w:r>
                <w:rPr>
                  <w:rFonts w:ascii="Arial" w:cs="Arial" w:eastAsia="Arial" w:hAnsi="Arial"/>
                  <w:sz w:val="13"/>
                  <w:szCs w:val="13"/>
                  <w:color w:val="0000EE"/>
                </w:rPr>
                <w:t>Market for the Registrant’s Common Equity, Related Stockholder Matters and Issuer Purchases of Equity Securities</w:t>
              </w:r>
            </w:hyperlink>
          </w:p>
        </w:tc>
        <w:tc>
          <w:tcPr>
            <w:tcW w:w="1280" w:type="dxa"/>
            <w:vAlign w:val="bottom"/>
            <w:gridSpan w:val="2"/>
          </w:tcPr>
          <w:p>
            <w:pPr>
              <w:jc w:val="right"/>
              <w:ind w:right="800"/>
              <w:spacing w:after="0" w:line="138" w:lineRule="exact"/>
              <w:rPr>
                <w:sz w:val="20"/>
                <w:szCs w:val="20"/>
                <w:color w:val="auto"/>
              </w:rPr>
            </w:pPr>
            <w:r>
              <w:rPr>
                <w:rFonts w:ascii="Arial" w:cs="Arial" w:eastAsia="Arial" w:hAnsi="Arial"/>
                <w:sz w:val="13"/>
                <w:szCs w:val="13"/>
                <w:color w:val="auto"/>
              </w:rPr>
              <w:t>II-1</w:t>
            </w:r>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740" w:type="dxa"/>
            <w:vAlign w:val="bottom"/>
            <w:gridSpan w:val="10"/>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360" w:type="dxa"/>
            <w:vAlign w:val="bottom"/>
            <w:tcBorders>
              <w:left w:val="single" w:sz="8" w:color="0000EE"/>
            </w:tcBorders>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r>
      <w:tr>
        <w:trPr>
          <w:trHeight w:val="137"/>
        </w:trPr>
        <w:tc>
          <w:tcPr>
            <w:tcW w:w="1060" w:type="dxa"/>
            <w:vAlign w:val="bottom"/>
          </w:tcPr>
          <w:p>
            <w:pPr>
              <w:spacing w:after="0"/>
              <w:rPr>
                <w:sz w:val="11"/>
                <w:szCs w:val="11"/>
                <w:color w:val="auto"/>
              </w:rPr>
            </w:pPr>
          </w:p>
        </w:tc>
        <w:tc>
          <w:tcPr>
            <w:tcW w:w="1040" w:type="dxa"/>
            <w:vAlign w:val="bottom"/>
            <w:gridSpan w:val="4"/>
          </w:tcPr>
          <w:p>
            <w:pPr>
              <w:spacing w:after="0" w:line="138" w:lineRule="exact"/>
              <w:rPr>
                <w:rFonts w:ascii="Arial" w:cs="Arial" w:eastAsia="Arial" w:hAnsi="Arial"/>
                <w:sz w:val="13"/>
                <w:szCs w:val="13"/>
                <w:color w:val="0000EE"/>
              </w:rPr>
            </w:pPr>
            <w:hyperlink w:anchor="page18">
              <w:r>
                <w:rPr>
                  <w:rFonts w:ascii="Arial" w:cs="Arial" w:eastAsia="Arial" w:hAnsi="Arial"/>
                  <w:sz w:val="13"/>
                  <w:szCs w:val="13"/>
                  <w:color w:val="0000EE"/>
                </w:rPr>
                <w:t>Item 6.</w:t>
              </w:r>
            </w:hyperlink>
          </w:p>
        </w:tc>
        <w:tc>
          <w:tcPr>
            <w:tcW w:w="8080" w:type="dxa"/>
            <w:vAlign w:val="bottom"/>
            <w:gridSpan w:val="40"/>
          </w:tcPr>
          <w:p>
            <w:pPr>
              <w:spacing w:after="0" w:line="138" w:lineRule="exact"/>
              <w:rPr>
                <w:rFonts w:ascii="Arial" w:cs="Arial" w:eastAsia="Arial" w:hAnsi="Arial"/>
                <w:sz w:val="13"/>
                <w:szCs w:val="13"/>
                <w:color w:val="0000EE"/>
              </w:rPr>
            </w:pPr>
            <w:hyperlink w:anchor="page18">
              <w:r>
                <w:rPr>
                  <w:rFonts w:ascii="Arial" w:cs="Arial" w:eastAsia="Arial" w:hAnsi="Arial"/>
                  <w:sz w:val="13"/>
                  <w:szCs w:val="13"/>
                  <w:color w:val="0000EE"/>
                </w:rPr>
                <w:t>Selected Financial Data</w:t>
              </w:r>
            </w:hyperlink>
          </w:p>
        </w:tc>
        <w:tc>
          <w:tcPr>
            <w:tcW w:w="1280" w:type="dxa"/>
            <w:vAlign w:val="bottom"/>
            <w:gridSpan w:val="2"/>
          </w:tcPr>
          <w:p>
            <w:pPr>
              <w:jc w:val="right"/>
              <w:ind w:right="800"/>
              <w:spacing w:after="0" w:line="138" w:lineRule="exact"/>
              <w:rPr>
                <w:sz w:val="20"/>
                <w:szCs w:val="20"/>
                <w:color w:val="auto"/>
              </w:rPr>
            </w:pPr>
            <w:r>
              <w:rPr>
                <w:rFonts w:ascii="Arial" w:cs="Arial" w:eastAsia="Arial" w:hAnsi="Arial"/>
                <w:sz w:val="13"/>
                <w:szCs w:val="13"/>
                <w:color w:val="auto"/>
              </w:rPr>
              <w:t>II-2</w:t>
            </w:r>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740" w:type="dxa"/>
            <w:vAlign w:val="bottom"/>
            <w:gridSpan w:val="10"/>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r>
      <w:tr>
        <w:trPr>
          <w:trHeight w:val="137"/>
        </w:trPr>
        <w:tc>
          <w:tcPr>
            <w:tcW w:w="1060" w:type="dxa"/>
            <w:vAlign w:val="bottom"/>
          </w:tcPr>
          <w:p>
            <w:pPr>
              <w:spacing w:after="0"/>
              <w:rPr>
                <w:sz w:val="11"/>
                <w:szCs w:val="11"/>
                <w:color w:val="auto"/>
              </w:rPr>
            </w:pPr>
          </w:p>
        </w:tc>
        <w:tc>
          <w:tcPr>
            <w:tcW w:w="1040" w:type="dxa"/>
            <w:vAlign w:val="bottom"/>
            <w:gridSpan w:val="4"/>
          </w:tcPr>
          <w:p>
            <w:pPr>
              <w:spacing w:after="0" w:line="138" w:lineRule="exact"/>
              <w:rPr>
                <w:rFonts w:ascii="Arial" w:cs="Arial" w:eastAsia="Arial" w:hAnsi="Arial"/>
                <w:sz w:val="13"/>
                <w:szCs w:val="13"/>
                <w:color w:val="0000EE"/>
              </w:rPr>
            </w:pPr>
            <w:hyperlink w:anchor="page19">
              <w:r>
                <w:rPr>
                  <w:rFonts w:ascii="Arial" w:cs="Arial" w:eastAsia="Arial" w:hAnsi="Arial"/>
                  <w:sz w:val="13"/>
                  <w:szCs w:val="13"/>
                  <w:color w:val="0000EE"/>
                </w:rPr>
                <w:t>Item 7.</w:t>
              </w:r>
            </w:hyperlink>
          </w:p>
        </w:tc>
        <w:tc>
          <w:tcPr>
            <w:tcW w:w="8080" w:type="dxa"/>
            <w:vAlign w:val="bottom"/>
            <w:gridSpan w:val="40"/>
          </w:tcPr>
          <w:p>
            <w:pPr>
              <w:spacing w:after="0" w:line="138" w:lineRule="exact"/>
              <w:rPr>
                <w:rFonts w:ascii="Arial" w:cs="Arial" w:eastAsia="Arial" w:hAnsi="Arial"/>
                <w:sz w:val="13"/>
                <w:szCs w:val="13"/>
                <w:color w:val="0000EE"/>
              </w:rPr>
            </w:pPr>
            <w:hyperlink w:anchor="page19">
              <w:r>
                <w:rPr>
                  <w:rFonts w:ascii="Arial" w:cs="Arial" w:eastAsia="Arial" w:hAnsi="Arial"/>
                  <w:sz w:val="13"/>
                  <w:szCs w:val="13"/>
                  <w:color w:val="0000EE"/>
                </w:rPr>
                <w:t>Management’s Discussion and Analysis of Financial Condition and Results of Operations</w:t>
              </w:r>
            </w:hyperlink>
          </w:p>
        </w:tc>
        <w:tc>
          <w:tcPr>
            <w:tcW w:w="1280" w:type="dxa"/>
            <w:vAlign w:val="bottom"/>
            <w:gridSpan w:val="2"/>
          </w:tcPr>
          <w:p>
            <w:pPr>
              <w:jc w:val="right"/>
              <w:ind w:right="800"/>
              <w:spacing w:after="0" w:line="138" w:lineRule="exact"/>
              <w:rPr>
                <w:sz w:val="20"/>
                <w:szCs w:val="20"/>
                <w:color w:val="auto"/>
              </w:rPr>
            </w:pPr>
            <w:r>
              <w:rPr>
                <w:rFonts w:ascii="Arial" w:cs="Arial" w:eastAsia="Arial" w:hAnsi="Arial"/>
                <w:sz w:val="13"/>
                <w:szCs w:val="13"/>
                <w:color w:val="auto"/>
              </w:rPr>
              <w:t>II-3</w:t>
            </w:r>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740" w:type="dxa"/>
            <w:vAlign w:val="bottom"/>
            <w:gridSpan w:val="10"/>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r>
      <w:tr>
        <w:trPr>
          <w:trHeight w:val="137"/>
        </w:trPr>
        <w:tc>
          <w:tcPr>
            <w:tcW w:w="1060" w:type="dxa"/>
            <w:vAlign w:val="bottom"/>
          </w:tcPr>
          <w:p>
            <w:pPr>
              <w:spacing w:after="0"/>
              <w:rPr>
                <w:sz w:val="11"/>
                <w:szCs w:val="11"/>
                <w:color w:val="auto"/>
              </w:rPr>
            </w:pPr>
          </w:p>
        </w:tc>
        <w:tc>
          <w:tcPr>
            <w:tcW w:w="480" w:type="dxa"/>
            <w:vAlign w:val="bottom"/>
            <w:gridSpan w:val="3"/>
          </w:tcPr>
          <w:p>
            <w:pPr>
              <w:spacing w:after="0" w:line="138" w:lineRule="exact"/>
              <w:rPr>
                <w:rFonts w:ascii="Arial" w:cs="Arial" w:eastAsia="Arial" w:hAnsi="Arial"/>
                <w:sz w:val="13"/>
                <w:szCs w:val="13"/>
                <w:color w:val="0000EE"/>
                <w:w w:val="94"/>
              </w:rPr>
            </w:pPr>
            <w:hyperlink w:anchor="page29">
              <w:r>
                <w:rPr>
                  <w:rFonts w:ascii="Arial" w:cs="Arial" w:eastAsia="Arial" w:hAnsi="Arial"/>
                  <w:sz w:val="13"/>
                  <w:szCs w:val="13"/>
                  <w:color w:val="0000EE"/>
                  <w:w w:val="94"/>
                </w:rPr>
                <w:t>Item 7A.</w:t>
              </w:r>
            </w:hyperlink>
          </w:p>
        </w:tc>
        <w:tc>
          <w:tcPr>
            <w:tcW w:w="560" w:type="dxa"/>
            <w:vAlign w:val="bottom"/>
          </w:tcPr>
          <w:p>
            <w:pPr>
              <w:spacing w:after="0"/>
              <w:rPr>
                <w:sz w:val="11"/>
                <w:szCs w:val="11"/>
                <w:color w:val="auto"/>
              </w:rPr>
            </w:pPr>
          </w:p>
        </w:tc>
        <w:tc>
          <w:tcPr>
            <w:tcW w:w="8080" w:type="dxa"/>
            <w:vAlign w:val="bottom"/>
            <w:gridSpan w:val="40"/>
          </w:tcPr>
          <w:p>
            <w:pPr>
              <w:spacing w:after="0" w:line="138" w:lineRule="exact"/>
              <w:rPr>
                <w:rFonts w:ascii="Arial" w:cs="Arial" w:eastAsia="Arial" w:hAnsi="Arial"/>
                <w:sz w:val="13"/>
                <w:szCs w:val="13"/>
                <w:color w:val="0000EE"/>
              </w:rPr>
            </w:pPr>
            <w:hyperlink w:anchor="page29">
              <w:r>
                <w:rPr>
                  <w:rFonts w:ascii="Arial" w:cs="Arial" w:eastAsia="Arial" w:hAnsi="Arial"/>
                  <w:sz w:val="13"/>
                  <w:szCs w:val="13"/>
                  <w:color w:val="0000EE"/>
                </w:rPr>
                <w:t>Quantitative and Qualitative Disclosures About Market Risk</w:t>
              </w:r>
            </w:hyperlink>
          </w:p>
        </w:tc>
        <w:tc>
          <w:tcPr>
            <w:tcW w:w="1280" w:type="dxa"/>
            <w:vAlign w:val="bottom"/>
            <w:gridSpan w:val="2"/>
          </w:tcPr>
          <w:p>
            <w:pPr>
              <w:jc w:val="right"/>
              <w:ind w:right="800"/>
              <w:spacing w:after="0" w:line="138" w:lineRule="exact"/>
              <w:rPr>
                <w:sz w:val="20"/>
                <w:szCs w:val="20"/>
                <w:color w:val="auto"/>
              </w:rPr>
            </w:pPr>
            <w:r>
              <w:rPr>
                <w:rFonts w:ascii="Arial" w:cs="Arial" w:eastAsia="Arial" w:hAnsi="Arial"/>
                <w:sz w:val="13"/>
                <w:szCs w:val="13"/>
                <w:color w:val="auto"/>
              </w:rPr>
              <w:t>II-13</w:t>
            </w:r>
          </w:p>
        </w:tc>
      </w:tr>
      <w:tr>
        <w:trPr>
          <w:trHeight w:val="137"/>
        </w:trPr>
        <w:tc>
          <w:tcPr>
            <w:tcW w:w="1060" w:type="dxa"/>
            <w:vAlign w:val="bottom"/>
          </w:tcPr>
          <w:p>
            <w:pPr>
              <w:spacing w:after="0"/>
              <w:rPr>
                <w:sz w:val="11"/>
                <w:szCs w:val="11"/>
                <w:color w:val="auto"/>
              </w:rPr>
            </w:pPr>
          </w:p>
        </w:tc>
        <w:tc>
          <w:tcPr>
            <w:tcW w:w="480" w:type="dxa"/>
            <w:vAlign w:val="bottom"/>
            <w:tcBorders>
              <w:top w:val="single" w:sz="8" w:color="0000EE"/>
            </w:tcBorders>
            <w:gridSpan w:val="3"/>
          </w:tcPr>
          <w:p>
            <w:pPr>
              <w:spacing w:after="0" w:line="138" w:lineRule="exact"/>
              <w:rPr>
                <w:rFonts w:ascii="Arial" w:cs="Arial" w:eastAsia="Arial" w:hAnsi="Arial"/>
                <w:sz w:val="13"/>
                <w:szCs w:val="13"/>
                <w:color w:val="0000EE"/>
              </w:rPr>
            </w:pPr>
            <w:hyperlink w:anchor="page30">
              <w:r>
                <w:rPr>
                  <w:rFonts w:ascii="Arial" w:cs="Arial" w:eastAsia="Arial" w:hAnsi="Arial"/>
                  <w:sz w:val="13"/>
                  <w:szCs w:val="13"/>
                  <w:color w:val="0000EE"/>
                </w:rPr>
                <w:t>Item 8.</w:t>
              </w:r>
            </w:hyperlink>
          </w:p>
        </w:tc>
        <w:tc>
          <w:tcPr>
            <w:tcW w:w="560" w:type="dxa"/>
            <w:vAlign w:val="bottom"/>
          </w:tcPr>
          <w:p>
            <w:pPr>
              <w:spacing w:after="0"/>
              <w:rPr>
                <w:sz w:val="11"/>
                <w:szCs w:val="11"/>
                <w:color w:val="auto"/>
              </w:rPr>
            </w:pPr>
          </w:p>
        </w:tc>
        <w:tc>
          <w:tcPr>
            <w:tcW w:w="3160" w:type="dxa"/>
            <w:vAlign w:val="bottom"/>
            <w:tcBorders>
              <w:top w:val="single" w:sz="8" w:color="0000EE"/>
            </w:tcBorders>
            <w:gridSpan w:val="30"/>
          </w:tcPr>
          <w:p>
            <w:pPr>
              <w:spacing w:after="0" w:line="138" w:lineRule="exact"/>
              <w:rPr>
                <w:rFonts w:ascii="Arial" w:cs="Arial" w:eastAsia="Arial" w:hAnsi="Arial"/>
                <w:sz w:val="13"/>
                <w:szCs w:val="13"/>
                <w:color w:val="0000EE"/>
              </w:rPr>
            </w:pPr>
            <w:hyperlink w:anchor="page30">
              <w:r>
                <w:rPr>
                  <w:rFonts w:ascii="Arial" w:cs="Arial" w:eastAsia="Arial" w:hAnsi="Arial"/>
                  <w:sz w:val="13"/>
                  <w:szCs w:val="13"/>
                  <w:color w:val="0000EE"/>
                </w:rPr>
                <w:t>Financial Statements and Supplementary Data</w:t>
              </w:r>
            </w:hyperlink>
          </w:p>
        </w:tc>
        <w:tc>
          <w:tcPr>
            <w:tcW w:w="4920" w:type="dxa"/>
            <w:vAlign w:val="bottom"/>
            <w:gridSpan w:val="10"/>
          </w:tcPr>
          <w:p>
            <w:pPr>
              <w:spacing w:after="0"/>
              <w:rPr>
                <w:sz w:val="11"/>
                <w:szCs w:val="11"/>
                <w:color w:val="auto"/>
              </w:rPr>
            </w:pPr>
          </w:p>
        </w:tc>
        <w:tc>
          <w:tcPr>
            <w:tcW w:w="1280" w:type="dxa"/>
            <w:vAlign w:val="bottom"/>
            <w:gridSpan w:val="2"/>
          </w:tcPr>
          <w:p>
            <w:pPr>
              <w:jc w:val="right"/>
              <w:ind w:right="800"/>
              <w:spacing w:after="0" w:line="138" w:lineRule="exact"/>
              <w:rPr>
                <w:sz w:val="20"/>
                <w:szCs w:val="20"/>
                <w:color w:val="auto"/>
              </w:rPr>
            </w:pPr>
            <w:r>
              <w:rPr>
                <w:rFonts w:ascii="Arial" w:cs="Arial" w:eastAsia="Arial" w:hAnsi="Arial"/>
                <w:sz w:val="13"/>
                <w:szCs w:val="13"/>
                <w:color w:val="auto"/>
              </w:rPr>
              <w:t>II-14</w:t>
            </w:r>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740" w:type="dxa"/>
            <w:vAlign w:val="bottom"/>
            <w:gridSpan w:val="10"/>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r>
      <w:tr>
        <w:trPr>
          <w:trHeight w:val="137"/>
        </w:trPr>
        <w:tc>
          <w:tcPr>
            <w:tcW w:w="1060" w:type="dxa"/>
            <w:vAlign w:val="bottom"/>
          </w:tcPr>
          <w:p>
            <w:pPr>
              <w:spacing w:after="0"/>
              <w:rPr>
                <w:sz w:val="11"/>
                <w:szCs w:val="11"/>
                <w:color w:val="auto"/>
              </w:rPr>
            </w:pPr>
          </w:p>
        </w:tc>
        <w:tc>
          <w:tcPr>
            <w:tcW w:w="1040" w:type="dxa"/>
            <w:vAlign w:val="bottom"/>
            <w:gridSpan w:val="4"/>
          </w:tcPr>
          <w:p>
            <w:pPr>
              <w:spacing w:after="0" w:line="138" w:lineRule="exact"/>
              <w:rPr>
                <w:rFonts w:ascii="Arial" w:cs="Arial" w:eastAsia="Arial" w:hAnsi="Arial"/>
                <w:sz w:val="13"/>
                <w:szCs w:val="13"/>
                <w:color w:val="0000EE"/>
              </w:rPr>
            </w:pPr>
            <w:hyperlink w:anchor="page63">
              <w:r>
                <w:rPr>
                  <w:rFonts w:ascii="Arial" w:cs="Arial" w:eastAsia="Arial" w:hAnsi="Arial"/>
                  <w:sz w:val="13"/>
                  <w:szCs w:val="13"/>
                  <w:color w:val="0000EE"/>
                </w:rPr>
                <w:t>Item 9.</w:t>
              </w:r>
            </w:hyperlink>
          </w:p>
        </w:tc>
        <w:tc>
          <w:tcPr>
            <w:tcW w:w="8080" w:type="dxa"/>
            <w:vAlign w:val="bottom"/>
            <w:gridSpan w:val="40"/>
          </w:tcPr>
          <w:p>
            <w:pPr>
              <w:spacing w:after="0" w:line="138" w:lineRule="exact"/>
              <w:rPr>
                <w:rFonts w:ascii="Arial" w:cs="Arial" w:eastAsia="Arial" w:hAnsi="Arial"/>
                <w:sz w:val="13"/>
                <w:szCs w:val="13"/>
                <w:color w:val="0000EE"/>
              </w:rPr>
            </w:pPr>
            <w:hyperlink w:anchor="page63">
              <w:r>
                <w:rPr>
                  <w:rFonts w:ascii="Arial" w:cs="Arial" w:eastAsia="Arial" w:hAnsi="Arial"/>
                  <w:sz w:val="13"/>
                  <w:szCs w:val="13"/>
                  <w:color w:val="0000EE"/>
                </w:rPr>
                <w:t>Changes In and Disagreements With Accountants on Accounting and Financial Disclosure</w:t>
              </w:r>
            </w:hyperlink>
          </w:p>
        </w:tc>
        <w:tc>
          <w:tcPr>
            <w:tcW w:w="1280" w:type="dxa"/>
            <w:vAlign w:val="bottom"/>
            <w:gridSpan w:val="2"/>
          </w:tcPr>
          <w:p>
            <w:pPr>
              <w:jc w:val="right"/>
              <w:ind w:right="800"/>
              <w:spacing w:after="0" w:line="138" w:lineRule="exact"/>
              <w:rPr>
                <w:sz w:val="20"/>
                <w:szCs w:val="20"/>
                <w:color w:val="auto"/>
              </w:rPr>
            </w:pPr>
            <w:r>
              <w:rPr>
                <w:rFonts w:ascii="Arial" w:cs="Arial" w:eastAsia="Arial" w:hAnsi="Arial"/>
                <w:sz w:val="13"/>
                <w:szCs w:val="13"/>
                <w:color w:val="auto"/>
              </w:rPr>
              <w:t>II-47</w:t>
            </w:r>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60" w:type="dxa"/>
            <w:vAlign w:val="bottom"/>
            <w:tcBorders>
              <w:left w:val="single" w:sz="8" w:color="0000EE"/>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1060" w:type="dxa"/>
            <w:vAlign w:val="bottom"/>
          </w:tcPr>
          <w:p>
            <w:pPr>
              <w:spacing w:after="0"/>
              <w:rPr>
                <w:sz w:val="11"/>
                <w:szCs w:val="11"/>
                <w:color w:val="auto"/>
              </w:rPr>
            </w:pPr>
          </w:p>
        </w:tc>
        <w:tc>
          <w:tcPr>
            <w:tcW w:w="480" w:type="dxa"/>
            <w:vAlign w:val="bottom"/>
            <w:gridSpan w:val="3"/>
          </w:tcPr>
          <w:p>
            <w:pPr>
              <w:spacing w:after="0" w:line="138" w:lineRule="exact"/>
              <w:rPr>
                <w:rFonts w:ascii="Arial" w:cs="Arial" w:eastAsia="Arial" w:hAnsi="Arial"/>
                <w:sz w:val="13"/>
                <w:szCs w:val="13"/>
                <w:color w:val="0000EE"/>
                <w:w w:val="94"/>
              </w:rPr>
            </w:pPr>
            <w:hyperlink w:anchor="page63">
              <w:r>
                <w:rPr>
                  <w:rFonts w:ascii="Arial" w:cs="Arial" w:eastAsia="Arial" w:hAnsi="Arial"/>
                  <w:sz w:val="13"/>
                  <w:szCs w:val="13"/>
                  <w:color w:val="0000EE"/>
                  <w:w w:val="94"/>
                </w:rPr>
                <w:t>Item 9A.</w:t>
              </w:r>
            </w:hyperlink>
          </w:p>
        </w:tc>
        <w:tc>
          <w:tcPr>
            <w:tcW w:w="560" w:type="dxa"/>
            <w:vAlign w:val="bottom"/>
          </w:tcPr>
          <w:p>
            <w:pPr>
              <w:spacing w:after="0"/>
              <w:rPr>
                <w:sz w:val="11"/>
                <w:szCs w:val="11"/>
                <w:color w:val="auto"/>
              </w:rPr>
            </w:pPr>
          </w:p>
        </w:tc>
        <w:tc>
          <w:tcPr>
            <w:tcW w:w="8080" w:type="dxa"/>
            <w:vAlign w:val="bottom"/>
            <w:gridSpan w:val="40"/>
          </w:tcPr>
          <w:p>
            <w:pPr>
              <w:spacing w:after="0" w:line="138" w:lineRule="exact"/>
              <w:rPr>
                <w:rFonts w:ascii="Arial" w:cs="Arial" w:eastAsia="Arial" w:hAnsi="Arial"/>
                <w:sz w:val="13"/>
                <w:szCs w:val="13"/>
                <w:color w:val="0000EE"/>
              </w:rPr>
            </w:pPr>
            <w:hyperlink w:anchor="page63">
              <w:r>
                <w:rPr>
                  <w:rFonts w:ascii="Arial" w:cs="Arial" w:eastAsia="Arial" w:hAnsi="Arial"/>
                  <w:sz w:val="13"/>
                  <w:szCs w:val="13"/>
                  <w:color w:val="0000EE"/>
                </w:rPr>
                <w:t>Controls and Procedures</w:t>
              </w:r>
            </w:hyperlink>
          </w:p>
        </w:tc>
        <w:tc>
          <w:tcPr>
            <w:tcW w:w="1280" w:type="dxa"/>
            <w:vAlign w:val="bottom"/>
            <w:gridSpan w:val="2"/>
          </w:tcPr>
          <w:p>
            <w:pPr>
              <w:jc w:val="right"/>
              <w:ind w:right="800"/>
              <w:spacing w:after="0" w:line="138" w:lineRule="exact"/>
              <w:rPr>
                <w:sz w:val="20"/>
                <w:szCs w:val="20"/>
                <w:color w:val="auto"/>
              </w:rPr>
            </w:pPr>
            <w:r>
              <w:rPr>
                <w:rFonts w:ascii="Arial" w:cs="Arial" w:eastAsia="Arial" w:hAnsi="Arial"/>
                <w:sz w:val="13"/>
                <w:szCs w:val="13"/>
                <w:color w:val="auto"/>
              </w:rPr>
              <w:t>II-47</w:t>
            </w:r>
          </w:p>
        </w:tc>
      </w:tr>
      <w:tr>
        <w:trPr>
          <w:trHeight w:val="137"/>
        </w:trPr>
        <w:tc>
          <w:tcPr>
            <w:tcW w:w="1060" w:type="dxa"/>
            <w:vAlign w:val="bottom"/>
          </w:tcPr>
          <w:p>
            <w:pPr>
              <w:spacing w:after="0"/>
              <w:rPr>
                <w:sz w:val="11"/>
                <w:szCs w:val="11"/>
                <w:color w:val="auto"/>
              </w:rPr>
            </w:pPr>
          </w:p>
        </w:tc>
        <w:tc>
          <w:tcPr>
            <w:tcW w:w="480" w:type="dxa"/>
            <w:vAlign w:val="bottom"/>
            <w:tcBorders>
              <w:top w:val="single" w:sz="8" w:color="0000EE"/>
            </w:tcBorders>
            <w:gridSpan w:val="3"/>
          </w:tcPr>
          <w:p>
            <w:pPr>
              <w:spacing w:after="0" w:line="138" w:lineRule="exact"/>
              <w:rPr>
                <w:rFonts w:ascii="Arial" w:cs="Arial" w:eastAsia="Arial" w:hAnsi="Arial"/>
                <w:sz w:val="13"/>
                <w:szCs w:val="13"/>
                <w:color w:val="0000EE"/>
                <w:w w:val="94"/>
              </w:rPr>
            </w:pPr>
            <w:hyperlink w:anchor="page65">
              <w:r>
                <w:rPr>
                  <w:rFonts w:ascii="Arial" w:cs="Arial" w:eastAsia="Arial" w:hAnsi="Arial"/>
                  <w:sz w:val="13"/>
                  <w:szCs w:val="13"/>
                  <w:color w:val="0000EE"/>
                  <w:w w:val="94"/>
                </w:rPr>
                <w:t>Item 9B.</w:t>
              </w:r>
            </w:hyperlink>
          </w:p>
        </w:tc>
        <w:tc>
          <w:tcPr>
            <w:tcW w:w="560" w:type="dxa"/>
            <w:vAlign w:val="bottom"/>
          </w:tcPr>
          <w:p>
            <w:pPr>
              <w:spacing w:after="0"/>
              <w:rPr>
                <w:sz w:val="11"/>
                <w:szCs w:val="11"/>
                <w:color w:val="auto"/>
              </w:rPr>
            </w:pPr>
          </w:p>
        </w:tc>
        <w:tc>
          <w:tcPr>
            <w:tcW w:w="1280" w:type="dxa"/>
            <w:vAlign w:val="bottom"/>
            <w:tcBorders>
              <w:top w:val="single" w:sz="8" w:color="0000EE"/>
            </w:tcBorders>
            <w:gridSpan w:val="16"/>
          </w:tcPr>
          <w:p>
            <w:pPr>
              <w:spacing w:after="0" w:line="138" w:lineRule="exact"/>
              <w:rPr>
                <w:rFonts w:ascii="Arial" w:cs="Arial" w:eastAsia="Arial" w:hAnsi="Arial"/>
                <w:sz w:val="13"/>
                <w:szCs w:val="13"/>
                <w:color w:val="0000EE"/>
              </w:rPr>
            </w:pPr>
            <w:hyperlink w:anchor="page65">
              <w:r>
                <w:rPr>
                  <w:rFonts w:ascii="Arial" w:cs="Arial" w:eastAsia="Arial" w:hAnsi="Arial"/>
                  <w:sz w:val="13"/>
                  <w:szCs w:val="13"/>
                  <w:color w:val="0000EE"/>
                </w:rPr>
                <w:t>Other Information</w:t>
              </w:r>
            </w:hyperlink>
          </w:p>
        </w:tc>
        <w:tc>
          <w:tcPr>
            <w:tcW w:w="6800" w:type="dxa"/>
            <w:vAlign w:val="bottom"/>
            <w:gridSpan w:val="24"/>
          </w:tcPr>
          <w:p>
            <w:pPr>
              <w:spacing w:after="0"/>
              <w:rPr>
                <w:sz w:val="11"/>
                <w:szCs w:val="11"/>
                <w:color w:val="auto"/>
              </w:rPr>
            </w:pPr>
          </w:p>
        </w:tc>
        <w:tc>
          <w:tcPr>
            <w:tcW w:w="1280" w:type="dxa"/>
            <w:vAlign w:val="bottom"/>
            <w:gridSpan w:val="2"/>
          </w:tcPr>
          <w:p>
            <w:pPr>
              <w:jc w:val="right"/>
              <w:ind w:right="800"/>
              <w:spacing w:after="0" w:line="138" w:lineRule="exact"/>
              <w:rPr>
                <w:sz w:val="20"/>
                <w:szCs w:val="20"/>
                <w:color w:val="auto"/>
              </w:rPr>
            </w:pPr>
            <w:r>
              <w:rPr>
                <w:rFonts w:ascii="Arial" w:cs="Arial" w:eastAsia="Arial" w:hAnsi="Arial"/>
                <w:sz w:val="13"/>
                <w:szCs w:val="13"/>
                <w:color w:val="auto"/>
              </w:rPr>
              <w:t>II-49</w:t>
            </w:r>
          </w:p>
        </w:tc>
      </w:tr>
      <w:tr>
        <w:trPr>
          <w:trHeight w:val="255"/>
        </w:trPr>
        <w:tc>
          <w:tcPr>
            <w:tcW w:w="1060" w:type="dxa"/>
            <w:vAlign w:val="bottom"/>
          </w:tcPr>
          <w:p>
            <w:pPr>
              <w:spacing w:after="0"/>
              <w:rPr>
                <w:sz w:val="22"/>
                <w:szCs w:val="22"/>
                <w:color w:val="auto"/>
              </w:rPr>
            </w:pPr>
          </w:p>
        </w:tc>
        <w:tc>
          <w:tcPr>
            <w:tcW w:w="36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6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0" w:type="dxa"/>
            <w:vAlign w:val="bottom"/>
            <w:tcBorders>
              <w:top w:val="single" w:sz="8" w:color="0000EE"/>
            </w:tcBorders>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Borders>
              <w:bottom w:val="single" w:sz="8" w:color="0000EE"/>
            </w:tcBorders>
            <w:gridSpan w:val="5"/>
          </w:tcPr>
          <w:p>
            <w:pPr>
              <w:jc w:val="center"/>
              <w:spacing w:after="0"/>
              <w:rPr>
                <w:rFonts w:ascii="Arial" w:cs="Arial" w:eastAsia="Arial" w:hAnsi="Arial"/>
                <w:sz w:val="13"/>
                <w:szCs w:val="13"/>
                <w:b w:val="1"/>
                <w:bCs w:val="1"/>
                <w:color w:val="0000EE"/>
              </w:rPr>
            </w:pPr>
            <w:hyperlink w:anchor="page66">
              <w:r>
                <w:rPr>
                  <w:rFonts w:ascii="Arial" w:cs="Arial" w:eastAsia="Arial" w:hAnsi="Arial"/>
                  <w:sz w:val="13"/>
                  <w:szCs w:val="13"/>
                  <w:b w:val="1"/>
                  <w:bCs w:val="1"/>
                  <w:color w:val="0000EE"/>
                </w:rPr>
                <w:t>PART III</w:t>
              </w:r>
            </w:hyperlink>
          </w:p>
        </w:tc>
        <w:tc>
          <w:tcPr>
            <w:tcW w:w="4240" w:type="dxa"/>
            <w:vAlign w:val="bottom"/>
            <w:gridSpan w:val="4"/>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137"/>
        </w:trPr>
        <w:tc>
          <w:tcPr>
            <w:tcW w:w="1060" w:type="dxa"/>
            <w:vAlign w:val="bottom"/>
          </w:tcPr>
          <w:p>
            <w:pPr>
              <w:spacing w:after="0"/>
              <w:rPr>
                <w:sz w:val="11"/>
                <w:szCs w:val="11"/>
                <w:color w:val="auto"/>
              </w:rPr>
            </w:pPr>
          </w:p>
        </w:tc>
        <w:tc>
          <w:tcPr>
            <w:tcW w:w="1040" w:type="dxa"/>
            <w:vAlign w:val="bottom"/>
            <w:gridSpan w:val="4"/>
          </w:tcPr>
          <w:p>
            <w:pPr>
              <w:spacing w:after="0" w:line="138" w:lineRule="exact"/>
              <w:rPr>
                <w:rFonts w:ascii="Arial" w:cs="Arial" w:eastAsia="Arial" w:hAnsi="Arial"/>
                <w:sz w:val="13"/>
                <w:szCs w:val="13"/>
                <w:color w:val="0000EE"/>
              </w:rPr>
            </w:pPr>
            <w:hyperlink w:anchor="page66">
              <w:r>
                <w:rPr>
                  <w:rFonts w:ascii="Arial" w:cs="Arial" w:eastAsia="Arial" w:hAnsi="Arial"/>
                  <w:sz w:val="13"/>
                  <w:szCs w:val="13"/>
                  <w:color w:val="0000EE"/>
                </w:rPr>
                <w:t>Item 10.</w:t>
              </w:r>
            </w:hyperlink>
          </w:p>
        </w:tc>
        <w:tc>
          <w:tcPr>
            <w:tcW w:w="8080" w:type="dxa"/>
            <w:vAlign w:val="bottom"/>
            <w:gridSpan w:val="40"/>
          </w:tcPr>
          <w:p>
            <w:pPr>
              <w:spacing w:after="0" w:line="138" w:lineRule="exact"/>
              <w:rPr>
                <w:rFonts w:ascii="Arial" w:cs="Arial" w:eastAsia="Arial" w:hAnsi="Arial"/>
                <w:sz w:val="13"/>
                <w:szCs w:val="13"/>
                <w:color w:val="0000EE"/>
              </w:rPr>
            </w:pPr>
            <w:hyperlink w:anchor="page66">
              <w:r>
                <w:rPr>
                  <w:rFonts w:ascii="Arial" w:cs="Arial" w:eastAsia="Arial" w:hAnsi="Arial"/>
                  <w:sz w:val="13"/>
                  <w:szCs w:val="13"/>
                  <w:color w:val="0000EE"/>
                </w:rPr>
                <w:t>Directors and Executive Officers of the Registrant</w:t>
              </w:r>
            </w:hyperlink>
          </w:p>
        </w:tc>
        <w:tc>
          <w:tcPr>
            <w:tcW w:w="1280" w:type="dxa"/>
            <w:vAlign w:val="bottom"/>
            <w:gridSpan w:val="2"/>
          </w:tcPr>
          <w:p>
            <w:pPr>
              <w:jc w:val="right"/>
              <w:ind w:right="800"/>
              <w:spacing w:after="0" w:line="138" w:lineRule="exact"/>
              <w:rPr>
                <w:sz w:val="20"/>
                <w:szCs w:val="20"/>
                <w:color w:val="auto"/>
              </w:rPr>
            </w:pPr>
            <w:r>
              <w:rPr>
                <w:rFonts w:ascii="Arial" w:cs="Arial" w:eastAsia="Arial" w:hAnsi="Arial"/>
                <w:sz w:val="13"/>
                <w:szCs w:val="13"/>
                <w:color w:val="auto"/>
              </w:rPr>
              <w:t>III-1</w:t>
            </w:r>
          </w:p>
        </w:tc>
      </w:tr>
      <w:tr>
        <w:trPr>
          <w:trHeight w:val="20"/>
        </w:trPr>
        <w:tc>
          <w:tcPr>
            <w:tcW w:w="10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3"/>
          </w:tcPr>
          <w:p>
            <w:pPr>
              <w:spacing w:after="0" w:line="20" w:lineRule="exact"/>
              <w:rPr>
                <w:sz w:val="1"/>
                <w:szCs w:val="1"/>
                <w:color w:val="auto"/>
              </w:rPr>
            </w:pPr>
          </w:p>
        </w:tc>
        <w:tc>
          <w:tcPr>
            <w:tcW w:w="740" w:type="dxa"/>
            <w:vAlign w:val="bottom"/>
            <w:gridSpan w:val="10"/>
            <w:shd w:val="clear" w:color="auto" w:fill="0000EE"/>
          </w:tcPr>
          <w:p>
            <w:pPr>
              <w:spacing w:after="0" w:line="20" w:lineRule="exact"/>
              <w:rPr>
                <w:sz w:val="1"/>
                <w:szCs w:val="1"/>
                <w:color w:val="auto"/>
              </w:rPr>
            </w:pPr>
          </w:p>
        </w:tc>
        <w:tc>
          <w:tcPr>
            <w:tcW w:w="560" w:type="dxa"/>
            <w:vAlign w:val="bottom"/>
            <w:gridSpan w:val="7"/>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5460" w:type="dxa"/>
            <w:vAlign w:val="bottom"/>
            <w:gridSpan w:val="1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r>
      <w:tr>
        <w:trPr>
          <w:trHeight w:val="137"/>
        </w:trPr>
        <w:tc>
          <w:tcPr>
            <w:tcW w:w="1060" w:type="dxa"/>
            <w:vAlign w:val="bottom"/>
          </w:tcPr>
          <w:p>
            <w:pPr>
              <w:spacing w:after="0"/>
              <w:rPr>
                <w:sz w:val="11"/>
                <w:szCs w:val="11"/>
                <w:color w:val="auto"/>
              </w:rPr>
            </w:pPr>
          </w:p>
        </w:tc>
        <w:tc>
          <w:tcPr>
            <w:tcW w:w="1040" w:type="dxa"/>
            <w:vAlign w:val="bottom"/>
            <w:gridSpan w:val="4"/>
          </w:tcPr>
          <w:p>
            <w:pPr>
              <w:spacing w:after="0" w:line="138" w:lineRule="exact"/>
              <w:rPr>
                <w:rFonts w:ascii="Arial" w:cs="Arial" w:eastAsia="Arial" w:hAnsi="Arial"/>
                <w:sz w:val="13"/>
                <w:szCs w:val="13"/>
                <w:color w:val="0000EE"/>
              </w:rPr>
            </w:pPr>
            <w:hyperlink w:anchor="page70">
              <w:r>
                <w:rPr>
                  <w:rFonts w:ascii="Arial" w:cs="Arial" w:eastAsia="Arial" w:hAnsi="Arial"/>
                  <w:sz w:val="13"/>
                  <w:szCs w:val="13"/>
                  <w:color w:val="0000EE"/>
                </w:rPr>
                <w:t>Item 11.</w:t>
              </w:r>
            </w:hyperlink>
          </w:p>
        </w:tc>
        <w:tc>
          <w:tcPr>
            <w:tcW w:w="8080" w:type="dxa"/>
            <w:vAlign w:val="bottom"/>
            <w:gridSpan w:val="40"/>
          </w:tcPr>
          <w:p>
            <w:pPr>
              <w:spacing w:after="0" w:line="138" w:lineRule="exact"/>
              <w:rPr>
                <w:rFonts w:ascii="Arial" w:cs="Arial" w:eastAsia="Arial" w:hAnsi="Arial"/>
                <w:sz w:val="13"/>
                <w:szCs w:val="13"/>
                <w:color w:val="0000EE"/>
              </w:rPr>
            </w:pPr>
            <w:hyperlink w:anchor="page70">
              <w:r>
                <w:rPr>
                  <w:rFonts w:ascii="Arial" w:cs="Arial" w:eastAsia="Arial" w:hAnsi="Arial"/>
                  <w:sz w:val="13"/>
                  <w:szCs w:val="13"/>
                  <w:color w:val="0000EE"/>
                </w:rPr>
                <w:t>Executive Compensation</w:t>
              </w:r>
            </w:hyperlink>
          </w:p>
        </w:tc>
        <w:tc>
          <w:tcPr>
            <w:tcW w:w="1280" w:type="dxa"/>
            <w:vAlign w:val="bottom"/>
            <w:gridSpan w:val="2"/>
          </w:tcPr>
          <w:p>
            <w:pPr>
              <w:jc w:val="right"/>
              <w:ind w:right="800"/>
              <w:spacing w:after="0" w:line="138" w:lineRule="exact"/>
              <w:rPr>
                <w:sz w:val="20"/>
                <w:szCs w:val="20"/>
                <w:color w:val="auto"/>
              </w:rPr>
            </w:pPr>
            <w:r>
              <w:rPr>
                <w:rFonts w:ascii="Arial" w:cs="Arial" w:eastAsia="Arial" w:hAnsi="Arial"/>
                <w:sz w:val="13"/>
                <w:szCs w:val="13"/>
                <w:color w:val="auto"/>
              </w:rPr>
              <w:t>III-5</w:t>
            </w:r>
          </w:p>
        </w:tc>
      </w:tr>
      <w:tr>
        <w:trPr>
          <w:trHeight w:val="20"/>
        </w:trPr>
        <w:tc>
          <w:tcPr>
            <w:tcW w:w="1060" w:type="dxa"/>
            <w:vAlign w:val="bottom"/>
          </w:tcPr>
          <w:p>
            <w:pPr>
              <w:spacing w:after="0" w:line="20" w:lineRule="exact"/>
              <w:rPr>
                <w:sz w:val="1"/>
                <w:szCs w:val="1"/>
                <w:color w:val="auto"/>
              </w:rPr>
            </w:pPr>
          </w:p>
        </w:tc>
        <w:tc>
          <w:tcPr>
            <w:tcW w:w="360" w:type="dxa"/>
            <w:vAlign w:val="bottom"/>
            <w:tcBorders>
              <w:bottom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10"/>
            <w:shd w:val="clear" w:color="auto" w:fill="0000EE"/>
          </w:tcPr>
          <w:p>
            <w:pPr>
              <w:spacing w:after="0" w:line="20" w:lineRule="exact"/>
              <w:rPr>
                <w:sz w:val="1"/>
                <w:szCs w:val="1"/>
                <w:color w:val="auto"/>
              </w:rPr>
            </w:pPr>
          </w:p>
        </w:tc>
        <w:tc>
          <w:tcPr>
            <w:tcW w:w="560" w:type="dxa"/>
            <w:vAlign w:val="bottom"/>
            <w:gridSpan w:val="7"/>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5900" w:type="dxa"/>
            <w:vAlign w:val="bottom"/>
            <w:gridSpan w:val="16"/>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r>
      <w:tr>
        <w:trPr>
          <w:trHeight w:val="117"/>
        </w:trPr>
        <w:tc>
          <w:tcPr>
            <w:tcW w:w="10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20" w:type="dxa"/>
            <w:vAlign w:val="bottom"/>
            <w:tcBorders>
              <w:bottom w:val="single" w:sz="8" w:color="0000EE"/>
            </w:tcBorders>
            <w:gridSpan w:val="19"/>
          </w:tcPr>
          <w:p>
            <w:pPr>
              <w:spacing w:after="0" w:line="118" w:lineRule="exact"/>
              <w:rPr>
                <w:rFonts w:ascii="Arial" w:cs="Arial" w:eastAsia="Arial" w:hAnsi="Arial"/>
                <w:sz w:val="13"/>
                <w:szCs w:val="13"/>
                <w:color w:val="0000EE"/>
                <w:w w:val="89"/>
              </w:rPr>
            </w:pPr>
            <w:hyperlink w:anchor="page70">
              <w:r>
                <w:rPr>
                  <w:rFonts w:ascii="Arial" w:cs="Arial" w:eastAsia="Arial" w:hAnsi="Arial"/>
                  <w:sz w:val="13"/>
                  <w:szCs w:val="13"/>
                  <w:color w:val="0000EE"/>
                  <w:w w:val="89"/>
                </w:rPr>
                <w:t>Summary Compensation Table</w:t>
              </w:r>
            </w:hyperlink>
          </w:p>
        </w:tc>
        <w:tc>
          <w:tcPr>
            <w:tcW w:w="6460" w:type="dxa"/>
            <w:vAlign w:val="bottom"/>
            <w:gridSpan w:val="21"/>
          </w:tcPr>
          <w:p>
            <w:pPr>
              <w:spacing w:after="0"/>
              <w:rPr>
                <w:sz w:val="10"/>
                <w:szCs w:val="10"/>
                <w:color w:val="auto"/>
              </w:rPr>
            </w:pPr>
          </w:p>
        </w:tc>
        <w:tc>
          <w:tcPr>
            <w:tcW w:w="1280" w:type="dxa"/>
            <w:vAlign w:val="bottom"/>
            <w:gridSpan w:val="2"/>
          </w:tcPr>
          <w:p>
            <w:pPr>
              <w:jc w:val="right"/>
              <w:ind w:right="800"/>
              <w:spacing w:after="0" w:line="118" w:lineRule="exact"/>
              <w:rPr>
                <w:sz w:val="20"/>
                <w:szCs w:val="20"/>
                <w:color w:val="auto"/>
              </w:rPr>
            </w:pPr>
            <w:r>
              <w:rPr>
                <w:rFonts w:ascii="Arial" w:cs="Arial" w:eastAsia="Arial" w:hAnsi="Arial"/>
                <w:sz w:val="13"/>
                <w:szCs w:val="13"/>
                <w:color w:val="auto"/>
              </w:rPr>
              <w:t>III-5</w:t>
            </w:r>
          </w:p>
        </w:tc>
      </w:tr>
      <w:tr>
        <w:trPr>
          <w:trHeight w:val="137"/>
        </w:trPr>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Borders>
              <w:bottom w:val="single" w:sz="8" w:color="0000EE"/>
            </w:tcBorders>
            <w:gridSpan w:val="10"/>
          </w:tcPr>
          <w:p>
            <w:pPr>
              <w:spacing w:after="0" w:line="138" w:lineRule="exact"/>
              <w:rPr>
                <w:rFonts w:ascii="Arial" w:cs="Arial" w:eastAsia="Arial" w:hAnsi="Arial"/>
                <w:sz w:val="13"/>
                <w:szCs w:val="13"/>
                <w:color w:val="0000EE"/>
                <w:w w:val="88"/>
              </w:rPr>
            </w:pPr>
            <w:hyperlink w:anchor="page71">
              <w:r>
                <w:rPr>
                  <w:rFonts w:ascii="Arial" w:cs="Arial" w:eastAsia="Arial" w:hAnsi="Arial"/>
                  <w:sz w:val="13"/>
                  <w:szCs w:val="13"/>
                  <w:color w:val="0000EE"/>
                  <w:w w:val="88"/>
                </w:rPr>
                <w:t>Stock Options</w:t>
              </w:r>
            </w:hyperlink>
          </w:p>
        </w:tc>
        <w:tc>
          <w:tcPr>
            <w:tcW w:w="7340" w:type="dxa"/>
            <w:vAlign w:val="bottom"/>
            <w:gridSpan w:val="30"/>
          </w:tcPr>
          <w:p>
            <w:pPr>
              <w:spacing w:after="0"/>
              <w:rPr>
                <w:sz w:val="11"/>
                <w:szCs w:val="11"/>
                <w:color w:val="auto"/>
              </w:rPr>
            </w:pPr>
          </w:p>
        </w:tc>
        <w:tc>
          <w:tcPr>
            <w:tcW w:w="1280" w:type="dxa"/>
            <w:vAlign w:val="bottom"/>
            <w:gridSpan w:val="2"/>
          </w:tcPr>
          <w:p>
            <w:pPr>
              <w:jc w:val="right"/>
              <w:ind w:right="800"/>
              <w:spacing w:after="0" w:line="138" w:lineRule="exact"/>
              <w:rPr>
                <w:sz w:val="20"/>
                <w:szCs w:val="20"/>
                <w:color w:val="auto"/>
              </w:rPr>
            </w:pPr>
            <w:r>
              <w:rPr>
                <w:rFonts w:ascii="Arial" w:cs="Arial" w:eastAsia="Arial" w:hAnsi="Arial"/>
                <w:sz w:val="13"/>
                <w:szCs w:val="13"/>
                <w:color w:val="auto"/>
              </w:rPr>
              <w:t>III-6</w:t>
            </w:r>
          </w:p>
        </w:tc>
      </w:tr>
      <w:tr>
        <w:trPr>
          <w:trHeight w:val="137"/>
        </w:trPr>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80" w:type="dxa"/>
            <w:vAlign w:val="bottom"/>
            <w:gridSpan w:val="40"/>
          </w:tcPr>
          <w:p>
            <w:pPr>
              <w:spacing w:after="0" w:line="138" w:lineRule="exact"/>
              <w:rPr>
                <w:rFonts w:ascii="Arial" w:cs="Arial" w:eastAsia="Arial" w:hAnsi="Arial"/>
                <w:sz w:val="13"/>
                <w:szCs w:val="13"/>
                <w:color w:val="0000EE"/>
              </w:rPr>
            </w:pPr>
            <w:hyperlink w:anchor="page73">
              <w:r>
                <w:rPr>
                  <w:rFonts w:ascii="Arial" w:cs="Arial" w:eastAsia="Arial" w:hAnsi="Arial"/>
                  <w:sz w:val="13"/>
                  <w:szCs w:val="13"/>
                  <w:color w:val="0000EE"/>
                </w:rPr>
                <w:t>Common Stock Price Performance Graph</w:t>
              </w:r>
            </w:hyperlink>
          </w:p>
        </w:tc>
        <w:tc>
          <w:tcPr>
            <w:tcW w:w="1280" w:type="dxa"/>
            <w:vAlign w:val="bottom"/>
            <w:gridSpan w:val="2"/>
          </w:tcPr>
          <w:p>
            <w:pPr>
              <w:jc w:val="right"/>
              <w:ind w:right="800"/>
              <w:spacing w:after="0" w:line="138" w:lineRule="exact"/>
              <w:rPr>
                <w:sz w:val="20"/>
                <w:szCs w:val="20"/>
                <w:color w:val="auto"/>
              </w:rPr>
            </w:pPr>
            <w:r>
              <w:rPr>
                <w:rFonts w:ascii="Arial" w:cs="Arial" w:eastAsia="Arial" w:hAnsi="Arial"/>
                <w:sz w:val="13"/>
                <w:szCs w:val="13"/>
                <w:color w:val="auto"/>
              </w:rPr>
              <w:t>III-8</w:t>
            </w:r>
          </w:p>
        </w:tc>
      </w:tr>
      <w:tr>
        <w:trPr>
          <w:trHeight w:val="171"/>
        </w:trPr>
        <w:tc>
          <w:tcPr>
            <w:tcW w:w="106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360" w:type="dxa"/>
            <w:vAlign w:val="bottom"/>
            <w:tcBorders>
              <w:top w:val="single" w:sz="8" w:color="0000EE"/>
              <w:bottom w:val="single" w:sz="8" w:color="808080"/>
            </w:tcBorders>
          </w:tcPr>
          <w:p>
            <w:pPr>
              <w:spacing w:after="0"/>
              <w:rPr>
                <w:sz w:val="14"/>
                <w:szCs w:val="14"/>
                <w:color w:val="auto"/>
              </w:rPr>
            </w:pPr>
          </w:p>
        </w:tc>
        <w:tc>
          <w:tcPr>
            <w:tcW w:w="80" w:type="dxa"/>
            <w:vAlign w:val="bottom"/>
            <w:tcBorders>
              <w:top w:val="single" w:sz="8" w:color="0000EE"/>
              <w:bottom w:val="single" w:sz="8" w:color="808080"/>
            </w:tcBorders>
          </w:tcPr>
          <w:p>
            <w:pPr>
              <w:spacing w:after="0"/>
              <w:rPr>
                <w:sz w:val="14"/>
                <w:szCs w:val="14"/>
                <w:color w:val="auto"/>
              </w:rPr>
            </w:pPr>
          </w:p>
        </w:tc>
        <w:tc>
          <w:tcPr>
            <w:tcW w:w="40" w:type="dxa"/>
            <w:vAlign w:val="bottom"/>
            <w:tcBorders>
              <w:top w:val="single" w:sz="8" w:color="0000EE"/>
              <w:bottom w:val="single" w:sz="8" w:color="808080"/>
            </w:tcBorders>
          </w:tcPr>
          <w:p>
            <w:pPr>
              <w:spacing w:after="0"/>
              <w:rPr>
                <w:sz w:val="14"/>
                <w:szCs w:val="14"/>
                <w:color w:val="auto"/>
              </w:rPr>
            </w:pPr>
          </w:p>
        </w:tc>
        <w:tc>
          <w:tcPr>
            <w:tcW w:w="40" w:type="dxa"/>
            <w:vAlign w:val="bottom"/>
            <w:tcBorders>
              <w:top w:val="single" w:sz="8" w:color="0000EE"/>
              <w:bottom w:val="single" w:sz="8" w:color="808080"/>
            </w:tcBorders>
          </w:tcPr>
          <w:p>
            <w:pPr>
              <w:spacing w:after="0"/>
              <w:rPr>
                <w:sz w:val="14"/>
                <w:szCs w:val="14"/>
                <w:color w:val="auto"/>
              </w:rPr>
            </w:pPr>
          </w:p>
        </w:tc>
        <w:tc>
          <w:tcPr>
            <w:tcW w:w="60" w:type="dxa"/>
            <w:vAlign w:val="bottom"/>
            <w:tcBorders>
              <w:top w:val="single" w:sz="8" w:color="0000EE"/>
              <w:bottom w:val="single" w:sz="8" w:color="808080"/>
            </w:tcBorders>
          </w:tcPr>
          <w:p>
            <w:pPr>
              <w:spacing w:after="0"/>
              <w:rPr>
                <w:sz w:val="14"/>
                <w:szCs w:val="14"/>
                <w:color w:val="auto"/>
              </w:rPr>
            </w:pPr>
          </w:p>
        </w:tc>
        <w:tc>
          <w:tcPr>
            <w:tcW w:w="60" w:type="dxa"/>
            <w:vAlign w:val="bottom"/>
            <w:tcBorders>
              <w:top w:val="single" w:sz="8" w:color="0000EE"/>
              <w:bottom w:val="single" w:sz="8" w:color="808080"/>
            </w:tcBorders>
          </w:tcPr>
          <w:p>
            <w:pPr>
              <w:spacing w:after="0"/>
              <w:rPr>
                <w:sz w:val="14"/>
                <w:szCs w:val="14"/>
                <w:color w:val="auto"/>
              </w:rPr>
            </w:pPr>
          </w:p>
        </w:tc>
        <w:tc>
          <w:tcPr>
            <w:tcW w:w="20" w:type="dxa"/>
            <w:vAlign w:val="bottom"/>
            <w:tcBorders>
              <w:top w:val="single" w:sz="8" w:color="0000EE"/>
              <w:bottom w:val="single" w:sz="8" w:color="808080"/>
            </w:tcBorders>
          </w:tcPr>
          <w:p>
            <w:pPr>
              <w:spacing w:after="0"/>
              <w:rPr>
                <w:sz w:val="14"/>
                <w:szCs w:val="14"/>
                <w:color w:val="auto"/>
              </w:rPr>
            </w:pPr>
          </w:p>
        </w:tc>
        <w:tc>
          <w:tcPr>
            <w:tcW w:w="20" w:type="dxa"/>
            <w:vAlign w:val="bottom"/>
            <w:tcBorders>
              <w:top w:val="single" w:sz="8" w:color="0000EE"/>
              <w:bottom w:val="single" w:sz="8" w:color="808080"/>
            </w:tcBorders>
          </w:tcPr>
          <w:p>
            <w:pPr>
              <w:spacing w:after="0"/>
              <w:rPr>
                <w:sz w:val="14"/>
                <w:szCs w:val="14"/>
                <w:color w:val="auto"/>
              </w:rPr>
            </w:pPr>
          </w:p>
        </w:tc>
        <w:tc>
          <w:tcPr>
            <w:tcW w:w="20" w:type="dxa"/>
            <w:vAlign w:val="bottom"/>
            <w:tcBorders>
              <w:top w:val="single" w:sz="8" w:color="0000EE"/>
              <w:bottom w:val="single" w:sz="8" w:color="808080"/>
            </w:tcBorders>
          </w:tcPr>
          <w:p>
            <w:pPr>
              <w:spacing w:after="0"/>
              <w:rPr>
                <w:sz w:val="14"/>
                <w:szCs w:val="14"/>
                <w:color w:val="auto"/>
              </w:rPr>
            </w:pPr>
          </w:p>
        </w:tc>
        <w:tc>
          <w:tcPr>
            <w:tcW w:w="40" w:type="dxa"/>
            <w:vAlign w:val="bottom"/>
            <w:tcBorders>
              <w:top w:val="single" w:sz="8" w:color="0000EE"/>
              <w:bottom w:val="single" w:sz="8" w:color="808080"/>
            </w:tcBorders>
          </w:tcPr>
          <w:p>
            <w:pPr>
              <w:spacing w:after="0"/>
              <w:rPr>
                <w:sz w:val="14"/>
                <w:szCs w:val="14"/>
                <w:color w:val="auto"/>
              </w:rPr>
            </w:pPr>
          </w:p>
        </w:tc>
        <w:tc>
          <w:tcPr>
            <w:tcW w:w="20" w:type="dxa"/>
            <w:vAlign w:val="bottom"/>
            <w:tcBorders>
              <w:top w:val="single" w:sz="8" w:color="0000EE"/>
              <w:bottom w:val="single" w:sz="8" w:color="808080"/>
            </w:tcBorders>
          </w:tcPr>
          <w:p>
            <w:pPr>
              <w:spacing w:after="0"/>
              <w:rPr>
                <w:sz w:val="14"/>
                <w:szCs w:val="14"/>
                <w:color w:val="auto"/>
              </w:rPr>
            </w:pPr>
          </w:p>
        </w:tc>
        <w:tc>
          <w:tcPr>
            <w:tcW w:w="200" w:type="dxa"/>
            <w:vAlign w:val="bottom"/>
            <w:tcBorders>
              <w:top w:val="single" w:sz="8" w:color="0000EE"/>
              <w:bottom w:val="single" w:sz="8" w:color="808080"/>
            </w:tcBorders>
          </w:tcPr>
          <w:p>
            <w:pPr>
              <w:spacing w:after="0"/>
              <w:rPr>
                <w:sz w:val="14"/>
                <w:szCs w:val="14"/>
                <w:color w:val="auto"/>
              </w:rPr>
            </w:pPr>
          </w:p>
        </w:tc>
        <w:tc>
          <w:tcPr>
            <w:tcW w:w="120" w:type="dxa"/>
            <w:vAlign w:val="bottom"/>
            <w:tcBorders>
              <w:top w:val="single" w:sz="8" w:color="0000EE"/>
              <w:bottom w:val="single" w:sz="8" w:color="808080"/>
            </w:tcBorders>
          </w:tcPr>
          <w:p>
            <w:pPr>
              <w:spacing w:after="0"/>
              <w:rPr>
                <w:sz w:val="14"/>
                <w:szCs w:val="14"/>
                <w:color w:val="auto"/>
              </w:rPr>
            </w:pPr>
          </w:p>
        </w:tc>
        <w:tc>
          <w:tcPr>
            <w:tcW w:w="80" w:type="dxa"/>
            <w:vAlign w:val="bottom"/>
            <w:tcBorders>
              <w:top w:val="single" w:sz="8" w:color="0000EE"/>
              <w:bottom w:val="single" w:sz="8" w:color="808080"/>
            </w:tcBorders>
          </w:tcPr>
          <w:p>
            <w:pPr>
              <w:spacing w:after="0"/>
              <w:rPr>
                <w:sz w:val="14"/>
                <w:szCs w:val="14"/>
                <w:color w:val="auto"/>
              </w:rPr>
            </w:pPr>
          </w:p>
        </w:tc>
        <w:tc>
          <w:tcPr>
            <w:tcW w:w="80" w:type="dxa"/>
            <w:vAlign w:val="bottom"/>
            <w:tcBorders>
              <w:top w:val="single" w:sz="8" w:color="0000EE"/>
              <w:bottom w:val="single" w:sz="8" w:color="808080"/>
            </w:tcBorders>
          </w:tcPr>
          <w:p>
            <w:pPr>
              <w:spacing w:after="0"/>
              <w:rPr>
                <w:sz w:val="14"/>
                <w:szCs w:val="14"/>
                <w:color w:val="auto"/>
              </w:rPr>
            </w:pPr>
          </w:p>
        </w:tc>
        <w:tc>
          <w:tcPr>
            <w:tcW w:w="40" w:type="dxa"/>
            <w:vAlign w:val="bottom"/>
            <w:tcBorders>
              <w:top w:val="single" w:sz="8" w:color="0000EE"/>
              <w:bottom w:val="single" w:sz="8" w:color="808080"/>
            </w:tcBorders>
          </w:tcPr>
          <w:p>
            <w:pPr>
              <w:spacing w:after="0"/>
              <w:rPr>
                <w:sz w:val="14"/>
                <w:szCs w:val="14"/>
                <w:color w:val="auto"/>
              </w:rPr>
            </w:pPr>
          </w:p>
        </w:tc>
        <w:tc>
          <w:tcPr>
            <w:tcW w:w="20" w:type="dxa"/>
            <w:vAlign w:val="bottom"/>
            <w:tcBorders>
              <w:top w:val="single" w:sz="8" w:color="0000EE"/>
              <w:bottom w:val="single" w:sz="8" w:color="808080"/>
            </w:tcBorders>
          </w:tcPr>
          <w:p>
            <w:pPr>
              <w:spacing w:after="0"/>
              <w:rPr>
                <w:sz w:val="14"/>
                <w:szCs w:val="14"/>
                <w:color w:val="auto"/>
              </w:rPr>
            </w:pPr>
          </w:p>
        </w:tc>
        <w:tc>
          <w:tcPr>
            <w:tcW w:w="180" w:type="dxa"/>
            <w:vAlign w:val="bottom"/>
            <w:tcBorders>
              <w:top w:val="single" w:sz="8" w:color="0000EE"/>
              <w:bottom w:val="single" w:sz="8" w:color="808080"/>
            </w:tcBorders>
          </w:tcPr>
          <w:p>
            <w:pPr>
              <w:spacing w:after="0"/>
              <w:rPr>
                <w:sz w:val="14"/>
                <w:szCs w:val="14"/>
                <w:color w:val="auto"/>
              </w:rPr>
            </w:pPr>
          </w:p>
        </w:tc>
        <w:tc>
          <w:tcPr>
            <w:tcW w:w="140" w:type="dxa"/>
            <w:vAlign w:val="bottom"/>
            <w:tcBorders>
              <w:top w:val="single" w:sz="8" w:color="0000EE"/>
              <w:bottom w:val="single" w:sz="8" w:color="808080"/>
            </w:tcBorders>
          </w:tcPr>
          <w:p>
            <w:pPr>
              <w:spacing w:after="0"/>
              <w:rPr>
                <w:sz w:val="14"/>
                <w:szCs w:val="14"/>
                <w:color w:val="auto"/>
              </w:rPr>
            </w:pPr>
          </w:p>
        </w:tc>
        <w:tc>
          <w:tcPr>
            <w:tcW w:w="160" w:type="dxa"/>
            <w:vAlign w:val="bottom"/>
            <w:tcBorders>
              <w:top w:val="single" w:sz="8" w:color="0000EE"/>
              <w:bottom w:val="single" w:sz="8" w:color="808080"/>
            </w:tcBorders>
          </w:tcPr>
          <w:p>
            <w:pPr>
              <w:spacing w:after="0"/>
              <w:rPr>
                <w:sz w:val="14"/>
                <w:szCs w:val="14"/>
                <w:color w:val="auto"/>
              </w:rPr>
            </w:pPr>
          </w:p>
        </w:tc>
        <w:tc>
          <w:tcPr>
            <w:tcW w:w="20" w:type="dxa"/>
            <w:vAlign w:val="bottom"/>
            <w:tcBorders>
              <w:top w:val="single" w:sz="8" w:color="0000EE"/>
              <w:bottom w:val="single" w:sz="8" w:color="808080"/>
            </w:tcBorders>
          </w:tcPr>
          <w:p>
            <w:pPr>
              <w:spacing w:after="0"/>
              <w:rPr>
                <w:sz w:val="14"/>
                <w:szCs w:val="14"/>
                <w:color w:val="auto"/>
              </w:rPr>
            </w:pPr>
          </w:p>
        </w:tc>
        <w:tc>
          <w:tcPr>
            <w:tcW w:w="140" w:type="dxa"/>
            <w:vAlign w:val="bottom"/>
            <w:tcBorders>
              <w:top w:val="single" w:sz="8" w:color="0000EE"/>
              <w:bottom w:val="single" w:sz="8" w:color="808080"/>
            </w:tcBorders>
          </w:tcPr>
          <w:p>
            <w:pPr>
              <w:spacing w:after="0"/>
              <w:rPr>
                <w:sz w:val="14"/>
                <w:szCs w:val="14"/>
                <w:color w:val="auto"/>
              </w:rPr>
            </w:pPr>
          </w:p>
        </w:tc>
        <w:tc>
          <w:tcPr>
            <w:tcW w:w="80" w:type="dxa"/>
            <w:vAlign w:val="bottom"/>
            <w:tcBorders>
              <w:top w:val="single" w:sz="8" w:color="0000EE"/>
              <w:bottom w:val="single" w:sz="8" w:color="808080"/>
            </w:tcBorders>
          </w:tcPr>
          <w:p>
            <w:pPr>
              <w:spacing w:after="0"/>
              <w:rPr>
                <w:sz w:val="14"/>
                <w:szCs w:val="14"/>
                <w:color w:val="auto"/>
              </w:rPr>
            </w:pPr>
          </w:p>
        </w:tc>
        <w:tc>
          <w:tcPr>
            <w:tcW w:w="160" w:type="dxa"/>
            <w:vAlign w:val="bottom"/>
            <w:tcBorders>
              <w:top w:val="single" w:sz="8" w:color="0000EE"/>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1360" w:type="dxa"/>
            <w:vAlign w:val="bottom"/>
            <w:tcBorders>
              <w:bottom w:val="single" w:sz="8" w:color="808080"/>
            </w:tcBorders>
          </w:tcPr>
          <w:p>
            <w:pPr>
              <w:spacing w:after="0"/>
              <w:rPr>
                <w:sz w:val="14"/>
                <w:szCs w:val="14"/>
                <w:color w:val="auto"/>
              </w:rPr>
            </w:pPr>
          </w:p>
        </w:tc>
        <w:tc>
          <w:tcPr>
            <w:tcW w:w="202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480" w:type="dxa"/>
            <w:vAlign w:val="bottom"/>
            <w:tcBorders>
              <w:bottom w:val="single" w:sz="8" w:color="auto"/>
            </w:tcBorders>
          </w:tcPr>
          <w:p>
            <w:pPr>
              <w:ind w:left="140"/>
              <w:spacing w:after="0"/>
              <w:rPr>
                <w:sz w:val="20"/>
                <w:szCs w:val="20"/>
                <w:color w:val="auto"/>
              </w:rPr>
            </w:pPr>
            <w:r>
              <w:rPr>
                <w:rFonts w:ascii="Arial" w:cs="Arial" w:eastAsia="Arial" w:hAnsi="Arial"/>
                <w:sz w:val="10"/>
                <w:szCs w:val="10"/>
                <w:b w:val="1"/>
                <w:bCs w:val="1"/>
                <w:color w:val="auto"/>
              </w:rPr>
              <w:t>Page</w:t>
            </w:r>
          </w:p>
        </w:tc>
        <w:tc>
          <w:tcPr>
            <w:tcW w:w="800" w:type="dxa"/>
            <w:vAlign w:val="bottom"/>
          </w:tcPr>
          <w:p>
            <w:pPr>
              <w:spacing w:after="0"/>
              <w:rPr>
                <w:sz w:val="10"/>
                <w:szCs w:val="10"/>
                <w:color w:val="auto"/>
              </w:rPr>
            </w:pPr>
          </w:p>
        </w:tc>
      </w:tr>
      <w:tr>
        <w:trPr>
          <w:trHeight w:val="157"/>
        </w:trPr>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tcBorders>
              <w:bottom w:val="single" w:sz="8" w:color="0000EE"/>
            </w:tcBorders>
            <w:gridSpan w:val="3"/>
          </w:tcPr>
          <w:p>
            <w:pPr>
              <w:spacing w:after="0"/>
              <w:rPr>
                <w:rFonts w:ascii="Arial" w:cs="Arial" w:eastAsia="Arial" w:hAnsi="Arial"/>
                <w:sz w:val="13"/>
                <w:szCs w:val="13"/>
                <w:color w:val="0000EE"/>
                <w:w w:val="90"/>
              </w:rPr>
            </w:pPr>
            <w:hyperlink w:anchor="page73">
              <w:r>
                <w:rPr>
                  <w:rFonts w:ascii="Arial" w:cs="Arial" w:eastAsia="Arial" w:hAnsi="Arial"/>
                  <w:sz w:val="13"/>
                  <w:szCs w:val="13"/>
                  <w:color w:val="0000EE"/>
                  <w:w w:val="90"/>
                </w:rPr>
                <w:t>Compensation of Directors</w:t>
              </w:r>
            </w:hyperlink>
          </w:p>
        </w:tc>
        <w:tc>
          <w:tcPr>
            <w:tcW w:w="6680" w:type="dxa"/>
            <w:vAlign w:val="bottom"/>
            <w:gridSpan w:val="11"/>
          </w:tcPr>
          <w:p>
            <w:pPr>
              <w:spacing w:after="0"/>
              <w:rPr>
                <w:sz w:val="13"/>
                <w:szCs w:val="13"/>
                <w:color w:val="auto"/>
              </w:rPr>
            </w:pPr>
          </w:p>
        </w:tc>
        <w:tc>
          <w:tcPr>
            <w:tcW w:w="1280" w:type="dxa"/>
            <w:vAlign w:val="bottom"/>
            <w:gridSpan w:val="2"/>
          </w:tcPr>
          <w:p>
            <w:pPr>
              <w:jc w:val="right"/>
              <w:ind w:right="800"/>
              <w:spacing w:after="0"/>
              <w:rPr>
                <w:sz w:val="20"/>
                <w:szCs w:val="20"/>
                <w:color w:val="auto"/>
              </w:rPr>
            </w:pPr>
            <w:r>
              <w:rPr>
                <w:rFonts w:ascii="Arial" w:cs="Arial" w:eastAsia="Arial" w:hAnsi="Arial"/>
                <w:sz w:val="13"/>
                <w:szCs w:val="13"/>
                <w:color w:val="auto"/>
              </w:rPr>
              <w:t>III-8</w:t>
            </w:r>
          </w:p>
        </w:tc>
      </w:tr>
      <w:tr>
        <w:trPr>
          <w:trHeight w:val="137"/>
        </w:trPr>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100" w:type="dxa"/>
            <w:vAlign w:val="bottom"/>
            <w:gridSpan w:val="14"/>
          </w:tcPr>
          <w:p>
            <w:pPr>
              <w:spacing w:after="0" w:line="138" w:lineRule="exact"/>
              <w:rPr>
                <w:rFonts w:ascii="Arial" w:cs="Arial" w:eastAsia="Arial" w:hAnsi="Arial"/>
                <w:sz w:val="13"/>
                <w:szCs w:val="13"/>
                <w:color w:val="0000EE"/>
              </w:rPr>
            </w:pPr>
            <w:hyperlink w:anchor="page73">
              <w:r>
                <w:rPr>
                  <w:rFonts w:ascii="Arial" w:cs="Arial" w:eastAsia="Arial" w:hAnsi="Arial"/>
                  <w:sz w:val="13"/>
                  <w:szCs w:val="13"/>
                  <w:color w:val="0000EE"/>
                </w:rPr>
                <w:t>Termination of Employment and Change in Control Arrangements</w:t>
              </w:r>
            </w:hyperlink>
          </w:p>
        </w:tc>
        <w:tc>
          <w:tcPr>
            <w:tcW w:w="1280" w:type="dxa"/>
            <w:vAlign w:val="bottom"/>
            <w:gridSpan w:val="2"/>
          </w:tcPr>
          <w:p>
            <w:pPr>
              <w:jc w:val="right"/>
              <w:ind w:right="800"/>
              <w:spacing w:after="0" w:line="138" w:lineRule="exact"/>
              <w:rPr>
                <w:sz w:val="20"/>
                <w:szCs w:val="20"/>
                <w:color w:val="auto"/>
              </w:rPr>
            </w:pPr>
            <w:r>
              <w:rPr>
                <w:rFonts w:ascii="Arial" w:cs="Arial" w:eastAsia="Arial" w:hAnsi="Arial"/>
                <w:sz w:val="13"/>
                <w:szCs w:val="13"/>
                <w:color w:val="auto"/>
              </w:rPr>
              <w:t>III-8</w:t>
            </w:r>
          </w:p>
        </w:tc>
      </w:tr>
      <w:tr>
        <w:trPr>
          <w:trHeight w:val="137"/>
        </w:trPr>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80" w:type="dxa"/>
            <w:vAlign w:val="bottom"/>
            <w:tcBorders>
              <w:top w:val="single" w:sz="8" w:color="0000EE"/>
            </w:tcBorders>
            <w:gridSpan w:val="11"/>
          </w:tcPr>
          <w:p>
            <w:pPr>
              <w:spacing w:after="0" w:line="138" w:lineRule="exact"/>
              <w:rPr>
                <w:rFonts w:ascii="Arial" w:cs="Arial" w:eastAsia="Arial" w:hAnsi="Arial"/>
                <w:sz w:val="13"/>
                <w:szCs w:val="13"/>
                <w:color w:val="0000EE"/>
                <w:w w:val="98"/>
              </w:rPr>
            </w:pPr>
            <w:hyperlink w:anchor="page74">
              <w:r>
                <w:rPr>
                  <w:rFonts w:ascii="Arial" w:cs="Arial" w:eastAsia="Arial" w:hAnsi="Arial"/>
                  <w:sz w:val="13"/>
                  <w:szCs w:val="13"/>
                  <w:color w:val="0000EE"/>
                  <w:w w:val="98"/>
                </w:rPr>
                <w:t>Compensation Committee Interlocks and Insider Participation</w:t>
              </w:r>
            </w:hyperlink>
          </w:p>
        </w:tc>
        <w:tc>
          <w:tcPr>
            <w:tcW w:w="4620" w:type="dxa"/>
            <w:vAlign w:val="bottom"/>
            <w:gridSpan w:val="3"/>
          </w:tcPr>
          <w:p>
            <w:pPr>
              <w:spacing w:after="0"/>
              <w:rPr>
                <w:sz w:val="11"/>
                <w:szCs w:val="11"/>
                <w:color w:val="auto"/>
              </w:rPr>
            </w:pPr>
          </w:p>
        </w:tc>
        <w:tc>
          <w:tcPr>
            <w:tcW w:w="1280" w:type="dxa"/>
            <w:vAlign w:val="bottom"/>
            <w:gridSpan w:val="2"/>
          </w:tcPr>
          <w:p>
            <w:pPr>
              <w:jc w:val="right"/>
              <w:ind w:right="800"/>
              <w:spacing w:after="0" w:line="138" w:lineRule="exact"/>
              <w:rPr>
                <w:sz w:val="20"/>
                <w:szCs w:val="20"/>
                <w:color w:val="auto"/>
              </w:rPr>
            </w:pPr>
            <w:r>
              <w:rPr>
                <w:rFonts w:ascii="Arial" w:cs="Arial" w:eastAsia="Arial" w:hAnsi="Arial"/>
                <w:sz w:val="13"/>
                <w:szCs w:val="13"/>
                <w:color w:val="auto"/>
              </w:rPr>
              <w:t>III-9</w:t>
            </w:r>
          </w:p>
        </w:tc>
      </w:tr>
      <w:tr>
        <w:trPr>
          <w:trHeight w:val="137"/>
        </w:trPr>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40" w:type="dxa"/>
            <w:vAlign w:val="bottom"/>
            <w:tcBorders>
              <w:top w:val="single" w:sz="8" w:color="0000EE"/>
            </w:tcBorders>
            <w:gridSpan w:val="8"/>
          </w:tcPr>
          <w:p>
            <w:pPr>
              <w:spacing w:after="0" w:line="138" w:lineRule="exact"/>
              <w:rPr>
                <w:rFonts w:ascii="Arial" w:cs="Arial" w:eastAsia="Arial" w:hAnsi="Arial"/>
                <w:sz w:val="13"/>
                <w:szCs w:val="13"/>
                <w:color w:val="0000EE"/>
              </w:rPr>
            </w:pPr>
            <w:hyperlink w:anchor="page74">
              <w:r>
                <w:rPr>
                  <w:rFonts w:ascii="Arial" w:cs="Arial" w:eastAsia="Arial" w:hAnsi="Arial"/>
                  <w:sz w:val="13"/>
                  <w:szCs w:val="13"/>
                  <w:color w:val="0000EE"/>
                </w:rPr>
                <w:t>Funded Retirement and 401(k) Plans</w:t>
              </w:r>
            </w:hyperlink>
          </w:p>
        </w:tc>
        <w:tc>
          <w:tcPr>
            <w:tcW w:w="4860" w:type="dxa"/>
            <w:vAlign w:val="bottom"/>
            <w:gridSpan w:val="6"/>
          </w:tcPr>
          <w:p>
            <w:pPr>
              <w:spacing w:after="0"/>
              <w:rPr>
                <w:sz w:val="11"/>
                <w:szCs w:val="11"/>
                <w:color w:val="auto"/>
              </w:rPr>
            </w:pPr>
          </w:p>
        </w:tc>
        <w:tc>
          <w:tcPr>
            <w:tcW w:w="1280" w:type="dxa"/>
            <w:vAlign w:val="bottom"/>
            <w:gridSpan w:val="2"/>
          </w:tcPr>
          <w:p>
            <w:pPr>
              <w:jc w:val="right"/>
              <w:ind w:right="800"/>
              <w:spacing w:after="0" w:line="138" w:lineRule="exact"/>
              <w:rPr>
                <w:sz w:val="20"/>
                <w:szCs w:val="20"/>
                <w:color w:val="auto"/>
              </w:rPr>
            </w:pPr>
            <w:r>
              <w:rPr>
                <w:rFonts w:ascii="Arial" w:cs="Arial" w:eastAsia="Arial" w:hAnsi="Arial"/>
                <w:sz w:val="13"/>
                <w:szCs w:val="13"/>
                <w:color w:val="auto"/>
              </w:rPr>
              <w:t>III-9</w:t>
            </w:r>
          </w:p>
        </w:tc>
      </w:tr>
      <w:tr>
        <w:trPr>
          <w:trHeight w:val="20"/>
        </w:trPr>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r>
      <w:tr>
        <w:trPr>
          <w:trHeight w:val="137"/>
        </w:trPr>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100" w:type="dxa"/>
            <w:vAlign w:val="bottom"/>
            <w:gridSpan w:val="14"/>
          </w:tcPr>
          <w:p>
            <w:pPr>
              <w:spacing w:after="0" w:line="138" w:lineRule="exact"/>
              <w:rPr>
                <w:rFonts w:ascii="Arial" w:cs="Arial" w:eastAsia="Arial" w:hAnsi="Arial"/>
                <w:sz w:val="13"/>
                <w:szCs w:val="13"/>
                <w:color w:val="0000EE"/>
              </w:rPr>
            </w:pPr>
            <w:hyperlink w:anchor="page74">
              <w:r>
                <w:rPr>
                  <w:rFonts w:ascii="Arial" w:cs="Arial" w:eastAsia="Arial" w:hAnsi="Arial"/>
                  <w:sz w:val="13"/>
                  <w:szCs w:val="13"/>
                  <w:color w:val="0000EE"/>
                </w:rPr>
                <w:t>Deferred Compensation Arrangements</w:t>
              </w:r>
            </w:hyperlink>
          </w:p>
        </w:tc>
        <w:tc>
          <w:tcPr>
            <w:tcW w:w="1280" w:type="dxa"/>
            <w:vAlign w:val="bottom"/>
            <w:gridSpan w:val="2"/>
          </w:tcPr>
          <w:p>
            <w:pPr>
              <w:jc w:val="right"/>
              <w:ind w:right="800"/>
              <w:spacing w:after="0" w:line="138" w:lineRule="exact"/>
              <w:rPr>
                <w:sz w:val="20"/>
                <w:szCs w:val="20"/>
                <w:color w:val="auto"/>
              </w:rPr>
            </w:pPr>
            <w:r>
              <w:rPr>
                <w:rFonts w:ascii="Arial" w:cs="Arial" w:eastAsia="Arial" w:hAnsi="Arial"/>
                <w:sz w:val="13"/>
                <w:szCs w:val="13"/>
                <w:color w:val="auto"/>
              </w:rPr>
              <w:t>III-9</w:t>
            </w:r>
          </w:p>
        </w:tc>
      </w:tr>
      <w:tr>
        <w:trPr>
          <w:trHeight w:val="20"/>
        </w:trPr>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r>
      <w:tr>
        <w:trPr>
          <w:trHeight w:val="137"/>
        </w:trPr>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100" w:type="dxa"/>
            <w:vAlign w:val="bottom"/>
            <w:gridSpan w:val="14"/>
          </w:tcPr>
          <w:p>
            <w:pPr>
              <w:spacing w:after="0" w:line="138" w:lineRule="exact"/>
              <w:rPr>
                <w:rFonts w:ascii="Arial" w:cs="Arial" w:eastAsia="Arial" w:hAnsi="Arial"/>
                <w:sz w:val="13"/>
                <w:szCs w:val="13"/>
                <w:color w:val="0000EE"/>
              </w:rPr>
            </w:pPr>
            <w:hyperlink w:anchor="page75">
              <w:r>
                <w:rPr>
                  <w:rFonts w:ascii="Arial" w:cs="Arial" w:eastAsia="Arial" w:hAnsi="Arial"/>
                  <w:sz w:val="13"/>
                  <w:szCs w:val="13"/>
                  <w:color w:val="0000EE"/>
                </w:rPr>
                <w:t>Compensation Committee Report on Executive Compensation</w:t>
              </w:r>
            </w:hyperlink>
          </w:p>
        </w:tc>
        <w:tc>
          <w:tcPr>
            <w:tcW w:w="1280" w:type="dxa"/>
            <w:vAlign w:val="bottom"/>
            <w:gridSpan w:val="2"/>
          </w:tcPr>
          <w:p>
            <w:pPr>
              <w:jc w:val="right"/>
              <w:ind w:right="800"/>
              <w:spacing w:after="0" w:line="138" w:lineRule="exact"/>
              <w:rPr>
                <w:sz w:val="20"/>
                <w:szCs w:val="20"/>
                <w:color w:val="auto"/>
              </w:rPr>
            </w:pPr>
            <w:r>
              <w:rPr>
                <w:rFonts w:ascii="Arial" w:cs="Arial" w:eastAsia="Arial" w:hAnsi="Arial"/>
                <w:sz w:val="13"/>
                <w:szCs w:val="13"/>
                <w:color w:val="auto"/>
              </w:rPr>
              <w:t>III-10</w:t>
            </w:r>
          </w:p>
        </w:tc>
      </w:tr>
      <w:tr>
        <w:trPr>
          <w:trHeight w:val="20"/>
        </w:trPr>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r>
      <w:tr>
        <w:trPr>
          <w:trHeight w:val="137"/>
        </w:trPr>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gridSpan w:val="5"/>
          </w:tcPr>
          <w:p>
            <w:pPr>
              <w:spacing w:after="0" w:line="138" w:lineRule="exact"/>
              <w:rPr>
                <w:rFonts w:ascii="Arial" w:cs="Arial" w:eastAsia="Arial" w:hAnsi="Arial"/>
                <w:sz w:val="13"/>
                <w:szCs w:val="13"/>
                <w:color w:val="0000EE"/>
                <w:w w:val="93"/>
              </w:rPr>
            </w:pPr>
            <w:hyperlink w:anchor="page77">
              <w:r>
                <w:rPr>
                  <w:rFonts w:ascii="Arial" w:cs="Arial" w:eastAsia="Arial" w:hAnsi="Arial"/>
                  <w:sz w:val="13"/>
                  <w:szCs w:val="13"/>
                  <w:color w:val="0000EE"/>
                  <w:w w:val="93"/>
                </w:rPr>
                <w:t>Item 12.</w:t>
              </w:r>
            </w:hyperlink>
          </w:p>
        </w:tc>
        <w:tc>
          <w:tcPr>
            <w:tcW w:w="560" w:type="dxa"/>
            <w:vAlign w:val="bottom"/>
            <w:gridSpan w:val="2"/>
          </w:tcPr>
          <w:p>
            <w:pPr>
              <w:spacing w:after="0"/>
              <w:rPr>
                <w:sz w:val="11"/>
                <w:szCs w:val="11"/>
                <w:color w:val="auto"/>
              </w:rPr>
            </w:pPr>
          </w:p>
        </w:tc>
        <w:tc>
          <w:tcPr>
            <w:tcW w:w="8100" w:type="dxa"/>
            <w:vAlign w:val="bottom"/>
            <w:gridSpan w:val="14"/>
          </w:tcPr>
          <w:p>
            <w:pPr>
              <w:spacing w:after="0" w:line="138" w:lineRule="exact"/>
              <w:rPr>
                <w:rFonts w:ascii="Arial" w:cs="Arial" w:eastAsia="Arial" w:hAnsi="Arial"/>
                <w:sz w:val="13"/>
                <w:szCs w:val="13"/>
                <w:color w:val="0000EE"/>
              </w:rPr>
            </w:pPr>
            <w:hyperlink w:anchor="page77">
              <w:r>
                <w:rPr>
                  <w:rFonts w:ascii="Arial" w:cs="Arial" w:eastAsia="Arial" w:hAnsi="Arial"/>
                  <w:sz w:val="13"/>
                  <w:szCs w:val="13"/>
                  <w:color w:val="0000EE"/>
                </w:rPr>
                <w:t>Security Ownership of Certain Beneficial Owners and Management and Related Stockholder Matters</w:t>
              </w:r>
            </w:hyperlink>
          </w:p>
        </w:tc>
        <w:tc>
          <w:tcPr>
            <w:tcW w:w="1280" w:type="dxa"/>
            <w:vAlign w:val="bottom"/>
            <w:gridSpan w:val="2"/>
          </w:tcPr>
          <w:p>
            <w:pPr>
              <w:jc w:val="right"/>
              <w:ind w:right="800"/>
              <w:spacing w:after="0" w:line="138" w:lineRule="exact"/>
              <w:rPr>
                <w:sz w:val="20"/>
                <w:szCs w:val="20"/>
                <w:color w:val="auto"/>
              </w:rPr>
            </w:pPr>
            <w:r>
              <w:rPr>
                <w:rFonts w:ascii="Arial" w:cs="Arial" w:eastAsia="Arial" w:hAnsi="Arial"/>
                <w:sz w:val="13"/>
                <w:szCs w:val="13"/>
                <w:color w:val="auto"/>
              </w:rPr>
              <w:t>III-12</w:t>
            </w:r>
          </w:p>
        </w:tc>
      </w:tr>
      <w:tr>
        <w:trPr>
          <w:trHeight w:val="137"/>
        </w:trPr>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Borders>
              <w:top w:val="single" w:sz="8" w:color="0000EE"/>
              <w:bottom w:val="single" w:sz="8" w:color="0000EE"/>
            </w:tcBorders>
            <w:gridSpan w:val="5"/>
          </w:tcPr>
          <w:p>
            <w:pPr>
              <w:spacing w:after="0" w:line="138" w:lineRule="exact"/>
              <w:rPr>
                <w:rFonts w:ascii="Arial" w:cs="Arial" w:eastAsia="Arial" w:hAnsi="Arial"/>
                <w:sz w:val="13"/>
                <w:szCs w:val="13"/>
                <w:color w:val="0000EE"/>
                <w:w w:val="93"/>
              </w:rPr>
            </w:pPr>
            <w:hyperlink w:anchor="page79">
              <w:r>
                <w:rPr>
                  <w:rFonts w:ascii="Arial" w:cs="Arial" w:eastAsia="Arial" w:hAnsi="Arial"/>
                  <w:sz w:val="13"/>
                  <w:szCs w:val="13"/>
                  <w:color w:val="0000EE"/>
                  <w:w w:val="93"/>
                </w:rPr>
                <w:t>Item 13.</w:t>
              </w:r>
            </w:hyperlink>
          </w:p>
        </w:tc>
        <w:tc>
          <w:tcPr>
            <w:tcW w:w="560" w:type="dxa"/>
            <w:vAlign w:val="bottom"/>
            <w:gridSpan w:val="2"/>
          </w:tcPr>
          <w:p>
            <w:pPr>
              <w:spacing w:after="0"/>
              <w:rPr>
                <w:sz w:val="11"/>
                <w:szCs w:val="11"/>
                <w:color w:val="auto"/>
              </w:rPr>
            </w:pPr>
          </w:p>
        </w:tc>
        <w:tc>
          <w:tcPr>
            <w:tcW w:w="2480" w:type="dxa"/>
            <w:vAlign w:val="bottom"/>
            <w:tcBorders>
              <w:top w:val="single" w:sz="8" w:color="0000EE"/>
              <w:bottom w:val="single" w:sz="8" w:color="0000EE"/>
            </w:tcBorders>
            <w:gridSpan w:val="7"/>
          </w:tcPr>
          <w:p>
            <w:pPr>
              <w:spacing w:after="0" w:line="138" w:lineRule="exact"/>
              <w:rPr>
                <w:rFonts w:ascii="Arial" w:cs="Arial" w:eastAsia="Arial" w:hAnsi="Arial"/>
                <w:sz w:val="13"/>
                <w:szCs w:val="13"/>
                <w:color w:val="0000EE"/>
                <w:w w:val="89"/>
              </w:rPr>
            </w:pPr>
            <w:hyperlink w:anchor="page79">
              <w:r>
                <w:rPr>
                  <w:rFonts w:ascii="Arial" w:cs="Arial" w:eastAsia="Arial" w:hAnsi="Arial"/>
                  <w:sz w:val="13"/>
                  <w:szCs w:val="13"/>
                  <w:color w:val="0000EE"/>
                  <w:w w:val="89"/>
                </w:rPr>
                <w:t>Certain Relationships and Related Transactions</w:t>
              </w:r>
            </w:hyperlink>
          </w:p>
        </w:tc>
        <w:tc>
          <w:tcPr>
            <w:tcW w:w="2820" w:type="dxa"/>
            <w:vAlign w:val="bottom"/>
            <w:tcBorders>
              <w:top w:val="single" w:sz="8" w:color="0000EE"/>
            </w:tcBorders>
            <w:gridSpan w:val="6"/>
          </w:tcPr>
          <w:p>
            <w:pPr>
              <w:spacing w:after="0"/>
              <w:rPr>
                <w:sz w:val="11"/>
                <w:szCs w:val="11"/>
                <w:color w:val="auto"/>
              </w:rPr>
            </w:pPr>
          </w:p>
        </w:tc>
        <w:tc>
          <w:tcPr>
            <w:tcW w:w="2800" w:type="dxa"/>
            <w:vAlign w:val="bottom"/>
          </w:tcPr>
          <w:p>
            <w:pPr>
              <w:spacing w:after="0"/>
              <w:rPr>
                <w:sz w:val="11"/>
                <w:szCs w:val="11"/>
                <w:color w:val="auto"/>
              </w:rPr>
            </w:pPr>
          </w:p>
        </w:tc>
        <w:tc>
          <w:tcPr>
            <w:tcW w:w="1280" w:type="dxa"/>
            <w:vAlign w:val="bottom"/>
            <w:gridSpan w:val="2"/>
          </w:tcPr>
          <w:p>
            <w:pPr>
              <w:jc w:val="right"/>
              <w:ind w:right="800"/>
              <w:spacing w:after="0" w:line="138" w:lineRule="exact"/>
              <w:rPr>
                <w:sz w:val="20"/>
                <w:szCs w:val="20"/>
                <w:color w:val="auto"/>
              </w:rPr>
            </w:pPr>
            <w:r>
              <w:rPr>
                <w:rFonts w:ascii="Arial" w:cs="Arial" w:eastAsia="Arial" w:hAnsi="Arial"/>
                <w:sz w:val="13"/>
                <w:szCs w:val="13"/>
                <w:color w:val="auto"/>
              </w:rPr>
              <w:t>III-14</w:t>
            </w:r>
          </w:p>
        </w:tc>
      </w:tr>
      <w:tr>
        <w:trPr>
          <w:trHeight w:val="137"/>
        </w:trPr>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7"/>
          </w:tcPr>
          <w:p>
            <w:pPr>
              <w:spacing w:after="0" w:line="138" w:lineRule="exact"/>
              <w:rPr>
                <w:rFonts w:ascii="Arial" w:cs="Arial" w:eastAsia="Arial" w:hAnsi="Arial"/>
                <w:sz w:val="13"/>
                <w:szCs w:val="13"/>
                <w:color w:val="0000EE"/>
              </w:rPr>
            </w:pPr>
            <w:hyperlink w:anchor="page80">
              <w:r>
                <w:rPr>
                  <w:rFonts w:ascii="Arial" w:cs="Arial" w:eastAsia="Arial" w:hAnsi="Arial"/>
                  <w:sz w:val="13"/>
                  <w:szCs w:val="13"/>
                  <w:color w:val="0000EE"/>
                </w:rPr>
                <w:t>Item 14.</w:t>
              </w:r>
            </w:hyperlink>
          </w:p>
        </w:tc>
        <w:tc>
          <w:tcPr>
            <w:tcW w:w="8100" w:type="dxa"/>
            <w:vAlign w:val="bottom"/>
            <w:gridSpan w:val="14"/>
          </w:tcPr>
          <w:p>
            <w:pPr>
              <w:spacing w:after="0" w:line="138" w:lineRule="exact"/>
              <w:rPr>
                <w:rFonts w:ascii="Arial" w:cs="Arial" w:eastAsia="Arial" w:hAnsi="Arial"/>
                <w:sz w:val="13"/>
                <w:szCs w:val="13"/>
                <w:color w:val="0000EE"/>
              </w:rPr>
            </w:pPr>
            <w:hyperlink w:anchor="page80">
              <w:r>
                <w:rPr>
                  <w:rFonts w:ascii="Arial" w:cs="Arial" w:eastAsia="Arial" w:hAnsi="Arial"/>
                  <w:sz w:val="13"/>
                  <w:szCs w:val="13"/>
                  <w:color w:val="0000EE"/>
                </w:rPr>
                <w:t>Principal Accounting Fees and Services</w:t>
              </w:r>
            </w:hyperlink>
          </w:p>
        </w:tc>
        <w:tc>
          <w:tcPr>
            <w:tcW w:w="1280" w:type="dxa"/>
            <w:vAlign w:val="bottom"/>
            <w:gridSpan w:val="2"/>
          </w:tcPr>
          <w:p>
            <w:pPr>
              <w:jc w:val="right"/>
              <w:ind w:right="800"/>
              <w:spacing w:after="0" w:line="138" w:lineRule="exact"/>
              <w:rPr>
                <w:sz w:val="20"/>
                <w:szCs w:val="20"/>
                <w:color w:val="auto"/>
              </w:rPr>
            </w:pPr>
            <w:r>
              <w:rPr>
                <w:rFonts w:ascii="Arial" w:cs="Arial" w:eastAsia="Arial" w:hAnsi="Arial"/>
                <w:sz w:val="13"/>
                <w:szCs w:val="13"/>
                <w:color w:val="auto"/>
              </w:rPr>
              <w:t>III-15</w:t>
            </w:r>
          </w:p>
        </w:tc>
      </w:tr>
      <w:tr>
        <w:trPr>
          <w:trHeight w:val="255"/>
        </w:trPr>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Borders>
              <w:top w:val="single" w:sz="8" w:color="0000EE"/>
            </w:tcBorders>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520" w:type="dxa"/>
            <w:vAlign w:val="bottom"/>
            <w:tcBorders>
              <w:top w:val="single" w:sz="8" w:color="0000EE"/>
            </w:tcBorders>
          </w:tcPr>
          <w:p>
            <w:pPr>
              <w:spacing w:after="0"/>
              <w:rPr>
                <w:sz w:val="22"/>
                <w:szCs w:val="22"/>
                <w:color w:val="auto"/>
              </w:rPr>
            </w:pPr>
          </w:p>
        </w:tc>
        <w:tc>
          <w:tcPr>
            <w:tcW w:w="50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40" w:type="dxa"/>
            <w:vAlign w:val="bottom"/>
            <w:gridSpan w:val="5"/>
          </w:tcPr>
          <w:p>
            <w:pPr>
              <w:ind w:left="80"/>
              <w:spacing w:after="0"/>
              <w:rPr>
                <w:rFonts w:ascii="Arial" w:cs="Arial" w:eastAsia="Arial" w:hAnsi="Arial"/>
                <w:sz w:val="13"/>
                <w:szCs w:val="13"/>
                <w:b w:val="1"/>
                <w:bCs w:val="1"/>
                <w:color w:val="0000EE"/>
              </w:rPr>
            </w:pPr>
            <w:hyperlink w:anchor="page81">
              <w:r>
                <w:rPr>
                  <w:rFonts w:ascii="Arial" w:cs="Arial" w:eastAsia="Arial" w:hAnsi="Arial"/>
                  <w:sz w:val="13"/>
                  <w:szCs w:val="13"/>
                  <w:b w:val="1"/>
                  <w:bCs w:val="1"/>
                  <w:color w:val="0000EE"/>
                </w:rPr>
                <w:t>PART IV</w:t>
              </w:r>
            </w:hyperlink>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137"/>
        </w:trPr>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gridSpan w:val="4"/>
          </w:tcPr>
          <w:p>
            <w:pPr>
              <w:spacing w:after="0" w:line="138" w:lineRule="exact"/>
              <w:rPr>
                <w:rFonts w:ascii="Arial" w:cs="Arial" w:eastAsia="Arial" w:hAnsi="Arial"/>
                <w:sz w:val="13"/>
                <w:szCs w:val="13"/>
                <w:color w:val="0000EE"/>
                <w:w w:val="89"/>
              </w:rPr>
            </w:pPr>
            <w:hyperlink w:anchor="page81">
              <w:r>
                <w:rPr>
                  <w:rFonts w:ascii="Arial" w:cs="Arial" w:eastAsia="Arial" w:hAnsi="Arial"/>
                  <w:sz w:val="13"/>
                  <w:szCs w:val="13"/>
                  <w:color w:val="0000EE"/>
                  <w:w w:val="89"/>
                </w:rPr>
                <w:t>Item 15.</w:t>
              </w:r>
            </w:hyperlink>
          </w:p>
        </w:tc>
        <w:tc>
          <w:tcPr>
            <w:tcW w:w="580" w:type="dxa"/>
            <w:vAlign w:val="bottom"/>
            <w:gridSpan w:val="3"/>
          </w:tcPr>
          <w:p>
            <w:pPr>
              <w:spacing w:after="0"/>
              <w:rPr>
                <w:sz w:val="11"/>
                <w:szCs w:val="11"/>
                <w:color w:val="auto"/>
              </w:rPr>
            </w:pPr>
          </w:p>
        </w:tc>
        <w:tc>
          <w:tcPr>
            <w:tcW w:w="3340" w:type="dxa"/>
            <w:vAlign w:val="bottom"/>
            <w:gridSpan w:val="10"/>
          </w:tcPr>
          <w:p>
            <w:pPr>
              <w:spacing w:after="0" w:line="138" w:lineRule="exact"/>
              <w:rPr>
                <w:rFonts w:ascii="Arial" w:cs="Arial" w:eastAsia="Arial" w:hAnsi="Arial"/>
                <w:sz w:val="13"/>
                <w:szCs w:val="13"/>
                <w:color w:val="0000EE"/>
              </w:rPr>
            </w:pPr>
            <w:hyperlink w:anchor="page81">
              <w:r>
                <w:rPr>
                  <w:rFonts w:ascii="Arial" w:cs="Arial" w:eastAsia="Arial" w:hAnsi="Arial"/>
                  <w:sz w:val="13"/>
                  <w:szCs w:val="13"/>
                  <w:color w:val="0000EE"/>
                </w:rPr>
                <w:t>Exhibits, Financial Statement Schedules</w:t>
              </w:r>
            </w:hyperlink>
          </w:p>
        </w:tc>
        <w:tc>
          <w:tcPr>
            <w:tcW w:w="520" w:type="dxa"/>
            <w:vAlign w:val="bottom"/>
            <w:tcBorders>
              <w:top w:val="single" w:sz="8" w:color="0000EE"/>
            </w:tcBorders>
            <w:gridSpan w:val="2"/>
          </w:tcPr>
          <w:p>
            <w:pPr>
              <w:spacing w:after="0"/>
              <w:rPr>
                <w:sz w:val="11"/>
                <w:szCs w:val="11"/>
                <w:color w:val="auto"/>
              </w:rPr>
            </w:pPr>
          </w:p>
        </w:tc>
        <w:tc>
          <w:tcPr>
            <w:tcW w:w="4240" w:type="dxa"/>
            <w:vAlign w:val="bottom"/>
            <w:gridSpan w:val="2"/>
          </w:tcPr>
          <w:p>
            <w:pPr>
              <w:spacing w:after="0"/>
              <w:rPr>
                <w:sz w:val="11"/>
                <w:szCs w:val="11"/>
                <w:color w:val="auto"/>
              </w:rPr>
            </w:pPr>
          </w:p>
        </w:tc>
        <w:tc>
          <w:tcPr>
            <w:tcW w:w="1280" w:type="dxa"/>
            <w:vAlign w:val="bottom"/>
            <w:gridSpan w:val="2"/>
          </w:tcPr>
          <w:p>
            <w:pPr>
              <w:jc w:val="right"/>
              <w:ind w:right="800"/>
              <w:spacing w:after="0" w:line="138" w:lineRule="exact"/>
              <w:rPr>
                <w:sz w:val="20"/>
                <w:szCs w:val="20"/>
                <w:color w:val="auto"/>
              </w:rPr>
            </w:pPr>
            <w:r>
              <w:rPr>
                <w:rFonts w:ascii="Arial" w:cs="Arial" w:eastAsia="Arial" w:hAnsi="Arial"/>
                <w:sz w:val="13"/>
                <w:szCs w:val="13"/>
                <w:color w:val="auto"/>
              </w:rPr>
              <w:t>IV-1</w:t>
            </w:r>
          </w:p>
        </w:tc>
      </w:tr>
      <w:tr>
        <w:trPr>
          <w:trHeight w:val="20"/>
        </w:trPr>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r>
      <w:tr>
        <w:trPr>
          <w:trHeight w:val="137"/>
        </w:trPr>
        <w:tc>
          <w:tcPr>
            <w:tcW w:w="720" w:type="dxa"/>
            <w:vAlign w:val="bottom"/>
          </w:tcPr>
          <w:p>
            <w:pPr>
              <w:spacing w:after="0"/>
              <w:rPr>
                <w:sz w:val="11"/>
                <w:szCs w:val="11"/>
                <w:color w:val="auto"/>
              </w:rPr>
            </w:pPr>
          </w:p>
        </w:tc>
        <w:tc>
          <w:tcPr>
            <w:tcW w:w="1360" w:type="dxa"/>
            <w:vAlign w:val="bottom"/>
            <w:gridSpan w:val="8"/>
          </w:tcPr>
          <w:p>
            <w:pPr>
              <w:spacing w:after="0" w:line="138" w:lineRule="exact"/>
              <w:rPr>
                <w:rFonts w:ascii="Arial" w:cs="Arial" w:eastAsia="Arial" w:hAnsi="Arial"/>
                <w:sz w:val="13"/>
                <w:szCs w:val="13"/>
                <w:color w:val="0000EE"/>
              </w:rPr>
            </w:pPr>
            <w:hyperlink w:anchor="page85">
              <w:r>
                <w:rPr>
                  <w:rFonts w:ascii="Arial" w:cs="Arial" w:eastAsia="Arial" w:hAnsi="Arial"/>
                  <w:sz w:val="13"/>
                  <w:szCs w:val="13"/>
                  <w:color w:val="0000EE"/>
                </w:rPr>
                <w:t>Signatures</w:t>
              </w:r>
            </w:hyperlink>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280" w:type="dxa"/>
            <w:vAlign w:val="bottom"/>
            <w:gridSpan w:val="2"/>
          </w:tcPr>
          <w:p>
            <w:pPr>
              <w:jc w:val="right"/>
              <w:ind w:right="800"/>
              <w:spacing w:after="0" w:line="138" w:lineRule="exact"/>
              <w:rPr>
                <w:sz w:val="20"/>
                <w:szCs w:val="20"/>
                <w:color w:val="auto"/>
              </w:rPr>
            </w:pPr>
            <w:r>
              <w:rPr>
                <w:rFonts w:ascii="Arial" w:cs="Arial" w:eastAsia="Arial" w:hAnsi="Arial"/>
                <w:sz w:val="13"/>
                <w:szCs w:val="13"/>
                <w:color w:val="auto"/>
              </w:rPr>
              <w:t>IV-5</w:t>
            </w:r>
          </w:p>
        </w:tc>
      </w:tr>
      <w:tr>
        <w:trPr>
          <w:trHeight w:val="20"/>
        </w:trPr>
        <w:tc>
          <w:tcPr>
            <w:tcW w:w="720" w:type="dxa"/>
            <w:vAlign w:val="bottom"/>
            <w:tcBorders>
              <w:right w:val="single" w:sz="8" w:color="0000EE"/>
            </w:tcBorders>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0" w:type="dxa"/>
            <w:vAlign w:val="bottom"/>
            <w:gridSpan w:val="1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720" w:type="dxa"/>
            <w:vAlign w:val="bottom"/>
          </w:tcPr>
          <w:p>
            <w:pPr>
              <w:spacing w:after="0"/>
              <w:rPr>
                <w:sz w:val="11"/>
                <w:szCs w:val="11"/>
                <w:color w:val="auto"/>
              </w:rPr>
            </w:pPr>
          </w:p>
        </w:tc>
        <w:tc>
          <w:tcPr>
            <w:tcW w:w="9460" w:type="dxa"/>
            <w:vAlign w:val="bottom"/>
            <w:gridSpan w:val="22"/>
          </w:tcPr>
          <w:p>
            <w:pPr>
              <w:spacing w:after="0" w:line="138" w:lineRule="exact"/>
              <w:rPr>
                <w:sz w:val="20"/>
                <w:szCs w:val="20"/>
                <w:color w:val="auto"/>
              </w:rPr>
            </w:pPr>
            <w:r>
              <w:rPr>
                <w:rFonts w:ascii="Arial" w:cs="Arial" w:eastAsia="Arial" w:hAnsi="Arial"/>
                <w:sz w:val="13"/>
                <w:szCs w:val="13"/>
                <w:color w:val="0000EE"/>
              </w:rPr>
              <w:t>Revolving Credit Facility Credit Agreement</w:t>
            </w: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7"/>
        </w:trPr>
        <w:tc>
          <w:tcPr>
            <w:tcW w:w="720" w:type="dxa"/>
            <w:vAlign w:val="bottom"/>
          </w:tcPr>
          <w:p>
            <w:pPr>
              <w:spacing w:after="0"/>
              <w:rPr>
                <w:sz w:val="11"/>
                <w:szCs w:val="11"/>
                <w:color w:val="auto"/>
              </w:rPr>
            </w:pPr>
          </w:p>
        </w:tc>
        <w:tc>
          <w:tcPr>
            <w:tcW w:w="1360" w:type="dxa"/>
            <w:vAlign w:val="bottom"/>
            <w:tcBorders>
              <w:top w:val="single" w:sz="8" w:color="0000EE"/>
            </w:tcBorders>
            <w:gridSpan w:val="8"/>
          </w:tcPr>
          <w:p>
            <w:pPr>
              <w:spacing w:after="0" w:line="138" w:lineRule="exact"/>
              <w:rPr>
                <w:sz w:val="20"/>
                <w:szCs w:val="20"/>
                <w:color w:val="auto"/>
              </w:rPr>
            </w:pPr>
            <w:r>
              <w:rPr>
                <w:rFonts w:ascii="Arial" w:cs="Arial" w:eastAsia="Arial" w:hAnsi="Arial"/>
                <w:sz w:val="13"/>
                <w:szCs w:val="13"/>
                <w:color w:val="0000EE"/>
              </w:rPr>
              <w:t>Subsidiaries</w:t>
            </w:r>
          </w:p>
        </w:tc>
        <w:tc>
          <w:tcPr>
            <w:tcW w:w="440" w:type="dxa"/>
            <w:vAlign w:val="bottom"/>
            <w:tcBorders>
              <w:top w:val="single" w:sz="8" w:color="0000EE"/>
            </w:tcBorders>
          </w:tcPr>
          <w:p>
            <w:pPr>
              <w:spacing w:after="0"/>
              <w:rPr>
                <w:sz w:val="11"/>
                <w:szCs w:val="11"/>
                <w:color w:val="auto"/>
              </w:rPr>
            </w:pPr>
          </w:p>
        </w:tc>
        <w:tc>
          <w:tcPr>
            <w:tcW w:w="460" w:type="dxa"/>
            <w:vAlign w:val="bottom"/>
            <w:tcBorders>
              <w:top w:val="single" w:sz="8" w:color="0000EE"/>
            </w:tcBorders>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0"/>
        </w:trPr>
        <w:tc>
          <w:tcPr>
            <w:tcW w:w="72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660" w:type="dxa"/>
            <w:vAlign w:val="bottom"/>
            <w:gridSpan w:val="1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720" w:type="dxa"/>
            <w:vAlign w:val="bottom"/>
          </w:tcPr>
          <w:p>
            <w:pPr>
              <w:spacing w:after="0"/>
              <w:rPr>
                <w:sz w:val="11"/>
                <w:szCs w:val="11"/>
                <w:color w:val="auto"/>
              </w:rPr>
            </w:pPr>
          </w:p>
        </w:tc>
        <w:tc>
          <w:tcPr>
            <w:tcW w:w="9460" w:type="dxa"/>
            <w:vAlign w:val="bottom"/>
            <w:gridSpan w:val="22"/>
          </w:tcPr>
          <w:p>
            <w:pPr>
              <w:spacing w:after="0" w:line="138" w:lineRule="exact"/>
              <w:rPr>
                <w:sz w:val="20"/>
                <w:szCs w:val="20"/>
                <w:color w:val="auto"/>
              </w:rPr>
            </w:pPr>
            <w:r>
              <w:rPr>
                <w:rFonts w:ascii="Arial" w:cs="Arial" w:eastAsia="Arial" w:hAnsi="Arial"/>
                <w:sz w:val="13"/>
                <w:szCs w:val="13"/>
                <w:color w:val="0000EE"/>
              </w:rPr>
              <w:t>Consent of Deloitte &amp; Touche LLP</w:t>
            </w: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7"/>
        </w:trPr>
        <w:tc>
          <w:tcPr>
            <w:tcW w:w="720" w:type="dxa"/>
            <w:vAlign w:val="bottom"/>
          </w:tcPr>
          <w:p>
            <w:pPr>
              <w:spacing w:after="0"/>
              <w:rPr>
                <w:sz w:val="11"/>
                <w:szCs w:val="11"/>
                <w:color w:val="auto"/>
              </w:rPr>
            </w:pPr>
          </w:p>
        </w:tc>
        <w:tc>
          <w:tcPr>
            <w:tcW w:w="1360" w:type="dxa"/>
            <w:vAlign w:val="bottom"/>
            <w:tcBorders>
              <w:top w:val="single" w:sz="8" w:color="0000EE"/>
            </w:tcBorders>
            <w:gridSpan w:val="8"/>
          </w:tcPr>
          <w:p>
            <w:pPr>
              <w:spacing w:after="0" w:line="138" w:lineRule="exact"/>
              <w:rPr>
                <w:sz w:val="20"/>
                <w:szCs w:val="20"/>
                <w:color w:val="auto"/>
              </w:rPr>
            </w:pPr>
            <w:r>
              <w:rPr>
                <w:rFonts w:ascii="Arial" w:cs="Arial" w:eastAsia="Arial" w:hAnsi="Arial"/>
                <w:sz w:val="13"/>
                <w:szCs w:val="13"/>
                <w:color w:val="0000EE"/>
              </w:rPr>
              <w:t>Certification</w:t>
            </w:r>
          </w:p>
        </w:tc>
        <w:tc>
          <w:tcPr>
            <w:tcW w:w="440" w:type="dxa"/>
            <w:vAlign w:val="bottom"/>
            <w:tcBorders>
              <w:top w:val="single" w:sz="8" w:color="0000EE"/>
            </w:tcBorders>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0"/>
        </w:trPr>
        <w:tc>
          <w:tcPr>
            <w:tcW w:w="72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720" w:type="dxa"/>
            <w:vAlign w:val="bottom"/>
          </w:tcPr>
          <w:p>
            <w:pPr>
              <w:spacing w:after="0"/>
              <w:rPr>
                <w:sz w:val="11"/>
                <w:szCs w:val="11"/>
                <w:color w:val="auto"/>
              </w:rPr>
            </w:pPr>
          </w:p>
        </w:tc>
        <w:tc>
          <w:tcPr>
            <w:tcW w:w="1360" w:type="dxa"/>
            <w:vAlign w:val="bottom"/>
            <w:gridSpan w:val="8"/>
          </w:tcPr>
          <w:p>
            <w:pPr>
              <w:spacing w:after="0" w:line="138" w:lineRule="exact"/>
              <w:rPr>
                <w:sz w:val="20"/>
                <w:szCs w:val="20"/>
                <w:color w:val="auto"/>
              </w:rPr>
            </w:pPr>
            <w:r>
              <w:rPr>
                <w:rFonts w:ascii="Arial" w:cs="Arial" w:eastAsia="Arial" w:hAnsi="Arial"/>
                <w:sz w:val="13"/>
                <w:szCs w:val="13"/>
                <w:color w:val="0000EE"/>
              </w:rPr>
              <w:t>Certification</w:t>
            </w: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0"/>
        </w:trPr>
        <w:tc>
          <w:tcPr>
            <w:tcW w:w="72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720" w:type="dxa"/>
            <w:vAlign w:val="bottom"/>
          </w:tcPr>
          <w:p>
            <w:pPr>
              <w:spacing w:after="0"/>
              <w:rPr>
                <w:sz w:val="11"/>
                <w:szCs w:val="11"/>
                <w:color w:val="auto"/>
              </w:rPr>
            </w:pPr>
          </w:p>
        </w:tc>
        <w:tc>
          <w:tcPr>
            <w:tcW w:w="1360" w:type="dxa"/>
            <w:vAlign w:val="bottom"/>
            <w:gridSpan w:val="8"/>
          </w:tcPr>
          <w:p>
            <w:pPr>
              <w:spacing w:after="0" w:line="138" w:lineRule="exact"/>
              <w:rPr>
                <w:sz w:val="20"/>
                <w:szCs w:val="20"/>
                <w:color w:val="auto"/>
              </w:rPr>
            </w:pPr>
            <w:r>
              <w:rPr>
                <w:rFonts w:ascii="Arial" w:cs="Arial" w:eastAsia="Arial" w:hAnsi="Arial"/>
                <w:sz w:val="13"/>
                <w:szCs w:val="13"/>
                <w:color w:val="0000EE"/>
                <w:w w:val="90"/>
              </w:rPr>
              <w:t>Section 1350 Certification</w:t>
            </w: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0"/>
        </w:trPr>
        <w:tc>
          <w:tcPr>
            <w:tcW w:w="720" w:type="dxa"/>
            <w:vAlign w:val="bottom"/>
          </w:tcPr>
          <w:p>
            <w:pPr>
              <w:spacing w:after="0" w:line="20" w:lineRule="exact"/>
              <w:rPr>
                <w:sz w:val="1"/>
                <w:szCs w:val="1"/>
                <w:color w:val="auto"/>
              </w:rPr>
            </w:pPr>
          </w:p>
        </w:tc>
        <w:tc>
          <w:tcPr>
            <w:tcW w:w="134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720" w:type="dxa"/>
            <w:vAlign w:val="bottom"/>
          </w:tcPr>
          <w:p>
            <w:pPr>
              <w:spacing w:after="0"/>
              <w:rPr>
                <w:sz w:val="11"/>
                <w:szCs w:val="11"/>
                <w:color w:val="auto"/>
              </w:rPr>
            </w:pPr>
          </w:p>
        </w:tc>
        <w:tc>
          <w:tcPr>
            <w:tcW w:w="1360" w:type="dxa"/>
            <w:vAlign w:val="bottom"/>
            <w:gridSpan w:val="8"/>
          </w:tcPr>
          <w:p>
            <w:pPr>
              <w:spacing w:after="0" w:line="138" w:lineRule="exact"/>
              <w:rPr>
                <w:sz w:val="20"/>
                <w:szCs w:val="20"/>
                <w:color w:val="auto"/>
              </w:rPr>
            </w:pPr>
            <w:r>
              <w:rPr>
                <w:rFonts w:ascii="Arial" w:cs="Arial" w:eastAsia="Arial" w:hAnsi="Arial"/>
                <w:sz w:val="13"/>
                <w:szCs w:val="13"/>
                <w:color w:val="0000EE"/>
                <w:w w:val="90"/>
              </w:rPr>
              <w:t>Section 1350 Certification</w:t>
            </w: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71"/>
        </w:trPr>
        <w:tc>
          <w:tcPr>
            <w:tcW w:w="720" w:type="dxa"/>
            <w:vAlign w:val="bottom"/>
            <w:tcBorders>
              <w:bottom w:val="single" w:sz="8" w:color="808080"/>
            </w:tcBorders>
          </w:tcPr>
          <w:p>
            <w:pPr>
              <w:spacing w:after="0"/>
              <w:rPr>
                <w:sz w:val="14"/>
                <w:szCs w:val="14"/>
                <w:color w:val="auto"/>
              </w:rPr>
            </w:pPr>
          </w:p>
        </w:tc>
        <w:tc>
          <w:tcPr>
            <w:tcW w:w="340" w:type="dxa"/>
            <w:vAlign w:val="bottom"/>
            <w:tcBorders>
              <w:top w:val="single" w:sz="8" w:color="0000EE"/>
              <w:bottom w:val="single" w:sz="8" w:color="808080"/>
            </w:tcBorders>
          </w:tcPr>
          <w:p>
            <w:pPr>
              <w:spacing w:after="0"/>
              <w:rPr>
                <w:sz w:val="14"/>
                <w:szCs w:val="14"/>
                <w:color w:val="auto"/>
              </w:rPr>
            </w:pPr>
          </w:p>
        </w:tc>
        <w:tc>
          <w:tcPr>
            <w:tcW w:w="180" w:type="dxa"/>
            <w:vAlign w:val="bottom"/>
            <w:tcBorders>
              <w:top w:val="single" w:sz="8" w:color="0000EE"/>
              <w:bottom w:val="single" w:sz="8" w:color="808080"/>
            </w:tcBorders>
          </w:tcPr>
          <w:p>
            <w:pPr>
              <w:spacing w:after="0"/>
              <w:rPr>
                <w:sz w:val="14"/>
                <w:szCs w:val="14"/>
                <w:color w:val="auto"/>
              </w:rPr>
            </w:pPr>
          </w:p>
        </w:tc>
        <w:tc>
          <w:tcPr>
            <w:tcW w:w="100" w:type="dxa"/>
            <w:vAlign w:val="bottom"/>
            <w:tcBorders>
              <w:top w:val="single" w:sz="8" w:color="0000EE"/>
              <w:bottom w:val="single" w:sz="8" w:color="808080"/>
            </w:tcBorders>
          </w:tcPr>
          <w:p>
            <w:pPr>
              <w:spacing w:after="0"/>
              <w:rPr>
                <w:sz w:val="14"/>
                <w:szCs w:val="14"/>
                <w:color w:val="auto"/>
              </w:rPr>
            </w:pPr>
          </w:p>
        </w:tc>
        <w:tc>
          <w:tcPr>
            <w:tcW w:w="20" w:type="dxa"/>
            <w:vAlign w:val="bottom"/>
            <w:tcBorders>
              <w:top w:val="single" w:sz="8" w:color="0000EE"/>
              <w:bottom w:val="single" w:sz="8" w:color="808080"/>
            </w:tcBorders>
          </w:tcPr>
          <w:p>
            <w:pPr>
              <w:spacing w:after="0"/>
              <w:rPr>
                <w:sz w:val="14"/>
                <w:szCs w:val="14"/>
                <w:color w:val="auto"/>
              </w:rPr>
            </w:pPr>
          </w:p>
        </w:tc>
        <w:tc>
          <w:tcPr>
            <w:tcW w:w="140" w:type="dxa"/>
            <w:vAlign w:val="bottom"/>
            <w:tcBorders>
              <w:top w:val="single" w:sz="8" w:color="0000EE"/>
              <w:bottom w:val="single" w:sz="8" w:color="808080"/>
            </w:tcBorders>
          </w:tcPr>
          <w:p>
            <w:pPr>
              <w:spacing w:after="0"/>
              <w:rPr>
                <w:sz w:val="14"/>
                <w:szCs w:val="14"/>
                <w:color w:val="auto"/>
              </w:rPr>
            </w:pPr>
          </w:p>
        </w:tc>
        <w:tc>
          <w:tcPr>
            <w:tcW w:w="20" w:type="dxa"/>
            <w:vAlign w:val="bottom"/>
            <w:tcBorders>
              <w:top w:val="single" w:sz="8" w:color="0000EE"/>
              <w:bottom w:val="single" w:sz="8" w:color="808080"/>
            </w:tcBorders>
          </w:tcPr>
          <w:p>
            <w:pPr>
              <w:spacing w:after="0"/>
              <w:rPr>
                <w:sz w:val="14"/>
                <w:szCs w:val="14"/>
                <w:color w:val="auto"/>
              </w:rPr>
            </w:pPr>
          </w:p>
        </w:tc>
        <w:tc>
          <w:tcPr>
            <w:tcW w:w="540" w:type="dxa"/>
            <w:vAlign w:val="bottom"/>
            <w:tcBorders>
              <w:top w:val="single" w:sz="8" w:color="0000EE"/>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440" w:type="dxa"/>
            <w:vAlign w:val="bottom"/>
            <w:tcBorders>
              <w:bottom w:val="single" w:sz="8" w:color="808080"/>
            </w:tcBorders>
          </w:tcPr>
          <w:p>
            <w:pPr>
              <w:spacing w:after="0"/>
              <w:rPr>
                <w:sz w:val="14"/>
                <w:szCs w:val="14"/>
                <w:color w:val="auto"/>
              </w:rPr>
            </w:pPr>
          </w:p>
        </w:tc>
        <w:tc>
          <w:tcPr>
            <w:tcW w:w="280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460"/>
        <w:spacing w:after="0"/>
        <w:rPr>
          <w:sz w:val="20"/>
          <w:szCs w:val="20"/>
          <w:color w:val="auto"/>
        </w:rPr>
      </w:pPr>
      <w:r>
        <w:rPr>
          <w:rFonts w:ascii="Arial" w:cs="Arial" w:eastAsia="Arial" w:hAnsi="Arial"/>
          <w:sz w:val="13"/>
          <w:szCs w:val="13"/>
          <w:b w:val="1"/>
          <w:bCs w:val="1"/>
          <w:color w:val="auto"/>
        </w:rPr>
        <w:t>PART I</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Brady Corporation and Subsidiaries are referred to herein as the “Company,” “Brady,” or “we”.</w:t>
      </w:r>
    </w:p>
    <w:p>
      <w:pPr>
        <w:spacing w:after="0" w:line="17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0"/>
          <w:szCs w:val="10"/>
          <w:b w:val="1"/>
          <w:bCs w:val="1"/>
          <w:i w:val="1"/>
          <w:iCs w:val="1"/>
          <w:color w:val="auto"/>
        </w:rPr>
        <w:t>Business</w:t>
      </w:r>
    </w:p>
    <w:p>
      <w:pPr>
        <w:spacing w:after="0" w:line="100" w:lineRule="exact"/>
        <w:rPr>
          <w:sz w:val="20"/>
          <w:szCs w:val="20"/>
          <w:color w:val="auto"/>
        </w:rPr>
      </w:pPr>
    </w:p>
    <w:p>
      <w:pPr>
        <w:ind w:left="1080" w:hanging="393"/>
        <w:spacing w:after="0"/>
        <w:tabs>
          <w:tab w:leader="none" w:pos="1080" w:val="left"/>
        </w:tabs>
        <w:numPr>
          <w:ilvl w:val="0"/>
          <w:numId w:val="3"/>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General Development of Business</w:t>
      </w:r>
    </w:p>
    <w:p>
      <w:pPr>
        <w:spacing w:after="0" w:line="96" w:lineRule="exact"/>
        <w:rPr>
          <w:sz w:val="20"/>
          <w:szCs w:val="20"/>
          <w:color w:val="auto"/>
        </w:rPr>
      </w:pPr>
    </w:p>
    <w:p>
      <w:pPr>
        <w:ind w:left="680" w:right="160" w:firstLine="399"/>
        <w:spacing w:after="0" w:line="316" w:lineRule="auto"/>
        <w:rPr>
          <w:sz w:val="20"/>
          <w:szCs w:val="20"/>
          <w:color w:val="auto"/>
        </w:rPr>
      </w:pPr>
      <w:r>
        <w:rPr>
          <w:rFonts w:ascii="Arial" w:cs="Arial" w:eastAsia="Arial" w:hAnsi="Arial"/>
          <w:sz w:val="11"/>
          <w:szCs w:val="11"/>
          <w:color w:val="auto"/>
        </w:rPr>
        <w:t>The Company, a Wisconsin corporation founded in 1914, currently operates 65 manufacturing or distribution facilities in Australia, Belgium, Brazil, Canada, China, Denmark, France, Germany, India, Italy, Korea, Malaysia, Mexico, Norway, Singapore, Slovakia, Sweden, Thailand, the United Kingdom and the United States. The Company also sells through subsidiaries or sales offices in these countries, with additional sales through a dedicated team of international sales representatives in Hong Kong, Japan, the Netherlands, the Philippines, Spain, Taiwan and Turkey. The Company further markets its products to parts of Eastern Europe, the Middle East, Africa and Russia. The Company’s corporate headquarters are located at 6555 West Good Hope Road, Milwaukee, Wisconsin 53223, and the telephone number is (414) 358-6600. The Company’s Internet address is http://www.bradycorp.com.</w:t>
      </w:r>
    </w:p>
    <w:p>
      <w:pPr>
        <w:spacing w:after="0" w:line="121" w:lineRule="exact"/>
        <w:rPr>
          <w:sz w:val="20"/>
          <w:szCs w:val="20"/>
          <w:color w:val="auto"/>
        </w:rPr>
      </w:pPr>
    </w:p>
    <w:p>
      <w:pPr>
        <w:ind w:left="1000" w:hanging="313"/>
        <w:spacing w:after="0"/>
        <w:tabs>
          <w:tab w:leader="none" w:pos="1000" w:val="left"/>
        </w:tabs>
        <w:numPr>
          <w:ilvl w:val="0"/>
          <w:numId w:val="4"/>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Financial Information About Industry Segments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information required by this Item is provided in Note 7 of the Notes to Consolidated Financial Statements contained in Item 8 — Financial Statements and Supplementary Data.</w:t>
      </w:r>
    </w:p>
    <w:p>
      <w:pPr>
        <w:spacing w:after="0" w:line="186" w:lineRule="exact"/>
        <w:rPr>
          <w:sz w:val="20"/>
          <w:szCs w:val="20"/>
          <w:color w:val="auto"/>
        </w:rPr>
      </w:pPr>
    </w:p>
    <w:p>
      <w:pPr>
        <w:ind w:left="1000" w:hanging="313"/>
        <w:spacing w:after="0"/>
        <w:tabs>
          <w:tab w:leader="none" w:pos="1000" w:val="left"/>
        </w:tabs>
        <w:numPr>
          <w:ilvl w:val="0"/>
          <w:numId w:val="5"/>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Narrative Description of Business</w:t>
      </w:r>
    </w:p>
    <w:p>
      <w:pPr>
        <w:spacing w:after="0" w:line="9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Brady Corporation is an international manufacturer and marketer of identification solutions and specialty products which identify and protect premises, products and people. Brady’s core capabilities in manufacturing, channel management, printing systems, precision engineering and materials expertise make it a leading supplier to the Maintenance, Repair and Operations (“MRO”) market and to the Original Equipment Manufacturing (“OEM”) market. The Company’s ability to provide customers with a broad range of differentiated solutions both through the organic development of it’s existing business and the acquisition of competing, complementary and adjacent businesses, its commitment to quality and service, its global footprint and its diversified sales channels have made it a world leader in its markets.</w:t>
      </w:r>
    </w:p>
    <w:p>
      <w:pPr>
        <w:spacing w:after="0" w:line="71"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color w:val="auto"/>
        </w:rPr>
        <w:t>Brady manufactures and markets a wide range of products for use in diverse applications. Major product lines provided to the MRO market include facility identification, safety and complementary products, wire identification products and people identification products. Major product lines provided to the OEM market include high-performance identification products for product identification, work in process identification, bar code labels and precision die-cut components for mobile telecommunications devices, hard disk drives, medical devices and supplies and automotive electronics. Products are marketed through multiple channels, including distribution, business-to-business direct marketing and a direct sales force.</w:t>
      </w:r>
    </w:p>
    <w:p>
      <w:pPr>
        <w:spacing w:after="0" w:line="53"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The need for the Company’s products is driven, in part, by customer specifications, by regulatory compliance requirements imposed by agencies such as the Occupational Safety &amp; Health Administration (“OSHA”) and the Environmental Protection Agency (“EPA”) in the United States and other regulatory agencies around the world, or by the need to identify and track assets or to identify, direct, warn, inform, train and protect people or products. Brady serves customers in general manufacturing, maintenance and safety, process industries, construction, electrical, telecommunications, electronics, laboratory/healthcare, airline/transportation, security/brand education, governmental, public utility, and a variety of other industries. The Company has a broad customer base, with the largest customer representing approximately 7% of net sales.</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Competitive Strengths</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Brady’s vision is to be either first or second in terms of market share in every market served. The Company’s primary growth objectives are to build upon its leading market positions, to improve performance and profitability</w:t>
      </w:r>
    </w:p>
    <w:p>
      <w:pPr>
        <w:spacing w:after="0" w:line="26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and to expand existing activities through a multi-prong approach that incorporates both organic growth, new product development and acquisitions.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believes the following competitive strengths will allow it to achieve its strategy:</w:t>
      </w:r>
    </w:p>
    <w:p>
      <w:pPr>
        <w:spacing w:after="0" w:line="96"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i w:val="1"/>
          <w:iCs w:val="1"/>
          <w:color w:val="auto"/>
        </w:rPr>
        <w:t xml:space="preserve">Leader in Fragmented Markets. </w:t>
      </w:r>
      <w:r>
        <w:rPr>
          <w:rFonts w:ascii="Arial" w:cs="Arial" w:eastAsia="Arial" w:hAnsi="Arial"/>
          <w:sz w:val="12"/>
          <w:szCs w:val="12"/>
          <w:color w:val="auto"/>
        </w:rPr>
        <w:t>Brady competes in niche markets where it believes it is often the leading supplier with the manufacturing expertise, infrastructure, channels and sales</w:t>
      </w:r>
      <w:r>
        <w:rPr>
          <w:rFonts w:ascii="Arial" w:cs="Arial" w:eastAsia="Arial" w:hAnsi="Arial"/>
          <w:sz w:val="12"/>
          <w:szCs w:val="12"/>
          <w:i w:val="1"/>
          <w:iCs w:val="1"/>
          <w:color w:val="auto"/>
        </w:rPr>
        <w:t xml:space="preserve"> </w:t>
      </w:r>
      <w:r>
        <w:rPr>
          <w:rFonts w:ascii="Arial" w:cs="Arial" w:eastAsia="Arial" w:hAnsi="Arial"/>
          <w:sz w:val="12"/>
          <w:szCs w:val="12"/>
          <w:color w:val="auto"/>
        </w:rPr>
        <w:t>resources necessary to provide the required product or comprehensive solution. For example, the Company believes it is the leading supplier of wire identification products to the North American MRO market and of precision die-cut components to the mobile telecommunications market. The Company believes its leadership positions make it a preferred supplier to many of its customers and enables it to be successful in its markets, which are generally fragmented and populated with smaller or regional competitors.</w:t>
      </w:r>
    </w:p>
    <w:p>
      <w:pPr>
        <w:spacing w:after="0" w:line="53" w:lineRule="exact"/>
        <w:rPr>
          <w:sz w:val="20"/>
          <w:szCs w:val="20"/>
          <w:color w:val="auto"/>
        </w:rPr>
      </w:pPr>
    </w:p>
    <w:p>
      <w:pPr>
        <w:ind w:left="680" w:right="100" w:firstLine="399"/>
        <w:spacing w:after="0" w:line="257" w:lineRule="auto"/>
        <w:rPr>
          <w:sz w:val="20"/>
          <w:szCs w:val="20"/>
          <w:color w:val="auto"/>
        </w:rPr>
      </w:pPr>
      <w:r>
        <w:rPr>
          <w:rFonts w:ascii="Arial" w:cs="Arial" w:eastAsia="Arial" w:hAnsi="Arial"/>
          <w:sz w:val="13"/>
          <w:szCs w:val="13"/>
          <w:i w:val="1"/>
          <w:iCs w:val="1"/>
          <w:color w:val="auto"/>
        </w:rPr>
        <w:t xml:space="preserve">Differentiated Solutions and Commitment to Innovation. </w:t>
      </w:r>
      <w:r>
        <w:rPr>
          <w:rFonts w:ascii="Arial" w:cs="Arial" w:eastAsia="Arial" w:hAnsi="Arial"/>
          <w:sz w:val="13"/>
          <w:szCs w:val="13"/>
          <w:color w:val="auto"/>
        </w:rPr>
        <w:t>The Company believes its sophisticated engineering and manufacturing capabilities, as well as outstanding materials</w:t>
      </w:r>
      <w:r>
        <w:rPr>
          <w:rFonts w:ascii="Arial" w:cs="Arial" w:eastAsia="Arial" w:hAnsi="Arial"/>
          <w:sz w:val="13"/>
          <w:szCs w:val="13"/>
          <w:i w:val="1"/>
          <w:iCs w:val="1"/>
          <w:color w:val="auto"/>
        </w:rPr>
        <w:t xml:space="preserve"> </w:t>
      </w:r>
      <w:r>
        <w:rPr>
          <w:rFonts w:ascii="Arial" w:cs="Arial" w:eastAsia="Arial" w:hAnsi="Arial"/>
          <w:sz w:val="13"/>
          <w:szCs w:val="13"/>
          <w:color w:val="auto"/>
        </w:rPr>
        <w:t>expertise, give it a competitive advantage in supplying customized or high specification product solutions to meet individualized customer needs. The Company has been successful in identifying and incorporating innovative technologies to create integrated and precise solutions. Additionally, it is able to use its materials expertise and its investment in research and development to provide unique products to meet the demands of end-customers in new, faster growing markets adjacent to our traditional markets, such as laboratory identification. Brady’s commitment to product innovation is reflected in its research and development efforts that include approximately 200 employees primarily dedicated to research and development activities mainly in the United States, but also in Belgium, Germany, Singapore and China.</w:t>
      </w:r>
    </w:p>
    <w:p>
      <w:pPr>
        <w:spacing w:after="0" w:line="72"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i w:val="1"/>
          <w:iCs w:val="1"/>
          <w:color w:val="auto"/>
        </w:rPr>
        <w:t xml:space="preserve">Operational Excellence. </w:t>
      </w:r>
      <w:r>
        <w:rPr>
          <w:rFonts w:ascii="Arial" w:cs="Arial" w:eastAsia="Arial" w:hAnsi="Arial"/>
          <w:sz w:val="13"/>
          <w:szCs w:val="13"/>
          <w:color w:val="auto"/>
        </w:rPr>
        <w:t>Brady has achieved continuous improvement in operational productivity. It employs well-developed problem solving techniques and invests in</w:t>
      </w:r>
      <w:r>
        <w:rPr>
          <w:rFonts w:ascii="Arial" w:cs="Arial" w:eastAsia="Arial" w:hAnsi="Arial"/>
          <w:sz w:val="13"/>
          <w:szCs w:val="13"/>
          <w:i w:val="1"/>
          <w:iCs w:val="1"/>
          <w:color w:val="auto"/>
        </w:rPr>
        <w:t xml:space="preserve"> </w:t>
      </w:r>
      <w:r>
        <w:rPr>
          <w:rFonts w:ascii="Arial" w:cs="Arial" w:eastAsia="Arial" w:hAnsi="Arial"/>
          <w:sz w:val="13"/>
          <w:szCs w:val="13"/>
          <w:color w:val="auto"/>
        </w:rPr>
        <w:t>state-of-the-art equipment to capture efficiencies. The Company is largely vertically integrated and designs, manufactures and markets a majority of the products it sells. The Company has invested heavily over the last several years to centralize its North American distribution network and to standardize its Systems, Applications, and Products for data processing (“SAP”) software applications. It has consistently generated positive cash flow from operations by continually reducing costs and optimizing inventory management and the efficiency of its manufacturing operations. In addition, the Company’s focus on operational excellence has helped it deliver superior EBITDA (earnings before interest, taxes, depreciation and amortization) as a percentage of sales and returns on invested capital as compared to similar companies in its markets.</w:t>
      </w:r>
    </w:p>
    <w:p>
      <w:pPr>
        <w:spacing w:after="0" w:line="72"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Broad Customer Base and Geographic Diversity. </w:t>
      </w:r>
      <w:r>
        <w:rPr>
          <w:rFonts w:ascii="Arial" w:cs="Arial" w:eastAsia="Arial" w:hAnsi="Arial"/>
          <w:sz w:val="13"/>
          <w:szCs w:val="13"/>
          <w:color w:val="auto"/>
        </w:rPr>
        <w:t>Brady believes its global infrastructure mitigates the impact of an economic downturn on our business in any particular country or</w:t>
      </w:r>
      <w:r>
        <w:rPr>
          <w:rFonts w:ascii="Arial" w:cs="Arial" w:eastAsia="Arial" w:hAnsi="Arial"/>
          <w:sz w:val="13"/>
          <w:szCs w:val="13"/>
          <w:i w:val="1"/>
          <w:iCs w:val="1"/>
          <w:color w:val="auto"/>
        </w:rPr>
        <w:t xml:space="preserve"> </w:t>
      </w:r>
      <w:r>
        <w:rPr>
          <w:rFonts w:ascii="Arial" w:cs="Arial" w:eastAsia="Arial" w:hAnsi="Arial"/>
          <w:sz w:val="13"/>
          <w:szCs w:val="13"/>
          <w:color w:val="auto"/>
        </w:rPr>
        <w:t>region, enables it to act as a primary supplier to many of its global customers and provides a solid platform for further expansion. Sales from international operations increased from 44.4% of net sales in fiscal 2000 to 57.6% of net sales in fiscal 2006. The Company’s global presence benefits many of its customers who seek a single or primary supplier to meet their global design and manufacturing requirements. Brady has over 500,000 end-customers that operate in over a dozen industries.</w:t>
      </w:r>
    </w:p>
    <w:p>
      <w:pPr>
        <w:spacing w:after="0" w:line="70"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i w:val="1"/>
          <w:iCs w:val="1"/>
          <w:color w:val="auto"/>
        </w:rPr>
        <w:t xml:space="preserve">Disciplined Acquisition and Integration Strategy. </w:t>
      </w:r>
      <w:r>
        <w:rPr>
          <w:rFonts w:ascii="Arial" w:cs="Arial" w:eastAsia="Arial" w:hAnsi="Arial"/>
          <w:sz w:val="13"/>
          <w:szCs w:val="13"/>
          <w:color w:val="auto"/>
        </w:rPr>
        <w:t>The Company has a dedicated team of experienced professionals that employ a disciplined acquisition strategy to acquire</w:t>
      </w:r>
      <w:r>
        <w:rPr>
          <w:rFonts w:ascii="Arial" w:cs="Arial" w:eastAsia="Arial" w:hAnsi="Arial"/>
          <w:sz w:val="13"/>
          <w:szCs w:val="13"/>
          <w:i w:val="1"/>
          <w:iCs w:val="1"/>
          <w:color w:val="auto"/>
        </w:rPr>
        <w:t xml:space="preserve"> </w:t>
      </w:r>
      <w:r>
        <w:rPr>
          <w:rFonts w:ascii="Arial" w:cs="Arial" w:eastAsia="Arial" w:hAnsi="Arial"/>
          <w:sz w:val="13"/>
          <w:szCs w:val="13"/>
          <w:color w:val="auto"/>
        </w:rPr>
        <w:t>companies that yield sustainable shareholder value. It applies strict financial standards to evaluate all acquisitions using a model focused on return on invested capital. Since 1996, the Company has acquired and integrated 44 companies to expand geographic and market footprint, increase market share and add new technological capabilities. Brady believes its successful acquisition track record demonstrates its ability to identify and integrate acquisitions of companies that meet its selective criteria.</w:t>
      </w:r>
    </w:p>
    <w:p>
      <w:pPr>
        <w:spacing w:after="0" w:line="70"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i w:val="1"/>
          <w:iCs w:val="1"/>
          <w:color w:val="auto"/>
        </w:rPr>
        <w:t xml:space="preserve">Channel Diversity and Strength. </w:t>
      </w:r>
      <w:r>
        <w:rPr>
          <w:rFonts w:ascii="Arial" w:cs="Arial" w:eastAsia="Arial" w:hAnsi="Arial"/>
          <w:sz w:val="13"/>
          <w:szCs w:val="13"/>
          <w:color w:val="auto"/>
        </w:rPr>
        <w:t>Brady utilizes a wide range of channels to reach customers across a broad array of industries. It employs direct marketing expertise to meet its</w:t>
      </w:r>
      <w:r>
        <w:rPr>
          <w:rFonts w:ascii="Arial" w:cs="Arial" w:eastAsia="Arial" w:hAnsi="Arial"/>
          <w:sz w:val="13"/>
          <w:szCs w:val="13"/>
          <w:i w:val="1"/>
          <w:iCs w:val="1"/>
          <w:color w:val="auto"/>
        </w:rPr>
        <w:t xml:space="preserve"> </w:t>
      </w:r>
      <w:r>
        <w:rPr>
          <w:rFonts w:ascii="Arial" w:cs="Arial" w:eastAsia="Arial" w:hAnsi="Arial"/>
          <w:sz w:val="13"/>
          <w:szCs w:val="13"/>
          <w:color w:val="auto"/>
        </w:rPr>
        <w:t>customers’ need for convenience. The Company also has long-standing relationships with, and is a preferred supplier to, many of its largest distributors. In addition, the Company employs a global sales team to support both distributors and end users and to serve their productivity, tracking and safety requirements. The Company believes its strong brands and reputation for quality,</w:t>
      </w:r>
    </w:p>
    <w:p>
      <w:pPr>
        <w:spacing w:after="0" w:line="27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innovation and rapid delivery contribute to the popularity of its products with distributors, OEMs, resellers and other customers.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Deep and Talented Team. </w:t>
      </w:r>
      <w:r>
        <w:rPr>
          <w:rFonts w:ascii="Arial" w:cs="Arial" w:eastAsia="Arial" w:hAnsi="Arial"/>
          <w:sz w:val="13"/>
          <w:szCs w:val="13"/>
          <w:color w:val="auto"/>
        </w:rPr>
        <w:t>The Company believes that its management team has substantial depth in critical operational areas and has demonstrated success in reducing costs,</w:t>
      </w:r>
      <w:r>
        <w:rPr>
          <w:rFonts w:ascii="Arial" w:cs="Arial" w:eastAsia="Arial" w:hAnsi="Arial"/>
          <w:sz w:val="13"/>
          <w:szCs w:val="13"/>
          <w:i w:val="1"/>
          <w:iCs w:val="1"/>
          <w:color w:val="auto"/>
        </w:rPr>
        <w:t xml:space="preserve"> </w:t>
      </w:r>
      <w:r>
        <w:rPr>
          <w:rFonts w:ascii="Arial" w:cs="Arial" w:eastAsia="Arial" w:hAnsi="Arial"/>
          <w:sz w:val="13"/>
          <w:szCs w:val="13"/>
          <w:color w:val="auto"/>
        </w:rPr>
        <w:t>integrating acquisitions and improving processes through economic cycles. The international experience of its management team and its commitment to developing strong management teams in each of the local operations is a competitive advantage. In addition, the Company believes it employs a world-class team of people and dedicates significant resources to recruiting people committed to excellence and investing in their potential. The depth and breadth of knowledge within the entire organization strengthens relationships with its customers and suppliers and enables the Company to provide its customers with a high level of product and industry expertise.</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Key Strategies</w:t>
      </w:r>
    </w:p>
    <w:p>
      <w:pPr>
        <w:spacing w:after="0" w:line="10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The Company’s primary growth objectives are to build upon its leading market positions, to improve its performance and profitability and to expand its existing activities through a multi-prong strategic approach that incorporates both organic growth and acquisitions. The Company’s key strategies include:</w:t>
      </w:r>
    </w:p>
    <w:p>
      <w:pPr>
        <w:spacing w:after="0" w:line="59"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i w:val="1"/>
          <w:iCs w:val="1"/>
          <w:color w:val="auto"/>
        </w:rPr>
        <w:t xml:space="preserve">Capitalize on Growing Niche Markets. </w:t>
      </w:r>
      <w:r>
        <w:rPr>
          <w:rFonts w:ascii="Arial" w:cs="Arial" w:eastAsia="Arial" w:hAnsi="Arial"/>
          <w:sz w:val="13"/>
          <w:szCs w:val="13"/>
          <w:color w:val="auto"/>
        </w:rPr>
        <w:t>The Company seeks to leverage its premier reputation, global footprint and strength in manufacturing and materials expertise to capitalize on</w:t>
      </w:r>
      <w:r>
        <w:rPr>
          <w:rFonts w:ascii="Arial" w:cs="Arial" w:eastAsia="Arial" w:hAnsi="Arial"/>
          <w:sz w:val="13"/>
          <w:szCs w:val="13"/>
          <w:i w:val="1"/>
          <w:iCs w:val="1"/>
          <w:color w:val="auto"/>
        </w:rPr>
        <w:t xml:space="preserve"> </w:t>
      </w:r>
      <w:r>
        <w:rPr>
          <w:rFonts w:ascii="Arial" w:cs="Arial" w:eastAsia="Arial" w:hAnsi="Arial"/>
          <w:sz w:val="13"/>
          <w:szCs w:val="13"/>
          <w:color w:val="auto"/>
        </w:rPr>
        <w:t>growth in existing niche markets. Growth prospects in the MRO market are driven primarily by the general health of regional economies, changes in legal and regulatory compliance requirements and the increased need of customers to identify their assets and protect their employees. Demand for OEM products is primarily driven by the strength of various electronics markets, such as mobile telecommunications, disk drives and computers, as well as technological advances in these industries.</w:t>
      </w:r>
    </w:p>
    <w:p>
      <w:pPr>
        <w:spacing w:after="0" w:line="70"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i w:val="1"/>
          <w:iCs w:val="1"/>
          <w:color w:val="auto"/>
        </w:rPr>
        <w:t xml:space="preserve">Increase Market Share. </w:t>
      </w:r>
      <w:r>
        <w:rPr>
          <w:rFonts w:ascii="Arial" w:cs="Arial" w:eastAsia="Arial" w:hAnsi="Arial"/>
          <w:sz w:val="12"/>
          <w:szCs w:val="12"/>
          <w:color w:val="auto"/>
        </w:rPr>
        <w:t>Many Brady markets are fragmented and populated with smaller or regional competitors. The Company seeks to leverage its investment in new product</w:t>
      </w:r>
      <w:r>
        <w:rPr>
          <w:rFonts w:ascii="Arial" w:cs="Arial" w:eastAsia="Arial" w:hAnsi="Arial"/>
          <w:sz w:val="12"/>
          <w:szCs w:val="12"/>
          <w:i w:val="1"/>
          <w:iCs w:val="1"/>
          <w:color w:val="auto"/>
        </w:rPr>
        <w:t xml:space="preserve"> </w:t>
      </w:r>
      <w:r>
        <w:rPr>
          <w:rFonts w:ascii="Arial" w:cs="Arial" w:eastAsia="Arial" w:hAnsi="Arial"/>
          <w:sz w:val="12"/>
          <w:szCs w:val="12"/>
          <w:color w:val="auto"/>
        </w:rPr>
        <w:t>development and its global sales, operations and distribution capabilities to increase market share, as well as expand its distribution channels to capture new customers. The Company employs a dedicated and experienced sales team that works closely with existing customers to identify and capture new opportunities. In addition, Brady plans to leverage the strength of its brands, the quality of its products and its long-standing relationships with key customers to build upon current market positions.</w:t>
      </w:r>
    </w:p>
    <w:p>
      <w:pPr>
        <w:spacing w:after="0" w:line="53"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i w:val="1"/>
          <w:iCs w:val="1"/>
          <w:color w:val="auto"/>
        </w:rPr>
        <w:t xml:space="preserve">Enter New Markets. </w:t>
      </w:r>
      <w:r>
        <w:rPr>
          <w:rFonts w:ascii="Arial" w:cs="Arial" w:eastAsia="Arial" w:hAnsi="Arial"/>
          <w:sz w:val="13"/>
          <w:szCs w:val="13"/>
          <w:color w:val="auto"/>
        </w:rPr>
        <w:t>The Company looks to leverage its quality products, global infrastructure, channel relationships and selling capabilities to effectively enter new markets, many</w:t>
      </w:r>
      <w:r>
        <w:rPr>
          <w:rFonts w:ascii="Arial" w:cs="Arial" w:eastAsia="Arial" w:hAnsi="Arial"/>
          <w:sz w:val="13"/>
          <w:szCs w:val="13"/>
          <w:i w:val="1"/>
          <w:iCs w:val="1"/>
          <w:color w:val="auto"/>
        </w:rPr>
        <w:t xml:space="preserve"> </w:t>
      </w:r>
      <w:r>
        <w:rPr>
          <w:rFonts w:ascii="Arial" w:cs="Arial" w:eastAsia="Arial" w:hAnsi="Arial"/>
          <w:sz w:val="13"/>
          <w:szCs w:val="13"/>
          <w:color w:val="auto"/>
        </w:rPr>
        <w:t>of which are fragmented and populated with smaller competitors. For example, Brady is expanding its precision die-cut capabilities into the medical market and its identification solutions into the laboratory identification market. Through product innovation and development activities, Brady seeks to introduce new technologies and differentiated products as well as seek additional applications for products in existing and new markets. The Company reviews its product portfolio on a regular basis through its standardized review process in order to identify new product opportunities.</w:t>
      </w:r>
    </w:p>
    <w:p>
      <w:pPr>
        <w:spacing w:after="0" w:line="71"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i w:val="1"/>
          <w:iCs w:val="1"/>
          <w:color w:val="auto"/>
        </w:rPr>
        <w:t xml:space="preserve">Expand Geographically. </w:t>
      </w:r>
      <w:r>
        <w:rPr>
          <w:rFonts w:ascii="Arial" w:cs="Arial" w:eastAsia="Arial" w:hAnsi="Arial"/>
          <w:sz w:val="13"/>
          <w:szCs w:val="13"/>
          <w:color w:val="auto"/>
        </w:rPr>
        <w:t>Brady’s long-term strategy involves the pursuit of growth opportunities in a number of markets outside of the United States. The Company is committed to</w:t>
      </w:r>
      <w:r>
        <w:rPr>
          <w:rFonts w:ascii="Arial" w:cs="Arial" w:eastAsia="Arial" w:hAnsi="Arial"/>
          <w:sz w:val="13"/>
          <w:szCs w:val="13"/>
          <w:i w:val="1"/>
          <w:iCs w:val="1"/>
          <w:color w:val="auto"/>
        </w:rPr>
        <w:t xml:space="preserve"> </w:t>
      </w:r>
      <w:r>
        <w:rPr>
          <w:rFonts w:ascii="Arial" w:cs="Arial" w:eastAsia="Arial" w:hAnsi="Arial"/>
          <w:sz w:val="13"/>
          <w:szCs w:val="13"/>
          <w:color w:val="auto"/>
        </w:rPr>
        <w:t>low-cost manufacturing and to being in close proximity to its customers. Brady currently operates in 28 countries and employs approximately 3,600 people in developing regions. Brady has made strategic acquisitions and has invested heavily in its global infrastructure and flexible manufacturing capacity in order to follow its customers into new geographies. Brady’s regional management structure is a key component in effectively entering and competing in new geographies.</w:t>
      </w:r>
    </w:p>
    <w:p>
      <w:pPr>
        <w:spacing w:after="0" w:line="7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i w:val="1"/>
          <w:iCs w:val="1"/>
          <w:color w:val="auto"/>
        </w:rPr>
        <w:t xml:space="preserve">Pursue Strategic Acquisitions. </w:t>
      </w:r>
      <w:r>
        <w:rPr>
          <w:rFonts w:ascii="Arial" w:cs="Arial" w:eastAsia="Arial" w:hAnsi="Arial"/>
          <w:sz w:val="13"/>
          <w:szCs w:val="13"/>
          <w:color w:val="auto"/>
        </w:rPr>
        <w:t>The Company intends to continue to make complementary strategic acquisitions to further its goal of strengthening its market positions and entering</w:t>
      </w:r>
      <w:r>
        <w:rPr>
          <w:rFonts w:ascii="Arial" w:cs="Arial" w:eastAsia="Arial" w:hAnsi="Arial"/>
          <w:sz w:val="13"/>
          <w:szCs w:val="13"/>
          <w:i w:val="1"/>
          <w:iCs w:val="1"/>
          <w:color w:val="auto"/>
        </w:rPr>
        <w:t xml:space="preserve"> </w:t>
      </w:r>
      <w:r>
        <w:rPr>
          <w:rFonts w:ascii="Arial" w:cs="Arial" w:eastAsia="Arial" w:hAnsi="Arial"/>
          <w:sz w:val="13"/>
          <w:szCs w:val="13"/>
          <w:color w:val="auto"/>
        </w:rPr>
        <w:t>new markets and geographies. Brady works to drive substantial value creation through capitalizing on its acquisition and integration acumen.</w:t>
      </w:r>
    </w:p>
    <w:p>
      <w:pPr>
        <w:spacing w:after="0" w:line="59"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i w:val="1"/>
          <w:iCs w:val="1"/>
          <w:color w:val="auto"/>
        </w:rPr>
        <w:t xml:space="preserve">Improve Profitability. </w:t>
      </w:r>
      <w:r>
        <w:rPr>
          <w:rFonts w:ascii="Arial" w:cs="Arial" w:eastAsia="Arial" w:hAnsi="Arial"/>
          <w:sz w:val="13"/>
          <w:szCs w:val="13"/>
          <w:color w:val="auto"/>
        </w:rPr>
        <w:t>The Company plans to continue its focus on improving operating efficiency, reducing costs, and improving productivity and return on assets. In addition, each</w:t>
      </w:r>
      <w:r>
        <w:rPr>
          <w:rFonts w:ascii="Arial" w:cs="Arial" w:eastAsia="Arial" w:hAnsi="Arial"/>
          <w:sz w:val="13"/>
          <w:szCs w:val="13"/>
          <w:i w:val="1"/>
          <w:iCs w:val="1"/>
          <w:color w:val="auto"/>
        </w:rPr>
        <w:t xml:space="preserve"> </w:t>
      </w:r>
      <w:r>
        <w:rPr>
          <w:rFonts w:ascii="Arial" w:cs="Arial" w:eastAsia="Arial" w:hAnsi="Arial"/>
          <w:sz w:val="13"/>
          <w:szCs w:val="13"/>
          <w:color w:val="auto"/>
        </w:rPr>
        <w:t>acquisition the Company makes provides additional opportunities to improve its performance as well as the performance of the acquired company. The Company often continues to realize synergies with acquired companies several years after the acquisition date.</w:t>
      </w:r>
    </w:p>
    <w:p>
      <w:pPr>
        <w:spacing w:after="0" w:line="273"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Products</w:t>
      </w:r>
    </w:p>
    <w:p>
      <w:pPr>
        <w:spacing w:after="0" w:line="10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The Company is largely vertically integrated; designing, developing, coating and producing most of its identification signs, labels and printing systems. Brady materials are manufactured out of a variety of films, predominantly coated by Brady, for applications in the following markets: electronic, industrial, electrical, utility, laboratory, safety and security. Brady also manufactures specialty tapes and related products that are characterized by high-performance printable top coats and adhesives, most of which are formulated by the Company, to meet high-tolerance requirements of the industries in which they are used.</w:t>
      </w:r>
    </w:p>
    <w:p>
      <w:pPr>
        <w:spacing w:after="0" w:line="70"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The Company’s stock and custom products consist of over 500,000 stock-keeping units, including complete identification systems used to create a safer work environment, improve operating efficiencies, and increase the utilization of assets through tracking and inventory process controls. Major product categories include: facility and safety signs and identification tags and markers, pipe and valve markers, asset identification tags, lockout/tagout products, security and traffic control products, and printing systems and software for creating safety and regulatory software, wire and cable markers, high-performance labels, laboratory identification labels and printing systems, stand-alone printing systems, bar-code and other software, automatic identification and data collection systems, personal identification products, and precision die-cut solutions.</w:t>
      </w:r>
    </w:p>
    <w:p>
      <w:pPr>
        <w:spacing w:after="0" w:line="55"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Some of the Company’s stock products were originally designed, developed and manufactured as custom products for a specific customer. However, such products have frequently created wide industry acceptance and have become stock items offered by the Company through mail order and distributor sales. The Company’s most significant types of products are described below.</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MRO Market Products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 Facility Identification</w:t>
      </w:r>
    </w:p>
    <w:p>
      <w:pPr>
        <w:spacing w:after="0" w:line="96"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i w:val="1"/>
          <w:iCs w:val="1"/>
          <w:color w:val="auto"/>
        </w:rPr>
        <w:t xml:space="preserve">Informational signs and printers </w:t>
      </w:r>
      <w:r>
        <w:rPr>
          <w:rFonts w:ascii="Arial" w:cs="Arial" w:eastAsia="Arial" w:hAnsi="Arial"/>
          <w:sz w:val="12"/>
          <w:szCs w:val="12"/>
          <w:color w:val="auto"/>
        </w:rPr>
        <w:t>for use in a broad range of industrial, commercial, governmental and institutional applications. These signs are either self-adhesive or mechanically</w:t>
      </w:r>
      <w:r>
        <w:rPr>
          <w:rFonts w:ascii="Arial" w:cs="Arial" w:eastAsia="Arial" w:hAnsi="Arial"/>
          <w:sz w:val="12"/>
          <w:szCs w:val="12"/>
          <w:i w:val="1"/>
          <w:iCs w:val="1"/>
          <w:color w:val="auto"/>
        </w:rPr>
        <w:t xml:space="preserve"> </w:t>
      </w:r>
      <w:r>
        <w:rPr>
          <w:rFonts w:ascii="Arial" w:cs="Arial" w:eastAsia="Arial" w:hAnsi="Arial"/>
          <w:sz w:val="12"/>
          <w:szCs w:val="12"/>
          <w:color w:val="auto"/>
        </w:rPr>
        <w:t>mounted, designed for both indoor and outdoor use and are manufactured to meet standards issued by the National Safety Council, OSHA and a variety of industry associations in the United States and abroad. The Company’s sign products include admittance, directional and exit signs; electrical hazard warnings; energy conservation messages; fire protection and fire equipment signs; hazardous waste labels; hazardous and toxic material warning signs; transformers and power pole markers; personal hazard warnings; housekeeping and operational warnings; pictograms; radiation and laser signs; safety practices signs and regulatory markings; photo luminescent (glow-in-the-dark) tapes.</w:t>
      </w:r>
    </w:p>
    <w:p>
      <w:pPr>
        <w:spacing w:after="0" w:line="55"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i w:val="1"/>
          <w:iCs w:val="1"/>
          <w:color w:val="auto"/>
        </w:rPr>
        <w:t xml:space="preserve">Warehouse identification products </w:t>
      </w:r>
      <w:r>
        <w:rPr>
          <w:rFonts w:ascii="Arial" w:cs="Arial" w:eastAsia="Arial" w:hAnsi="Arial"/>
          <w:sz w:val="13"/>
          <w:szCs w:val="13"/>
          <w:color w:val="auto"/>
        </w:rPr>
        <w:t>including self-adhesive and self-aligning die-cut numbers and letters, labels, and tags used to locate and identify inventory in storage facilities such</w:t>
      </w:r>
      <w:r>
        <w:rPr>
          <w:rFonts w:ascii="Arial" w:cs="Arial" w:eastAsia="Arial" w:hAnsi="Arial"/>
          <w:sz w:val="13"/>
          <w:szCs w:val="13"/>
          <w:i w:val="1"/>
          <w:iCs w:val="1"/>
          <w:color w:val="auto"/>
        </w:rPr>
        <w:t xml:space="preserve"> </w:t>
      </w:r>
      <w:r>
        <w:rPr>
          <w:rFonts w:ascii="Arial" w:cs="Arial" w:eastAsia="Arial" w:hAnsi="Arial"/>
          <w:sz w:val="13"/>
          <w:szCs w:val="13"/>
          <w:color w:val="auto"/>
        </w:rPr>
        <w:t>as warehouses, factories, stockrooms and other industrial facilities.</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i w:val="1"/>
          <w:iCs w:val="1"/>
          <w:color w:val="auto"/>
        </w:rPr>
        <w:t xml:space="preserve">Pipe markers and valve tags </w:t>
      </w:r>
      <w:r>
        <w:rPr>
          <w:rFonts w:ascii="Arial" w:cs="Arial" w:eastAsia="Arial" w:hAnsi="Arial"/>
          <w:sz w:val="13"/>
          <w:szCs w:val="13"/>
          <w:color w:val="auto"/>
        </w:rPr>
        <w:t>including plastic or metal, self-adhesive or mechanically applied, stock or custom-designed pieces for the identification of pipes and control valves in the</w:t>
      </w:r>
      <w:r>
        <w:rPr>
          <w:rFonts w:ascii="Arial" w:cs="Arial" w:eastAsia="Arial" w:hAnsi="Arial"/>
          <w:sz w:val="13"/>
          <w:szCs w:val="13"/>
          <w:i w:val="1"/>
          <w:iCs w:val="1"/>
          <w:color w:val="auto"/>
        </w:rPr>
        <w:t xml:space="preserve"> </w:t>
      </w:r>
      <w:r>
        <w:rPr>
          <w:rFonts w:ascii="Arial" w:cs="Arial" w:eastAsia="Arial" w:hAnsi="Arial"/>
          <w:sz w:val="13"/>
          <w:szCs w:val="13"/>
          <w:color w:val="auto"/>
        </w:rPr>
        <w:t>mechanical contractor and process industry markets. These products are designed to help identify and provide information as to the contents, direction of flow and special hazardous properties of materials contained in piping systems, and to facilitate repair or maintenance of the systems.</w:t>
      </w:r>
    </w:p>
    <w:p>
      <w:pPr>
        <w:spacing w:after="0" w:line="67"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i w:val="1"/>
          <w:iCs w:val="1"/>
          <w:color w:val="auto"/>
        </w:rPr>
        <w:t xml:space="preserve">Asset-identification products </w:t>
      </w:r>
      <w:r>
        <w:rPr>
          <w:rFonts w:ascii="Arial" w:cs="Arial" w:eastAsia="Arial" w:hAnsi="Arial"/>
          <w:sz w:val="13"/>
          <w:szCs w:val="13"/>
          <w:color w:val="auto"/>
        </w:rPr>
        <w:t>that are an important part of an effective asset-management program in a wide variety of markets. These include self-adhesive or mechanically mounted</w:t>
      </w:r>
      <w:r>
        <w:rPr>
          <w:rFonts w:ascii="Arial" w:cs="Arial" w:eastAsia="Arial" w:hAnsi="Arial"/>
          <w:sz w:val="13"/>
          <w:szCs w:val="13"/>
          <w:i w:val="1"/>
          <w:iCs w:val="1"/>
          <w:color w:val="auto"/>
        </w:rPr>
        <w:t xml:space="preserve"> </w:t>
      </w:r>
      <w:r>
        <w:rPr>
          <w:rFonts w:ascii="Arial" w:cs="Arial" w:eastAsia="Arial" w:hAnsi="Arial"/>
          <w:sz w:val="13"/>
          <w:szCs w:val="13"/>
          <w:color w:val="auto"/>
        </w:rPr>
        <w:t>labels or tags made of aluminum, brass, stainless steel, polycarbonate, vinyl, polyester, mylar and paper. These products are also offered in tamper-evident varieties, and can be custom designed to ensure brand protection from counterfeiting.</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 Safety and Complementary Products</w:t>
      </w:r>
    </w:p>
    <w:p>
      <w:pPr>
        <w:spacing w:after="0" w:line="96"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i w:val="1"/>
          <w:iCs w:val="1"/>
          <w:color w:val="auto"/>
        </w:rPr>
        <w:t xml:space="preserve">Lockout/tagout products </w:t>
      </w:r>
      <w:r>
        <w:rPr>
          <w:rFonts w:ascii="Arial" w:cs="Arial" w:eastAsia="Arial" w:hAnsi="Arial"/>
          <w:sz w:val="13"/>
          <w:szCs w:val="13"/>
          <w:color w:val="auto"/>
        </w:rPr>
        <w:t>— under OSHA regulations, all energy sources must be “locked out” while machines are being serviced or maintained to prevent accidental engagement and</w:t>
      </w:r>
      <w:r>
        <w:rPr>
          <w:rFonts w:ascii="Arial" w:cs="Arial" w:eastAsia="Arial" w:hAnsi="Arial"/>
          <w:sz w:val="13"/>
          <w:szCs w:val="13"/>
          <w:i w:val="1"/>
          <w:iCs w:val="1"/>
          <w:color w:val="auto"/>
        </w:rPr>
        <w:t xml:space="preserve"> </w:t>
      </w:r>
      <w:r>
        <w:rPr>
          <w:rFonts w:ascii="Arial" w:cs="Arial" w:eastAsia="Arial" w:hAnsi="Arial"/>
          <w:sz w:val="13"/>
          <w:szCs w:val="13"/>
          <w:color w:val="auto"/>
        </w:rPr>
        <w:t>injury. The Company’s products allow its customers to comply with these regulations and to ensure worker safety for a wide variety of energy- and fluid-transmission systems and operating machinery.</w:t>
      </w:r>
    </w:p>
    <w:p>
      <w:pPr>
        <w:spacing w:after="0" w:line="273"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i w:val="1"/>
          <w:iCs w:val="1"/>
          <w:color w:val="auto"/>
        </w:rPr>
        <w:t xml:space="preserve">Security and traffic control products </w:t>
      </w:r>
      <w:r>
        <w:rPr>
          <w:rFonts w:ascii="Arial" w:cs="Arial" w:eastAsia="Arial" w:hAnsi="Arial"/>
          <w:sz w:val="12"/>
          <w:szCs w:val="12"/>
          <w:color w:val="auto"/>
        </w:rPr>
        <w:t>including a variety of security seals, parking permits and wristbands designed for visitor control in financial, governmental, educational and</w:t>
      </w:r>
      <w:r>
        <w:rPr>
          <w:rFonts w:ascii="Arial" w:cs="Arial" w:eastAsia="Arial" w:hAnsi="Arial"/>
          <w:sz w:val="12"/>
          <w:szCs w:val="12"/>
          <w:i w:val="1"/>
          <w:iCs w:val="1"/>
          <w:color w:val="auto"/>
        </w:rPr>
        <w:t xml:space="preserve"> </w:t>
      </w:r>
      <w:r>
        <w:rPr>
          <w:rFonts w:ascii="Arial" w:cs="Arial" w:eastAsia="Arial" w:hAnsi="Arial"/>
          <w:sz w:val="12"/>
          <w:szCs w:val="12"/>
          <w:color w:val="auto"/>
        </w:rPr>
        <w:t>commercial facilities including meeting and convention sites. The Company also offers a wide variety of traffic control devices including traffic signs, directional and warning signs, parking tags and permits, barriers, cones and other products including barricading, visual warning systems, floor-marking products, safety badges, and first aid cabinets/kits, among others.</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 Wire and Cable Identification</w:t>
      </w:r>
    </w:p>
    <w:p>
      <w:pPr>
        <w:spacing w:after="0" w:line="96"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Brady manufactures a broad range of wire and cable-marking products, including labels, sleeves, software that allows customers to create their own labels, and printers to print and apply them. These products mark and identify wires, cables and their termination points to facilitate manufacturing, construction, repair or maintenance of equipment, and data communication and electrical wiring systems used in virtually every industrial, power and communication market.</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 People Identification</w:t>
      </w:r>
    </w:p>
    <w:p>
      <w:pPr>
        <w:spacing w:after="0" w:line="96"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Identification systems and products including photo ID card systems that combine biometrics, digital imaging and other technologies to positively identify people; self-expiring name tags which make use of migratory ink technology which, upon activation, starts a timed process resulting in an altered message, color or design to indicate expiration; and ID accessories including lanyards, badge holders, badge reels and attachments, as well as photo identification kits.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OEM Market Products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 High Performance Identification</w:t>
      </w:r>
    </w:p>
    <w:p>
      <w:pPr>
        <w:spacing w:after="0" w:line="96"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Brady produces a complete line of label materials and printing systems to meet customers’ needs for identification requirements for product identification and bar coding that perform under harsh or demanding conditions, such as extreme temperatures, or environmental or chemical exposure. Brady prints stock and custom labels and also sells unprinted materials to enable customers to print their own labels.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 Precision Die-Cut Parts</w:t>
      </w:r>
    </w:p>
    <w:p>
      <w:pPr>
        <w:spacing w:after="0" w:line="96"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The Company develops customized precision die-cut products that are used to seal, insulate, protect, shield or provide other mechanical performance properties in the assembly of electronic, telecommunications and other equipment, including cellular phones, personal data assistants, computer hard disk drives, computers and other devices. Solutions not only include the materials and converting, but also automatic placement and other value-added services. The Company also provides converting services to the medical market for materials used in in-vitro diagnostic kits and patient monitoring.</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Other Products</w:t>
      </w:r>
    </w:p>
    <w:p>
      <w:pPr>
        <w:spacing w:after="0" w:line="100" w:lineRule="exact"/>
        <w:rPr>
          <w:sz w:val="20"/>
          <w:szCs w:val="20"/>
          <w:color w:val="auto"/>
        </w:rPr>
      </w:pPr>
    </w:p>
    <w:p>
      <w:pPr>
        <w:jc w:val="both"/>
        <w:ind w:left="680" w:right="320" w:firstLine="399"/>
        <w:spacing w:after="0" w:line="296" w:lineRule="auto"/>
        <w:rPr>
          <w:sz w:val="20"/>
          <w:szCs w:val="20"/>
          <w:color w:val="auto"/>
        </w:rPr>
      </w:pPr>
      <w:r>
        <w:rPr>
          <w:rFonts w:ascii="Arial" w:cs="Arial" w:eastAsia="Arial" w:hAnsi="Arial"/>
          <w:sz w:val="12"/>
          <w:szCs w:val="12"/>
          <w:color w:val="auto"/>
        </w:rPr>
        <w:t>The Company also designs and produces software for barcoding and inspection automation, industrial thermal-transfer printers and other electromechanical devices to serve the growing and specialized needs of customers in a wide variety of markets. Industrial labeling systems, software, tapes, ribbons and label stocks provide customers with the resources and flexibility to produce signs and labels on demand at their site. The Company also offers poster printers, laminators and supplies to education and training markets.</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Marketing and Sales</w:t>
      </w:r>
    </w:p>
    <w:p>
      <w:pPr>
        <w:spacing w:after="0" w:line="100" w:lineRule="exact"/>
        <w:rPr>
          <w:sz w:val="20"/>
          <w:szCs w:val="20"/>
          <w:color w:val="auto"/>
        </w:rPr>
      </w:pPr>
    </w:p>
    <w:p>
      <w:pPr>
        <w:jc w:val="both"/>
        <w:ind w:left="680" w:right="60" w:firstLine="399"/>
        <w:spacing w:after="0" w:line="334" w:lineRule="auto"/>
        <w:rPr>
          <w:sz w:val="20"/>
          <w:szCs w:val="20"/>
          <w:color w:val="auto"/>
        </w:rPr>
      </w:pPr>
      <w:r>
        <w:rPr>
          <w:rFonts w:ascii="Arial" w:cs="Arial" w:eastAsia="Arial" w:hAnsi="Arial"/>
          <w:sz w:val="11"/>
          <w:szCs w:val="11"/>
          <w:color w:val="auto"/>
        </w:rPr>
        <w:t>Brady seeks to offer high quality products with rapid response and superior service so that it can provide solutions to customers that are better, faster and more economical than those available from the Company’s competitors. The Company markets and sells its products domestically and internationally through multiple channels including direct sales, distributors, mail-order-catalog marketing, retail, and electronic access through the Internet. The Company has long-standing relationships with a broad range of electrical, safety, industrial and other</w:t>
      </w:r>
    </w:p>
    <w:p>
      <w:pPr>
        <w:spacing w:after="0" w:line="23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spacing w:after="0" w:line="276" w:lineRule="auto"/>
        <w:rPr>
          <w:sz w:val="20"/>
          <w:szCs w:val="20"/>
          <w:color w:val="auto"/>
        </w:rPr>
      </w:pPr>
      <w:r>
        <w:rPr>
          <w:rFonts w:ascii="Arial" w:cs="Arial" w:eastAsia="Arial" w:hAnsi="Arial"/>
          <w:sz w:val="13"/>
          <w:szCs w:val="13"/>
          <w:color w:val="auto"/>
        </w:rPr>
        <w:t>domestic and international distributors. The Company’s sales force seeks to establish and foster ongoing relationships with the end-users and distributors by providing technical application and product expertise.</w:t>
      </w:r>
    </w:p>
    <w:p>
      <w:pPr>
        <w:spacing w:after="0" w:line="59"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The Company also direct markets certain products and those of other manufacturers by catalog sales and outbound telemarketing in both domestic and international markets. Such products include industrial and facility identification products, safety and regulatory-compliance products and original equipment manufacturer component products, among others. Catalog operations are conducted through offices in the United States, Australia, Brazil, Canada, England, France, Germany and Italy, and include foreign-language catalogs.</w:t>
      </w:r>
    </w:p>
    <w:p>
      <w:pPr>
        <w:spacing w:after="0" w:line="5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The Company’s products are sold in a wide variety of markets within the larger MRO and OEM markets, including electrical, electronic, telecommunications, governmental, public utility, commercial building, computer disk drive, construction, general manufacturing, laboratory, transportation equipment and education.</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Brands</w:t>
      </w:r>
    </w:p>
    <w:p>
      <w:pPr>
        <w:spacing w:after="0" w:line="100"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The Company’s products go to market under a variety of brand names. The Brady brand includes high-performance labels, printers, software, safety and facility identification products, lock-out/tag-out products, and precision die-cut parts and specialty materials. Other die-cut materials are marketed as Brandon, Balkhausen, ID Technologies, Tradex Converting or Daewon products. Safety and facility identification products are also marketed under the Safety Signs Service brand, with some lockout/tagout products offered under the Prinzing brand. In addition, safety identification is marketed under the Electromark brand; poster printers for education and government markets are offered under the Varitronics name brand; direct marketing safety and facility identification products are offered under the Seton, Emedco, Signals, Safetyshop and Personnel Concepts names; security and identification badges and systems are included in the Temtec, B.I.G., Indenticard/Identicam, STOPware, J.A.M. Plastics, CIPI, PromoVision, and Quo-Luck brands; hand-held regulatory documentation systems are available under the Tiscor name; and automatic identification and bar code software is offered under the Teklynx brand.</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Manufacturing Process and Raw Materials</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Company manufactures the majority of the products it sells, while purchasing certain items from other manufacturers. Products manufactured by the Company generally require a high degree of precision and the application of adhesives with chemical and physical properties suited for specific uses. The Company’s manufacturing processes include compounding, coating, converting, software development and printer design and assembly. The compounding process involves the mixing of chemical batches for primers, top coatings and adhesives. The coatings and adhesives are applied to a wide variety of materials including polyester, polyimide, cloth, paper, metal and metal foil. The converting process may include embossing, perforating, laminating, die cutting, slitting, and printing or marking the materials as required.</w:t>
      </w:r>
    </w:p>
    <w:p>
      <w:pPr>
        <w:spacing w:after="0" w:line="71"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color w:val="auto"/>
        </w:rPr>
        <w:t>The Company produces the majority of the pressure sensitive materials through an integrated manufacturing process. These integrated manufacturing processes permit greater flexibility to meet customer needs in product design and manufacture, and an improved ability to provide specialized products designed to meet the needs of specific applications. Brady’s “cellular” manufacturing processes and “just-in-time” inventory control are designed to attain profitability in small orders by emphasizing flexibility and the maximization of assets through quick turnaround and delivery, balanced with optimization of lot sizes. Most of the Company’s manufacturing facilities have received ISO 9001 or 9002 certification.</w:t>
      </w:r>
    </w:p>
    <w:p>
      <w:pPr>
        <w:spacing w:after="0" w:line="53"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The materials used in the products manufactured by the Company consist primarily of plastic sheets and films, paper, metal and metal foil, cloth, fiberglass, inks, dyes, adhesives, pigments, natural and synthetic rubber, organic chemicals, polymers, solvents and electronic components and subassemblies. In addition the Company purchases finished products for resale. The Company purchases raw materials, components and finished products from many suppliers. Generally, the Company is not dependent upon any single supplier for most critical base materials or components. In some cases, the Company has chosen to sole source materials, components or finished items for design or cost reasons. In these cases, disruptions in supply could have an impact on results for a period of time. In most cases, these disruptions would simply require qualification of new suppliers and the disruption would be modest. In a few cases, the qualification process could be more costly or take a longer period of time. In the most</w:t>
      </w:r>
    </w:p>
    <w:p>
      <w:pPr>
        <w:spacing w:after="0" w:line="26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dramatic of cases, such as a global shortage of a critical material or component, the financial impact could be significant.</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Technology and Product Development</w:t>
      </w:r>
    </w:p>
    <w:p>
      <w:pPr>
        <w:spacing w:after="0" w:line="100"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The Company focuses its research and development efforts on material development, printing systems design and software development. Material development involves the application of surface chemistry concepts for top coatings and adhesives applied to a variety of base materials. Systems design integrates materials, embedded software and a variety of printing technologies to form a complete solution for customer applications or the Company’s own production requirements. The Company’s research and development team also supports production and marketing efforts by providing application and technical expertise.</w:t>
      </w:r>
    </w:p>
    <w:p>
      <w:pPr>
        <w:spacing w:after="0" w:line="70" w:lineRule="exact"/>
        <w:rPr>
          <w:sz w:val="20"/>
          <w:szCs w:val="20"/>
          <w:color w:val="auto"/>
        </w:rPr>
      </w:pPr>
    </w:p>
    <w:p>
      <w:pPr>
        <w:jc w:val="both"/>
        <w:ind w:left="680" w:right="60" w:firstLine="399"/>
        <w:spacing w:after="0" w:line="296" w:lineRule="auto"/>
        <w:rPr>
          <w:sz w:val="20"/>
          <w:szCs w:val="20"/>
          <w:color w:val="auto"/>
        </w:rPr>
      </w:pPr>
      <w:r>
        <w:rPr>
          <w:rFonts w:ascii="Arial" w:cs="Arial" w:eastAsia="Arial" w:hAnsi="Arial"/>
          <w:sz w:val="12"/>
          <w:szCs w:val="12"/>
          <w:color w:val="auto"/>
        </w:rPr>
        <w:t>The Company possesses patents covering various aspects of adhesive chemistry, electronic circuitry, computer-generated wire markers, systems for aligning letters and patterns, and visually changing paper. Although the Company believes that its patents are a significant factor in maintaining market position for certain products, technology in the areas covered by many of the patents is evolving rapidly and may limit the value of such patents. The Company’s business is not dependent on any single patent or group of patents.</w:t>
      </w:r>
    </w:p>
    <w:p>
      <w:pPr>
        <w:spacing w:after="0" w:line="5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The Company conducts much of its research and development activities at the Frederic S. Tobey Research and Innovation Center (approximately 39,600 sq. ft.) in Milwaukee, Wisconsin. The Company spent approximately $30.4 million, $25.1 million and $23.0 million in fiscal 2006, 2005, and 2004, respectively, on its research and development activities. In fiscal 2006, approximately 180 employees were engaged in research and development activities for the Company. Additional research projects were conducted in Company facilities in other locations in the United States, Europe and Singapore and under contract with universities, other institutions and consultants.</w:t>
      </w:r>
    </w:p>
    <w:p>
      <w:pPr>
        <w:spacing w:after="0" w:line="70"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The Company’s name and its registered trademarks are important to each of its business segments. In addition, the Company owns other important trademarks applicable to only certain of its products.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International Operations</w:t>
      </w:r>
    </w:p>
    <w:p>
      <w:pPr>
        <w:spacing w:after="0" w:line="100"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In fiscal 2006, 2005, and 2004, sales from international operations accounted for 57.6%, 55.3%, and 55.2%, respectively, of the Company’s sales. Its global infrastructure includes subsidiaries in Australia, Belgium, Brazil, Canada, China, Denmark, France, Germany, Hong Kong, India, Italy, Japan, Korea, Luxembourg, Malaysia, Mexico, Norway, Singapore, Slovakia, Sweden, Thailand and the United Kingdom. Most of these locations manufacture or have the capability to manufacture certain of the products they sell. In addition, Brady has sales offices in the Netherlands, Philippines, Spain, Taiwan and Turkey. Brady further markets its products to parts of Eastern Europe, the Middle East, Africa and Russia.</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Competition</w:t>
      </w:r>
    </w:p>
    <w:p>
      <w:pPr>
        <w:spacing w:after="0" w:line="100" w:lineRule="exact"/>
        <w:rPr>
          <w:sz w:val="20"/>
          <w:szCs w:val="20"/>
          <w:color w:val="auto"/>
        </w:rPr>
      </w:pPr>
    </w:p>
    <w:p>
      <w:pPr>
        <w:ind w:left="680" w:right="60" w:firstLine="399"/>
        <w:spacing w:after="0" w:line="280" w:lineRule="auto"/>
        <w:rPr>
          <w:sz w:val="20"/>
          <w:szCs w:val="20"/>
          <w:color w:val="auto"/>
        </w:rPr>
      </w:pPr>
      <w:r>
        <w:rPr>
          <w:rFonts w:ascii="Arial" w:cs="Arial" w:eastAsia="Arial" w:hAnsi="Arial"/>
          <w:sz w:val="12"/>
          <w:szCs w:val="12"/>
          <w:color w:val="auto"/>
        </w:rPr>
        <w:t>The markets for all of the Company’s products are competitive. Brady believes that it is one of the leading domestic producers of self-adhesive wire markers, safety signs, pipe markers, precision die-cut materials and bar-code-label-generating software. Brady competes for business principally on the basis of production capabilities, engineering, and research and development capabilities, materials expertise, its global footprint, global account management where needed, customer service and price. Product quality is determined by factors such as suitability of component materials for various applications, adhesive properties, graphics quality, durability, product consistency and workmanship. Competition in many of its product markets is highly fragmented, ranging from smaller companies offering only one or a few types of products, to some of the world’s major adhesive and electrical product companies offering some competing products as part of their overall product lines. A number of Brady’s competitors are larger than the Company and have greater resources. Notwithstanding the resources of these competitors, management believes that Brady provides a broader range of identification solutions than any of them, and that its global infrastructure is a significant competitive advantage in serving large multi-national customers.</w:t>
      </w:r>
    </w:p>
    <w:p>
      <w:pPr>
        <w:spacing w:after="0" w:line="26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Backlog</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As of July 31, 2006, the amount of the Company’s backlog orders believed to be firm was approximately $42.3 million. This compares with approximately $24.9 million and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$23.2 million of backlog orders as of July 31, 2005 and 2004, respectively. Average delivery time for the Company’s orders varies from one day to one month, depending on the type of</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product, and whether the product is stock or custom-designed and manufactured. Average delivery time for the direct marketing business can be as low as the same day or the next day. The</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Company’s backlog of $42.3 million at July 31, 2006, represents approximately 1.75 weeks of the Company’s sales guidance for fiscal 2007.</w:t>
      </w:r>
    </w:p>
    <w:p>
      <w:pPr>
        <w:spacing w:after="0" w:line="16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Environment</w:t>
      </w:r>
    </w:p>
    <w:p>
      <w:pPr>
        <w:spacing w:after="0" w:line="100" w:lineRule="exact"/>
        <w:rPr>
          <w:sz w:val="20"/>
          <w:szCs w:val="20"/>
          <w:color w:val="auto"/>
        </w:rPr>
      </w:pPr>
    </w:p>
    <w:p>
      <w:pPr>
        <w:ind w:left="680" w:right="400" w:firstLine="399"/>
        <w:spacing w:after="0" w:line="264" w:lineRule="auto"/>
        <w:rPr>
          <w:sz w:val="20"/>
          <w:szCs w:val="20"/>
          <w:color w:val="auto"/>
        </w:rPr>
      </w:pPr>
      <w:r>
        <w:rPr>
          <w:rFonts w:ascii="Arial" w:cs="Arial" w:eastAsia="Arial" w:hAnsi="Arial"/>
          <w:sz w:val="13"/>
          <w:szCs w:val="13"/>
          <w:color w:val="auto"/>
        </w:rPr>
        <w:t>At present, the manufacturing processes for our adhesive-based products utilize certain evaporative solvents, which, unless controlled, would be vented into the atmosphere. Emissions of these substances are regulated at the federal, state and local levels. We have implemented a number of systems and procedures to reduce atmospheric emissions and/or to recover solvents. Management believes we are substantially in compliance with all environmental regulations.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Employees</w:t>
      </w:r>
    </w:p>
    <w:p>
      <w:pPr>
        <w:spacing w:after="0" w:line="100" w:lineRule="exact"/>
        <w:rPr>
          <w:sz w:val="20"/>
          <w:szCs w:val="20"/>
          <w:color w:val="auto"/>
        </w:rPr>
      </w:pPr>
    </w:p>
    <w:p>
      <w:pPr>
        <w:jc w:val="both"/>
        <w:ind w:left="680" w:right="160" w:firstLine="399"/>
        <w:spacing w:after="0" w:line="260" w:lineRule="auto"/>
        <w:rPr>
          <w:sz w:val="20"/>
          <w:szCs w:val="20"/>
          <w:color w:val="auto"/>
        </w:rPr>
      </w:pPr>
      <w:r>
        <w:rPr>
          <w:rFonts w:ascii="Arial" w:cs="Arial" w:eastAsia="Arial" w:hAnsi="Arial"/>
          <w:sz w:val="13"/>
          <w:szCs w:val="13"/>
          <w:color w:val="auto"/>
        </w:rPr>
        <w:t>As of July 31, 2006, the Company employed approximately 7,000 individuals. Upon completing the acquisition of Comprehensive Identification Products, Inc. (“CIPI”) in August, the number of individuals employed increased to approximately 8,000. We have never experienced a material work stoppage due to a labor dispute, are not a party to any negotiated labor contracts, and consider our relations with employees to be excellent. The mix of employees is changing as we employ more people in developing countries where wage rates are lower and employee turnover tends to be higher than in developed countries.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Acquisitions</w:t>
      </w:r>
    </w:p>
    <w:p>
      <w:pPr>
        <w:spacing w:after="0" w:line="100" w:lineRule="exact"/>
        <w:rPr>
          <w:sz w:val="20"/>
          <w:szCs w:val="20"/>
          <w:color w:val="auto"/>
        </w:rPr>
      </w:pPr>
    </w:p>
    <w:p>
      <w:pPr>
        <w:ind w:left="680" w:right="780" w:firstLine="399"/>
        <w:spacing w:after="0" w:line="276" w:lineRule="auto"/>
        <w:rPr>
          <w:sz w:val="20"/>
          <w:szCs w:val="20"/>
          <w:color w:val="auto"/>
        </w:rPr>
      </w:pPr>
      <w:r>
        <w:rPr>
          <w:rFonts w:ascii="Arial" w:cs="Arial" w:eastAsia="Arial" w:hAnsi="Arial"/>
          <w:sz w:val="13"/>
          <w:szCs w:val="13"/>
          <w:color w:val="auto"/>
        </w:rPr>
        <w:t>Information about the Company’s acquisitions is provided in Note 2 of the Notes to Consolidated Financial Statements contained in Item 8 — Financial Statements and Supplementary Data.</w:t>
      </w:r>
    </w:p>
    <w:p>
      <w:pPr>
        <w:spacing w:after="0" w:line="138" w:lineRule="exact"/>
        <w:rPr>
          <w:sz w:val="20"/>
          <w:szCs w:val="20"/>
          <w:color w:val="auto"/>
        </w:rPr>
      </w:pPr>
    </w:p>
    <w:p>
      <w:pPr>
        <w:ind w:left="1000" w:hanging="313"/>
        <w:spacing w:after="0"/>
        <w:tabs>
          <w:tab w:leader="none" w:pos="1000" w:val="left"/>
        </w:tabs>
        <w:numPr>
          <w:ilvl w:val="0"/>
          <w:numId w:val="6"/>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Financial Information About Foreign and Domestic Operations and Export Sales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information required by this Item is provided in Note 7 of the Notes to Consolidated Financial Statements contained in Item 8 — Financial Statements and Supplementary Data.</w:t>
      </w:r>
    </w:p>
    <w:p>
      <w:pPr>
        <w:spacing w:after="0" w:line="186" w:lineRule="exact"/>
        <w:rPr>
          <w:sz w:val="20"/>
          <w:szCs w:val="20"/>
          <w:color w:val="auto"/>
        </w:rPr>
      </w:pPr>
    </w:p>
    <w:p>
      <w:pPr>
        <w:ind w:left="1000" w:hanging="313"/>
        <w:spacing w:after="0"/>
        <w:tabs>
          <w:tab w:leader="none" w:pos="1000" w:val="left"/>
        </w:tabs>
        <w:numPr>
          <w:ilvl w:val="0"/>
          <w:numId w:val="7"/>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Information Available on the Internet</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Company’s Corporate Internet address is http://www.bradycorp.com. The Company makes available, free of charge, on or through its Internet website copies of its Annual Report on Form 10-K, Quarterly Reports on Form 10-Q, Current Reports on Form 8-K, Section 16 reports filed by the Company’s insiders, and amendments to all such reports as soon as reasonably practicable after such reports are electronically filed with or furnished to the SEC. We are not including the information contained on or available through our website as part of, or incorporating such information by reference into, this Annual Report on Form 10-K.</w:t>
      </w:r>
    </w:p>
    <w:p>
      <w:pPr>
        <w:spacing w:after="0" w:line="27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i w:val="1"/>
          <w:iCs w:val="1"/>
          <w:color w:val="auto"/>
        </w:rPr>
        <w:t>Risk Factors</w:t>
      </w:r>
    </w:p>
    <w:p>
      <w:pPr>
        <w:spacing w:after="0" w:line="100" w:lineRule="exact"/>
        <w:rPr>
          <w:sz w:val="20"/>
          <w:szCs w:val="20"/>
          <w:color w:val="auto"/>
        </w:rPr>
      </w:pPr>
    </w:p>
    <w:p>
      <w:pPr>
        <w:ind w:left="680" w:right="20" w:firstLine="399"/>
        <w:spacing w:after="0" w:line="320" w:lineRule="auto"/>
        <w:rPr>
          <w:sz w:val="20"/>
          <w:szCs w:val="20"/>
          <w:color w:val="auto"/>
        </w:rPr>
      </w:pPr>
      <w:r>
        <w:rPr>
          <w:rFonts w:ascii="Arial" w:cs="Arial" w:eastAsia="Arial" w:hAnsi="Arial"/>
          <w:sz w:val="12"/>
          <w:szCs w:val="12"/>
          <w:i w:val="1"/>
          <w:iCs w:val="1"/>
          <w:color w:val="auto"/>
        </w:rPr>
        <w:t>Before making an investment decision with respect to our stock, you should carefully consider the risks set forth below and all other information contained in this report. If any of the events contemplated by the following risks actually occur, then our business, financial condition or results of operations could be materially adversely affected.</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Market demand for our products may be susceptible to fluctuations in the economy that may cause volatility in our results of operations.</w:t>
      </w:r>
    </w:p>
    <w:p>
      <w:pPr>
        <w:spacing w:after="0" w:line="96"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Sales of our products may be susceptible to changes in general economic conditions, namely general downturns in the regional economies in which we compete. Our business in the MRO market tends to vary with the nominal GDP of the local economies in which we manufacture and sell. As a result, in periods of economic contraction, our business may not grow or may decline. In the OEM market, we have been adversely affected by reduced demand for our products due to downturns in the global economy as this is a more cyclical business than the MRO business. This cyclicality can result in higher degrees of volatility in our net sales and results of operations. These more volatile markets include, but are not limited to, mobile telecommunication devices, hard disk drives and electronics in personal computers and personal digital assistants.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current and future success could be impacted by our ability to effectively integrate acquired companies and manage our growth.</w:t>
      </w:r>
    </w:p>
    <w:p>
      <w:pPr>
        <w:spacing w:after="0" w:line="96"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Our growth has and will continue to place significant demands on our management and operational and financial resources. Since the beginning of fiscal year 2004, we have acquired 19 companies. These recent and future acquisitions will require integration of sales and marketing, information technology, finance and administrative operations and information of the newly acquired business. The successful integration of acquisitions will require substantial attention from our management and the management of the acquired businesses, which could decrease the time they have to serve and attract customers. We cannot assure that we will be able to successfully integrate these recent or any future acquisitions, that these acquisitions will operate profitably or that we will be able to achieve the financial or operational success expected from the acquisitions. Furthermore, our rapid growth in recent periods, our anticipated geographic expansion, and our planned expansion through additional acquisitions present challenges to maintain the internal control and disclosure control standards applicable to public companies under the Sarbanes-Oxley Act of 2002. Our financial condition, cash flows and operational results could be adversely affected if we do not successfully integrate the newly acquired businesses or if our other businesses suffer on account of our increased focus on the newly acquired businesses.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fail to develop new products or our customers do not accept the new products we develop, our business could be affected adversely.</w:t>
      </w:r>
    </w:p>
    <w:p>
      <w:pPr>
        <w:spacing w:after="0" w:line="96"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Development of proprietary products is key to the success of our core growth and our high gross margins now and in the future. Therefore, we must continue to develop new and innovative products and acquire and retain the necessary intellectual property rights in these products on an ongoing basis. If we fail to make innovations, or the market does not accept our new products, then our financial condition and results of operations could be adversely affected. We continue to invest in the development and marketing of new products. These expenditures do not always result in products that will be accepted by the market. Failure to develop successful new products may also cause our customers to buy from a competitor or may cause us to lower our prices in order to compete. This could have an adverse impact on our profitability.</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be adversely impacted by an inability to identify and complete acquisitions.</w:t>
      </w:r>
    </w:p>
    <w:p>
      <w:pPr>
        <w:spacing w:after="0" w:line="96" w:lineRule="exact"/>
        <w:rPr>
          <w:sz w:val="20"/>
          <w:szCs w:val="20"/>
          <w:color w:val="auto"/>
        </w:rPr>
      </w:pPr>
    </w:p>
    <w:p>
      <w:pPr>
        <w:jc w:val="both"/>
        <w:ind w:left="680" w:right="180" w:firstLine="399"/>
        <w:spacing w:after="0" w:line="264" w:lineRule="auto"/>
        <w:rPr>
          <w:sz w:val="20"/>
          <w:szCs w:val="20"/>
          <w:color w:val="auto"/>
        </w:rPr>
      </w:pPr>
      <w:r>
        <w:rPr>
          <w:rFonts w:ascii="Arial" w:cs="Arial" w:eastAsia="Arial" w:hAnsi="Arial"/>
          <w:sz w:val="13"/>
          <w:szCs w:val="13"/>
          <w:color w:val="auto"/>
        </w:rPr>
        <w:t>A large part of our growth since fiscal 2003 has come through acquisitions and a key component of our growth strategy is based upon acquisitions. We may not be able to identify acquisition targets or successfully complete acquisitions in the future due to the absence of quality companies, economic conditions, or price expectations from sellers. If we are unable to complete additional acquisitions, our growth may be limited.</w:t>
      </w:r>
    </w:p>
    <w:p>
      <w:pPr>
        <w:spacing w:after="0" w:line="273"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right="380"/>
        <w:spacing w:after="0" w:line="276" w:lineRule="auto"/>
        <w:rPr>
          <w:sz w:val="20"/>
          <w:szCs w:val="20"/>
          <w:color w:val="auto"/>
        </w:rPr>
      </w:pPr>
      <w:r>
        <w:rPr>
          <w:rFonts w:ascii="Arial" w:cs="Arial" w:eastAsia="Arial" w:hAnsi="Arial"/>
          <w:sz w:val="13"/>
          <w:szCs w:val="13"/>
          <w:b w:val="1"/>
          <w:bCs w:val="1"/>
          <w:i w:val="1"/>
          <w:iCs w:val="1"/>
          <w:color w:val="auto"/>
        </w:rPr>
        <w:t>We operate in highly competitive niche markets within the OEM market and may be forced to cut our prices or incur additional costs to remain competitive, which may have a negative impact on our profitability.</w:t>
      </w:r>
    </w:p>
    <w:p>
      <w:pPr>
        <w:spacing w:after="0" w:line="59" w:lineRule="exact"/>
        <w:rPr>
          <w:sz w:val="20"/>
          <w:szCs w:val="20"/>
          <w:color w:val="auto"/>
        </w:rPr>
      </w:pPr>
    </w:p>
    <w:p>
      <w:pPr>
        <w:ind w:left="680" w:firstLine="399"/>
        <w:spacing w:after="0" w:line="334" w:lineRule="auto"/>
        <w:rPr>
          <w:sz w:val="20"/>
          <w:szCs w:val="20"/>
          <w:color w:val="auto"/>
        </w:rPr>
      </w:pPr>
      <w:r>
        <w:rPr>
          <w:rFonts w:ascii="Arial" w:cs="Arial" w:eastAsia="Arial" w:hAnsi="Arial"/>
          <w:sz w:val="11"/>
          <w:szCs w:val="11"/>
          <w:color w:val="auto"/>
        </w:rPr>
        <w:t>We face substantial competition, particularly in the OEM markets we serve. Competition may force us to cut our prices or incur additional costs to remain competitive. We compete on the basis of production capabilities, engineering and R&amp;D capabilities, materials expertise, our global footprint, customer service and price. Present or future competitors may have greater financial, technical or other resources which could put us at a disadvantage in the affected business by threatening our market shares in some markets or reducing our profit margins.</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goodwill or other intangible assets may become impaired, which may negatively impact our results of operations.</w:t>
      </w:r>
    </w:p>
    <w:p>
      <w:pPr>
        <w:spacing w:after="0" w:line="96" w:lineRule="exact"/>
        <w:rPr>
          <w:sz w:val="20"/>
          <w:szCs w:val="20"/>
          <w:color w:val="auto"/>
        </w:rPr>
      </w:pPr>
    </w:p>
    <w:p>
      <w:pPr>
        <w:ind w:left="680" w:right="60" w:firstLine="399"/>
        <w:spacing w:after="0" w:line="281" w:lineRule="auto"/>
        <w:rPr>
          <w:sz w:val="20"/>
          <w:szCs w:val="20"/>
          <w:color w:val="auto"/>
        </w:rPr>
      </w:pPr>
      <w:r>
        <w:rPr>
          <w:rFonts w:ascii="Arial" w:cs="Arial" w:eastAsia="Arial" w:hAnsi="Arial"/>
          <w:sz w:val="12"/>
          <w:szCs w:val="12"/>
          <w:color w:val="auto"/>
        </w:rPr>
        <w:t>We have a substantial amount of goodwill and other intangible assets on our balance sheet as a result of our acquisitions. As of July 31, 2006, we had $587.6 million of goodwill on our balance sheet, representing the excess of the total purchase price for our acquisitions over the fair value of the net assets we acquired, and $134.1 million of other intangible assets, primarily representing the fair value of the customer relationships, patents and trademarks we acquired in our acquisitions. At July 31, 2006, goodwill and other intangible assets represented approximately 53% of our total assets. We evaluate this goodwill annually for impairment based on the fair value of each geographic operating segment and we assess the impairment of other intangible assets quarterly based upon the expected cash flows of the acquisition. These valuations could change if there were to be future changes in our capital structure, cost of debt, interest rates, capital expenditures, or our ability to perform in accordance with our forecasts. If this estimated fair value changes in future periods, we may be required to record an impairment charge related to goodwill or other intangible assets, which would have the effect of decreasing our earnings or increasing our losses in such period.</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increasingly conduct a sizable amount of our manufacturing outside of the United States, which may present additional risks to our business.</w:t>
      </w:r>
    </w:p>
    <w:p>
      <w:pPr>
        <w:spacing w:after="0" w:line="96"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As a result of our strong growth in developing economies, particularly in Asia, a significant portion of our sales is attributable to products manufactured outside of the United States. More than half of our 8,000 employees and more than half of our manufacturing locations are located outside of the United States. Our international operations are generally subject to various risks including political, economic and societal instability, the imposition of trade restrictions, local labor market conditions, the effects of income taxes, and differences in business practices. We may incur increased costs and experience delays or disruptions in product deliveries and payments in connection with international manufacturing and sales that could cause loss of revenue. Unfavorable changes in the political, regulatory and business climate in countries where we have operations could have a material adverse effect on our financial condition, results of operations and cash flows.</w:t>
      </w:r>
    </w:p>
    <w:p>
      <w:pPr>
        <w:spacing w:after="0" w:line="150" w:lineRule="exact"/>
        <w:rPr>
          <w:sz w:val="20"/>
          <w:szCs w:val="20"/>
          <w:color w:val="auto"/>
        </w:rPr>
      </w:pPr>
    </w:p>
    <w:p>
      <w:pPr>
        <w:ind w:left="880" w:right="480"/>
        <w:spacing w:after="0" w:line="276" w:lineRule="auto"/>
        <w:rPr>
          <w:sz w:val="20"/>
          <w:szCs w:val="20"/>
          <w:color w:val="auto"/>
        </w:rPr>
      </w:pPr>
      <w:r>
        <w:rPr>
          <w:rFonts w:ascii="Arial" w:cs="Arial" w:eastAsia="Arial" w:hAnsi="Arial"/>
          <w:sz w:val="13"/>
          <w:szCs w:val="13"/>
          <w:b w:val="1"/>
          <w:bCs w:val="1"/>
          <w:i w:val="1"/>
          <w:iCs w:val="1"/>
          <w:color w:val="auto"/>
        </w:rPr>
        <w:t>We have a concentration of business with several large key customers in the OEM market and loss of one or more of these customers could significantly affect our results of operations.</w:t>
      </w:r>
    </w:p>
    <w:p>
      <w:pPr>
        <w:spacing w:after="0" w:line="59"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Several of our large key customers in the OEM market, specifically the precision die-cut business, together comprise a significant portion of our revenues. As a result of our acquisition of Tradex Converting AB in May 2006, our largest customer represents approximately 7% of our net sales. Our dependence on these large customers makes our relationships with these customers important to our business. We cannot assure you that we will be able to maintain these relationships and retain this business in the future. Because these large customers account for such a significant portion of our revenues, they possess relatively greater capacity to negotiate a reduction in the prices we charge for our products. If we are unable to provide products to our customers at prices acceptable to them, some of our customers may in the future elect to shift some or all of this business to competitors or to other sources. The loss of or reduction of business from one or more of these large key customers could have a material adverse impact on our financial condition and results of operations.</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Foreign currency fluctuations could adversely affect our sales and profits.</w:t>
      </w:r>
    </w:p>
    <w:p>
      <w:pPr>
        <w:spacing w:after="0" w:line="96"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More than half of our revenues are derived outside of the United States. As such, fluctuations in foreign currency can have an adverse impact on our sales and profits as amounts that are measured in foreign currency are translated back to U.S. dollars. Any increase in the value of the U.S. dollar in relation to the value of the local currency will adversely affect our revenues from our foreign operations when translated into U.S. dollars. Similarly, any decrease in the value of the U.S. dollar in relation to the value of the local currency will increase our development costs in our foreign operations, to the extent such costs are payable in foreign currency, when translated into U.S. dollars. During fiscal year 2006, the strengthening U.S. dollar versus all other currencies reduced sales by approximately $3.7 million.</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depend on our key personnel and the loss of these personnel could have an adverse effect on our operations.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Our success depends to a large extent upon the continued services of our key executives, managers and other skilled personnel. We cannot assure you that we will be able to retain our key officers and employees. The departure of our key personnel without adequate replacement could severely disrupt our business operations. Additionally, we need qualified managers and skilled employees with technical and manufacturing industry experience to operate our business successfully. If we are unable to attract and retain qualified individuals or our costs to do so increase significantly, our operations would be materially adversely affected.</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be unable to successfully implement anticipated changes to our information technology system.</w:t>
      </w:r>
    </w:p>
    <w:p>
      <w:pPr>
        <w:spacing w:after="0" w:line="96" w:lineRule="exact"/>
        <w:rPr>
          <w:sz w:val="20"/>
          <w:szCs w:val="20"/>
          <w:color w:val="auto"/>
        </w:rPr>
      </w:pPr>
    </w:p>
    <w:p>
      <w:pPr>
        <w:ind w:left="680" w:right="140" w:firstLine="399"/>
        <w:spacing w:after="0" w:line="289" w:lineRule="auto"/>
        <w:rPr>
          <w:sz w:val="20"/>
          <w:szCs w:val="20"/>
          <w:color w:val="auto"/>
        </w:rPr>
      </w:pPr>
      <w:r>
        <w:rPr>
          <w:rFonts w:ascii="Arial" w:cs="Arial" w:eastAsia="Arial" w:hAnsi="Arial"/>
          <w:sz w:val="12"/>
          <w:szCs w:val="12"/>
          <w:color w:val="auto"/>
        </w:rPr>
        <w:t>We are now in the process of upgrading certain portions of our information technology. Part of this upgrade includes an accelerated implementation of an SAP platform in our facilities in China, Europe, Malaysia and Singapore. To date, we have completed the implementation at one facility in China and in India. We expect that this implementation of the SAP platform will enable us to more effectively and efficiently manage our supply chain and business processes. Our failure to successfully manage this process or implement these upgrades as scheduled could cause us to incur unexpected costs or to lose customers or sales, which could have a material adverse effect on our financial results.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increase in our level of indebtedness could adversely affect our financial health and make us vulnerable to adverse economic conditions.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We have incurred indebtedness to finance acquisitions and for other general corporate purposes. Any increase in our level of indebtedness could have important consequences, such</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as:</w:t>
      </w:r>
    </w:p>
    <w:p>
      <w:pPr>
        <w:spacing w:after="0" w:line="89" w:lineRule="exact"/>
        <w:rPr>
          <w:sz w:val="20"/>
          <w:szCs w:val="20"/>
          <w:color w:val="auto"/>
        </w:rPr>
      </w:pPr>
    </w:p>
    <w:p>
      <w:pPr>
        <w:ind w:left="1180" w:hanging="90"/>
        <w:spacing w:after="0"/>
        <w:tabs>
          <w:tab w:leader="none" w:pos="1180" w:val="left"/>
        </w:tabs>
        <w:numPr>
          <w:ilvl w:val="0"/>
          <w:numId w:val="8"/>
        </w:numPr>
        <w:rPr>
          <w:rFonts w:ascii="Arial" w:cs="Arial" w:eastAsia="Arial" w:hAnsi="Arial"/>
          <w:sz w:val="13"/>
          <w:szCs w:val="13"/>
          <w:color w:val="auto"/>
        </w:rPr>
      </w:pPr>
      <w:r>
        <w:rPr>
          <w:rFonts w:ascii="Arial" w:cs="Arial" w:eastAsia="Arial" w:hAnsi="Arial"/>
          <w:sz w:val="13"/>
          <w:szCs w:val="13"/>
          <w:color w:val="auto"/>
        </w:rPr>
        <w:t>it may be difficult for us to fulfill our obligations under our credit or other debt agreements;</w:t>
      </w:r>
    </w:p>
    <w:p>
      <w:pPr>
        <w:spacing w:after="0" w:line="86" w:lineRule="exact"/>
        <w:rPr>
          <w:rFonts w:ascii="Arial" w:cs="Arial" w:eastAsia="Arial" w:hAnsi="Arial"/>
          <w:sz w:val="13"/>
          <w:szCs w:val="13"/>
          <w:color w:val="auto"/>
        </w:rPr>
      </w:pPr>
    </w:p>
    <w:p>
      <w:pPr>
        <w:ind w:left="1180" w:hanging="90"/>
        <w:spacing w:after="0"/>
        <w:tabs>
          <w:tab w:leader="none" w:pos="1180" w:val="left"/>
        </w:tabs>
        <w:numPr>
          <w:ilvl w:val="0"/>
          <w:numId w:val="8"/>
        </w:numPr>
        <w:rPr>
          <w:rFonts w:ascii="Arial" w:cs="Arial" w:eastAsia="Arial" w:hAnsi="Arial"/>
          <w:sz w:val="13"/>
          <w:szCs w:val="13"/>
          <w:color w:val="auto"/>
        </w:rPr>
      </w:pPr>
      <w:r>
        <w:rPr>
          <w:rFonts w:ascii="Arial" w:cs="Arial" w:eastAsia="Arial" w:hAnsi="Arial"/>
          <w:sz w:val="13"/>
          <w:szCs w:val="13"/>
          <w:color w:val="auto"/>
        </w:rPr>
        <w:t>it may be more challenging or costly to obtain additional financing to fund our future growth;</w:t>
      </w:r>
    </w:p>
    <w:p>
      <w:pPr>
        <w:spacing w:after="0" w:line="86" w:lineRule="exact"/>
        <w:rPr>
          <w:rFonts w:ascii="Arial" w:cs="Arial" w:eastAsia="Arial" w:hAnsi="Arial"/>
          <w:sz w:val="13"/>
          <w:szCs w:val="13"/>
          <w:color w:val="auto"/>
        </w:rPr>
      </w:pPr>
    </w:p>
    <w:p>
      <w:pPr>
        <w:ind w:left="1180" w:hanging="90"/>
        <w:spacing w:after="0"/>
        <w:tabs>
          <w:tab w:leader="none" w:pos="1180" w:val="left"/>
        </w:tabs>
        <w:numPr>
          <w:ilvl w:val="0"/>
          <w:numId w:val="8"/>
        </w:numPr>
        <w:rPr>
          <w:rFonts w:ascii="Arial" w:cs="Arial" w:eastAsia="Arial" w:hAnsi="Arial"/>
          <w:sz w:val="13"/>
          <w:szCs w:val="13"/>
          <w:color w:val="auto"/>
        </w:rPr>
      </w:pPr>
      <w:r>
        <w:rPr>
          <w:rFonts w:ascii="Arial" w:cs="Arial" w:eastAsia="Arial" w:hAnsi="Arial"/>
          <w:sz w:val="13"/>
          <w:szCs w:val="13"/>
          <w:color w:val="auto"/>
        </w:rPr>
        <w:t>we may be more vulnerable to future interest rate fluctuations;</w:t>
      </w:r>
    </w:p>
    <w:p>
      <w:pPr>
        <w:spacing w:after="0" w:line="86" w:lineRule="exact"/>
        <w:rPr>
          <w:rFonts w:ascii="Arial" w:cs="Arial" w:eastAsia="Arial" w:hAnsi="Arial"/>
          <w:sz w:val="13"/>
          <w:szCs w:val="13"/>
          <w:color w:val="auto"/>
        </w:rPr>
      </w:pPr>
    </w:p>
    <w:p>
      <w:pPr>
        <w:ind w:left="1180" w:right="100" w:hanging="90"/>
        <w:spacing w:after="0" w:line="276" w:lineRule="auto"/>
        <w:tabs>
          <w:tab w:leader="none" w:pos="1180" w:val="left"/>
        </w:tabs>
        <w:numPr>
          <w:ilvl w:val="0"/>
          <w:numId w:val="8"/>
        </w:numPr>
        <w:rPr>
          <w:rFonts w:ascii="Arial" w:cs="Arial" w:eastAsia="Arial" w:hAnsi="Arial"/>
          <w:sz w:val="13"/>
          <w:szCs w:val="13"/>
          <w:color w:val="auto"/>
        </w:rPr>
      </w:pPr>
      <w:r>
        <w:rPr>
          <w:rFonts w:ascii="Arial" w:cs="Arial" w:eastAsia="Arial" w:hAnsi="Arial"/>
          <w:sz w:val="13"/>
          <w:szCs w:val="13"/>
          <w:color w:val="auto"/>
        </w:rPr>
        <w:t>we may be required to dedicate a substantial portion of our cash flows to service our debt, thereby reducing the amount of cash available to fund new product development, capital expenditures, working capital and other general corporate activities;</w:t>
      </w:r>
    </w:p>
    <w:p>
      <w:pPr>
        <w:spacing w:after="0" w:line="49" w:lineRule="exact"/>
        <w:rPr>
          <w:rFonts w:ascii="Arial" w:cs="Arial" w:eastAsia="Arial" w:hAnsi="Arial"/>
          <w:sz w:val="13"/>
          <w:szCs w:val="13"/>
          <w:color w:val="auto"/>
        </w:rPr>
      </w:pPr>
    </w:p>
    <w:p>
      <w:pPr>
        <w:ind w:left="1180" w:hanging="90"/>
        <w:spacing w:after="0"/>
        <w:tabs>
          <w:tab w:leader="none" w:pos="1180" w:val="left"/>
        </w:tabs>
        <w:numPr>
          <w:ilvl w:val="0"/>
          <w:numId w:val="8"/>
        </w:numPr>
        <w:rPr>
          <w:rFonts w:ascii="Arial" w:cs="Arial" w:eastAsia="Arial" w:hAnsi="Arial"/>
          <w:sz w:val="13"/>
          <w:szCs w:val="13"/>
          <w:color w:val="auto"/>
        </w:rPr>
      </w:pPr>
      <w:r>
        <w:rPr>
          <w:rFonts w:ascii="Arial" w:cs="Arial" w:eastAsia="Arial" w:hAnsi="Arial"/>
          <w:sz w:val="13"/>
          <w:szCs w:val="13"/>
          <w:color w:val="auto"/>
        </w:rPr>
        <w:t>it may place us at a competitive disadvantage relative to our competitors that have less debt; and</w:t>
      </w:r>
    </w:p>
    <w:p>
      <w:pPr>
        <w:spacing w:after="0" w:line="86" w:lineRule="exact"/>
        <w:rPr>
          <w:rFonts w:ascii="Arial" w:cs="Arial" w:eastAsia="Arial" w:hAnsi="Arial"/>
          <w:sz w:val="13"/>
          <w:szCs w:val="13"/>
          <w:color w:val="auto"/>
        </w:rPr>
      </w:pPr>
    </w:p>
    <w:p>
      <w:pPr>
        <w:ind w:left="1180" w:hanging="90"/>
        <w:spacing w:after="0"/>
        <w:tabs>
          <w:tab w:leader="none" w:pos="1180" w:val="left"/>
        </w:tabs>
        <w:numPr>
          <w:ilvl w:val="0"/>
          <w:numId w:val="8"/>
        </w:numPr>
        <w:rPr>
          <w:rFonts w:ascii="Arial" w:cs="Arial" w:eastAsia="Arial" w:hAnsi="Arial"/>
          <w:sz w:val="13"/>
          <w:szCs w:val="13"/>
          <w:color w:val="auto"/>
        </w:rPr>
      </w:pPr>
      <w:r>
        <w:rPr>
          <w:rFonts w:ascii="Arial" w:cs="Arial" w:eastAsia="Arial" w:hAnsi="Arial"/>
          <w:sz w:val="13"/>
          <w:szCs w:val="13"/>
          <w:color w:val="auto"/>
        </w:rPr>
        <w:t>it may limit our flexibility in planning for and reacting to changes in our business.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Environmental, health and safety laws and regulations could adversely affect our business.</w:t>
      </w:r>
    </w:p>
    <w:p>
      <w:pPr>
        <w:spacing w:after="0" w:line="96"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Our facilities and operations are subject to numerous laws and regulations relating to air emissions, wastewater discharges, the handling of hazardous materials and wastes, manufacturing and disposal of certain materials, and regulations otherwise relating to health, safety and the protection of the environment. Our products may also be governed by regulations in the countries where they are sold. As a result, we may need to devote management time or expend significant resources on compliance, and we have incurred and will continue to incur capital and other</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320" w:lineRule="auto"/>
        <w:rPr>
          <w:sz w:val="20"/>
          <w:szCs w:val="20"/>
          <w:color w:val="auto"/>
        </w:rPr>
      </w:pPr>
      <w:r>
        <w:rPr>
          <w:rFonts w:ascii="Arial" w:cs="Arial" w:eastAsia="Arial" w:hAnsi="Arial"/>
          <w:sz w:val="12"/>
          <w:szCs w:val="12"/>
          <w:color w:val="auto"/>
        </w:rPr>
        <w:t>expenditures to comply with these regulations. Any significant costs may have a material adverse impact on our financial condition, results of operations or cash flows. Further, these laws and regulations are constantly evolving and it is impossible to predict accurately the effect they may have upon our financial condition, results of operations or cash flows.</w:t>
      </w:r>
    </w:p>
    <w:p>
      <w:pPr>
        <w:spacing w:after="0" w:line="110"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1B.</w:t>
      </w:r>
      <w:r>
        <w:rPr>
          <w:sz w:val="20"/>
          <w:szCs w:val="20"/>
          <w:color w:val="auto"/>
        </w:rPr>
        <w:tab/>
      </w:r>
      <w:r>
        <w:rPr>
          <w:rFonts w:ascii="Arial" w:cs="Arial" w:eastAsia="Arial" w:hAnsi="Arial"/>
          <w:sz w:val="11"/>
          <w:szCs w:val="11"/>
          <w:b w:val="1"/>
          <w:bCs w:val="1"/>
          <w:i w:val="1"/>
          <w:iCs w:val="1"/>
          <w:color w:val="auto"/>
        </w:rPr>
        <w:t>Unresolved Staff Comments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7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0"/>
          <w:szCs w:val="10"/>
          <w:b w:val="1"/>
          <w:bCs w:val="1"/>
          <w:i w:val="1"/>
          <w:iCs w:val="1"/>
          <w:color w:val="auto"/>
        </w:rPr>
        <w:t>Properties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currently operates 65 manufacturing or distribution facilities in the following regions:</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 xml:space="preserve">Americas: </w:t>
      </w:r>
      <w:r>
        <w:rPr>
          <w:rFonts w:ascii="Arial" w:cs="Arial" w:eastAsia="Arial" w:hAnsi="Arial"/>
          <w:sz w:val="13"/>
          <w:szCs w:val="13"/>
          <w:color w:val="auto"/>
        </w:rPr>
        <w:t>Seventeen are located in the United States; three each in Brazil and Mexico; and two in Canada.</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b w:val="1"/>
          <w:bCs w:val="1"/>
          <w:color w:val="auto"/>
        </w:rPr>
        <w:t xml:space="preserve">Europe: </w:t>
      </w:r>
      <w:r>
        <w:rPr>
          <w:rFonts w:ascii="Arial" w:cs="Arial" w:eastAsia="Arial" w:hAnsi="Arial"/>
          <w:sz w:val="12"/>
          <w:szCs w:val="12"/>
          <w:color w:val="auto"/>
        </w:rPr>
        <w:t>Four are located in France; three each in Germany and in the United Kingdom; two in Sweden; and one each in Belgium, Denmark, Italy, Norway and Slovakia.</w:t>
      </w:r>
    </w:p>
    <w:p>
      <w:pPr>
        <w:spacing w:after="0" w:line="108"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 xml:space="preserve">Asia-Pacific: </w:t>
      </w:r>
      <w:r>
        <w:rPr>
          <w:rFonts w:ascii="Arial" w:cs="Arial" w:eastAsia="Arial" w:hAnsi="Arial"/>
          <w:sz w:val="13"/>
          <w:szCs w:val="13"/>
          <w:color w:val="auto"/>
        </w:rPr>
        <w:t>Nine are located in China; five in Australia; three in Thailand; two each in Korea and Singapore; and one each in India and Malaysia.</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Company’s present operating facilities contain a total of approximately 3.0 million square feet of space, of which approximately 2.2 million square feet is leased. The Company believes that its equipment and facilities are modern, well maintained and adequate for present needs.</w:t>
      </w:r>
    </w:p>
    <w:p>
      <w:pPr>
        <w:spacing w:after="0" w:line="13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1"/>
          <w:szCs w:val="11"/>
          <w:b w:val="1"/>
          <w:bCs w:val="1"/>
          <w:i w:val="1"/>
          <w:iCs w:val="1"/>
          <w:color w:val="auto"/>
        </w:rPr>
        <w:t>Legal Proceedings</w:t>
      </w:r>
    </w:p>
    <w:p>
      <w:pPr>
        <w:spacing w:after="0" w:line="100" w:lineRule="exact"/>
        <w:rPr>
          <w:sz w:val="20"/>
          <w:szCs w:val="20"/>
          <w:color w:val="auto"/>
        </w:rPr>
      </w:pPr>
    </w:p>
    <w:p>
      <w:pPr>
        <w:ind w:left="680" w:right="560" w:firstLine="399"/>
        <w:spacing w:after="0" w:line="276" w:lineRule="auto"/>
        <w:rPr>
          <w:sz w:val="20"/>
          <w:szCs w:val="20"/>
          <w:color w:val="auto"/>
        </w:rPr>
      </w:pPr>
      <w:r>
        <w:rPr>
          <w:rFonts w:ascii="Arial" w:cs="Arial" w:eastAsia="Arial" w:hAnsi="Arial"/>
          <w:sz w:val="13"/>
          <w:szCs w:val="13"/>
          <w:color w:val="auto"/>
        </w:rPr>
        <w:t>The Company is, and may in the future be, party to litigation arising in the normal course of business. The Company is not currently a party to any material pending legal proceedings.</w:t>
      </w:r>
    </w:p>
    <w:p>
      <w:pPr>
        <w:spacing w:after="0" w:line="13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i w:val="1"/>
          <w:iCs w:val="1"/>
          <w:color w:val="auto"/>
        </w:rPr>
        <w:t>Submission of Matters to a Vote of Security Holders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30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40"/>
          </w:cols>
          <w:pgMar w:left="220" w:top="343" w:right="113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PART II</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5.</w:t>
      </w:r>
      <w:r>
        <w:rPr>
          <w:sz w:val="20"/>
          <w:szCs w:val="20"/>
          <w:color w:val="auto"/>
        </w:rPr>
        <w:tab/>
      </w:r>
      <w:r>
        <w:rPr>
          <w:rFonts w:ascii="Arial" w:cs="Arial" w:eastAsia="Arial" w:hAnsi="Arial"/>
          <w:sz w:val="11"/>
          <w:szCs w:val="11"/>
          <w:b w:val="1"/>
          <w:bCs w:val="1"/>
          <w:i w:val="1"/>
          <w:iCs w:val="1"/>
          <w:color w:val="auto"/>
        </w:rPr>
        <w:t>Market for Registrant’s Common Equity, Related Stockholder Matters and Issuer Purchases of Equity Securities</w:t>
      </w:r>
    </w:p>
    <w:p>
      <w:pPr>
        <w:spacing w:after="0" w:line="100" w:lineRule="exact"/>
        <w:rPr>
          <w:sz w:val="20"/>
          <w:szCs w:val="20"/>
          <w:color w:val="auto"/>
        </w:rPr>
      </w:pPr>
    </w:p>
    <w:p>
      <w:pPr>
        <w:ind w:left="1000" w:hanging="313"/>
        <w:spacing w:after="0"/>
        <w:tabs>
          <w:tab w:leader="none" w:pos="1000" w:val="left"/>
        </w:tabs>
        <w:numPr>
          <w:ilvl w:val="0"/>
          <w:numId w:val="9"/>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Market Information</w:t>
      </w:r>
    </w:p>
    <w:p>
      <w:pPr>
        <w:spacing w:after="0" w:line="96"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Brady Corporation Class A Nonvoting Common Stock trades on the New York Stock Exchange under the symbol BRC. The quarterly stock price history on the New York Stock Exchange is as follows for each of the quarters in the fiscal years ended July 31:</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9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0"/>
                <w:szCs w:val="10"/>
                <w:b w:val="1"/>
                <w:bCs w:val="1"/>
                <w:color w:val="auto"/>
              </w:rPr>
              <w:t>2006</w:t>
            </w: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8"/>
              </w:rPr>
              <w:t>2005(1)</w:t>
            </w: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2"/>
              </w:rPr>
              <w:t>2004(1)</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4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tcPr>
          <w:p>
            <w:pPr>
              <w:jc w:val="right"/>
              <w:ind w:right="560"/>
              <w:spacing w:after="0" w:line="98" w:lineRule="exact"/>
              <w:rPr>
                <w:sz w:val="20"/>
                <w:szCs w:val="20"/>
                <w:color w:val="auto"/>
              </w:rPr>
            </w:pPr>
            <w:r>
              <w:rPr>
                <w:rFonts w:ascii="Arial" w:cs="Arial" w:eastAsia="Arial" w:hAnsi="Arial"/>
                <w:sz w:val="10"/>
                <w:szCs w:val="10"/>
                <w:b w:val="1"/>
                <w:bCs w:val="1"/>
                <w:color w:val="auto"/>
              </w:rPr>
              <w:t>High</w:t>
            </w:r>
          </w:p>
        </w:tc>
        <w:tc>
          <w:tcPr>
            <w:tcW w:w="100" w:type="dxa"/>
            <w:vAlign w:val="bottom"/>
          </w:tcPr>
          <w:p>
            <w:pPr>
              <w:spacing w:after="0"/>
              <w:rPr>
                <w:sz w:val="8"/>
                <w:szCs w:val="8"/>
                <w:color w:val="auto"/>
              </w:rPr>
            </w:pPr>
          </w:p>
        </w:tc>
        <w:tc>
          <w:tcPr>
            <w:tcW w:w="400" w:type="dxa"/>
            <w:vAlign w:val="bottom"/>
          </w:tcPr>
          <w:p>
            <w:pPr>
              <w:ind w:left="60"/>
              <w:spacing w:after="0" w:line="98" w:lineRule="exact"/>
              <w:rPr>
                <w:sz w:val="20"/>
                <w:szCs w:val="20"/>
                <w:color w:val="auto"/>
              </w:rPr>
            </w:pPr>
            <w:r>
              <w:rPr>
                <w:rFonts w:ascii="Arial" w:cs="Arial" w:eastAsia="Arial" w:hAnsi="Arial"/>
                <w:sz w:val="10"/>
                <w:szCs w:val="10"/>
                <w:b w:val="1"/>
                <w:bCs w:val="1"/>
                <w:color w:val="auto"/>
              </w:rPr>
              <w:t>Low</w:t>
            </w: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jc w:val="right"/>
              <w:ind w:right="77"/>
              <w:spacing w:after="0" w:line="98" w:lineRule="exact"/>
              <w:rPr>
                <w:sz w:val="20"/>
                <w:szCs w:val="20"/>
                <w:color w:val="auto"/>
              </w:rPr>
            </w:pPr>
            <w:r>
              <w:rPr>
                <w:rFonts w:ascii="Arial" w:cs="Arial" w:eastAsia="Arial" w:hAnsi="Arial"/>
                <w:sz w:val="10"/>
                <w:szCs w:val="10"/>
                <w:b w:val="1"/>
                <w:bCs w:val="1"/>
                <w:color w:val="auto"/>
              </w:rPr>
              <w:t>High</w:t>
            </w: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jc w:val="right"/>
              <w:ind w:right="77"/>
              <w:spacing w:after="0" w:line="98" w:lineRule="exact"/>
              <w:rPr>
                <w:sz w:val="20"/>
                <w:szCs w:val="20"/>
                <w:color w:val="auto"/>
              </w:rPr>
            </w:pPr>
            <w:r>
              <w:rPr>
                <w:rFonts w:ascii="Arial" w:cs="Arial" w:eastAsia="Arial" w:hAnsi="Arial"/>
                <w:sz w:val="10"/>
                <w:szCs w:val="10"/>
                <w:b w:val="1"/>
                <w:bCs w:val="1"/>
                <w:color w:val="auto"/>
              </w:rPr>
              <w:t>Low</w:t>
            </w: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gridSpan w:val="2"/>
          </w:tcPr>
          <w:p>
            <w:pPr>
              <w:jc w:val="right"/>
              <w:ind w:right="160"/>
              <w:spacing w:after="0" w:line="98" w:lineRule="exact"/>
              <w:rPr>
                <w:sz w:val="20"/>
                <w:szCs w:val="20"/>
                <w:color w:val="auto"/>
              </w:rPr>
            </w:pPr>
            <w:r>
              <w:rPr>
                <w:rFonts w:ascii="Arial" w:cs="Arial" w:eastAsia="Arial" w:hAnsi="Arial"/>
                <w:sz w:val="10"/>
                <w:szCs w:val="10"/>
                <w:b w:val="1"/>
                <w:bCs w:val="1"/>
                <w:color w:val="auto"/>
                <w:w w:val="98"/>
              </w:rPr>
              <w:t>High</w:t>
            </w: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ind w:left="40"/>
              <w:spacing w:after="0" w:line="98" w:lineRule="exact"/>
              <w:rPr>
                <w:sz w:val="20"/>
                <w:szCs w:val="20"/>
                <w:color w:val="auto"/>
              </w:rPr>
            </w:pPr>
            <w:r>
              <w:rPr>
                <w:rFonts w:ascii="Arial" w:cs="Arial" w:eastAsia="Arial" w:hAnsi="Arial"/>
                <w:sz w:val="10"/>
                <w:szCs w:val="10"/>
                <w:b w:val="1"/>
                <w:bCs w:val="1"/>
                <w:color w:val="auto"/>
              </w:rPr>
              <w:t>Low</w:t>
            </w:r>
          </w:p>
        </w:tc>
        <w:tc>
          <w:tcPr>
            <w:tcW w:w="100" w:type="dxa"/>
            <w:vAlign w:val="bottom"/>
          </w:tcPr>
          <w:p>
            <w:pPr>
              <w:spacing w:after="0"/>
              <w:rPr>
                <w:sz w:val="8"/>
                <w:szCs w:val="8"/>
                <w:color w:val="auto"/>
              </w:rPr>
            </w:pPr>
          </w:p>
        </w:tc>
      </w:tr>
      <w:tr>
        <w:trPr>
          <w:trHeight w:val="29"/>
        </w:trPr>
        <w:tc>
          <w:tcPr>
            <w:tcW w:w="49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4th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42.79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32.94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34.96</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28.80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23.24</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18.14</w:t>
            </w:r>
          </w:p>
        </w:tc>
      </w:tr>
      <w:tr>
        <w:trPr>
          <w:trHeight w:val="157"/>
        </w:trPr>
        <w:tc>
          <w:tcPr>
            <w:tcW w:w="4920" w:type="dxa"/>
            <w:vAlign w:val="bottom"/>
          </w:tcPr>
          <w:p>
            <w:pPr>
              <w:spacing w:after="0"/>
              <w:rPr>
                <w:sz w:val="20"/>
                <w:szCs w:val="20"/>
                <w:color w:val="auto"/>
              </w:rPr>
            </w:pPr>
            <w:r>
              <w:rPr>
                <w:rFonts w:ascii="Arial" w:cs="Arial" w:eastAsia="Arial" w:hAnsi="Arial"/>
                <w:sz w:val="13"/>
                <w:szCs w:val="13"/>
                <w:color w:val="auto"/>
              </w:rPr>
              <w:t>3rd Quarter</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20"/>
              <w:spacing w:after="0"/>
              <w:rPr>
                <w:sz w:val="20"/>
                <w:szCs w:val="20"/>
                <w:color w:val="auto"/>
              </w:rPr>
            </w:pPr>
            <w:r>
              <w:rPr>
                <w:rFonts w:ascii="Arial" w:cs="Arial" w:eastAsia="Arial" w:hAnsi="Arial"/>
                <w:sz w:val="13"/>
                <w:szCs w:val="13"/>
                <w:color w:val="auto"/>
              </w:rPr>
              <w:t>40.49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34.67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35.70</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380"/>
              <w:spacing w:after="0"/>
              <w:rPr>
                <w:sz w:val="20"/>
                <w:szCs w:val="20"/>
                <w:color w:val="auto"/>
              </w:rPr>
            </w:pPr>
            <w:r>
              <w:rPr>
                <w:rFonts w:ascii="Arial" w:cs="Arial" w:eastAsia="Arial" w:hAnsi="Arial"/>
                <w:sz w:val="13"/>
                <w:szCs w:val="13"/>
                <w:color w:val="auto"/>
              </w:rPr>
              <w:t>26.30</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gridSpan w:val="2"/>
          </w:tcPr>
          <w:p>
            <w:pPr>
              <w:jc w:val="right"/>
              <w:ind w:right="20"/>
              <w:spacing w:after="0"/>
              <w:rPr>
                <w:sz w:val="20"/>
                <w:szCs w:val="20"/>
                <w:color w:val="auto"/>
              </w:rPr>
            </w:pPr>
            <w:r>
              <w:rPr>
                <w:rFonts w:ascii="Arial" w:cs="Arial" w:eastAsia="Arial" w:hAnsi="Arial"/>
                <w:sz w:val="13"/>
                <w:szCs w:val="13"/>
                <w:color w:val="auto"/>
              </w:rPr>
              <w:t>20.44</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17.45</w:t>
            </w:r>
          </w:p>
        </w:tc>
      </w:tr>
      <w:tr>
        <w:trPr>
          <w:trHeight w:val="157"/>
        </w:trPr>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2nd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39.98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28.20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32.22</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26.75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21.73</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16.99</w:t>
            </w:r>
          </w:p>
        </w:tc>
      </w:tr>
      <w:tr>
        <w:trPr>
          <w:trHeight w:val="165"/>
        </w:trPr>
        <w:tc>
          <w:tcPr>
            <w:tcW w:w="4920" w:type="dxa"/>
            <w:vAlign w:val="bottom"/>
          </w:tcPr>
          <w:p>
            <w:pPr>
              <w:spacing w:after="0"/>
              <w:rPr>
                <w:sz w:val="20"/>
                <w:szCs w:val="20"/>
                <w:color w:val="auto"/>
              </w:rPr>
            </w:pPr>
            <w:r>
              <w:rPr>
                <w:rFonts w:ascii="Arial" w:cs="Arial" w:eastAsia="Arial" w:hAnsi="Arial"/>
                <w:sz w:val="13"/>
                <w:szCs w:val="13"/>
                <w:color w:val="auto"/>
              </w:rPr>
              <w:t>1st Quarter</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20"/>
              <w:spacing w:after="0"/>
              <w:rPr>
                <w:sz w:val="20"/>
                <w:szCs w:val="20"/>
                <w:color w:val="auto"/>
              </w:rPr>
            </w:pPr>
            <w:r>
              <w:rPr>
                <w:rFonts w:ascii="Arial" w:cs="Arial" w:eastAsia="Arial" w:hAnsi="Arial"/>
                <w:sz w:val="13"/>
                <w:szCs w:val="13"/>
                <w:color w:val="auto"/>
              </w:rPr>
              <w:t>34.22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26.98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27.49</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380"/>
              <w:spacing w:after="0"/>
              <w:rPr>
                <w:sz w:val="20"/>
                <w:szCs w:val="20"/>
                <w:color w:val="auto"/>
              </w:rPr>
            </w:pPr>
            <w:r>
              <w:rPr>
                <w:rFonts w:ascii="Arial" w:cs="Arial" w:eastAsia="Arial" w:hAnsi="Arial"/>
                <w:sz w:val="13"/>
                <w:szCs w:val="13"/>
                <w:color w:val="auto"/>
              </w:rPr>
              <w:t>21.01</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gridSpan w:val="2"/>
          </w:tcPr>
          <w:p>
            <w:pPr>
              <w:jc w:val="right"/>
              <w:ind w:right="20"/>
              <w:spacing w:after="0"/>
              <w:rPr>
                <w:sz w:val="20"/>
                <w:szCs w:val="20"/>
                <w:color w:val="auto"/>
              </w:rPr>
            </w:pPr>
            <w:r>
              <w:rPr>
                <w:rFonts w:ascii="Arial" w:cs="Arial" w:eastAsia="Arial" w:hAnsi="Arial"/>
                <w:sz w:val="13"/>
                <w:szCs w:val="13"/>
                <w:color w:val="auto"/>
              </w:rPr>
              <w:t>18.24</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15.84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1080" w:right="4100" w:hanging="339"/>
        <w:spacing w:after="0" w:line="418" w:lineRule="auto"/>
        <w:tabs>
          <w:tab w:leader="none" w:pos="986" w:val="left"/>
        </w:tabs>
        <w:numPr>
          <w:ilvl w:val="1"/>
          <w:numId w:val="10"/>
        </w:numPr>
        <w:rPr>
          <w:rFonts w:ascii="Arial" w:cs="Arial" w:eastAsia="Arial" w:hAnsi="Arial"/>
          <w:sz w:val="13"/>
          <w:szCs w:val="13"/>
          <w:color w:val="auto"/>
        </w:rPr>
      </w:pPr>
      <w:r>
        <w:rPr>
          <w:rFonts w:ascii="Arial" w:cs="Arial" w:eastAsia="Arial" w:hAnsi="Arial"/>
          <w:sz w:val="13"/>
          <w:szCs w:val="13"/>
          <w:color w:val="auto"/>
        </w:rPr>
        <w:t>Adjusted for a two-for-one stock split in the form of a 100% stock dividend, effective December 31, 2004. There is no trading market for the Company’s Class B Voting Common Stock.</w:t>
      </w:r>
    </w:p>
    <w:p>
      <w:pPr>
        <w:spacing w:after="0" w:line="49" w:lineRule="exact"/>
        <w:rPr>
          <w:rFonts w:ascii="Arial" w:cs="Arial" w:eastAsia="Arial" w:hAnsi="Arial"/>
          <w:sz w:val="13"/>
          <w:szCs w:val="13"/>
          <w:color w:val="auto"/>
        </w:rPr>
      </w:pPr>
    </w:p>
    <w:p>
      <w:pPr>
        <w:ind w:left="1000" w:hanging="313"/>
        <w:spacing w:after="0"/>
        <w:tabs>
          <w:tab w:leader="none" w:pos="1000" w:val="left"/>
        </w:tabs>
        <w:numPr>
          <w:ilvl w:val="0"/>
          <w:numId w:val="11"/>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Holders</w:t>
      </w:r>
    </w:p>
    <w:p>
      <w:pPr>
        <w:spacing w:after="0" w:line="96"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As of September 29, 2006, there were 697 Class A Common Stock shareholders of record and approximately 4,000 beneficial shareholders. There are 3 Class B Common Stock shareholders.</w:t>
      </w:r>
    </w:p>
    <w:p>
      <w:pPr>
        <w:spacing w:after="0" w:line="138" w:lineRule="exact"/>
        <w:rPr>
          <w:sz w:val="20"/>
          <w:szCs w:val="20"/>
          <w:color w:val="auto"/>
        </w:rPr>
      </w:pPr>
    </w:p>
    <w:p>
      <w:pPr>
        <w:ind w:left="1000" w:hanging="313"/>
        <w:spacing w:after="0"/>
        <w:tabs>
          <w:tab w:leader="none" w:pos="1000" w:val="left"/>
        </w:tabs>
        <w:numPr>
          <w:ilvl w:val="0"/>
          <w:numId w:val="12"/>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Issuer Purchases of Equity Securities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did not repurchase any of its equity securities in the fourth quarter of fiscal 2006.</w:t>
      </w:r>
    </w:p>
    <w:p>
      <w:pPr>
        <w:spacing w:after="0" w:line="175" w:lineRule="exact"/>
        <w:rPr>
          <w:sz w:val="20"/>
          <w:szCs w:val="20"/>
          <w:color w:val="auto"/>
        </w:rPr>
      </w:pPr>
    </w:p>
    <w:p>
      <w:pPr>
        <w:ind w:left="1000" w:hanging="313"/>
        <w:spacing w:after="0"/>
        <w:tabs>
          <w:tab w:leader="none" w:pos="1000" w:val="left"/>
        </w:tabs>
        <w:numPr>
          <w:ilvl w:val="0"/>
          <w:numId w:val="13"/>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Dividends</w:t>
      </w:r>
    </w:p>
    <w:p>
      <w:pPr>
        <w:spacing w:after="0" w:line="96" w:lineRule="exact"/>
        <w:rPr>
          <w:sz w:val="20"/>
          <w:szCs w:val="20"/>
          <w:color w:val="auto"/>
        </w:rPr>
      </w:pPr>
    </w:p>
    <w:p>
      <w:pPr>
        <w:ind w:left="680" w:right="140" w:firstLine="399"/>
        <w:spacing w:after="0" w:line="257" w:lineRule="auto"/>
        <w:rPr>
          <w:sz w:val="20"/>
          <w:szCs w:val="20"/>
          <w:color w:val="auto"/>
        </w:rPr>
      </w:pPr>
      <w:r>
        <w:rPr>
          <w:rFonts w:ascii="Arial" w:cs="Arial" w:eastAsia="Arial" w:hAnsi="Arial"/>
          <w:sz w:val="13"/>
          <w:szCs w:val="13"/>
          <w:color w:val="auto"/>
        </w:rPr>
        <w:t>The Company has followed a practice of paying quarterly dividends on outstanding common stock. Before any dividend may be paid on the Class B Common Stock, holders of the Class A Common Stock are entitled to receive an annual, noncumulative cash dividend of $0.01665 per share (subject to adjustment in the event of future stock splits, stock dividends or similar events involving shares of Class A Common Stock). Thereafter, any further dividend in that fiscal year must be paid on all shares of Class A Common Stock and Class B Common Stock on an equal basis. The Company’s revolving credit agreement restricts the amount of certain types of payments, including dividends, which can be made annually to $50 million plus 75% of the consolidated net income for the prior fiscal year. The Company believes that based on its historic dividend practice, this restriction will not impede it in following a similar dividend practice in the future.</w:t>
      </w:r>
    </w:p>
    <w:p>
      <w:pPr>
        <w:spacing w:after="0" w:line="72"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During the two most recent fiscal years and for the first quarter of fiscal 2007, the Company declared the following dividends per share on its Class A and Class B Common Stock for the years ended July 31:</w:t>
      </w:r>
    </w:p>
    <w:p>
      <w:pPr>
        <w:spacing w:after="0" w:line="60"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1700" w:type="dxa"/>
            <w:vAlign w:val="bottom"/>
          </w:tcPr>
          <w:p>
            <w:pPr>
              <w:spacing w:after="0"/>
              <w:rPr>
                <w:sz w:val="8"/>
                <w:szCs w:val="8"/>
                <w:color w:val="auto"/>
              </w:rPr>
            </w:pPr>
          </w:p>
        </w:tc>
        <w:tc>
          <w:tcPr>
            <w:tcW w:w="2080" w:type="dxa"/>
            <w:vAlign w:val="bottom"/>
          </w:tcPr>
          <w:p>
            <w:pPr>
              <w:jc w:val="center"/>
              <w:ind w:left="888"/>
              <w:spacing w:after="0"/>
              <w:rPr>
                <w:sz w:val="20"/>
                <w:szCs w:val="20"/>
                <w:color w:val="auto"/>
              </w:rPr>
            </w:pPr>
            <w:r>
              <w:rPr>
                <w:rFonts w:ascii="Arial" w:cs="Arial" w:eastAsia="Arial" w:hAnsi="Arial"/>
                <w:sz w:val="9"/>
                <w:szCs w:val="9"/>
                <w:b w:val="1"/>
                <w:bCs w:val="1"/>
                <w:color w:val="auto"/>
                <w:w w:val="91"/>
              </w:rPr>
              <w:t>Year</w:t>
            </w: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700" w:type="dxa"/>
            <w:vAlign w:val="bottom"/>
          </w:tcPr>
          <w:p>
            <w:pPr>
              <w:spacing w:after="0"/>
              <w:rPr>
                <w:sz w:val="9"/>
                <w:szCs w:val="9"/>
                <w:color w:val="auto"/>
              </w:rPr>
            </w:pPr>
          </w:p>
        </w:tc>
        <w:tc>
          <w:tcPr>
            <w:tcW w:w="2080" w:type="dxa"/>
            <w:vAlign w:val="bottom"/>
          </w:tcPr>
          <w:p>
            <w:pPr>
              <w:jc w:val="center"/>
              <w:ind w:left="888"/>
              <w:spacing w:after="0"/>
              <w:rPr>
                <w:sz w:val="20"/>
                <w:szCs w:val="20"/>
                <w:color w:val="auto"/>
              </w:rPr>
            </w:pPr>
            <w:r>
              <w:rPr>
                <w:rFonts w:ascii="Arial" w:cs="Arial" w:eastAsia="Arial" w:hAnsi="Arial"/>
                <w:sz w:val="9"/>
                <w:szCs w:val="9"/>
                <w:b w:val="1"/>
                <w:bCs w:val="1"/>
                <w:color w:val="auto"/>
                <w:w w:val="98"/>
              </w:rPr>
              <w:t>Ending</w:t>
            </w: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9"/>
                <w:szCs w:val="9"/>
                <w:b w:val="1"/>
                <w:bCs w:val="1"/>
                <w:color w:val="auto"/>
                <w:w w:val="89"/>
              </w:rPr>
              <w:t>2006</w:t>
            </w: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9"/>
                <w:szCs w:val="9"/>
                <w:b w:val="1"/>
                <w:bCs w:val="1"/>
                <w:color w:val="auto"/>
                <w:w w:val="89"/>
              </w:rPr>
              <w:t>2005</w:t>
            </w: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700" w:type="dxa"/>
            <w:vAlign w:val="bottom"/>
          </w:tcPr>
          <w:p>
            <w:pPr>
              <w:spacing w:after="0"/>
              <w:rPr>
                <w:sz w:val="8"/>
                <w:szCs w:val="8"/>
                <w:color w:val="auto"/>
              </w:rPr>
            </w:pPr>
          </w:p>
        </w:tc>
        <w:tc>
          <w:tcPr>
            <w:tcW w:w="2080" w:type="dxa"/>
            <w:vAlign w:val="bottom"/>
          </w:tcPr>
          <w:p>
            <w:pPr>
              <w:jc w:val="center"/>
              <w:ind w:left="888"/>
              <w:spacing w:after="0" w:line="102" w:lineRule="exact"/>
              <w:rPr>
                <w:sz w:val="20"/>
                <w:szCs w:val="20"/>
                <w:color w:val="auto"/>
              </w:rPr>
            </w:pPr>
            <w:r>
              <w:rPr>
                <w:rFonts w:ascii="Arial" w:cs="Arial" w:eastAsia="Arial" w:hAnsi="Arial"/>
                <w:sz w:val="9"/>
                <w:szCs w:val="9"/>
                <w:b w:val="1"/>
                <w:bCs w:val="1"/>
                <w:color w:val="auto"/>
                <w:w w:val="89"/>
              </w:rPr>
              <w:t>2007</w:t>
            </w:r>
          </w:p>
        </w:tc>
        <w:tc>
          <w:tcPr>
            <w:tcW w:w="6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gridSpan w:val="2"/>
            <w:vMerge w:val="continue"/>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2"/>
            <w:vMerge w:val="continue"/>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700" w:type="dxa"/>
            <w:vAlign w:val="bottom"/>
          </w:tcPr>
          <w:p>
            <w:pPr>
              <w:spacing w:after="0"/>
              <w:rPr>
                <w:sz w:val="8"/>
                <w:szCs w:val="8"/>
                <w:color w:val="auto"/>
              </w:rPr>
            </w:pPr>
          </w:p>
        </w:tc>
        <w:tc>
          <w:tcPr>
            <w:tcW w:w="2080" w:type="dxa"/>
            <w:vAlign w:val="bottom"/>
          </w:tcPr>
          <w:p>
            <w:pPr>
              <w:jc w:val="right"/>
              <w:ind w:right="248"/>
              <w:spacing w:after="0" w:line="98" w:lineRule="exact"/>
              <w:rPr>
                <w:sz w:val="20"/>
                <w:szCs w:val="20"/>
                <w:color w:val="auto"/>
              </w:rPr>
            </w:pPr>
            <w:r>
              <w:rPr>
                <w:rFonts w:ascii="Arial" w:cs="Arial" w:eastAsia="Arial" w:hAnsi="Arial"/>
                <w:sz w:val="9"/>
                <w:szCs w:val="9"/>
                <w:b w:val="1"/>
                <w:bCs w:val="1"/>
                <w:color w:val="auto"/>
              </w:rPr>
              <w:t>1st Qtr</w:t>
            </w:r>
          </w:p>
        </w:tc>
        <w:tc>
          <w:tcPr>
            <w:tcW w:w="640" w:type="dxa"/>
            <w:vAlign w:val="bottom"/>
            <w:tcBorders>
              <w:bottom w:val="single" w:sz="8" w:color="auto"/>
            </w:tcBorders>
          </w:tcPr>
          <w:p>
            <w:pPr>
              <w:jc w:val="right"/>
              <w:ind w:right="121"/>
              <w:spacing w:after="0" w:line="98" w:lineRule="exact"/>
              <w:rPr>
                <w:sz w:val="20"/>
                <w:szCs w:val="20"/>
                <w:color w:val="auto"/>
              </w:rPr>
            </w:pPr>
            <w:r>
              <w:rPr>
                <w:rFonts w:ascii="Arial" w:cs="Arial" w:eastAsia="Arial" w:hAnsi="Arial"/>
                <w:sz w:val="9"/>
                <w:szCs w:val="9"/>
                <w:b w:val="1"/>
                <w:bCs w:val="1"/>
                <w:color w:val="auto"/>
              </w:rPr>
              <w:t>1st Qtr</w:t>
            </w:r>
          </w:p>
        </w:tc>
        <w:tc>
          <w:tcPr>
            <w:tcW w:w="240" w:type="dxa"/>
            <w:vAlign w:val="bottom"/>
          </w:tcPr>
          <w:p>
            <w:pPr>
              <w:spacing w:after="0"/>
              <w:rPr>
                <w:sz w:val="8"/>
                <w:szCs w:val="8"/>
                <w:color w:val="auto"/>
              </w:rPr>
            </w:pPr>
          </w:p>
        </w:tc>
        <w:tc>
          <w:tcPr>
            <w:tcW w:w="48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9"/>
                <w:szCs w:val="9"/>
                <w:b w:val="1"/>
                <w:bCs w:val="1"/>
                <w:color w:val="auto"/>
              </w:rPr>
              <w:t>2nd Qtr</w:t>
            </w:r>
          </w:p>
        </w:tc>
        <w:tc>
          <w:tcPr>
            <w:tcW w:w="1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Borders>
              <w:bottom w:val="single" w:sz="8" w:color="auto"/>
            </w:tcBorders>
          </w:tcPr>
          <w:p>
            <w:pPr>
              <w:jc w:val="right"/>
              <w:ind w:right="94"/>
              <w:spacing w:after="0" w:line="98" w:lineRule="exact"/>
              <w:rPr>
                <w:sz w:val="20"/>
                <w:szCs w:val="20"/>
                <w:color w:val="auto"/>
              </w:rPr>
            </w:pPr>
            <w:r>
              <w:rPr>
                <w:rFonts w:ascii="Arial" w:cs="Arial" w:eastAsia="Arial" w:hAnsi="Arial"/>
                <w:sz w:val="9"/>
                <w:szCs w:val="9"/>
                <w:b w:val="1"/>
                <w:bCs w:val="1"/>
                <w:color w:val="auto"/>
              </w:rPr>
              <w:t>3rd Qtr</w:t>
            </w:r>
          </w:p>
        </w:tc>
        <w:tc>
          <w:tcPr>
            <w:tcW w:w="260" w:type="dxa"/>
            <w:vAlign w:val="bottom"/>
          </w:tcPr>
          <w:p>
            <w:pPr>
              <w:spacing w:after="0"/>
              <w:rPr>
                <w:sz w:val="8"/>
                <w:szCs w:val="8"/>
                <w:color w:val="auto"/>
              </w:rPr>
            </w:pPr>
          </w:p>
        </w:tc>
        <w:tc>
          <w:tcPr>
            <w:tcW w:w="420" w:type="dxa"/>
            <w:vAlign w:val="bottom"/>
            <w:tcBorders>
              <w:bottom w:val="single" w:sz="8" w:color="auto"/>
            </w:tcBorders>
          </w:tcPr>
          <w:p>
            <w:pPr>
              <w:jc w:val="right"/>
              <w:ind w:right="14"/>
              <w:spacing w:after="0" w:line="98" w:lineRule="exact"/>
              <w:rPr>
                <w:sz w:val="20"/>
                <w:szCs w:val="20"/>
                <w:color w:val="auto"/>
              </w:rPr>
            </w:pPr>
            <w:r>
              <w:rPr>
                <w:rFonts w:ascii="Arial" w:cs="Arial" w:eastAsia="Arial" w:hAnsi="Arial"/>
                <w:sz w:val="9"/>
                <w:szCs w:val="9"/>
                <w:b w:val="1"/>
                <w:bCs w:val="1"/>
                <w:color w:val="auto"/>
              </w:rPr>
              <w:t>4th Qtr</w:t>
            </w:r>
          </w:p>
        </w:tc>
        <w:tc>
          <w:tcPr>
            <w:tcW w:w="260" w:type="dxa"/>
            <w:vAlign w:val="bottom"/>
          </w:tcPr>
          <w:p>
            <w:pPr>
              <w:spacing w:after="0"/>
              <w:rPr>
                <w:sz w:val="8"/>
                <w:szCs w:val="8"/>
                <w:color w:val="auto"/>
              </w:rPr>
            </w:pPr>
          </w:p>
        </w:tc>
        <w:tc>
          <w:tcPr>
            <w:tcW w:w="640" w:type="dxa"/>
            <w:vAlign w:val="bottom"/>
            <w:tcBorders>
              <w:bottom w:val="single" w:sz="8" w:color="auto"/>
            </w:tcBorders>
          </w:tcPr>
          <w:p>
            <w:pPr>
              <w:jc w:val="right"/>
              <w:ind w:right="134"/>
              <w:spacing w:after="0" w:line="98" w:lineRule="exact"/>
              <w:rPr>
                <w:sz w:val="20"/>
                <w:szCs w:val="20"/>
                <w:color w:val="auto"/>
              </w:rPr>
            </w:pPr>
            <w:r>
              <w:rPr>
                <w:rFonts w:ascii="Arial" w:cs="Arial" w:eastAsia="Arial" w:hAnsi="Arial"/>
                <w:sz w:val="9"/>
                <w:szCs w:val="9"/>
                <w:b w:val="1"/>
                <w:bCs w:val="1"/>
                <w:color w:val="auto"/>
              </w:rPr>
              <w:t>1st Qtr</w:t>
            </w:r>
          </w:p>
        </w:tc>
        <w:tc>
          <w:tcPr>
            <w:tcW w:w="260" w:type="dxa"/>
            <w:vAlign w:val="bottom"/>
          </w:tcPr>
          <w:p>
            <w:pPr>
              <w:spacing w:after="0"/>
              <w:rPr>
                <w:sz w:val="8"/>
                <w:szCs w:val="8"/>
                <w:color w:val="auto"/>
              </w:rPr>
            </w:pPr>
          </w:p>
        </w:tc>
        <w:tc>
          <w:tcPr>
            <w:tcW w:w="48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9"/>
                <w:szCs w:val="9"/>
                <w:b w:val="1"/>
                <w:bCs w:val="1"/>
                <w:color w:val="auto"/>
              </w:rPr>
              <w:t>2nd Qtr</w:t>
            </w:r>
          </w:p>
        </w:tc>
        <w:tc>
          <w:tcPr>
            <w:tcW w:w="1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auto"/>
            </w:tcBorders>
          </w:tcPr>
          <w:p>
            <w:pPr>
              <w:jc w:val="right"/>
              <w:ind w:right="94"/>
              <w:spacing w:after="0" w:line="98" w:lineRule="exact"/>
              <w:rPr>
                <w:sz w:val="20"/>
                <w:szCs w:val="20"/>
                <w:color w:val="auto"/>
              </w:rPr>
            </w:pPr>
            <w:r>
              <w:rPr>
                <w:rFonts w:ascii="Arial" w:cs="Arial" w:eastAsia="Arial" w:hAnsi="Arial"/>
                <w:sz w:val="9"/>
                <w:szCs w:val="9"/>
                <w:b w:val="1"/>
                <w:bCs w:val="1"/>
                <w:color w:val="auto"/>
              </w:rPr>
              <w:t>3rd Qtr</w:t>
            </w:r>
          </w:p>
        </w:tc>
        <w:tc>
          <w:tcPr>
            <w:tcW w:w="260" w:type="dxa"/>
            <w:vAlign w:val="bottom"/>
          </w:tcPr>
          <w:p>
            <w:pPr>
              <w:spacing w:after="0"/>
              <w:rPr>
                <w:sz w:val="8"/>
                <w:szCs w:val="8"/>
                <w:color w:val="auto"/>
              </w:rPr>
            </w:pPr>
          </w:p>
        </w:tc>
        <w:tc>
          <w:tcPr>
            <w:tcW w:w="400" w:type="dxa"/>
            <w:vAlign w:val="bottom"/>
            <w:tcBorders>
              <w:bottom w:val="single" w:sz="8" w:color="auto"/>
            </w:tcBorders>
          </w:tcPr>
          <w:p>
            <w:pPr>
              <w:jc w:val="right"/>
              <w:ind w:right="14"/>
              <w:spacing w:after="0" w:line="98" w:lineRule="exact"/>
              <w:rPr>
                <w:sz w:val="20"/>
                <w:szCs w:val="20"/>
                <w:color w:val="auto"/>
              </w:rPr>
            </w:pPr>
            <w:r>
              <w:rPr>
                <w:rFonts w:ascii="Arial" w:cs="Arial" w:eastAsia="Arial" w:hAnsi="Arial"/>
                <w:sz w:val="9"/>
                <w:szCs w:val="9"/>
                <w:b w:val="1"/>
                <w:bCs w:val="1"/>
                <w:color w:val="auto"/>
              </w:rPr>
              <w:t>4th Qtr</w:t>
            </w:r>
          </w:p>
        </w:tc>
        <w:tc>
          <w:tcPr>
            <w:tcW w:w="0" w:type="dxa"/>
            <w:vAlign w:val="bottom"/>
          </w:tcPr>
          <w:p>
            <w:pPr>
              <w:spacing w:after="0"/>
              <w:rPr>
                <w:sz w:val="1"/>
                <w:szCs w:val="1"/>
                <w:color w:val="auto"/>
              </w:rPr>
            </w:pPr>
          </w:p>
        </w:tc>
      </w:tr>
      <w:tr>
        <w:trPr>
          <w:trHeight w:val="178"/>
        </w:trPr>
        <w:tc>
          <w:tcPr>
            <w:tcW w:w="1700" w:type="dxa"/>
            <w:vAlign w:val="bottom"/>
          </w:tcPr>
          <w:p>
            <w:pPr>
              <w:spacing w:after="0"/>
              <w:rPr>
                <w:sz w:val="20"/>
                <w:szCs w:val="20"/>
                <w:color w:val="auto"/>
              </w:rPr>
            </w:pPr>
            <w:r>
              <w:rPr>
                <w:rFonts w:ascii="Arial" w:cs="Arial" w:eastAsia="Arial" w:hAnsi="Arial"/>
                <w:sz w:val="13"/>
                <w:szCs w:val="13"/>
                <w:color w:val="auto"/>
              </w:rPr>
              <w:t>Class A</w:t>
            </w:r>
          </w:p>
        </w:tc>
        <w:tc>
          <w:tcPr>
            <w:tcW w:w="2080" w:type="dxa"/>
            <w:vAlign w:val="bottom"/>
          </w:tcPr>
          <w:p>
            <w:pPr>
              <w:jc w:val="right"/>
              <w:ind w:right="368"/>
              <w:spacing w:after="0"/>
              <w:rPr>
                <w:sz w:val="20"/>
                <w:szCs w:val="20"/>
                <w:color w:val="auto"/>
              </w:rPr>
            </w:pPr>
            <w:r>
              <w:rPr>
                <w:rFonts w:ascii="Arial" w:cs="Arial" w:eastAsia="Arial" w:hAnsi="Arial"/>
                <w:sz w:val="13"/>
                <w:szCs w:val="13"/>
                <w:color w:val="auto"/>
              </w:rPr>
              <w:t>$ 0.14</w:t>
            </w:r>
          </w:p>
        </w:tc>
        <w:tc>
          <w:tcPr>
            <w:tcW w:w="640" w:type="dxa"/>
            <w:vAlign w:val="bottom"/>
          </w:tcPr>
          <w:p>
            <w:pPr>
              <w:jc w:val="right"/>
              <w:ind w:right="121"/>
              <w:spacing w:after="0"/>
              <w:rPr>
                <w:sz w:val="20"/>
                <w:szCs w:val="20"/>
                <w:color w:val="auto"/>
              </w:rPr>
            </w:pPr>
            <w:r>
              <w:rPr>
                <w:rFonts w:ascii="Arial" w:cs="Arial" w:eastAsia="Arial" w:hAnsi="Arial"/>
                <w:sz w:val="13"/>
                <w:szCs w:val="13"/>
                <w:color w:val="auto"/>
              </w:rPr>
              <w:t>$ 0.13</w:t>
            </w:r>
          </w:p>
        </w:tc>
        <w:tc>
          <w:tcPr>
            <w:tcW w:w="720" w:type="dxa"/>
            <w:vAlign w:val="bottom"/>
            <w:gridSpan w:val="2"/>
          </w:tcPr>
          <w:p>
            <w:pPr>
              <w:jc w:val="right"/>
              <w:ind w:right="14"/>
              <w:spacing w:after="0"/>
              <w:rPr>
                <w:sz w:val="20"/>
                <w:szCs w:val="20"/>
                <w:color w:val="auto"/>
              </w:rPr>
            </w:pPr>
            <w:r>
              <w:rPr>
                <w:rFonts w:ascii="Arial" w:cs="Arial" w:eastAsia="Arial" w:hAnsi="Arial"/>
                <w:sz w:val="13"/>
                <w:szCs w:val="13"/>
                <w:color w:val="auto"/>
              </w:rPr>
              <w:t>$0.13</w:t>
            </w:r>
          </w:p>
        </w:tc>
        <w:tc>
          <w:tcPr>
            <w:tcW w:w="920" w:type="dxa"/>
            <w:vAlign w:val="bottom"/>
            <w:gridSpan w:val="3"/>
          </w:tcPr>
          <w:p>
            <w:pPr>
              <w:jc w:val="right"/>
              <w:ind w:right="114"/>
              <w:spacing w:after="0"/>
              <w:rPr>
                <w:sz w:val="20"/>
                <w:szCs w:val="20"/>
                <w:color w:val="auto"/>
              </w:rPr>
            </w:pPr>
            <w:r>
              <w:rPr>
                <w:rFonts w:ascii="Arial" w:cs="Arial" w:eastAsia="Arial" w:hAnsi="Arial"/>
                <w:sz w:val="13"/>
                <w:szCs w:val="13"/>
                <w:color w:val="auto"/>
              </w:rPr>
              <w:t>$0.13</w:t>
            </w:r>
          </w:p>
        </w:tc>
        <w:tc>
          <w:tcPr>
            <w:tcW w:w="680" w:type="dxa"/>
            <w:vAlign w:val="bottom"/>
            <w:gridSpan w:val="2"/>
          </w:tcPr>
          <w:p>
            <w:pPr>
              <w:jc w:val="right"/>
              <w:ind w:right="34"/>
              <w:spacing w:after="0"/>
              <w:rPr>
                <w:sz w:val="20"/>
                <w:szCs w:val="20"/>
                <w:color w:val="auto"/>
              </w:rPr>
            </w:pPr>
            <w:r>
              <w:rPr>
                <w:rFonts w:ascii="Arial" w:cs="Arial" w:eastAsia="Arial" w:hAnsi="Arial"/>
                <w:sz w:val="13"/>
                <w:szCs w:val="13"/>
                <w:color w:val="auto"/>
              </w:rPr>
              <w:t>$0.13</w:t>
            </w:r>
          </w:p>
        </w:tc>
        <w:tc>
          <w:tcPr>
            <w:tcW w:w="900" w:type="dxa"/>
            <w:vAlign w:val="bottom"/>
            <w:gridSpan w:val="2"/>
          </w:tcPr>
          <w:p>
            <w:pPr>
              <w:jc w:val="right"/>
              <w:ind w:right="134"/>
              <w:spacing w:after="0"/>
              <w:rPr>
                <w:sz w:val="20"/>
                <w:szCs w:val="20"/>
                <w:color w:val="auto"/>
              </w:rPr>
            </w:pPr>
            <w:r>
              <w:rPr>
                <w:rFonts w:ascii="Arial" w:cs="Arial" w:eastAsia="Arial" w:hAnsi="Arial"/>
                <w:sz w:val="13"/>
                <w:szCs w:val="13"/>
                <w:color w:val="auto"/>
              </w:rPr>
              <w:t>$ 0.11</w:t>
            </w:r>
          </w:p>
        </w:tc>
        <w:tc>
          <w:tcPr>
            <w:tcW w:w="740" w:type="dxa"/>
            <w:vAlign w:val="bottom"/>
            <w:gridSpan w:val="2"/>
          </w:tcPr>
          <w:p>
            <w:pPr>
              <w:jc w:val="right"/>
              <w:ind w:right="34"/>
              <w:spacing w:after="0"/>
              <w:rPr>
                <w:sz w:val="20"/>
                <w:szCs w:val="20"/>
                <w:color w:val="auto"/>
              </w:rPr>
            </w:pPr>
            <w:r>
              <w:rPr>
                <w:rFonts w:ascii="Arial" w:cs="Arial" w:eastAsia="Arial" w:hAnsi="Arial"/>
                <w:sz w:val="13"/>
                <w:szCs w:val="13"/>
                <w:color w:val="auto"/>
              </w:rPr>
              <w:t>$0.11</w:t>
            </w:r>
          </w:p>
        </w:tc>
        <w:tc>
          <w:tcPr>
            <w:tcW w:w="940" w:type="dxa"/>
            <w:vAlign w:val="bottom"/>
            <w:gridSpan w:val="3"/>
          </w:tcPr>
          <w:p>
            <w:pPr>
              <w:jc w:val="right"/>
              <w:ind w:right="134"/>
              <w:spacing w:after="0"/>
              <w:rPr>
                <w:sz w:val="20"/>
                <w:szCs w:val="20"/>
                <w:color w:val="auto"/>
              </w:rPr>
            </w:pPr>
            <w:r>
              <w:rPr>
                <w:rFonts w:ascii="Arial" w:cs="Arial" w:eastAsia="Arial" w:hAnsi="Arial"/>
                <w:sz w:val="13"/>
                <w:szCs w:val="13"/>
                <w:color w:val="auto"/>
              </w:rPr>
              <w:t>$0.11</w:t>
            </w:r>
          </w:p>
        </w:tc>
        <w:tc>
          <w:tcPr>
            <w:tcW w:w="660" w:type="dxa"/>
            <w:vAlign w:val="bottom"/>
            <w:gridSpan w:val="2"/>
          </w:tcPr>
          <w:p>
            <w:pPr>
              <w:jc w:val="right"/>
              <w:ind w:right="34"/>
              <w:spacing w:after="0"/>
              <w:rPr>
                <w:sz w:val="20"/>
                <w:szCs w:val="20"/>
                <w:color w:val="auto"/>
              </w:rPr>
            </w:pPr>
            <w:r>
              <w:rPr>
                <w:rFonts w:ascii="Arial" w:cs="Arial" w:eastAsia="Arial" w:hAnsi="Arial"/>
                <w:sz w:val="13"/>
                <w:szCs w:val="13"/>
                <w:color w:val="auto"/>
              </w:rPr>
              <w:t>$0.11</w:t>
            </w:r>
          </w:p>
        </w:tc>
        <w:tc>
          <w:tcPr>
            <w:tcW w:w="0" w:type="dxa"/>
            <w:vAlign w:val="bottom"/>
          </w:tcPr>
          <w:p>
            <w:pPr>
              <w:spacing w:after="0"/>
              <w:rPr>
                <w:sz w:val="1"/>
                <w:szCs w:val="1"/>
                <w:color w:val="auto"/>
              </w:rPr>
            </w:pPr>
          </w:p>
        </w:tc>
      </w:tr>
      <w:tr>
        <w:trPr>
          <w:trHeight w:val="165"/>
        </w:trPr>
        <w:tc>
          <w:tcPr>
            <w:tcW w:w="1700" w:type="dxa"/>
            <w:vAlign w:val="bottom"/>
          </w:tcPr>
          <w:p>
            <w:pPr>
              <w:spacing w:after="0"/>
              <w:rPr>
                <w:sz w:val="20"/>
                <w:szCs w:val="20"/>
                <w:color w:val="auto"/>
              </w:rPr>
            </w:pPr>
            <w:r>
              <w:rPr>
                <w:rFonts w:ascii="Arial" w:cs="Arial" w:eastAsia="Arial" w:hAnsi="Arial"/>
                <w:sz w:val="13"/>
                <w:szCs w:val="13"/>
                <w:color w:val="auto"/>
              </w:rPr>
              <w:t>Class B</w:t>
            </w:r>
          </w:p>
        </w:tc>
        <w:tc>
          <w:tcPr>
            <w:tcW w:w="2080" w:type="dxa"/>
            <w:vAlign w:val="bottom"/>
          </w:tcPr>
          <w:p>
            <w:pPr>
              <w:jc w:val="right"/>
              <w:ind w:right="368"/>
              <w:spacing w:after="0"/>
              <w:rPr>
                <w:sz w:val="20"/>
                <w:szCs w:val="20"/>
                <w:color w:val="auto"/>
              </w:rPr>
            </w:pPr>
            <w:r>
              <w:rPr>
                <w:rFonts w:ascii="Arial" w:cs="Arial" w:eastAsia="Arial" w:hAnsi="Arial"/>
                <w:sz w:val="13"/>
                <w:szCs w:val="13"/>
                <w:color w:val="auto"/>
              </w:rPr>
              <w:t>0.123</w:t>
            </w:r>
          </w:p>
        </w:tc>
        <w:tc>
          <w:tcPr>
            <w:tcW w:w="640" w:type="dxa"/>
            <w:vAlign w:val="bottom"/>
          </w:tcPr>
          <w:p>
            <w:pPr>
              <w:jc w:val="right"/>
              <w:ind w:right="121"/>
              <w:spacing w:after="0"/>
              <w:rPr>
                <w:sz w:val="20"/>
                <w:szCs w:val="20"/>
                <w:color w:val="auto"/>
              </w:rPr>
            </w:pPr>
            <w:r>
              <w:rPr>
                <w:rFonts w:ascii="Arial" w:cs="Arial" w:eastAsia="Arial" w:hAnsi="Arial"/>
                <w:sz w:val="13"/>
                <w:szCs w:val="13"/>
                <w:color w:val="auto"/>
              </w:rPr>
              <w:t>0.113</w:t>
            </w:r>
          </w:p>
        </w:tc>
        <w:tc>
          <w:tcPr>
            <w:tcW w:w="720" w:type="dxa"/>
            <w:vAlign w:val="bottom"/>
            <w:gridSpan w:val="2"/>
          </w:tcPr>
          <w:p>
            <w:pPr>
              <w:jc w:val="right"/>
              <w:ind w:right="14"/>
              <w:spacing w:after="0"/>
              <w:rPr>
                <w:sz w:val="20"/>
                <w:szCs w:val="20"/>
                <w:color w:val="auto"/>
              </w:rPr>
            </w:pPr>
            <w:r>
              <w:rPr>
                <w:rFonts w:ascii="Arial" w:cs="Arial" w:eastAsia="Arial" w:hAnsi="Arial"/>
                <w:sz w:val="13"/>
                <w:szCs w:val="13"/>
                <w:color w:val="auto"/>
              </w:rPr>
              <w:t>0.13</w:t>
            </w:r>
          </w:p>
        </w:tc>
        <w:tc>
          <w:tcPr>
            <w:tcW w:w="920" w:type="dxa"/>
            <w:vAlign w:val="bottom"/>
            <w:gridSpan w:val="3"/>
          </w:tcPr>
          <w:p>
            <w:pPr>
              <w:jc w:val="right"/>
              <w:ind w:right="114"/>
              <w:spacing w:after="0"/>
              <w:rPr>
                <w:sz w:val="20"/>
                <w:szCs w:val="20"/>
                <w:color w:val="auto"/>
              </w:rPr>
            </w:pPr>
            <w:r>
              <w:rPr>
                <w:rFonts w:ascii="Arial" w:cs="Arial" w:eastAsia="Arial" w:hAnsi="Arial"/>
                <w:sz w:val="13"/>
                <w:szCs w:val="13"/>
                <w:color w:val="auto"/>
              </w:rPr>
              <w:t>0.13</w:t>
            </w:r>
          </w:p>
        </w:tc>
        <w:tc>
          <w:tcPr>
            <w:tcW w:w="680" w:type="dxa"/>
            <w:vAlign w:val="bottom"/>
            <w:gridSpan w:val="2"/>
          </w:tcPr>
          <w:p>
            <w:pPr>
              <w:jc w:val="right"/>
              <w:ind w:right="34"/>
              <w:spacing w:after="0"/>
              <w:rPr>
                <w:sz w:val="20"/>
                <w:szCs w:val="20"/>
                <w:color w:val="auto"/>
              </w:rPr>
            </w:pPr>
            <w:r>
              <w:rPr>
                <w:rFonts w:ascii="Arial" w:cs="Arial" w:eastAsia="Arial" w:hAnsi="Arial"/>
                <w:sz w:val="13"/>
                <w:szCs w:val="13"/>
                <w:color w:val="auto"/>
              </w:rPr>
              <w:t>0.13</w:t>
            </w:r>
          </w:p>
        </w:tc>
        <w:tc>
          <w:tcPr>
            <w:tcW w:w="900" w:type="dxa"/>
            <w:vAlign w:val="bottom"/>
            <w:gridSpan w:val="2"/>
          </w:tcPr>
          <w:p>
            <w:pPr>
              <w:jc w:val="right"/>
              <w:ind w:right="134"/>
              <w:spacing w:after="0"/>
              <w:rPr>
                <w:sz w:val="20"/>
                <w:szCs w:val="20"/>
                <w:color w:val="auto"/>
              </w:rPr>
            </w:pPr>
            <w:r>
              <w:rPr>
                <w:rFonts w:ascii="Arial" w:cs="Arial" w:eastAsia="Arial" w:hAnsi="Arial"/>
                <w:sz w:val="13"/>
                <w:szCs w:val="13"/>
                <w:color w:val="auto"/>
              </w:rPr>
              <w:t>0.093</w:t>
            </w:r>
          </w:p>
        </w:tc>
        <w:tc>
          <w:tcPr>
            <w:tcW w:w="740" w:type="dxa"/>
            <w:vAlign w:val="bottom"/>
            <w:gridSpan w:val="2"/>
          </w:tcPr>
          <w:p>
            <w:pPr>
              <w:jc w:val="right"/>
              <w:ind w:right="34"/>
              <w:spacing w:after="0"/>
              <w:rPr>
                <w:sz w:val="20"/>
                <w:szCs w:val="20"/>
                <w:color w:val="auto"/>
              </w:rPr>
            </w:pPr>
            <w:r>
              <w:rPr>
                <w:rFonts w:ascii="Arial" w:cs="Arial" w:eastAsia="Arial" w:hAnsi="Arial"/>
                <w:sz w:val="13"/>
                <w:szCs w:val="13"/>
                <w:color w:val="auto"/>
              </w:rPr>
              <w:t>0.11</w:t>
            </w:r>
          </w:p>
        </w:tc>
        <w:tc>
          <w:tcPr>
            <w:tcW w:w="940" w:type="dxa"/>
            <w:vAlign w:val="bottom"/>
            <w:gridSpan w:val="3"/>
          </w:tcPr>
          <w:p>
            <w:pPr>
              <w:jc w:val="right"/>
              <w:ind w:right="134"/>
              <w:spacing w:after="0"/>
              <w:rPr>
                <w:sz w:val="20"/>
                <w:szCs w:val="20"/>
                <w:color w:val="auto"/>
              </w:rPr>
            </w:pPr>
            <w:r>
              <w:rPr>
                <w:rFonts w:ascii="Arial" w:cs="Arial" w:eastAsia="Arial" w:hAnsi="Arial"/>
                <w:sz w:val="13"/>
                <w:szCs w:val="13"/>
                <w:color w:val="auto"/>
              </w:rPr>
              <w:t>0.11</w:t>
            </w:r>
          </w:p>
        </w:tc>
        <w:tc>
          <w:tcPr>
            <w:tcW w:w="660" w:type="dxa"/>
            <w:vAlign w:val="bottom"/>
            <w:gridSpan w:val="2"/>
          </w:tcPr>
          <w:p>
            <w:pPr>
              <w:jc w:val="right"/>
              <w:ind w:right="34"/>
              <w:spacing w:after="0"/>
              <w:rPr>
                <w:sz w:val="20"/>
                <w:szCs w:val="20"/>
                <w:color w:val="auto"/>
              </w:rPr>
            </w:pPr>
            <w:r>
              <w:rPr>
                <w:rFonts w:ascii="Arial" w:cs="Arial" w:eastAsia="Arial" w:hAnsi="Arial"/>
                <w:sz w:val="13"/>
                <w:szCs w:val="13"/>
                <w:color w:val="auto"/>
              </w:rPr>
              <w:t>0.11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2464435</wp:posOffset>
            </wp:positionH>
            <wp:positionV relativeFrom="paragraph">
              <wp:posOffset>-229235</wp:posOffset>
            </wp:positionV>
            <wp:extent cx="6350"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6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Dividends in the above table have been adjusted for a two-for-one stock split in the form of a 100% stock dividend, effective December 31, 2004.</w:t>
      </w:r>
    </w:p>
    <w:p>
      <w:pPr>
        <w:spacing w:after="0" w:line="29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800" w:type="dxa"/>
            <w:vAlign w:val="bottom"/>
          </w:tcPr>
          <w:p>
            <w:pPr>
              <w:spacing w:after="0"/>
              <w:rPr>
                <w:sz w:val="20"/>
                <w:szCs w:val="20"/>
                <w:color w:val="auto"/>
              </w:rPr>
            </w:pPr>
            <w:r>
              <w:rPr>
                <w:rFonts w:ascii="Arial" w:cs="Arial" w:eastAsia="Arial" w:hAnsi="Arial"/>
                <w:sz w:val="13"/>
                <w:szCs w:val="13"/>
                <w:b w:val="1"/>
                <w:bCs w:val="1"/>
                <w:color w:val="auto"/>
              </w:rPr>
              <w:t>Item 6.</w:t>
            </w:r>
          </w:p>
        </w:tc>
        <w:tc>
          <w:tcPr>
            <w:tcW w:w="240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Selected Financial Data</w:t>
            </w: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3"/>
        </w:trPr>
        <w:tc>
          <w:tcPr>
            <w:tcW w:w="800" w:type="dxa"/>
            <w:vAlign w:val="bottom"/>
          </w:tcPr>
          <w:p>
            <w:pPr>
              <w:spacing w:after="0"/>
              <w:rPr>
                <w:sz w:val="24"/>
                <w:szCs w:val="24"/>
                <w:color w:val="auto"/>
              </w:rPr>
            </w:pPr>
          </w:p>
        </w:tc>
        <w:tc>
          <w:tcPr>
            <w:tcW w:w="7320" w:type="dxa"/>
            <w:vAlign w:val="bottom"/>
            <w:gridSpan w:val="11"/>
          </w:tcPr>
          <w:p>
            <w:pPr>
              <w:jc w:val="right"/>
              <w:ind w:right="588"/>
              <w:spacing w:after="0"/>
              <w:rPr>
                <w:sz w:val="20"/>
                <w:szCs w:val="20"/>
                <w:color w:val="auto"/>
              </w:rPr>
            </w:pPr>
            <w:r>
              <w:rPr>
                <w:rFonts w:ascii="Arial" w:cs="Arial" w:eastAsia="Arial" w:hAnsi="Arial"/>
                <w:sz w:val="13"/>
                <w:szCs w:val="13"/>
                <w:b w:val="1"/>
                <w:bCs w:val="1"/>
                <w:color w:val="auto"/>
              </w:rPr>
              <w:t>CONSOLIDATED STATEMENTS OF INCOME AND SELECTED FINANCIAL DATA</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960" w:type="dxa"/>
            <w:vAlign w:val="bottom"/>
            <w:gridSpan w:val="5"/>
          </w:tcPr>
          <w:p>
            <w:pPr>
              <w:jc w:val="right"/>
              <w:spacing w:after="0"/>
              <w:rPr>
                <w:sz w:val="20"/>
                <w:szCs w:val="20"/>
                <w:color w:val="auto"/>
              </w:rPr>
            </w:pPr>
            <w:r>
              <w:rPr>
                <w:rFonts w:ascii="Arial" w:cs="Arial" w:eastAsia="Arial" w:hAnsi="Arial"/>
                <w:sz w:val="13"/>
                <w:szCs w:val="13"/>
                <w:b w:val="1"/>
                <w:bCs w:val="1"/>
                <w:color w:val="auto"/>
              </w:rPr>
              <w:t>Years Ended July 31, 2002 through 2006</w:t>
            </w: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8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35"/>
              <w:spacing w:after="0"/>
              <w:rPr>
                <w:sz w:val="20"/>
                <w:szCs w:val="20"/>
                <w:color w:val="auto"/>
              </w:rPr>
            </w:pPr>
            <w:r>
              <w:rPr>
                <w:rFonts w:ascii="Arial" w:cs="Arial" w:eastAsia="Arial" w:hAnsi="Arial"/>
                <w:sz w:val="10"/>
                <w:szCs w:val="10"/>
                <w:b w:val="1"/>
                <w:bCs w:val="1"/>
                <w:color w:val="auto"/>
              </w:rPr>
              <w:t>2006</w:t>
            </w:r>
          </w:p>
        </w:tc>
        <w:tc>
          <w:tcPr>
            <w:tcW w:w="4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w w:val="98"/>
              </w:rPr>
              <w:t>2005</w:t>
            </w:r>
          </w:p>
        </w:tc>
        <w:tc>
          <w:tcPr>
            <w:tcW w:w="400" w:type="dxa"/>
            <w:vAlign w:val="bottom"/>
            <w:vMerge w:val="restart"/>
          </w:tcPr>
          <w:p>
            <w:pPr>
              <w:jc w:val="right"/>
              <w:spacing w:after="0"/>
              <w:rPr>
                <w:sz w:val="20"/>
                <w:szCs w:val="20"/>
                <w:color w:val="auto"/>
              </w:rPr>
            </w:pPr>
            <w:r>
              <w:rPr>
                <w:rFonts w:ascii="Arial" w:cs="Arial" w:eastAsia="Arial" w:hAnsi="Arial"/>
                <w:sz w:val="9"/>
                <w:szCs w:val="9"/>
                <w:b w:val="1"/>
                <w:bCs w:val="1"/>
                <w:color w:val="auto"/>
                <w:w w:val="74"/>
              </w:rPr>
              <w:t>thousands,</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2004</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84"/>
              </w:rPr>
              <w:t>amounts)</w:t>
            </w: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2003</w:t>
            </w:r>
          </w:p>
        </w:tc>
        <w:tc>
          <w:tcPr>
            <w:tcW w:w="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8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ind w:right="75"/>
              <w:spacing w:after="0"/>
              <w:rPr>
                <w:sz w:val="20"/>
                <w:szCs w:val="20"/>
                <w:color w:val="auto"/>
              </w:rPr>
            </w:pPr>
            <w:r>
              <w:rPr>
                <w:rFonts w:ascii="Arial" w:cs="Arial" w:eastAsia="Arial" w:hAnsi="Arial"/>
                <w:sz w:val="10"/>
                <w:szCs w:val="10"/>
                <w:b w:val="1"/>
                <w:bCs w:val="1"/>
                <w:color w:val="auto"/>
              </w:rPr>
              <w:t>(In</w:t>
            </w:r>
          </w:p>
        </w:tc>
        <w:tc>
          <w:tcPr>
            <w:tcW w:w="400" w:type="dxa"/>
            <w:vAlign w:val="bottom"/>
            <w:vMerge w:val="continue"/>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0"/>
                <w:szCs w:val="10"/>
                <w:b w:val="1"/>
                <w:bCs w:val="1"/>
                <w:color w:val="auto"/>
                <w:w w:val="82"/>
              </w:rPr>
              <w:t>except per share</w:t>
            </w:r>
          </w:p>
        </w:tc>
        <w:tc>
          <w:tcPr>
            <w:tcW w:w="4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2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Operating Data</w:t>
            </w:r>
          </w:p>
        </w:tc>
        <w:tc>
          <w:tcPr>
            <w:tcW w:w="1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00" w:type="dxa"/>
            <w:vAlign w:val="bottom"/>
          </w:tcPr>
          <w:p>
            <w:pPr>
              <w:spacing w:after="0"/>
              <w:rPr>
                <w:sz w:val="20"/>
                <w:szCs w:val="20"/>
                <w:color w:val="auto"/>
              </w:rPr>
            </w:pPr>
            <w:r>
              <w:rPr>
                <w:rFonts w:ascii="Arial" w:cs="Arial" w:eastAsia="Arial" w:hAnsi="Arial"/>
                <w:sz w:val="13"/>
                <w:szCs w:val="13"/>
                <w:b w:val="1"/>
                <w:bCs w:val="1"/>
                <w:color w:val="auto"/>
              </w:rPr>
              <w:t>Net Sales</w:t>
            </w:r>
          </w:p>
        </w:tc>
        <w:tc>
          <w:tcPr>
            <w:tcW w:w="2400" w:type="dxa"/>
            <w:vAlign w:val="bottom"/>
          </w:tcPr>
          <w:p>
            <w:pPr>
              <w:spacing w:after="0"/>
              <w:rPr>
                <w:sz w:val="13"/>
                <w:szCs w:val="13"/>
                <w:color w:val="auto"/>
              </w:rPr>
            </w:pPr>
          </w:p>
        </w:tc>
        <w:tc>
          <w:tcPr>
            <w:tcW w:w="1680" w:type="dxa"/>
            <w:vAlign w:val="bottom"/>
            <w:gridSpan w:val="2"/>
          </w:tcPr>
          <w:p>
            <w:pPr>
              <w:jc w:val="right"/>
              <w:ind w:right="34"/>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3"/>
                <w:szCs w:val="13"/>
                <w:color w:val="auto"/>
              </w:rPr>
              <w:t>1,018,436</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53"/>
              <w:spacing w:after="0"/>
              <w:rPr>
                <w:sz w:val="20"/>
                <w:szCs w:val="20"/>
                <w:color w:val="auto"/>
              </w:rPr>
            </w:pPr>
            <w:r>
              <w:rPr>
                <w:rFonts w:ascii="Arial" w:cs="Arial" w:eastAsia="Arial" w:hAnsi="Arial"/>
                <w:sz w:val="13"/>
                <w:szCs w:val="13"/>
                <w:color w:val="auto"/>
                <w:w w:val="97"/>
              </w:rPr>
              <w:t>816,447</w:t>
            </w: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48"/>
              <w:spacing w:after="0"/>
              <w:rPr>
                <w:sz w:val="20"/>
                <w:szCs w:val="20"/>
                <w:color w:val="auto"/>
              </w:rPr>
            </w:pPr>
            <w:r>
              <w:rPr>
                <w:rFonts w:ascii="Arial" w:cs="Arial" w:eastAsia="Arial" w:hAnsi="Arial"/>
                <w:sz w:val="13"/>
                <w:szCs w:val="13"/>
                <w:color w:val="auto"/>
              </w:rPr>
              <w:t>671,219</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554,866</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516,962</w:t>
            </w:r>
          </w:p>
        </w:tc>
        <w:tc>
          <w:tcPr>
            <w:tcW w:w="0" w:type="dxa"/>
            <w:vAlign w:val="bottom"/>
          </w:tcPr>
          <w:p>
            <w:pPr>
              <w:spacing w:after="0"/>
              <w:rPr>
                <w:sz w:val="1"/>
                <w:szCs w:val="1"/>
                <w:color w:val="auto"/>
              </w:rPr>
            </w:pPr>
          </w:p>
        </w:tc>
      </w:tr>
      <w:tr>
        <w:trPr>
          <w:trHeight w:val="157"/>
        </w:trPr>
        <w:tc>
          <w:tcPr>
            <w:tcW w:w="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w w:val="93"/>
              </w:rPr>
              <w:t>Gross Margin</w:t>
            </w:r>
          </w:p>
        </w:tc>
        <w:tc>
          <w:tcPr>
            <w:tcW w:w="24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525,755</w:t>
            </w:r>
          </w:p>
        </w:tc>
        <w:tc>
          <w:tcPr>
            <w:tcW w:w="2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w w:val="97"/>
              </w:rPr>
              <w:t>433,276</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345,361</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279,149</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260,776</w:t>
            </w:r>
          </w:p>
        </w:tc>
        <w:tc>
          <w:tcPr>
            <w:tcW w:w="0" w:type="dxa"/>
            <w:vAlign w:val="bottom"/>
          </w:tcPr>
          <w:p>
            <w:pPr>
              <w:spacing w:after="0"/>
              <w:rPr>
                <w:sz w:val="1"/>
                <w:szCs w:val="1"/>
                <w:color w:val="auto"/>
              </w:rPr>
            </w:pPr>
          </w:p>
        </w:tc>
      </w:tr>
      <w:tr>
        <w:trPr>
          <w:trHeight w:val="157"/>
        </w:trPr>
        <w:tc>
          <w:tcPr>
            <w:tcW w:w="3200" w:type="dxa"/>
            <w:vAlign w:val="bottom"/>
            <w:gridSpan w:val="2"/>
          </w:tcPr>
          <w:p>
            <w:pPr>
              <w:spacing w:after="0"/>
              <w:rPr>
                <w:sz w:val="20"/>
                <w:szCs w:val="20"/>
                <w:color w:val="auto"/>
              </w:rPr>
            </w:pPr>
            <w:r>
              <w:rPr>
                <w:rFonts w:ascii="Arial" w:cs="Arial" w:eastAsia="Arial" w:hAnsi="Arial"/>
                <w:sz w:val="13"/>
                <w:szCs w:val="13"/>
                <w:b w:val="1"/>
                <w:bCs w:val="1"/>
                <w:color w:val="auto"/>
              </w:rPr>
              <w:t>Operating Expenses:</w:t>
            </w:r>
          </w:p>
        </w:tc>
        <w:tc>
          <w:tcPr>
            <w:tcW w:w="1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Research and development</w:t>
            </w:r>
          </w:p>
        </w:tc>
        <w:tc>
          <w:tcPr>
            <w:tcW w:w="1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30,443</w:t>
            </w:r>
          </w:p>
        </w:tc>
        <w:tc>
          <w:tcPr>
            <w:tcW w:w="2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25,078</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23,028</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18,873</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17,271</w:t>
            </w:r>
          </w:p>
        </w:tc>
        <w:tc>
          <w:tcPr>
            <w:tcW w:w="0" w:type="dxa"/>
            <w:vAlign w:val="bottom"/>
          </w:tcPr>
          <w:p>
            <w:pPr>
              <w:spacing w:after="0"/>
              <w:rPr>
                <w:sz w:val="1"/>
                <w:szCs w:val="1"/>
                <w:color w:val="auto"/>
              </w:rPr>
            </w:pPr>
          </w:p>
        </w:tc>
      </w:tr>
      <w:tr>
        <w:trPr>
          <w:trHeight w:val="157"/>
        </w:trPr>
        <w:tc>
          <w:tcPr>
            <w:tcW w:w="3200" w:type="dxa"/>
            <w:vAlign w:val="bottom"/>
            <w:gridSpan w:val="2"/>
          </w:tcPr>
          <w:p>
            <w:pPr>
              <w:ind w:left="140"/>
              <w:spacing w:after="0"/>
              <w:rPr>
                <w:sz w:val="20"/>
                <w:szCs w:val="20"/>
                <w:color w:val="auto"/>
              </w:rPr>
            </w:pPr>
            <w:r>
              <w:rPr>
                <w:rFonts w:ascii="Arial" w:cs="Arial" w:eastAsia="Arial" w:hAnsi="Arial"/>
                <w:sz w:val="13"/>
                <w:szCs w:val="13"/>
                <w:color w:val="auto"/>
              </w:rPr>
              <w:t>Selling, general and administrative</w:t>
            </w:r>
          </w:p>
        </w:tc>
        <w:tc>
          <w:tcPr>
            <w:tcW w:w="1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3"/>
                <w:szCs w:val="13"/>
                <w:color w:val="auto"/>
              </w:rPr>
              <w:t>338,796</w:t>
            </w:r>
          </w:p>
        </w:tc>
        <w:tc>
          <w:tcPr>
            <w:tcW w:w="220" w:type="dxa"/>
            <w:vAlign w:val="bottom"/>
          </w:tcPr>
          <w:p>
            <w:pPr>
              <w:spacing w:after="0"/>
              <w:rPr>
                <w:sz w:val="13"/>
                <w:szCs w:val="13"/>
                <w:color w:val="auto"/>
              </w:rPr>
            </w:pPr>
          </w:p>
        </w:tc>
        <w:tc>
          <w:tcPr>
            <w:tcW w:w="880" w:type="dxa"/>
            <w:vAlign w:val="bottom"/>
            <w:gridSpan w:val="2"/>
          </w:tcPr>
          <w:p>
            <w:pPr>
              <w:jc w:val="right"/>
              <w:ind w:right="353"/>
              <w:spacing w:after="0"/>
              <w:rPr>
                <w:sz w:val="20"/>
                <w:szCs w:val="20"/>
                <w:color w:val="auto"/>
              </w:rPr>
            </w:pPr>
            <w:r>
              <w:rPr>
                <w:rFonts w:ascii="Arial" w:cs="Arial" w:eastAsia="Arial" w:hAnsi="Arial"/>
                <w:sz w:val="13"/>
                <w:szCs w:val="13"/>
                <w:color w:val="auto"/>
                <w:w w:val="97"/>
              </w:rPr>
              <w:t>285,746</w:t>
            </w:r>
          </w:p>
        </w:tc>
        <w:tc>
          <w:tcPr>
            <w:tcW w:w="140" w:type="dxa"/>
            <w:vAlign w:val="bottom"/>
          </w:tcPr>
          <w:p>
            <w:pPr>
              <w:spacing w:after="0"/>
              <w:rPr>
                <w:sz w:val="13"/>
                <w:szCs w:val="13"/>
                <w:color w:val="auto"/>
              </w:rPr>
            </w:pPr>
          </w:p>
        </w:tc>
        <w:tc>
          <w:tcPr>
            <w:tcW w:w="940" w:type="dxa"/>
            <w:vAlign w:val="bottom"/>
            <w:gridSpan w:val="2"/>
          </w:tcPr>
          <w:p>
            <w:pPr>
              <w:jc w:val="right"/>
              <w:ind w:right="348"/>
              <w:spacing w:after="0"/>
              <w:rPr>
                <w:sz w:val="20"/>
                <w:szCs w:val="20"/>
                <w:color w:val="auto"/>
              </w:rPr>
            </w:pPr>
            <w:r>
              <w:rPr>
                <w:rFonts w:ascii="Arial" w:cs="Arial" w:eastAsia="Arial" w:hAnsi="Arial"/>
                <w:sz w:val="13"/>
                <w:szCs w:val="13"/>
                <w:color w:val="auto"/>
              </w:rPr>
              <w:t>248,171</w:t>
            </w:r>
          </w:p>
        </w:tc>
        <w:tc>
          <w:tcPr>
            <w:tcW w:w="16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219,861</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199,282</w:t>
            </w:r>
          </w:p>
        </w:tc>
        <w:tc>
          <w:tcPr>
            <w:tcW w:w="0" w:type="dxa"/>
            <w:vAlign w:val="bottom"/>
          </w:tcPr>
          <w:p>
            <w:pPr>
              <w:spacing w:after="0"/>
              <w:rPr>
                <w:sz w:val="1"/>
                <w:szCs w:val="1"/>
                <w:color w:val="auto"/>
              </w:rPr>
            </w:pPr>
          </w:p>
        </w:tc>
      </w:tr>
      <w:tr>
        <w:trPr>
          <w:trHeight w:val="157"/>
        </w:trPr>
        <w:tc>
          <w:tcPr>
            <w:tcW w:w="3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Restructuring charge — net</w:t>
            </w:r>
          </w:p>
        </w:tc>
        <w:tc>
          <w:tcPr>
            <w:tcW w:w="1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3,181</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9,589</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2,720</w:t>
            </w: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ind w:left="280"/>
              <w:spacing w:after="0"/>
              <w:rPr>
                <w:sz w:val="20"/>
                <w:szCs w:val="20"/>
                <w:color w:val="auto"/>
              </w:rPr>
            </w:pPr>
            <w:r>
              <w:rPr>
                <w:rFonts w:ascii="Arial" w:cs="Arial" w:eastAsia="Arial" w:hAnsi="Arial"/>
                <w:sz w:val="13"/>
                <w:szCs w:val="13"/>
                <w:color w:val="auto"/>
              </w:rPr>
              <w:t>Total operating expenses</w:t>
            </w:r>
          </w:p>
        </w:tc>
        <w:tc>
          <w:tcPr>
            <w:tcW w:w="1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0" w:type="dxa"/>
            <w:vAlign w:val="bottom"/>
            <w:gridSpan w:val="2"/>
            <w:vMerge w:val="continue"/>
          </w:tcPr>
          <w:p>
            <w:pPr>
              <w:spacing w:after="0"/>
              <w:rPr>
                <w:sz w:val="13"/>
                <w:szCs w:val="13"/>
                <w:color w:val="auto"/>
              </w:rPr>
            </w:pPr>
          </w:p>
        </w:tc>
        <w:tc>
          <w:tcPr>
            <w:tcW w:w="1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3"/>
                <w:szCs w:val="13"/>
                <w:color w:val="auto"/>
              </w:rPr>
              <w:t>369,239</w:t>
            </w:r>
          </w:p>
        </w:tc>
        <w:tc>
          <w:tcPr>
            <w:tcW w:w="220" w:type="dxa"/>
            <w:vAlign w:val="bottom"/>
          </w:tcPr>
          <w:p>
            <w:pPr>
              <w:spacing w:after="0"/>
              <w:rPr>
                <w:sz w:val="13"/>
                <w:szCs w:val="13"/>
                <w:color w:val="auto"/>
              </w:rPr>
            </w:pPr>
          </w:p>
        </w:tc>
        <w:tc>
          <w:tcPr>
            <w:tcW w:w="880" w:type="dxa"/>
            <w:vAlign w:val="bottom"/>
            <w:gridSpan w:val="2"/>
          </w:tcPr>
          <w:p>
            <w:pPr>
              <w:jc w:val="right"/>
              <w:ind w:right="353"/>
              <w:spacing w:after="0"/>
              <w:rPr>
                <w:sz w:val="20"/>
                <w:szCs w:val="20"/>
                <w:color w:val="auto"/>
              </w:rPr>
            </w:pPr>
            <w:r>
              <w:rPr>
                <w:rFonts w:ascii="Arial" w:cs="Arial" w:eastAsia="Arial" w:hAnsi="Arial"/>
                <w:sz w:val="13"/>
                <w:szCs w:val="13"/>
                <w:color w:val="auto"/>
                <w:w w:val="97"/>
              </w:rPr>
              <w:t>310,824</w:t>
            </w:r>
          </w:p>
        </w:tc>
        <w:tc>
          <w:tcPr>
            <w:tcW w:w="140" w:type="dxa"/>
            <w:vAlign w:val="bottom"/>
          </w:tcPr>
          <w:p>
            <w:pPr>
              <w:spacing w:after="0"/>
              <w:rPr>
                <w:sz w:val="13"/>
                <w:szCs w:val="13"/>
                <w:color w:val="auto"/>
              </w:rPr>
            </w:pPr>
          </w:p>
        </w:tc>
        <w:tc>
          <w:tcPr>
            <w:tcW w:w="940" w:type="dxa"/>
            <w:vAlign w:val="bottom"/>
            <w:gridSpan w:val="2"/>
          </w:tcPr>
          <w:p>
            <w:pPr>
              <w:jc w:val="right"/>
              <w:ind w:right="348"/>
              <w:spacing w:after="0"/>
              <w:rPr>
                <w:sz w:val="20"/>
                <w:szCs w:val="20"/>
                <w:color w:val="auto"/>
              </w:rPr>
            </w:pPr>
            <w:r>
              <w:rPr>
                <w:rFonts w:ascii="Arial" w:cs="Arial" w:eastAsia="Arial" w:hAnsi="Arial"/>
                <w:sz w:val="13"/>
                <w:szCs w:val="13"/>
                <w:color w:val="auto"/>
              </w:rPr>
              <w:t>274,380</w:t>
            </w:r>
          </w:p>
        </w:tc>
        <w:tc>
          <w:tcPr>
            <w:tcW w:w="16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248,323</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219,273</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2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Operating Income</w:t>
            </w:r>
          </w:p>
        </w:tc>
        <w:tc>
          <w:tcPr>
            <w:tcW w:w="1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156,516</w:t>
            </w:r>
          </w:p>
        </w:tc>
        <w:tc>
          <w:tcPr>
            <w:tcW w:w="2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w w:val="97"/>
              </w:rPr>
              <w:t>122,452</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70,981</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30,826</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41,503</w:t>
            </w:r>
          </w:p>
        </w:tc>
        <w:tc>
          <w:tcPr>
            <w:tcW w:w="0" w:type="dxa"/>
            <w:vAlign w:val="bottom"/>
          </w:tcPr>
          <w:p>
            <w:pPr>
              <w:spacing w:after="0"/>
              <w:rPr>
                <w:sz w:val="1"/>
                <w:szCs w:val="1"/>
                <w:color w:val="auto"/>
              </w:rPr>
            </w:pPr>
          </w:p>
        </w:tc>
      </w:tr>
      <w:tr>
        <w:trPr>
          <w:trHeight w:val="157"/>
        </w:trPr>
        <w:tc>
          <w:tcPr>
            <w:tcW w:w="3200" w:type="dxa"/>
            <w:vAlign w:val="bottom"/>
            <w:gridSpan w:val="2"/>
          </w:tcPr>
          <w:p>
            <w:pPr>
              <w:spacing w:after="0"/>
              <w:rPr>
                <w:sz w:val="20"/>
                <w:szCs w:val="20"/>
                <w:color w:val="auto"/>
              </w:rPr>
            </w:pPr>
            <w:r>
              <w:rPr>
                <w:rFonts w:ascii="Arial" w:cs="Arial" w:eastAsia="Arial" w:hAnsi="Arial"/>
                <w:sz w:val="13"/>
                <w:szCs w:val="13"/>
                <w:b w:val="1"/>
                <w:bCs w:val="1"/>
                <w:color w:val="auto"/>
              </w:rPr>
              <w:t>Other (Expense) Income:</w:t>
            </w:r>
          </w:p>
        </w:tc>
        <w:tc>
          <w:tcPr>
            <w:tcW w:w="1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Investment and other income — net</w:t>
            </w:r>
          </w:p>
        </w:tc>
        <w:tc>
          <w:tcPr>
            <w:tcW w:w="1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2,403</w:t>
            </w:r>
          </w:p>
        </w:tc>
        <w:tc>
          <w:tcPr>
            <w:tcW w:w="2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1,369</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577</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1,750</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1,714</w:t>
            </w:r>
          </w:p>
        </w:tc>
        <w:tc>
          <w:tcPr>
            <w:tcW w:w="0" w:type="dxa"/>
            <w:vAlign w:val="bottom"/>
          </w:tcPr>
          <w:p>
            <w:pPr>
              <w:spacing w:after="0"/>
              <w:rPr>
                <w:sz w:val="1"/>
                <w:szCs w:val="1"/>
                <w:color w:val="auto"/>
              </w:rPr>
            </w:pPr>
          </w:p>
        </w:tc>
      </w:tr>
      <w:tr>
        <w:trPr>
          <w:trHeight w:val="157"/>
        </w:trPr>
        <w:tc>
          <w:tcPr>
            <w:tcW w:w="3200" w:type="dxa"/>
            <w:vAlign w:val="bottom"/>
            <w:gridSpan w:val="2"/>
          </w:tcPr>
          <w:p>
            <w:pPr>
              <w:ind w:left="140"/>
              <w:spacing w:after="0"/>
              <w:rPr>
                <w:sz w:val="20"/>
                <w:szCs w:val="20"/>
                <w:color w:val="auto"/>
              </w:rPr>
            </w:pPr>
            <w:r>
              <w:rPr>
                <w:rFonts w:ascii="Arial" w:cs="Arial" w:eastAsia="Arial" w:hAnsi="Arial"/>
                <w:sz w:val="13"/>
                <w:szCs w:val="13"/>
                <w:color w:val="auto"/>
              </w:rPr>
              <w:t>Interest expense</w:t>
            </w:r>
          </w:p>
        </w:tc>
        <w:tc>
          <w:tcPr>
            <w:tcW w:w="1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3"/>
                <w:szCs w:val="13"/>
                <w:color w:val="auto"/>
              </w:rPr>
              <w:t>(14,231)</w:t>
            </w:r>
          </w:p>
        </w:tc>
        <w:tc>
          <w:tcPr>
            <w:tcW w:w="220" w:type="dxa"/>
            <w:vAlign w:val="bottom"/>
          </w:tcPr>
          <w:p>
            <w:pPr>
              <w:spacing w:after="0"/>
              <w:rPr>
                <w:sz w:val="13"/>
                <w:szCs w:val="13"/>
                <w:color w:val="auto"/>
              </w:rPr>
            </w:pPr>
          </w:p>
        </w:tc>
        <w:tc>
          <w:tcPr>
            <w:tcW w:w="880" w:type="dxa"/>
            <w:vAlign w:val="bottom"/>
            <w:gridSpan w:val="2"/>
          </w:tcPr>
          <w:p>
            <w:pPr>
              <w:jc w:val="right"/>
              <w:ind w:right="313"/>
              <w:spacing w:after="0"/>
              <w:rPr>
                <w:sz w:val="20"/>
                <w:szCs w:val="20"/>
                <w:color w:val="auto"/>
              </w:rPr>
            </w:pPr>
            <w:r>
              <w:rPr>
                <w:rFonts w:ascii="Arial" w:cs="Arial" w:eastAsia="Arial" w:hAnsi="Arial"/>
                <w:sz w:val="13"/>
                <w:szCs w:val="13"/>
                <w:color w:val="auto"/>
              </w:rPr>
              <w:t>(8,403)</w:t>
            </w:r>
          </w:p>
        </w:tc>
        <w:tc>
          <w:tcPr>
            <w:tcW w:w="140" w:type="dxa"/>
            <w:vAlign w:val="bottom"/>
          </w:tcPr>
          <w:p>
            <w:pPr>
              <w:spacing w:after="0"/>
              <w:rPr>
                <w:sz w:val="13"/>
                <w:szCs w:val="13"/>
                <w:color w:val="auto"/>
              </w:rPr>
            </w:pPr>
          </w:p>
        </w:tc>
        <w:tc>
          <w:tcPr>
            <w:tcW w:w="940" w:type="dxa"/>
            <w:vAlign w:val="bottom"/>
            <w:gridSpan w:val="2"/>
          </w:tcPr>
          <w:p>
            <w:pPr>
              <w:jc w:val="right"/>
              <w:ind w:right="308"/>
              <w:spacing w:after="0"/>
              <w:rPr>
                <w:sz w:val="20"/>
                <w:szCs w:val="20"/>
                <w:color w:val="auto"/>
              </w:rPr>
            </w:pPr>
            <w:r>
              <w:rPr>
                <w:rFonts w:ascii="Arial" w:cs="Arial" w:eastAsia="Arial" w:hAnsi="Arial"/>
                <w:sz w:val="13"/>
                <w:szCs w:val="13"/>
                <w:color w:val="auto"/>
              </w:rPr>
              <w:t>(1,231)</w:t>
            </w:r>
          </w:p>
        </w:tc>
        <w:tc>
          <w:tcPr>
            <w:tcW w:w="160" w:type="dxa"/>
            <w:vAlign w:val="bottom"/>
          </w:tcPr>
          <w:p>
            <w:pPr>
              <w:spacing w:after="0"/>
              <w:rPr>
                <w:sz w:val="13"/>
                <w:szCs w:val="13"/>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(121)</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2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Net other (expense) income</w:t>
            </w:r>
          </w:p>
        </w:tc>
        <w:tc>
          <w:tcPr>
            <w:tcW w:w="1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(11,828)</w:t>
            </w:r>
          </w:p>
        </w:tc>
        <w:tc>
          <w:tcPr>
            <w:tcW w:w="2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(7,034)</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(654)</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1,629</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1,632</w:t>
            </w: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Arial" w:cs="Arial" w:eastAsia="Arial" w:hAnsi="Arial"/>
                <w:sz w:val="13"/>
                <w:szCs w:val="13"/>
                <w:color w:val="auto"/>
              </w:rPr>
              <w:t>Income before income taxes</w:t>
            </w:r>
          </w:p>
        </w:tc>
        <w:tc>
          <w:tcPr>
            <w:tcW w:w="1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0" w:type="dxa"/>
            <w:vAlign w:val="bottom"/>
            <w:gridSpan w:val="2"/>
            <w:vMerge w:val="continue"/>
          </w:tcPr>
          <w:p>
            <w:pPr>
              <w:spacing w:after="0"/>
              <w:rPr>
                <w:sz w:val="13"/>
                <w:szCs w:val="13"/>
                <w:color w:val="auto"/>
              </w:rPr>
            </w:pPr>
          </w:p>
        </w:tc>
        <w:tc>
          <w:tcPr>
            <w:tcW w:w="1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3"/>
                <w:szCs w:val="13"/>
                <w:color w:val="auto"/>
              </w:rPr>
              <w:t>144,688</w:t>
            </w:r>
          </w:p>
        </w:tc>
        <w:tc>
          <w:tcPr>
            <w:tcW w:w="220" w:type="dxa"/>
            <w:vAlign w:val="bottom"/>
          </w:tcPr>
          <w:p>
            <w:pPr>
              <w:spacing w:after="0"/>
              <w:rPr>
                <w:sz w:val="13"/>
                <w:szCs w:val="13"/>
                <w:color w:val="auto"/>
              </w:rPr>
            </w:pPr>
          </w:p>
        </w:tc>
        <w:tc>
          <w:tcPr>
            <w:tcW w:w="880" w:type="dxa"/>
            <w:vAlign w:val="bottom"/>
            <w:gridSpan w:val="2"/>
          </w:tcPr>
          <w:p>
            <w:pPr>
              <w:jc w:val="right"/>
              <w:ind w:right="353"/>
              <w:spacing w:after="0"/>
              <w:rPr>
                <w:sz w:val="20"/>
                <w:szCs w:val="20"/>
                <w:color w:val="auto"/>
              </w:rPr>
            </w:pPr>
            <w:r>
              <w:rPr>
                <w:rFonts w:ascii="Arial" w:cs="Arial" w:eastAsia="Arial" w:hAnsi="Arial"/>
                <w:sz w:val="13"/>
                <w:szCs w:val="13"/>
                <w:color w:val="auto"/>
                <w:w w:val="97"/>
              </w:rPr>
              <w:t>115,418</w:t>
            </w:r>
          </w:p>
        </w:tc>
        <w:tc>
          <w:tcPr>
            <w:tcW w:w="140" w:type="dxa"/>
            <w:vAlign w:val="bottom"/>
          </w:tcPr>
          <w:p>
            <w:pPr>
              <w:spacing w:after="0"/>
              <w:rPr>
                <w:sz w:val="13"/>
                <w:szCs w:val="13"/>
                <w:color w:val="auto"/>
              </w:rPr>
            </w:pPr>
          </w:p>
        </w:tc>
        <w:tc>
          <w:tcPr>
            <w:tcW w:w="940" w:type="dxa"/>
            <w:vAlign w:val="bottom"/>
            <w:gridSpan w:val="2"/>
          </w:tcPr>
          <w:p>
            <w:pPr>
              <w:jc w:val="right"/>
              <w:ind w:right="348"/>
              <w:spacing w:after="0"/>
              <w:rPr>
                <w:sz w:val="20"/>
                <w:szCs w:val="20"/>
                <w:color w:val="auto"/>
              </w:rPr>
            </w:pPr>
            <w:r>
              <w:rPr>
                <w:rFonts w:ascii="Arial" w:cs="Arial" w:eastAsia="Arial" w:hAnsi="Arial"/>
                <w:sz w:val="13"/>
                <w:szCs w:val="13"/>
                <w:color w:val="auto"/>
              </w:rPr>
              <w:t>70,327</w:t>
            </w:r>
          </w:p>
        </w:tc>
        <w:tc>
          <w:tcPr>
            <w:tcW w:w="16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32,455</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43,135</w:t>
            </w:r>
          </w:p>
        </w:tc>
        <w:tc>
          <w:tcPr>
            <w:tcW w:w="0" w:type="dxa"/>
            <w:vAlign w:val="bottom"/>
          </w:tcPr>
          <w:p>
            <w:pPr>
              <w:spacing w:after="0"/>
              <w:rPr>
                <w:sz w:val="1"/>
                <w:szCs w:val="1"/>
                <w:color w:val="auto"/>
              </w:rPr>
            </w:pPr>
          </w:p>
        </w:tc>
      </w:tr>
      <w:tr>
        <w:trPr>
          <w:trHeight w:val="158"/>
        </w:trPr>
        <w:tc>
          <w:tcPr>
            <w:tcW w:w="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w w:val="90"/>
              </w:rPr>
              <w:t>Income Taxes</w:t>
            </w:r>
          </w:p>
        </w:tc>
        <w:tc>
          <w:tcPr>
            <w:tcW w:w="24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40,513</w:t>
            </w:r>
          </w:p>
        </w:tc>
        <w:tc>
          <w:tcPr>
            <w:tcW w:w="2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33,471</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19,456</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11,035</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14,882</w:t>
            </w: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rPr>
                <w:sz w:val="20"/>
                <w:szCs w:val="20"/>
                <w:color w:val="auto"/>
              </w:rPr>
            </w:pPr>
            <w:r>
              <w:rPr>
                <w:rFonts w:ascii="Arial" w:cs="Arial" w:eastAsia="Arial" w:hAnsi="Arial"/>
                <w:sz w:val="13"/>
                <w:szCs w:val="13"/>
                <w:b w:val="1"/>
                <w:bCs w:val="1"/>
                <w:color w:val="auto"/>
              </w:rPr>
              <w:t>Net Income</w:t>
            </w:r>
          </w:p>
        </w:tc>
        <w:tc>
          <w:tcPr>
            <w:tcW w:w="2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0" w:type="dxa"/>
            <w:vAlign w:val="bottom"/>
            <w:vMerge w:val="continue"/>
          </w:tcPr>
          <w:p>
            <w:pPr>
              <w:spacing w:after="0"/>
              <w:rPr>
                <w:sz w:val="14"/>
                <w:szCs w:val="14"/>
                <w:color w:val="auto"/>
              </w:rPr>
            </w:pPr>
          </w:p>
        </w:tc>
        <w:tc>
          <w:tcPr>
            <w:tcW w:w="2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060" w:type="dxa"/>
            <w:vAlign w:val="bottom"/>
            <w:gridSpan w:val="2"/>
          </w:tcPr>
          <w:p>
            <w:pPr>
              <w:jc w:val="right"/>
              <w:ind w:right="420"/>
              <w:spacing w:after="0"/>
              <w:rPr>
                <w:sz w:val="20"/>
                <w:szCs w:val="20"/>
                <w:color w:val="auto"/>
              </w:rPr>
            </w:pPr>
            <w:r>
              <w:rPr>
                <w:rFonts w:ascii="Arial" w:cs="Arial" w:eastAsia="Arial" w:hAnsi="Arial"/>
                <w:sz w:val="13"/>
                <w:szCs w:val="13"/>
                <w:color w:val="auto"/>
              </w:rPr>
              <w:t>104,175</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53"/>
              <w:spacing w:after="0"/>
              <w:rPr>
                <w:sz w:val="20"/>
                <w:szCs w:val="20"/>
                <w:color w:val="auto"/>
              </w:rPr>
            </w:pPr>
            <w:r>
              <w:rPr>
                <w:rFonts w:ascii="Arial" w:cs="Arial" w:eastAsia="Arial" w:hAnsi="Arial"/>
                <w:sz w:val="13"/>
                <w:szCs w:val="13"/>
                <w:color w:val="auto"/>
              </w:rPr>
              <w:t>81,947</w:t>
            </w: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48"/>
              <w:spacing w:after="0"/>
              <w:rPr>
                <w:sz w:val="20"/>
                <w:szCs w:val="20"/>
                <w:color w:val="auto"/>
              </w:rPr>
            </w:pPr>
            <w:r>
              <w:rPr>
                <w:rFonts w:ascii="Arial" w:cs="Arial" w:eastAsia="Arial" w:hAnsi="Arial"/>
                <w:sz w:val="13"/>
                <w:szCs w:val="13"/>
                <w:color w:val="auto"/>
              </w:rPr>
              <w:t>50,871</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21,420</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28,253</w:t>
            </w:r>
          </w:p>
        </w:tc>
        <w:tc>
          <w:tcPr>
            <w:tcW w:w="0" w:type="dxa"/>
            <w:vAlign w:val="bottom"/>
          </w:tcPr>
          <w:p>
            <w:pPr>
              <w:spacing w:after="0"/>
              <w:rPr>
                <w:sz w:val="1"/>
                <w:szCs w:val="1"/>
                <w:color w:val="auto"/>
              </w:rPr>
            </w:pPr>
          </w:p>
        </w:tc>
      </w:tr>
      <w:tr>
        <w:trPr>
          <w:trHeight w:val="165"/>
        </w:trPr>
        <w:tc>
          <w:tcPr>
            <w:tcW w:w="32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Net Income Per Common Share — (Diluted):</w:t>
            </w:r>
          </w:p>
        </w:tc>
        <w:tc>
          <w:tcPr>
            <w:tcW w:w="150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200" w:type="dxa"/>
            <w:vAlign w:val="bottom"/>
            <w:gridSpan w:val="2"/>
          </w:tcPr>
          <w:p>
            <w:pPr>
              <w:ind w:left="140"/>
              <w:spacing w:after="0"/>
              <w:rPr>
                <w:sz w:val="20"/>
                <w:szCs w:val="20"/>
                <w:color w:val="auto"/>
              </w:rPr>
            </w:pPr>
            <w:r>
              <w:rPr>
                <w:rFonts w:ascii="Arial" w:cs="Arial" w:eastAsia="Arial" w:hAnsi="Arial"/>
                <w:sz w:val="13"/>
                <w:szCs w:val="13"/>
                <w:color w:val="auto"/>
              </w:rPr>
              <w:t>Class A nonvoting</w:t>
            </w:r>
          </w:p>
        </w:tc>
        <w:tc>
          <w:tcPr>
            <w:tcW w:w="1680" w:type="dxa"/>
            <w:vAlign w:val="bottom"/>
            <w:gridSpan w:val="2"/>
          </w:tcPr>
          <w:p>
            <w:pPr>
              <w:jc w:val="right"/>
              <w:ind w:right="34"/>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3"/>
                <w:szCs w:val="13"/>
                <w:color w:val="auto"/>
              </w:rPr>
              <w:t>2.07</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53"/>
              <w:spacing w:after="0"/>
              <w:rPr>
                <w:sz w:val="20"/>
                <w:szCs w:val="20"/>
                <w:color w:val="auto"/>
              </w:rPr>
            </w:pPr>
            <w:r>
              <w:rPr>
                <w:rFonts w:ascii="Arial" w:cs="Arial" w:eastAsia="Arial" w:hAnsi="Arial"/>
                <w:sz w:val="13"/>
                <w:szCs w:val="13"/>
                <w:color w:val="auto"/>
              </w:rPr>
              <w:t>1.64</w:t>
            </w: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48"/>
              <w:spacing w:after="0"/>
              <w:rPr>
                <w:sz w:val="20"/>
                <w:szCs w:val="20"/>
                <w:color w:val="auto"/>
              </w:rPr>
            </w:pPr>
            <w:r>
              <w:rPr>
                <w:rFonts w:ascii="Arial" w:cs="Arial" w:eastAsia="Arial" w:hAnsi="Arial"/>
                <w:sz w:val="13"/>
                <w:szCs w:val="13"/>
                <w:color w:val="auto"/>
              </w:rPr>
              <w:t>1.07</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0.46</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0.60</w:t>
            </w:r>
          </w:p>
        </w:tc>
        <w:tc>
          <w:tcPr>
            <w:tcW w:w="0" w:type="dxa"/>
            <w:vAlign w:val="bottom"/>
          </w:tcPr>
          <w:p>
            <w:pPr>
              <w:spacing w:after="0"/>
              <w:rPr>
                <w:sz w:val="1"/>
                <w:szCs w:val="1"/>
                <w:color w:val="auto"/>
              </w:rPr>
            </w:pPr>
          </w:p>
        </w:tc>
      </w:tr>
      <w:tr>
        <w:trPr>
          <w:trHeight w:val="157"/>
        </w:trPr>
        <w:tc>
          <w:tcPr>
            <w:tcW w:w="3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Class B voting</w:t>
            </w:r>
          </w:p>
        </w:tc>
        <w:tc>
          <w:tcPr>
            <w:tcW w:w="1680" w:type="dxa"/>
            <w:vAlign w:val="bottom"/>
            <w:gridSpan w:val="2"/>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2.05</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1.63</w:t>
            </w:r>
          </w:p>
        </w:tc>
        <w:tc>
          <w:tcPr>
            <w:tcW w:w="1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1.05</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0.44</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0.59</w:t>
            </w:r>
          </w:p>
        </w:tc>
        <w:tc>
          <w:tcPr>
            <w:tcW w:w="0" w:type="dxa"/>
            <w:vAlign w:val="bottom"/>
          </w:tcPr>
          <w:p>
            <w:pPr>
              <w:spacing w:after="0"/>
              <w:rPr>
                <w:sz w:val="1"/>
                <w:szCs w:val="1"/>
                <w:color w:val="auto"/>
              </w:rPr>
            </w:pPr>
          </w:p>
        </w:tc>
      </w:tr>
      <w:tr>
        <w:trPr>
          <w:trHeight w:val="157"/>
        </w:trPr>
        <w:tc>
          <w:tcPr>
            <w:tcW w:w="3200" w:type="dxa"/>
            <w:vAlign w:val="bottom"/>
            <w:gridSpan w:val="2"/>
          </w:tcPr>
          <w:p>
            <w:pPr>
              <w:spacing w:after="0"/>
              <w:rPr>
                <w:sz w:val="20"/>
                <w:szCs w:val="20"/>
                <w:color w:val="auto"/>
              </w:rPr>
            </w:pPr>
            <w:r>
              <w:rPr>
                <w:rFonts w:ascii="Arial" w:cs="Arial" w:eastAsia="Arial" w:hAnsi="Arial"/>
                <w:sz w:val="13"/>
                <w:szCs w:val="13"/>
                <w:b w:val="1"/>
                <w:bCs w:val="1"/>
                <w:color w:val="auto"/>
              </w:rPr>
              <w:t>Cash Dividends on:</w:t>
            </w:r>
          </w:p>
        </w:tc>
        <w:tc>
          <w:tcPr>
            <w:tcW w:w="1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Class A common stock</w:t>
            </w:r>
          </w:p>
        </w:tc>
        <w:tc>
          <w:tcPr>
            <w:tcW w:w="1680" w:type="dxa"/>
            <w:vAlign w:val="bottom"/>
            <w:gridSpan w:val="2"/>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0.52</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0.44</w:t>
            </w:r>
          </w:p>
        </w:tc>
        <w:tc>
          <w:tcPr>
            <w:tcW w:w="1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0.42</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0.40</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0.38</w:t>
            </w:r>
          </w:p>
        </w:tc>
        <w:tc>
          <w:tcPr>
            <w:tcW w:w="0" w:type="dxa"/>
            <w:vAlign w:val="bottom"/>
          </w:tcPr>
          <w:p>
            <w:pPr>
              <w:spacing w:after="0"/>
              <w:rPr>
                <w:sz w:val="1"/>
                <w:szCs w:val="1"/>
                <w:color w:val="auto"/>
              </w:rPr>
            </w:pPr>
          </w:p>
        </w:tc>
      </w:tr>
      <w:tr>
        <w:trPr>
          <w:trHeight w:val="157"/>
        </w:trPr>
        <w:tc>
          <w:tcPr>
            <w:tcW w:w="3200" w:type="dxa"/>
            <w:vAlign w:val="bottom"/>
            <w:gridSpan w:val="2"/>
          </w:tcPr>
          <w:p>
            <w:pPr>
              <w:ind w:left="140"/>
              <w:spacing w:after="0"/>
              <w:rPr>
                <w:sz w:val="20"/>
                <w:szCs w:val="20"/>
                <w:color w:val="auto"/>
              </w:rPr>
            </w:pPr>
            <w:r>
              <w:rPr>
                <w:rFonts w:ascii="Arial" w:cs="Arial" w:eastAsia="Arial" w:hAnsi="Arial"/>
                <w:sz w:val="13"/>
                <w:szCs w:val="13"/>
                <w:color w:val="auto"/>
              </w:rPr>
              <w:t>Class B common stock</w:t>
            </w:r>
          </w:p>
        </w:tc>
        <w:tc>
          <w:tcPr>
            <w:tcW w:w="1680" w:type="dxa"/>
            <w:vAlign w:val="bottom"/>
            <w:gridSpan w:val="2"/>
          </w:tcPr>
          <w:p>
            <w:pPr>
              <w:jc w:val="right"/>
              <w:ind w:right="34"/>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3"/>
                <w:szCs w:val="13"/>
                <w:color w:val="auto"/>
              </w:rPr>
              <w:t>0.50</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53"/>
              <w:spacing w:after="0"/>
              <w:rPr>
                <w:sz w:val="20"/>
                <w:szCs w:val="20"/>
                <w:color w:val="auto"/>
              </w:rPr>
            </w:pPr>
            <w:r>
              <w:rPr>
                <w:rFonts w:ascii="Arial" w:cs="Arial" w:eastAsia="Arial" w:hAnsi="Arial"/>
                <w:sz w:val="13"/>
                <w:szCs w:val="13"/>
                <w:color w:val="auto"/>
              </w:rPr>
              <w:t>0.42</w:t>
            </w: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48"/>
              <w:spacing w:after="0"/>
              <w:rPr>
                <w:sz w:val="20"/>
                <w:szCs w:val="20"/>
                <w:color w:val="auto"/>
              </w:rPr>
            </w:pPr>
            <w:r>
              <w:rPr>
                <w:rFonts w:ascii="Arial" w:cs="Arial" w:eastAsia="Arial" w:hAnsi="Arial"/>
                <w:sz w:val="13"/>
                <w:szCs w:val="13"/>
                <w:color w:val="auto"/>
              </w:rPr>
              <w:t>0.40</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0.39</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0.37</w:t>
            </w:r>
          </w:p>
        </w:tc>
        <w:tc>
          <w:tcPr>
            <w:tcW w:w="0" w:type="dxa"/>
            <w:vAlign w:val="bottom"/>
          </w:tcPr>
          <w:p>
            <w:pPr>
              <w:spacing w:after="0"/>
              <w:rPr>
                <w:sz w:val="1"/>
                <w:szCs w:val="1"/>
                <w:color w:val="auto"/>
              </w:rPr>
            </w:pPr>
          </w:p>
        </w:tc>
      </w:tr>
      <w:tr>
        <w:trPr>
          <w:trHeight w:val="157"/>
        </w:trPr>
        <w:tc>
          <w:tcPr>
            <w:tcW w:w="32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Sheet at July 31:</w:t>
            </w:r>
          </w:p>
        </w:tc>
        <w:tc>
          <w:tcPr>
            <w:tcW w:w="1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200" w:type="dxa"/>
            <w:vAlign w:val="bottom"/>
            <w:gridSpan w:val="2"/>
          </w:tcPr>
          <w:p>
            <w:pPr>
              <w:ind w:left="140"/>
              <w:spacing w:after="0"/>
              <w:rPr>
                <w:sz w:val="20"/>
                <w:szCs w:val="20"/>
                <w:color w:val="auto"/>
              </w:rPr>
            </w:pPr>
            <w:r>
              <w:rPr>
                <w:rFonts w:ascii="Arial" w:cs="Arial" w:eastAsia="Arial" w:hAnsi="Arial"/>
                <w:sz w:val="13"/>
                <w:szCs w:val="13"/>
                <w:color w:val="auto"/>
              </w:rPr>
              <w:t>Working capital</w:t>
            </w:r>
          </w:p>
        </w:tc>
        <w:tc>
          <w:tcPr>
            <w:tcW w:w="1680" w:type="dxa"/>
            <w:vAlign w:val="bottom"/>
            <w:gridSpan w:val="2"/>
          </w:tcPr>
          <w:p>
            <w:pPr>
              <w:jc w:val="right"/>
              <w:ind w:right="34"/>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3"/>
                <w:szCs w:val="13"/>
                <w:color w:val="auto"/>
              </w:rPr>
              <w:t>240,537</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53"/>
              <w:spacing w:after="0"/>
              <w:rPr>
                <w:sz w:val="20"/>
                <w:szCs w:val="20"/>
                <w:color w:val="auto"/>
              </w:rPr>
            </w:pPr>
            <w:r>
              <w:rPr>
                <w:rFonts w:ascii="Arial" w:cs="Arial" w:eastAsia="Arial" w:hAnsi="Arial"/>
                <w:sz w:val="13"/>
                <w:szCs w:val="13"/>
                <w:color w:val="auto"/>
                <w:w w:val="97"/>
              </w:rPr>
              <w:t>141,560</w:t>
            </w: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48"/>
              <w:spacing w:after="0"/>
              <w:rPr>
                <w:sz w:val="20"/>
                <w:szCs w:val="20"/>
                <w:color w:val="auto"/>
              </w:rPr>
            </w:pPr>
            <w:r>
              <w:rPr>
                <w:rFonts w:ascii="Arial" w:cs="Arial" w:eastAsia="Arial" w:hAnsi="Arial"/>
                <w:sz w:val="13"/>
                <w:szCs w:val="13"/>
                <w:color w:val="auto"/>
              </w:rPr>
              <w:t>131,706</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123,878</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135,764</w:t>
            </w:r>
          </w:p>
        </w:tc>
        <w:tc>
          <w:tcPr>
            <w:tcW w:w="0" w:type="dxa"/>
            <w:vAlign w:val="bottom"/>
          </w:tcPr>
          <w:p>
            <w:pPr>
              <w:spacing w:after="0"/>
              <w:rPr>
                <w:sz w:val="1"/>
                <w:szCs w:val="1"/>
                <w:color w:val="auto"/>
              </w:rPr>
            </w:pPr>
          </w:p>
        </w:tc>
      </w:tr>
      <w:tr>
        <w:trPr>
          <w:trHeight w:val="157"/>
        </w:trPr>
        <w:tc>
          <w:tcPr>
            <w:tcW w:w="80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1"/>
              </w:rPr>
              <w:t>Total assets</w:t>
            </w:r>
          </w:p>
        </w:tc>
        <w:tc>
          <w:tcPr>
            <w:tcW w:w="24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1,365,186</w:t>
            </w:r>
          </w:p>
        </w:tc>
        <w:tc>
          <w:tcPr>
            <w:tcW w:w="2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w w:val="97"/>
              </w:rPr>
              <w:t>850,147</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697,900</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449,519</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420,525</w:t>
            </w:r>
          </w:p>
        </w:tc>
        <w:tc>
          <w:tcPr>
            <w:tcW w:w="0" w:type="dxa"/>
            <w:vAlign w:val="bottom"/>
          </w:tcPr>
          <w:p>
            <w:pPr>
              <w:spacing w:after="0"/>
              <w:rPr>
                <w:sz w:val="1"/>
                <w:szCs w:val="1"/>
                <w:color w:val="auto"/>
              </w:rPr>
            </w:pPr>
          </w:p>
        </w:tc>
      </w:tr>
      <w:tr>
        <w:trPr>
          <w:trHeight w:val="157"/>
        </w:trPr>
        <w:tc>
          <w:tcPr>
            <w:tcW w:w="3200" w:type="dxa"/>
            <w:vAlign w:val="bottom"/>
            <w:gridSpan w:val="2"/>
          </w:tcPr>
          <w:p>
            <w:pPr>
              <w:ind w:left="140"/>
              <w:spacing w:after="0"/>
              <w:rPr>
                <w:sz w:val="20"/>
                <w:szCs w:val="20"/>
                <w:color w:val="auto"/>
              </w:rPr>
            </w:pPr>
            <w:r>
              <w:rPr>
                <w:rFonts w:ascii="Arial" w:cs="Arial" w:eastAsia="Arial" w:hAnsi="Arial"/>
                <w:sz w:val="13"/>
                <w:szCs w:val="13"/>
                <w:color w:val="auto"/>
              </w:rPr>
              <w:t>Long-term obligations, less current maturities</w:t>
            </w:r>
          </w:p>
        </w:tc>
        <w:tc>
          <w:tcPr>
            <w:tcW w:w="1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3"/>
                <w:szCs w:val="13"/>
                <w:color w:val="auto"/>
              </w:rPr>
              <w:t>350,018</w:t>
            </w:r>
          </w:p>
        </w:tc>
        <w:tc>
          <w:tcPr>
            <w:tcW w:w="220" w:type="dxa"/>
            <w:vAlign w:val="bottom"/>
          </w:tcPr>
          <w:p>
            <w:pPr>
              <w:spacing w:after="0"/>
              <w:rPr>
                <w:sz w:val="13"/>
                <w:szCs w:val="13"/>
                <w:color w:val="auto"/>
              </w:rPr>
            </w:pPr>
          </w:p>
        </w:tc>
        <w:tc>
          <w:tcPr>
            <w:tcW w:w="880" w:type="dxa"/>
            <w:vAlign w:val="bottom"/>
            <w:gridSpan w:val="2"/>
          </w:tcPr>
          <w:p>
            <w:pPr>
              <w:jc w:val="right"/>
              <w:ind w:right="353"/>
              <w:spacing w:after="0"/>
              <w:rPr>
                <w:sz w:val="20"/>
                <w:szCs w:val="20"/>
                <w:color w:val="auto"/>
              </w:rPr>
            </w:pPr>
            <w:r>
              <w:rPr>
                <w:rFonts w:ascii="Arial" w:cs="Arial" w:eastAsia="Arial" w:hAnsi="Arial"/>
                <w:sz w:val="13"/>
                <w:szCs w:val="13"/>
                <w:color w:val="auto"/>
                <w:w w:val="97"/>
              </w:rPr>
              <w:t>150,026</w:t>
            </w:r>
          </w:p>
        </w:tc>
        <w:tc>
          <w:tcPr>
            <w:tcW w:w="140" w:type="dxa"/>
            <w:vAlign w:val="bottom"/>
          </w:tcPr>
          <w:p>
            <w:pPr>
              <w:spacing w:after="0"/>
              <w:rPr>
                <w:sz w:val="13"/>
                <w:szCs w:val="13"/>
                <w:color w:val="auto"/>
              </w:rPr>
            </w:pPr>
          </w:p>
        </w:tc>
        <w:tc>
          <w:tcPr>
            <w:tcW w:w="940" w:type="dxa"/>
            <w:vAlign w:val="bottom"/>
            <w:gridSpan w:val="2"/>
          </w:tcPr>
          <w:p>
            <w:pPr>
              <w:jc w:val="right"/>
              <w:ind w:right="348"/>
              <w:spacing w:after="0"/>
              <w:rPr>
                <w:sz w:val="20"/>
                <w:szCs w:val="20"/>
                <w:color w:val="auto"/>
              </w:rPr>
            </w:pPr>
            <w:r>
              <w:rPr>
                <w:rFonts w:ascii="Arial" w:cs="Arial" w:eastAsia="Arial" w:hAnsi="Arial"/>
                <w:sz w:val="13"/>
                <w:szCs w:val="13"/>
                <w:color w:val="auto"/>
              </w:rPr>
              <w:t>150,019</w:t>
            </w:r>
          </w:p>
        </w:tc>
        <w:tc>
          <w:tcPr>
            <w:tcW w:w="16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568</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3,751</w:t>
            </w:r>
          </w:p>
        </w:tc>
        <w:tc>
          <w:tcPr>
            <w:tcW w:w="0" w:type="dxa"/>
            <w:vAlign w:val="bottom"/>
          </w:tcPr>
          <w:p>
            <w:pPr>
              <w:spacing w:after="0"/>
              <w:rPr>
                <w:sz w:val="1"/>
                <w:szCs w:val="1"/>
                <w:color w:val="auto"/>
              </w:rPr>
            </w:pPr>
          </w:p>
        </w:tc>
      </w:tr>
      <w:tr>
        <w:trPr>
          <w:trHeight w:val="157"/>
        </w:trPr>
        <w:tc>
          <w:tcPr>
            <w:tcW w:w="3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Stockholders’ investment</w:t>
            </w:r>
          </w:p>
        </w:tc>
        <w:tc>
          <w:tcPr>
            <w:tcW w:w="1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746,046</w:t>
            </w:r>
          </w:p>
        </w:tc>
        <w:tc>
          <w:tcPr>
            <w:tcW w:w="2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w w:val="97"/>
              </w:rPr>
              <w:t>497,274</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403,315</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338,961</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324,242</w:t>
            </w:r>
          </w:p>
        </w:tc>
        <w:tc>
          <w:tcPr>
            <w:tcW w:w="0" w:type="dxa"/>
            <w:vAlign w:val="bottom"/>
          </w:tcPr>
          <w:p>
            <w:pPr>
              <w:spacing w:after="0"/>
              <w:rPr>
                <w:sz w:val="1"/>
                <w:szCs w:val="1"/>
                <w:color w:val="auto"/>
              </w:rPr>
            </w:pPr>
          </w:p>
        </w:tc>
      </w:tr>
      <w:tr>
        <w:trPr>
          <w:trHeight w:val="157"/>
        </w:trPr>
        <w:tc>
          <w:tcPr>
            <w:tcW w:w="3200" w:type="dxa"/>
            <w:vAlign w:val="bottom"/>
            <w:gridSpan w:val="2"/>
          </w:tcPr>
          <w:p>
            <w:pPr>
              <w:spacing w:after="0"/>
              <w:rPr>
                <w:sz w:val="20"/>
                <w:szCs w:val="20"/>
                <w:color w:val="auto"/>
              </w:rPr>
            </w:pPr>
            <w:r>
              <w:rPr>
                <w:rFonts w:ascii="Arial" w:cs="Arial" w:eastAsia="Arial" w:hAnsi="Arial"/>
                <w:sz w:val="13"/>
                <w:szCs w:val="13"/>
                <w:b w:val="1"/>
                <w:bCs w:val="1"/>
                <w:color w:val="auto"/>
              </w:rPr>
              <w:t>Cash Flow Data:</w:t>
            </w:r>
          </w:p>
        </w:tc>
        <w:tc>
          <w:tcPr>
            <w:tcW w:w="1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Net cash provided by operating activities</w:t>
            </w:r>
          </w:p>
        </w:tc>
        <w:tc>
          <w:tcPr>
            <w:tcW w:w="1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114,896</w:t>
            </w:r>
          </w:p>
        </w:tc>
        <w:tc>
          <w:tcPr>
            <w:tcW w:w="2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w w:val="97"/>
              </w:rPr>
              <w:t>119,103</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87,646</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57,316</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54,251</w:t>
            </w:r>
          </w:p>
        </w:tc>
        <w:tc>
          <w:tcPr>
            <w:tcW w:w="0" w:type="dxa"/>
            <w:vAlign w:val="bottom"/>
          </w:tcPr>
          <w:p>
            <w:pPr>
              <w:spacing w:after="0"/>
              <w:rPr>
                <w:sz w:val="1"/>
                <w:szCs w:val="1"/>
                <w:color w:val="auto"/>
              </w:rPr>
            </w:pPr>
          </w:p>
        </w:tc>
      </w:tr>
      <w:tr>
        <w:trPr>
          <w:trHeight w:val="157"/>
        </w:trPr>
        <w:tc>
          <w:tcPr>
            <w:tcW w:w="3200" w:type="dxa"/>
            <w:vAlign w:val="bottom"/>
            <w:gridSpan w:val="2"/>
          </w:tcPr>
          <w:p>
            <w:pPr>
              <w:ind w:left="140"/>
              <w:spacing w:after="0"/>
              <w:rPr>
                <w:sz w:val="20"/>
                <w:szCs w:val="20"/>
                <w:color w:val="auto"/>
              </w:rPr>
            </w:pPr>
            <w:r>
              <w:rPr>
                <w:rFonts w:ascii="Arial" w:cs="Arial" w:eastAsia="Arial" w:hAnsi="Arial"/>
                <w:sz w:val="13"/>
                <w:szCs w:val="13"/>
                <w:color w:val="auto"/>
              </w:rPr>
              <w:t>Depreciation and amortization</w:t>
            </w:r>
          </w:p>
        </w:tc>
        <w:tc>
          <w:tcPr>
            <w:tcW w:w="1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3"/>
                <w:szCs w:val="13"/>
                <w:color w:val="auto"/>
              </w:rPr>
              <w:t>35,144</w:t>
            </w:r>
          </w:p>
        </w:tc>
        <w:tc>
          <w:tcPr>
            <w:tcW w:w="220" w:type="dxa"/>
            <w:vAlign w:val="bottom"/>
          </w:tcPr>
          <w:p>
            <w:pPr>
              <w:spacing w:after="0"/>
              <w:rPr>
                <w:sz w:val="13"/>
                <w:szCs w:val="13"/>
                <w:color w:val="auto"/>
              </w:rPr>
            </w:pPr>
          </w:p>
        </w:tc>
        <w:tc>
          <w:tcPr>
            <w:tcW w:w="880" w:type="dxa"/>
            <w:vAlign w:val="bottom"/>
            <w:gridSpan w:val="2"/>
          </w:tcPr>
          <w:p>
            <w:pPr>
              <w:jc w:val="right"/>
              <w:ind w:right="353"/>
              <w:spacing w:after="0"/>
              <w:rPr>
                <w:sz w:val="20"/>
                <w:szCs w:val="20"/>
                <w:color w:val="auto"/>
              </w:rPr>
            </w:pPr>
            <w:r>
              <w:rPr>
                <w:rFonts w:ascii="Arial" w:cs="Arial" w:eastAsia="Arial" w:hAnsi="Arial"/>
                <w:sz w:val="13"/>
                <w:szCs w:val="13"/>
                <w:color w:val="auto"/>
              </w:rPr>
              <w:t>26,822</w:t>
            </w:r>
          </w:p>
        </w:tc>
        <w:tc>
          <w:tcPr>
            <w:tcW w:w="140" w:type="dxa"/>
            <w:vAlign w:val="bottom"/>
          </w:tcPr>
          <w:p>
            <w:pPr>
              <w:spacing w:after="0"/>
              <w:rPr>
                <w:sz w:val="13"/>
                <w:szCs w:val="13"/>
                <w:color w:val="auto"/>
              </w:rPr>
            </w:pPr>
          </w:p>
        </w:tc>
        <w:tc>
          <w:tcPr>
            <w:tcW w:w="940" w:type="dxa"/>
            <w:vAlign w:val="bottom"/>
            <w:gridSpan w:val="2"/>
          </w:tcPr>
          <w:p>
            <w:pPr>
              <w:jc w:val="right"/>
              <w:ind w:right="348"/>
              <w:spacing w:after="0"/>
              <w:rPr>
                <w:sz w:val="20"/>
                <w:szCs w:val="20"/>
                <w:color w:val="auto"/>
              </w:rPr>
            </w:pPr>
            <w:r>
              <w:rPr>
                <w:rFonts w:ascii="Arial" w:cs="Arial" w:eastAsia="Arial" w:hAnsi="Arial"/>
                <w:sz w:val="13"/>
                <w:szCs w:val="13"/>
                <w:color w:val="auto"/>
              </w:rPr>
              <w:t>20,190</w:t>
            </w:r>
          </w:p>
        </w:tc>
        <w:tc>
          <w:tcPr>
            <w:tcW w:w="16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17,771</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16,630</w:t>
            </w:r>
          </w:p>
        </w:tc>
        <w:tc>
          <w:tcPr>
            <w:tcW w:w="0" w:type="dxa"/>
            <w:vAlign w:val="bottom"/>
          </w:tcPr>
          <w:p>
            <w:pPr>
              <w:spacing w:after="0"/>
              <w:rPr>
                <w:sz w:val="1"/>
                <w:szCs w:val="1"/>
                <w:color w:val="auto"/>
              </w:rPr>
            </w:pPr>
          </w:p>
        </w:tc>
      </w:tr>
      <w:tr>
        <w:trPr>
          <w:trHeight w:val="157"/>
        </w:trPr>
        <w:tc>
          <w:tcPr>
            <w:tcW w:w="3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Capital expenditures</w:t>
            </w:r>
          </w:p>
        </w:tc>
        <w:tc>
          <w:tcPr>
            <w:tcW w:w="1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(39,410)</w:t>
            </w:r>
          </w:p>
        </w:tc>
        <w:tc>
          <w:tcPr>
            <w:tcW w:w="2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(21,920)</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(14,892)</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(14,438)</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(13,095)</w:t>
            </w:r>
          </w:p>
        </w:tc>
        <w:tc>
          <w:tcPr>
            <w:tcW w:w="0" w:type="dxa"/>
            <w:vAlign w:val="bottom"/>
          </w:tcPr>
          <w:p>
            <w:pPr>
              <w:spacing w:after="0"/>
              <w:rPr>
                <w:sz w:val="1"/>
                <w:szCs w:val="1"/>
                <w:color w:val="auto"/>
              </w:rPr>
            </w:pPr>
          </w:p>
        </w:tc>
      </w:tr>
    </w:tbl>
    <w:p>
      <w:pPr>
        <w:spacing w:after="0" w:line="28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1"/>
          <w:szCs w:val="11"/>
          <w:b w:val="1"/>
          <w:bCs w:val="1"/>
          <w:i w:val="1"/>
          <w:iCs w:val="1"/>
          <w:color w:val="auto"/>
        </w:rPr>
        <w:t>Management’s Discussion and Analysis of Financial Condition and Results of Operations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In fiscal 2006, the Company posted record sales of $1,018.4 million and record net income of $104.2 million, an increase of 24.7% and 27.1%, respectively, over fiscal 2005. The increase was the result of disciplined execution of the Company’s business plan and successful integration of acquisitions, aided by a good economy. Changes in foreign exchange rates had minimal impact on the results for fiscal 2006.</w:t>
      </w:r>
    </w:p>
    <w:p>
      <w:pPr>
        <w:spacing w:after="0" w:line="67" w:lineRule="exact"/>
        <w:rPr>
          <w:sz w:val="20"/>
          <w:szCs w:val="20"/>
          <w:color w:val="auto"/>
        </w:rPr>
      </w:pPr>
    </w:p>
    <w:p>
      <w:pPr>
        <w:ind w:left="680" w:right="500" w:firstLine="399"/>
        <w:spacing w:after="0" w:line="276" w:lineRule="auto"/>
        <w:rPr>
          <w:sz w:val="20"/>
          <w:szCs w:val="20"/>
          <w:color w:val="auto"/>
        </w:rPr>
      </w:pPr>
      <w:r>
        <w:rPr>
          <w:rFonts w:ascii="Arial" w:cs="Arial" w:eastAsia="Arial" w:hAnsi="Arial"/>
          <w:sz w:val="13"/>
          <w:szCs w:val="13"/>
          <w:color w:val="auto"/>
        </w:rPr>
        <w:t>Of the 24.7% increase in sales, organic growth accounted for 9.2%, acquisitions added 16.0%, and foreign currency lowered sales by 0.5%. Americas sales increased 19.4%, European sales rose 16.3%, and sales from the Asia-Pacific operations increased 61.4%.</w:t>
      </w:r>
    </w:p>
    <w:p>
      <w:pPr>
        <w:spacing w:after="0" w:line="59" w:lineRule="exact"/>
        <w:rPr>
          <w:sz w:val="20"/>
          <w:szCs w:val="20"/>
          <w:color w:val="auto"/>
        </w:rPr>
      </w:pPr>
    </w:p>
    <w:p>
      <w:pPr>
        <w:jc w:val="both"/>
        <w:ind w:left="680" w:right="340" w:firstLine="399"/>
        <w:spacing w:after="0" w:line="276" w:lineRule="auto"/>
        <w:rPr>
          <w:sz w:val="20"/>
          <w:szCs w:val="20"/>
          <w:color w:val="auto"/>
        </w:rPr>
      </w:pPr>
      <w:r>
        <w:rPr>
          <w:rFonts w:ascii="Arial" w:cs="Arial" w:eastAsia="Arial" w:hAnsi="Arial"/>
          <w:sz w:val="13"/>
          <w:szCs w:val="13"/>
          <w:color w:val="auto"/>
        </w:rPr>
        <w:t>Net income for fiscal 2006 rose 27.1% to $104.2 million or $2.07 per diluted share of Class A Common Stock, compared to $81.9 million, or $1.64 per diluted share of Class A Common Stock in fiscal 2005.</w:t>
      </w:r>
    </w:p>
    <w:p>
      <w:pPr>
        <w:spacing w:after="0" w:line="59" w:lineRule="exact"/>
        <w:rPr>
          <w:sz w:val="20"/>
          <w:szCs w:val="20"/>
          <w:color w:val="auto"/>
        </w:rPr>
      </w:pPr>
    </w:p>
    <w:p>
      <w:pPr>
        <w:jc w:val="both"/>
        <w:ind w:left="680" w:right="340" w:firstLine="399"/>
        <w:spacing w:after="0" w:line="264" w:lineRule="auto"/>
        <w:rPr>
          <w:sz w:val="20"/>
          <w:szCs w:val="20"/>
          <w:color w:val="auto"/>
        </w:rPr>
      </w:pPr>
      <w:r>
        <w:rPr>
          <w:rFonts w:ascii="Arial" w:cs="Arial" w:eastAsia="Arial" w:hAnsi="Arial"/>
          <w:sz w:val="13"/>
          <w:szCs w:val="13"/>
          <w:color w:val="auto"/>
        </w:rPr>
        <w:t>In fiscal 2006, the Company continued to focus on leveraging its strengths and continued its drive to become the number one or number two leader in the markets that it serves. Acquisitions focused on businesses that management understands well in order to deepen market penetration or expand the Company’s global footprint. The Company also invested in expanding many of its global operations with new equipment and capacity.</w:t>
      </w:r>
    </w:p>
    <w:p>
      <w:pPr>
        <w:spacing w:after="0" w:line="67"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Brady acquired 11 companies in fiscal 2006 — businesses that span the globe from the Americas to Europe to Asia-Pacific. We have added strategically driven acquisitions in people identification in the United States, wire identification in Europe and precision die cut businesses that give us a global leadership position in the mobile handset market, new capabilities in the hard disk drive market and strengthen our relatively small position in the medical converting market. We also strengthened our MRO business in Australia with two complementary acquisitions there.</w:t>
      </w:r>
    </w:p>
    <w:p>
      <w:pPr>
        <w:spacing w:after="0" w:line="70"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Brady completed the addition of 90,000 square feet to its corporate headquarters in Milwaukee, Wisconsin for a consolidated warehouse and distribution center. Other accomplishments in fiscal 2006 included the opening of a new plant in Bratislava, Slovakia and continued expansion in India and China. Brady strives to employ the same high safety and environmental standards across the globe regardless of lesser government requirements in some areas.</w:t>
      </w:r>
    </w:p>
    <w:p>
      <w:pPr>
        <w:spacing w:after="0" w:line="67"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To fund this continued organic and acquisition growth, Brady completed its first secondary stock offering to the public, which generated approximately $157.7 million in cash. Brady remains a financially strong company, with a solid balance sheet and cash flow. In September 2006, the Company announced that it will be increasing the cash dividend payment for the 21st straight year.</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Year Ended July 31, 2006, Compared to Year Ended July 31, 2005</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comparability of the operating results for the fiscal years ended July 31, 2006 to July 31, 2005 has been significantly impacted by the following acquisitions completed in fiscal</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2006.</w:t>
      </w:r>
    </w:p>
    <w:p>
      <w:pPr>
        <w:spacing w:after="0" w:line="90"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4620" w:type="dxa"/>
            <w:vAlign w:val="bottom"/>
            <w:gridSpan w:val="2"/>
          </w:tcPr>
          <w:p>
            <w:pPr>
              <w:spacing w:after="0"/>
              <w:rPr>
                <w:sz w:val="20"/>
                <w:szCs w:val="20"/>
                <w:color w:val="auto"/>
              </w:rPr>
            </w:pPr>
            <w:r>
              <w:rPr>
                <w:rFonts w:ascii="Arial" w:cs="Arial" w:eastAsia="Arial" w:hAnsi="Arial"/>
                <w:sz w:val="10"/>
                <w:szCs w:val="10"/>
                <w:b w:val="1"/>
                <w:bCs w:val="1"/>
                <w:color w:val="auto"/>
              </w:rPr>
              <w:t>Acquisitions:</w:t>
            </w:r>
          </w:p>
        </w:tc>
        <w:tc>
          <w:tcPr>
            <w:tcW w:w="3620" w:type="dxa"/>
            <w:vAlign w:val="bottom"/>
          </w:tcPr>
          <w:p>
            <w:pPr>
              <w:ind w:left="2880"/>
              <w:spacing w:after="0"/>
              <w:rPr>
                <w:sz w:val="20"/>
                <w:szCs w:val="20"/>
                <w:color w:val="auto"/>
              </w:rPr>
            </w:pPr>
            <w:r>
              <w:rPr>
                <w:rFonts w:ascii="Arial" w:cs="Arial" w:eastAsia="Arial" w:hAnsi="Arial"/>
                <w:sz w:val="10"/>
                <w:szCs w:val="10"/>
                <w:b w:val="1"/>
                <w:bCs w:val="1"/>
                <w:color w:val="auto"/>
              </w:rPr>
              <w:t>Segment</w:t>
            </w:r>
          </w:p>
        </w:tc>
        <w:tc>
          <w:tcPr>
            <w:tcW w:w="1760" w:type="dxa"/>
            <w:vAlign w:val="bottom"/>
          </w:tcPr>
          <w:p>
            <w:pPr>
              <w:ind w:left="1040"/>
              <w:spacing w:after="0"/>
              <w:rPr>
                <w:sz w:val="20"/>
                <w:szCs w:val="20"/>
                <w:color w:val="auto"/>
              </w:rPr>
            </w:pPr>
            <w:r>
              <w:rPr>
                <w:rFonts w:ascii="Arial" w:cs="Arial" w:eastAsia="Arial" w:hAnsi="Arial"/>
                <w:sz w:val="10"/>
                <w:szCs w:val="10"/>
                <w:b w:val="1"/>
                <w:bCs w:val="1"/>
                <w:color w:val="auto"/>
                <w:w w:val="91"/>
              </w:rPr>
              <w:t>Date Completed</w:t>
            </w:r>
          </w:p>
        </w:tc>
      </w:tr>
      <w:tr>
        <w:trPr>
          <w:trHeight w:val="20"/>
        </w:trPr>
        <w:tc>
          <w:tcPr>
            <w:tcW w:w="8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78"/>
        </w:trPr>
        <w:tc>
          <w:tcPr>
            <w:tcW w:w="4620" w:type="dxa"/>
            <w:vAlign w:val="bottom"/>
            <w:gridSpan w:val="2"/>
          </w:tcPr>
          <w:p>
            <w:pPr>
              <w:spacing w:after="0"/>
              <w:rPr>
                <w:sz w:val="20"/>
                <w:szCs w:val="20"/>
                <w:color w:val="auto"/>
              </w:rPr>
            </w:pPr>
            <w:r>
              <w:rPr>
                <w:rFonts w:ascii="Arial" w:cs="Arial" w:eastAsia="Arial" w:hAnsi="Arial"/>
                <w:sz w:val="13"/>
                <w:szCs w:val="13"/>
                <w:color w:val="auto"/>
              </w:rPr>
              <w:t>STOPware, Inc. (“Stopware”)</w:t>
            </w:r>
          </w:p>
        </w:tc>
        <w:tc>
          <w:tcPr>
            <w:tcW w:w="3620" w:type="dxa"/>
            <w:vAlign w:val="bottom"/>
          </w:tcPr>
          <w:p>
            <w:pPr>
              <w:ind w:left="2080"/>
              <w:spacing w:after="0"/>
              <w:rPr>
                <w:sz w:val="20"/>
                <w:szCs w:val="20"/>
                <w:color w:val="auto"/>
              </w:rPr>
            </w:pPr>
            <w:r>
              <w:rPr>
                <w:rFonts w:ascii="Arial" w:cs="Arial" w:eastAsia="Arial" w:hAnsi="Arial"/>
                <w:sz w:val="13"/>
                <w:szCs w:val="13"/>
                <w:color w:val="auto"/>
              </w:rPr>
              <w:t>Americas</w:t>
            </w:r>
          </w:p>
        </w:tc>
        <w:tc>
          <w:tcPr>
            <w:tcW w:w="1760" w:type="dxa"/>
            <w:vAlign w:val="bottom"/>
          </w:tcPr>
          <w:p>
            <w:pPr>
              <w:ind w:left="340"/>
              <w:spacing w:after="0"/>
              <w:rPr>
                <w:sz w:val="20"/>
                <w:szCs w:val="20"/>
                <w:color w:val="auto"/>
              </w:rPr>
            </w:pPr>
            <w:r>
              <w:rPr>
                <w:rFonts w:ascii="Arial" w:cs="Arial" w:eastAsia="Arial" w:hAnsi="Arial"/>
                <w:sz w:val="13"/>
                <w:szCs w:val="13"/>
                <w:color w:val="auto"/>
              </w:rPr>
              <w:t>August 2005</w:t>
            </w:r>
          </w:p>
        </w:tc>
      </w:tr>
      <w:tr>
        <w:trPr>
          <w:trHeight w:val="157"/>
        </w:trPr>
        <w:tc>
          <w:tcPr>
            <w:tcW w:w="4620" w:type="dxa"/>
            <w:vAlign w:val="bottom"/>
            <w:gridSpan w:val="2"/>
          </w:tcPr>
          <w:p>
            <w:pPr>
              <w:spacing w:after="0"/>
              <w:rPr>
                <w:sz w:val="20"/>
                <w:szCs w:val="20"/>
                <w:color w:val="auto"/>
              </w:rPr>
            </w:pPr>
            <w:r>
              <w:rPr>
                <w:rFonts w:ascii="Arial" w:cs="Arial" w:eastAsia="Arial" w:hAnsi="Arial"/>
                <w:sz w:val="13"/>
                <w:szCs w:val="13"/>
                <w:color w:val="auto"/>
              </w:rPr>
              <w:t>Texit Danmark AS and Texit Norge AS</w:t>
            </w:r>
          </w:p>
        </w:tc>
        <w:tc>
          <w:tcPr>
            <w:tcW w:w="3620" w:type="dxa"/>
            <w:vAlign w:val="bottom"/>
          </w:tcPr>
          <w:p>
            <w:pPr>
              <w:ind w:left="2080"/>
              <w:spacing w:after="0"/>
              <w:rPr>
                <w:sz w:val="20"/>
                <w:szCs w:val="20"/>
                <w:color w:val="auto"/>
              </w:rPr>
            </w:pPr>
            <w:r>
              <w:rPr>
                <w:rFonts w:ascii="Arial" w:cs="Arial" w:eastAsia="Arial" w:hAnsi="Arial"/>
                <w:sz w:val="13"/>
                <w:szCs w:val="13"/>
                <w:color w:val="auto"/>
              </w:rPr>
              <w:t>Europe</w:t>
            </w:r>
          </w:p>
        </w:tc>
        <w:tc>
          <w:tcPr>
            <w:tcW w:w="1760" w:type="dxa"/>
            <w:vAlign w:val="bottom"/>
          </w:tcPr>
          <w:p>
            <w:pPr>
              <w:ind w:left="340"/>
              <w:spacing w:after="0"/>
              <w:rPr>
                <w:sz w:val="20"/>
                <w:szCs w:val="20"/>
                <w:color w:val="auto"/>
              </w:rPr>
            </w:pPr>
            <w:r>
              <w:rPr>
                <w:rFonts w:ascii="Arial" w:cs="Arial" w:eastAsia="Arial" w:hAnsi="Arial"/>
                <w:sz w:val="13"/>
                <w:szCs w:val="13"/>
                <w:color w:val="auto"/>
              </w:rPr>
              <w:t>September 2005</w:t>
            </w:r>
          </w:p>
        </w:tc>
      </w:tr>
      <w:tr>
        <w:trPr>
          <w:trHeight w:val="157"/>
        </w:trPr>
        <w:tc>
          <w:tcPr>
            <w:tcW w:w="80" w:type="dxa"/>
            <w:vAlign w:val="bottom"/>
          </w:tcPr>
          <w:p>
            <w:pPr>
              <w:spacing w:after="0"/>
              <w:rPr>
                <w:sz w:val="13"/>
                <w:szCs w:val="13"/>
                <w:color w:val="auto"/>
              </w:rPr>
            </w:pPr>
          </w:p>
        </w:tc>
        <w:tc>
          <w:tcPr>
            <w:tcW w:w="4540" w:type="dxa"/>
            <w:vAlign w:val="bottom"/>
          </w:tcPr>
          <w:p>
            <w:pPr>
              <w:ind w:left="60"/>
              <w:spacing w:after="0"/>
              <w:rPr>
                <w:sz w:val="20"/>
                <w:szCs w:val="20"/>
                <w:color w:val="auto"/>
              </w:rPr>
            </w:pPr>
            <w:r>
              <w:rPr>
                <w:rFonts w:ascii="Arial" w:cs="Arial" w:eastAsia="Arial" w:hAnsi="Arial"/>
                <w:sz w:val="13"/>
                <w:szCs w:val="13"/>
                <w:color w:val="auto"/>
              </w:rPr>
              <w:t>(collectively “Texit”)</w:t>
            </w:r>
          </w:p>
        </w:tc>
        <w:tc>
          <w:tcPr>
            <w:tcW w:w="362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157"/>
        </w:trPr>
        <w:tc>
          <w:tcPr>
            <w:tcW w:w="4620" w:type="dxa"/>
            <w:vAlign w:val="bottom"/>
            <w:gridSpan w:val="2"/>
          </w:tcPr>
          <w:p>
            <w:pPr>
              <w:spacing w:after="0"/>
              <w:rPr>
                <w:sz w:val="20"/>
                <w:szCs w:val="20"/>
                <w:color w:val="auto"/>
              </w:rPr>
            </w:pPr>
            <w:r>
              <w:rPr>
                <w:rFonts w:ascii="Arial" w:cs="Arial" w:eastAsia="Arial" w:hAnsi="Arial"/>
                <w:sz w:val="13"/>
                <w:szCs w:val="13"/>
                <w:color w:val="auto"/>
              </w:rPr>
              <w:t>TruMed Technologies, Inc. (“TruMed”)</w:t>
            </w:r>
          </w:p>
        </w:tc>
        <w:tc>
          <w:tcPr>
            <w:tcW w:w="3620" w:type="dxa"/>
            <w:vAlign w:val="bottom"/>
          </w:tcPr>
          <w:p>
            <w:pPr>
              <w:ind w:left="2080"/>
              <w:spacing w:after="0"/>
              <w:rPr>
                <w:sz w:val="20"/>
                <w:szCs w:val="20"/>
                <w:color w:val="auto"/>
              </w:rPr>
            </w:pPr>
            <w:r>
              <w:rPr>
                <w:rFonts w:ascii="Arial" w:cs="Arial" w:eastAsia="Arial" w:hAnsi="Arial"/>
                <w:sz w:val="13"/>
                <w:szCs w:val="13"/>
                <w:color w:val="auto"/>
              </w:rPr>
              <w:t>Americas</w:t>
            </w:r>
          </w:p>
        </w:tc>
        <w:tc>
          <w:tcPr>
            <w:tcW w:w="1760" w:type="dxa"/>
            <w:vAlign w:val="bottom"/>
          </w:tcPr>
          <w:p>
            <w:pPr>
              <w:ind w:left="340"/>
              <w:spacing w:after="0"/>
              <w:rPr>
                <w:sz w:val="20"/>
                <w:szCs w:val="20"/>
                <w:color w:val="auto"/>
              </w:rPr>
            </w:pPr>
            <w:r>
              <w:rPr>
                <w:rFonts w:ascii="Arial" w:cs="Arial" w:eastAsia="Arial" w:hAnsi="Arial"/>
                <w:sz w:val="13"/>
                <w:szCs w:val="13"/>
                <w:color w:val="auto"/>
              </w:rPr>
              <w:t>October 2005</w:t>
            </w:r>
          </w:p>
        </w:tc>
      </w:tr>
      <w:tr>
        <w:trPr>
          <w:trHeight w:val="157"/>
        </w:trPr>
        <w:tc>
          <w:tcPr>
            <w:tcW w:w="4620" w:type="dxa"/>
            <w:vAlign w:val="bottom"/>
            <w:gridSpan w:val="2"/>
          </w:tcPr>
          <w:p>
            <w:pPr>
              <w:spacing w:after="0"/>
              <w:rPr>
                <w:sz w:val="20"/>
                <w:szCs w:val="20"/>
                <w:color w:val="auto"/>
              </w:rPr>
            </w:pPr>
            <w:r>
              <w:rPr>
                <w:rFonts w:ascii="Arial" w:cs="Arial" w:eastAsia="Arial" w:hAnsi="Arial"/>
                <w:sz w:val="13"/>
                <w:szCs w:val="13"/>
                <w:color w:val="auto"/>
              </w:rPr>
              <w:t>QDP Thailand Co., Ltd (“QDPT”)</w:t>
            </w:r>
          </w:p>
        </w:tc>
        <w:tc>
          <w:tcPr>
            <w:tcW w:w="3620" w:type="dxa"/>
            <w:vAlign w:val="bottom"/>
          </w:tcPr>
          <w:p>
            <w:pPr>
              <w:ind w:left="2080"/>
              <w:spacing w:after="0"/>
              <w:rPr>
                <w:sz w:val="20"/>
                <w:szCs w:val="20"/>
                <w:color w:val="auto"/>
              </w:rPr>
            </w:pPr>
            <w:r>
              <w:rPr>
                <w:rFonts w:ascii="Arial" w:cs="Arial" w:eastAsia="Arial" w:hAnsi="Arial"/>
                <w:sz w:val="13"/>
                <w:szCs w:val="13"/>
                <w:color w:val="auto"/>
              </w:rPr>
              <w:t>Asia-Pacific</w:t>
            </w:r>
          </w:p>
        </w:tc>
        <w:tc>
          <w:tcPr>
            <w:tcW w:w="1760" w:type="dxa"/>
            <w:vAlign w:val="bottom"/>
          </w:tcPr>
          <w:p>
            <w:pPr>
              <w:ind w:left="340"/>
              <w:spacing w:after="0"/>
              <w:rPr>
                <w:sz w:val="20"/>
                <w:szCs w:val="20"/>
                <w:color w:val="auto"/>
              </w:rPr>
            </w:pPr>
            <w:r>
              <w:rPr>
                <w:rFonts w:ascii="Arial" w:cs="Arial" w:eastAsia="Arial" w:hAnsi="Arial"/>
                <w:sz w:val="13"/>
                <w:szCs w:val="13"/>
                <w:color w:val="auto"/>
              </w:rPr>
              <w:t>October 2005</w:t>
            </w:r>
          </w:p>
        </w:tc>
      </w:tr>
      <w:tr>
        <w:trPr>
          <w:trHeight w:val="157"/>
        </w:trPr>
        <w:tc>
          <w:tcPr>
            <w:tcW w:w="4620" w:type="dxa"/>
            <w:vAlign w:val="bottom"/>
            <w:gridSpan w:val="2"/>
          </w:tcPr>
          <w:p>
            <w:pPr>
              <w:spacing w:after="0"/>
              <w:rPr>
                <w:sz w:val="20"/>
                <w:szCs w:val="20"/>
                <w:color w:val="auto"/>
              </w:rPr>
            </w:pPr>
            <w:r>
              <w:rPr>
                <w:rFonts w:ascii="Arial" w:cs="Arial" w:eastAsia="Arial" w:hAnsi="Arial"/>
                <w:sz w:val="13"/>
                <w:szCs w:val="13"/>
                <w:color w:val="auto"/>
              </w:rPr>
              <w:t>J.A.M. Plastics Inc. (“J.A.M.”)</w:t>
            </w:r>
          </w:p>
        </w:tc>
        <w:tc>
          <w:tcPr>
            <w:tcW w:w="3620" w:type="dxa"/>
            <w:vAlign w:val="bottom"/>
          </w:tcPr>
          <w:p>
            <w:pPr>
              <w:ind w:left="2080"/>
              <w:spacing w:after="0"/>
              <w:rPr>
                <w:sz w:val="20"/>
                <w:szCs w:val="20"/>
                <w:color w:val="auto"/>
              </w:rPr>
            </w:pPr>
            <w:r>
              <w:rPr>
                <w:rFonts w:ascii="Arial" w:cs="Arial" w:eastAsia="Arial" w:hAnsi="Arial"/>
                <w:sz w:val="13"/>
                <w:szCs w:val="13"/>
                <w:color w:val="auto"/>
              </w:rPr>
              <w:t>Americas</w:t>
            </w:r>
          </w:p>
        </w:tc>
        <w:tc>
          <w:tcPr>
            <w:tcW w:w="1760" w:type="dxa"/>
            <w:vAlign w:val="bottom"/>
          </w:tcPr>
          <w:p>
            <w:pPr>
              <w:ind w:left="340"/>
              <w:spacing w:after="0"/>
              <w:rPr>
                <w:sz w:val="20"/>
                <w:szCs w:val="20"/>
                <w:color w:val="auto"/>
              </w:rPr>
            </w:pPr>
            <w:r>
              <w:rPr>
                <w:rFonts w:ascii="Arial" w:cs="Arial" w:eastAsia="Arial" w:hAnsi="Arial"/>
                <w:sz w:val="13"/>
                <w:szCs w:val="13"/>
                <w:color w:val="auto"/>
              </w:rPr>
              <w:t>December 2005</w:t>
            </w:r>
          </w:p>
        </w:tc>
      </w:tr>
      <w:tr>
        <w:trPr>
          <w:trHeight w:val="157"/>
        </w:trPr>
        <w:tc>
          <w:tcPr>
            <w:tcW w:w="4620" w:type="dxa"/>
            <w:vAlign w:val="bottom"/>
            <w:gridSpan w:val="2"/>
          </w:tcPr>
          <w:p>
            <w:pPr>
              <w:spacing w:after="0"/>
              <w:rPr>
                <w:sz w:val="20"/>
                <w:szCs w:val="20"/>
                <w:color w:val="auto"/>
              </w:rPr>
            </w:pPr>
            <w:r>
              <w:rPr>
                <w:rFonts w:ascii="Arial" w:cs="Arial" w:eastAsia="Arial" w:hAnsi="Arial"/>
                <w:sz w:val="13"/>
                <w:szCs w:val="13"/>
                <w:color w:val="auto"/>
              </w:rPr>
              <w:t>Personnel Concepts</w:t>
            </w:r>
          </w:p>
        </w:tc>
        <w:tc>
          <w:tcPr>
            <w:tcW w:w="3620" w:type="dxa"/>
            <w:vAlign w:val="bottom"/>
          </w:tcPr>
          <w:p>
            <w:pPr>
              <w:ind w:left="2080"/>
              <w:spacing w:after="0"/>
              <w:rPr>
                <w:sz w:val="20"/>
                <w:szCs w:val="20"/>
                <w:color w:val="auto"/>
              </w:rPr>
            </w:pPr>
            <w:r>
              <w:rPr>
                <w:rFonts w:ascii="Arial" w:cs="Arial" w:eastAsia="Arial" w:hAnsi="Arial"/>
                <w:sz w:val="13"/>
                <w:szCs w:val="13"/>
                <w:color w:val="auto"/>
              </w:rPr>
              <w:t>Americas</w:t>
            </w:r>
          </w:p>
        </w:tc>
        <w:tc>
          <w:tcPr>
            <w:tcW w:w="1760" w:type="dxa"/>
            <w:vAlign w:val="bottom"/>
          </w:tcPr>
          <w:p>
            <w:pPr>
              <w:ind w:left="340"/>
              <w:spacing w:after="0"/>
              <w:rPr>
                <w:sz w:val="20"/>
                <w:szCs w:val="20"/>
                <w:color w:val="auto"/>
              </w:rPr>
            </w:pPr>
            <w:r>
              <w:rPr>
                <w:rFonts w:ascii="Arial" w:cs="Arial" w:eastAsia="Arial" w:hAnsi="Arial"/>
                <w:sz w:val="13"/>
                <w:szCs w:val="13"/>
                <w:color w:val="auto"/>
              </w:rPr>
              <w:t>January 2006</w:t>
            </w:r>
          </w:p>
        </w:tc>
      </w:tr>
      <w:tr>
        <w:trPr>
          <w:trHeight w:val="157"/>
        </w:trPr>
        <w:tc>
          <w:tcPr>
            <w:tcW w:w="4620" w:type="dxa"/>
            <w:vAlign w:val="bottom"/>
            <w:gridSpan w:val="2"/>
          </w:tcPr>
          <w:p>
            <w:pPr>
              <w:spacing w:after="0"/>
              <w:rPr>
                <w:sz w:val="20"/>
                <w:szCs w:val="20"/>
                <w:color w:val="auto"/>
              </w:rPr>
            </w:pPr>
            <w:r>
              <w:rPr>
                <w:rFonts w:ascii="Arial" w:cs="Arial" w:eastAsia="Arial" w:hAnsi="Arial"/>
                <w:sz w:val="13"/>
                <w:szCs w:val="13"/>
                <w:color w:val="auto"/>
              </w:rPr>
              <w:t>IDenticard Systems, Inc. and Identicam Systems</w:t>
            </w:r>
          </w:p>
        </w:tc>
        <w:tc>
          <w:tcPr>
            <w:tcW w:w="3620" w:type="dxa"/>
            <w:vAlign w:val="bottom"/>
          </w:tcPr>
          <w:p>
            <w:pPr>
              <w:ind w:left="2080"/>
              <w:spacing w:after="0"/>
              <w:rPr>
                <w:sz w:val="20"/>
                <w:szCs w:val="20"/>
                <w:color w:val="auto"/>
              </w:rPr>
            </w:pPr>
            <w:r>
              <w:rPr>
                <w:rFonts w:ascii="Arial" w:cs="Arial" w:eastAsia="Arial" w:hAnsi="Arial"/>
                <w:sz w:val="13"/>
                <w:szCs w:val="13"/>
                <w:color w:val="auto"/>
              </w:rPr>
              <w:t>Americas</w:t>
            </w:r>
          </w:p>
        </w:tc>
        <w:tc>
          <w:tcPr>
            <w:tcW w:w="1760" w:type="dxa"/>
            <w:vAlign w:val="bottom"/>
          </w:tcPr>
          <w:p>
            <w:pPr>
              <w:ind w:left="340"/>
              <w:spacing w:after="0"/>
              <w:rPr>
                <w:sz w:val="20"/>
                <w:szCs w:val="20"/>
                <w:color w:val="auto"/>
              </w:rPr>
            </w:pPr>
            <w:r>
              <w:rPr>
                <w:rFonts w:ascii="Arial" w:cs="Arial" w:eastAsia="Arial" w:hAnsi="Arial"/>
                <w:sz w:val="13"/>
                <w:szCs w:val="13"/>
                <w:color w:val="auto"/>
              </w:rPr>
              <w:t>February 2006</w:t>
            </w:r>
          </w:p>
        </w:tc>
      </w:tr>
      <w:tr>
        <w:trPr>
          <w:trHeight w:val="157"/>
        </w:trPr>
        <w:tc>
          <w:tcPr>
            <w:tcW w:w="80" w:type="dxa"/>
            <w:vAlign w:val="bottom"/>
          </w:tcPr>
          <w:p>
            <w:pPr>
              <w:spacing w:after="0"/>
              <w:rPr>
                <w:sz w:val="13"/>
                <w:szCs w:val="13"/>
                <w:color w:val="auto"/>
              </w:rPr>
            </w:pPr>
          </w:p>
        </w:tc>
        <w:tc>
          <w:tcPr>
            <w:tcW w:w="4540" w:type="dxa"/>
            <w:vAlign w:val="bottom"/>
          </w:tcPr>
          <w:p>
            <w:pPr>
              <w:ind w:left="60"/>
              <w:spacing w:after="0"/>
              <w:rPr>
                <w:sz w:val="20"/>
                <w:szCs w:val="20"/>
                <w:color w:val="auto"/>
              </w:rPr>
            </w:pPr>
            <w:r>
              <w:rPr>
                <w:rFonts w:ascii="Arial" w:cs="Arial" w:eastAsia="Arial" w:hAnsi="Arial"/>
                <w:sz w:val="13"/>
                <w:szCs w:val="13"/>
                <w:color w:val="auto"/>
              </w:rPr>
              <w:t>(collectively “Identicard”)</w:t>
            </w:r>
          </w:p>
        </w:tc>
        <w:tc>
          <w:tcPr>
            <w:tcW w:w="362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157"/>
        </w:trPr>
        <w:tc>
          <w:tcPr>
            <w:tcW w:w="4620" w:type="dxa"/>
            <w:vAlign w:val="bottom"/>
            <w:gridSpan w:val="2"/>
          </w:tcPr>
          <w:p>
            <w:pPr>
              <w:spacing w:after="0"/>
              <w:rPr>
                <w:sz w:val="20"/>
                <w:szCs w:val="20"/>
                <w:color w:val="auto"/>
              </w:rPr>
            </w:pPr>
            <w:r>
              <w:rPr>
                <w:rFonts w:ascii="Arial" w:cs="Arial" w:eastAsia="Arial" w:hAnsi="Arial"/>
                <w:sz w:val="13"/>
                <w:szCs w:val="13"/>
                <w:color w:val="auto"/>
              </w:rPr>
              <w:t>Accidental Health &amp; Safety Pty. Ltd and</w:t>
            </w:r>
          </w:p>
        </w:tc>
        <w:tc>
          <w:tcPr>
            <w:tcW w:w="3620" w:type="dxa"/>
            <w:vAlign w:val="bottom"/>
          </w:tcPr>
          <w:p>
            <w:pPr>
              <w:ind w:left="2080"/>
              <w:spacing w:after="0"/>
              <w:rPr>
                <w:sz w:val="20"/>
                <w:szCs w:val="20"/>
                <w:color w:val="auto"/>
              </w:rPr>
            </w:pPr>
            <w:r>
              <w:rPr>
                <w:rFonts w:ascii="Arial" w:cs="Arial" w:eastAsia="Arial" w:hAnsi="Arial"/>
                <w:sz w:val="13"/>
                <w:szCs w:val="13"/>
                <w:color w:val="auto"/>
              </w:rPr>
              <w:t>Asia-Pacific</w:t>
            </w:r>
          </w:p>
        </w:tc>
        <w:tc>
          <w:tcPr>
            <w:tcW w:w="1760" w:type="dxa"/>
            <w:vAlign w:val="bottom"/>
          </w:tcPr>
          <w:p>
            <w:pPr>
              <w:ind w:left="340"/>
              <w:spacing w:after="0"/>
              <w:rPr>
                <w:sz w:val="20"/>
                <w:szCs w:val="20"/>
                <w:color w:val="auto"/>
              </w:rPr>
            </w:pPr>
            <w:r>
              <w:rPr>
                <w:rFonts w:ascii="Arial" w:cs="Arial" w:eastAsia="Arial" w:hAnsi="Arial"/>
                <w:sz w:val="13"/>
                <w:szCs w:val="13"/>
                <w:color w:val="auto"/>
              </w:rPr>
              <w:t>March 2006</w:t>
            </w:r>
          </w:p>
        </w:tc>
      </w:tr>
      <w:tr>
        <w:trPr>
          <w:trHeight w:val="157"/>
        </w:trPr>
        <w:tc>
          <w:tcPr>
            <w:tcW w:w="80" w:type="dxa"/>
            <w:vAlign w:val="bottom"/>
          </w:tcPr>
          <w:p>
            <w:pPr>
              <w:spacing w:after="0"/>
              <w:rPr>
                <w:sz w:val="13"/>
                <w:szCs w:val="13"/>
                <w:color w:val="auto"/>
              </w:rPr>
            </w:pPr>
          </w:p>
        </w:tc>
        <w:tc>
          <w:tcPr>
            <w:tcW w:w="4540" w:type="dxa"/>
            <w:vAlign w:val="bottom"/>
          </w:tcPr>
          <w:p>
            <w:pPr>
              <w:ind w:left="60"/>
              <w:spacing w:after="0"/>
              <w:rPr>
                <w:sz w:val="20"/>
                <w:szCs w:val="20"/>
                <w:color w:val="auto"/>
              </w:rPr>
            </w:pPr>
            <w:r>
              <w:rPr>
                <w:rFonts w:ascii="Arial" w:cs="Arial" w:eastAsia="Arial" w:hAnsi="Arial"/>
                <w:sz w:val="13"/>
                <w:szCs w:val="13"/>
                <w:color w:val="auto"/>
              </w:rPr>
              <w:t>Trafalgar First Aid Pty. Ltd.</w:t>
            </w:r>
          </w:p>
        </w:tc>
        <w:tc>
          <w:tcPr>
            <w:tcW w:w="362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157"/>
        </w:trPr>
        <w:tc>
          <w:tcPr>
            <w:tcW w:w="80" w:type="dxa"/>
            <w:vAlign w:val="bottom"/>
          </w:tcPr>
          <w:p>
            <w:pPr>
              <w:spacing w:after="0"/>
              <w:rPr>
                <w:sz w:val="13"/>
                <w:szCs w:val="13"/>
                <w:color w:val="auto"/>
              </w:rPr>
            </w:pPr>
          </w:p>
        </w:tc>
        <w:tc>
          <w:tcPr>
            <w:tcW w:w="4540" w:type="dxa"/>
            <w:vAlign w:val="bottom"/>
          </w:tcPr>
          <w:p>
            <w:pPr>
              <w:ind w:left="60"/>
              <w:spacing w:after="0"/>
              <w:rPr>
                <w:sz w:val="20"/>
                <w:szCs w:val="20"/>
                <w:color w:val="auto"/>
              </w:rPr>
            </w:pPr>
            <w:r>
              <w:rPr>
                <w:rFonts w:ascii="Arial" w:cs="Arial" w:eastAsia="Arial" w:hAnsi="Arial"/>
                <w:sz w:val="13"/>
                <w:szCs w:val="13"/>
                <w:color w:val="auto"/>
              </w:rPr>
              <w:t>(collectively “Accidental Health”)</w:t>
            </w:r>
          </w:p>
        </w:tc>
        <w:tc>
          <w:tcPr>
            <w:tcW w:w="362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157"/>
        </w:trPr>
        <w:tc>
          <w:tcPr>
            <w:tcW w:w="4620" w:type="dxa"/>
            <w:vAlign w:val="bottom"/>
            <w:gridSpan w:val="2"/>
          </w:tcPr>
          <w:p>
            <w:pPr>
              <w:spacing w:after="0"/>
              <w:rPr>
                <w:sz w:val="20"/>
                <w:szCs w:val="20"/>
                <w:color w:val="auto"/>
              </w:rPr>
            </w:pPr>
            <w:r>
              <w:rPr>
                <w:rFonts w:ascii="Arial" w:cs="Arial" w:eastAsia="Arial" w:hAnsi="Arial"/>
                <w:sz w:val="13"/>
                <w:szCs w:val="13"/>
                <w:color w:val="auto"/>
              </w:rPr>
              <w:t>Tradex Converting AB (“Tradex”)</w:t>
            </w:r>
          </w:p>
        </w:tc>
        <w:tc>
          <w:tcPr>
            <w:tcW w:w="3620" w:type="dxa"/>
            <w:vAlign w:val="bottom"/>
          </w:tcPr>
          <w:p>
            <w:pPr>
              <w:ind w:left="2080"/>
              <w:spacing w:after="0"/>
              <w:rPr>
                <w:sz w:val="20"/>
                <w:szCs w:val="20"/>
                <w:color w:val="auto"/>
              </w:rPr>
            </w:pPr>
            <w:r>
              <w:rPr>
                <w:rFonts w:ascii="Arial" w:cs="Arial" w:eastAsia="Arial" w:hAnsi="Arial"/>
                <w:sz w:val="13"/>
                <w:szCs w:val="13"/>
                <w:color w:val="auto"/>
              </w:rPr>
              <w:t>Americas, Europe</w:t>
            </w:r>
          </w:p>
        </w:tc>
        <w:tc>
          <w:tcPr>
            <w:tcW w:w="1760" w:type="dxa"/>
            <w:vAlign w:val="bottom"/>
          </w:tcPr>
          <w:p>
            <w:pPr>
              <w:ind w:left="340"/>
              <w:spacing w:after="0"/>
              <w:rPr>
                <w:sz w:val="20"/>
                <w:szCs w:val="20"/>
                <w:color w:val="auto"/>
              </w:rPr>
            </w:pPr>
            <w:r>
              <w:rPr>
                <w:rFonts w:ascii="Arial" w:cs="Arial" w:eastAsia="Arial" w:hAnsi="Arial"/>
                <w:sz w:val="13"/>
                <w:szCs w:val="13"/>
                <w:color w:val="auto"/>
              </w:rPr>
              <w:t>May 2006</w:t>
            </w:r>
          </w:p>
        </w:tc>
      </w:tr>
      <w:tr>
        <w:trPr>
          <w:trHeight w:val="157"/>
        </w:trPr>
        <w:tc>
          <w:tcPr>
            <w:tcW w:w="8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3620" w:type="dxa"/>
            <w:vAlign w:val="bottom"/>
          </w:tcPr>
          <w:p>
            <w:pPr>
              <w:ind w:left="2080"/>
              <w:spacing w:after="0"/>
              <w:rPr>
                <w:sz w:val="20"/>
                <w:szCs w:val="20"/>
                <w:color w:val="auto"/>
              </w:rPr>
            </w:pPr>
            <w:r>
              <w:rPr>
                <w:rFonts w:ascii="Arial" w:cs="Arial" w:eastAsia="Arial" w:hAnsi="Arial"/>
                <w:sz w:val="13"/>
                <w:szCs w:val="13"/>
                <w:color w:val="auto"/>
              </w:rPr>
              <w:t>and Asia-Pacific</w:t>
            </w:r>
          </w:p>
        </w:tc>
        <w:tc>
          <w:tcPr>
            <w:tcW w:w="1760" w:type="dxa"/>
            <w:vAlign w:val="bottom"/>
          </w:tcPr>
          <w:p>
            <w:pPr>
              <w:spacing w:after="0"/>
              <w:rPr>
                <w:sz w:val="13"/>
                <w:szCs w:val="13"/>
                <w:color w:val="auto"/>
              </w:rPr>
            </w:pPr>
          </w:p>
        </w:tc>
      </w:tr>
      <w:tr>
        <w:trPr>
          <w:trHeight w:val="157"/>
        </w:trPr>
        <w:tc>
          <w:tcPr>
            <w:tcW w:w="4620" w:type="dxa"/>
            <w:vAlign w:val="bottom"/>
            <w:gridSpan w:val="2"/>
          </w:tcPr>
          <w:p>
            <w:pPr>
              <w:spacing w:after="0"/>
              <w:rPr>
                <w:sz w:val="20"/>
                <w:szCs w:val="20"/>
                <w:color w:val="auto"/>
              </w:rPr>
            </w:pPr>
            <w:r>
              <w:rPr>
                <w:rFonts w:ascii="Arial" w:cs="Arial" w:eastAsia="Arial" w:hAnsi="Arial"/>
                <w:sz w:val="13"/>
                <w:szCs w:val="13"/>
                <w:color w:val="auto"/>
              </w:rPr>
              <w:t>Carroll Australasia Pty. Ltd. (“Carroll”)</w:t>
            </w:r>
          </w:p>
        </w:tc>
        <w:tc>
          <w:tcPr>
            <w:tcW w:w="3620" w:type="dxa"/>
            <w:vAlign w:val="bottom"/>
          </w:tcPr>
          <w:p>
            <w:pPr>
              <w:ind w:left="2080"/>
              <w:spacing w:after="0"/>
              <w:rPr>
                <w:sz w:val="20"/>
                <w:szCs w:val="20"/>
                <w:color w:val="auto"/>
              </w:rPr>
            </w:pPr>
            <w:r>
              <w:rPr>
                <w:rFonts w:ascii="Arial" w:cs="Arial" w:eastAsia="Arial" w:hAnsi="Arial"/>
                <w:sz w:val="13"/>
                <w:szCs w:val="13"/>
                <w:color w:val="auto"/>
              </w:rPr>
              <w:t>Asia-Pacific</w:t>
            </w:r>
          </w:p>
        </w:tc>
        <w:tc>
          <w:tcPr>
            <w:tcW w:w="1760" w:type="dxa"/>
            <w:vAlign w:val="bottom"/>
          </w:tcPr>
          <w:p>
            <w:pPr>
              <w:ind w:left="340"/>
              <w:spacing w:after="0"/>
              <w:rPr>
                <w:sz w:val="20"/>
                <w:szCs w:val="20"/>
                <w:color w:val="auto"/>
              </w:rPr>
            </w:pPr>
            <w:r>
              <w:rPr>
                <w:rFonts w:ascii="Arial" w:cs="Arial" w:eastAsia="Arial" w:hAnsi="Arial"/>
                <w:sz w:val="13"/>
                <w:szCs w:val="13"/>
                <w:color w:val="auto"/>
              </w:rPr>
              <w:t>June 2006</w:t>
            </w:r>
          </w:p>
        </w:tc>
      </w:tr>
      <w:tr>
        <w:trPr>
          <w:trHeight w:val="165"/>
        </w:trPr>
        <w:tc>
          <w:tcPr>
            <w:tcW w:w="4620" w:type="dxa"/>
            <w:vAlign w:val="bottom"/>
            <w:gridSpan w:val="2"/>
          </w:tcPr>
          <w:p>
            <w:pPr>
              <w:spacing w:after="0"/>
              <w:rPr>
                <w:sz w:val="20"/>
                <w:szCs w:val="20"/>
                <w:color w:val="auto"/>
              </w:rPr>
            </w:pPr>
            <w:r>
              <w:rPr>
                <w:rFonts w:ascii="Arial" w:cs="Arial" w:eastAsia="Arial" w:hAnsi="Arial"/>
                <w:sz w:val="13"/>
                <w:szCs w:val="13"/>
                <w:color w:val="auto"/>
              </w:rPr>
              <w:t>Daewon Industry Corporation (“Daewon”)</w:t>
            </w:r>
          </w:p>
        </w:tc>
        <w:tc>
          <w:tcPr>
            <w:tcW w:w="3620" w:type="dxa"/>
            <w:vAlign w:val="bottom"/>
          </w:tcPr>
          <w:p>
            <w:pPr>
              <w:ind w:left="2080"/>
              <w:spacing w:after="0"/>
              <w:rPr>
                <w:sz w:val="20"/>
                <w:szCs w:val="20"/>
                <w:color w:val="auto"/>
              </w:rPr>
            </w:pPr>
            <w:r>
              <w:rPr>
                <w:rFonts w:ascii="Arial" w:cs="Arial" w:eastAsia="Arial" w:hAnsi="Arial"/>
                <w:sz w:val="13"/>
                <w:szCs w:val="13"/>
                <w:color w:val="auto"/>
              </w:rPr>
              <w:t>Asia-Pacific</w:t>
            </w:r>
          </w:p>
        </w:tc>
        <w:tc>
          <w:tcPr>
            <w:tcW w:w="1760" w:type="dxa"/>
            <w:vAlign w:val="bottom"/>
          </w:tcPr>
          <w:p>
            <w:pPr>
              <w:ind w:left="340"/>
              <w:spacing w:after="0"/>
              <w:rPr>
                <w:sz w:val="20"/>
                <w:szCs w:val="20"/>
                <w:color w:val="auto"/>
              </w:rPr>
            </w:pPr>
            <w:r>
              <w:rPr>
                <w:rFonts w:ascii="Arial" w:cs="Arial" w:eastAsia="Arial" w:hAnsi="Arial"/>
                <w:sz w:val="13"/>
                <w:szCs w:val="13"/>
                <w:color w:val="auto"/>
              </w:rPr>
              <w:t>July 2006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5186045</wp:posOffset>
            </wp:positionH>
            <wp:positionV relativeFrom="paragraph">
              <wp:posOffset>-1627505</wp:posOffset>
            </wp:positionV>
            <wp:extent cx="12700"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6322060</wp:posOffset>
            </wp:positionH>
            <wp:positionV relativeFrom="paragraph">
              <wp:posOffset>-1627505</wp:posOffset>
            </wp:positionV>
            <wp:extent cx="12700"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61" w:lineRule="exact"/>
        <w:rPr>
          <w:sz w:val="20"/>
          <w:szCs w:val="20"/>
          <w:color w:val="auto"/>
        </w:rPr>
      </w:pPr>
    </w:p>
    <w:p>
      <w:pPr>
        <w:ind w:left="680" w:right="320" w:firstLine="399"/>
        <w:spacing w:after="0" w:line="334" w:lineRule="auto"/>
        <w:rPr>
          <w:sz w:val="20"/>
          <w:szCs w:val="20"/>
          <w:color w:val="auto"/>
        </w:rPr>
      </w:pPr>
      <w:r>
        <w:rPr>
          <w:rFonts w:ascii="Arial" w:cs="Arial" w:eastAsia="Arial" w:hAnsi="Arial"/>
          <w:sz w:val="11"/>
          <w:szCs w:val="11"/>
          <w:color w:val="auto"/>
        </w:rPr>
        <w:t>Sales for fiscal 2006 increased by $202.0 million, or 24.7% from fiscal 2005. Organic sales, defined as sales in the Company’s existing core businesses and regions (exclusive of acquisitions and foreign currency effects), increased $75.4 million or 9.2% for the same period. The acquisitions listed above increased sales by $130.3 million or 16.0% in fiscal 2006 compared to fiscal 2005. Fluctuations in the exchange rates used to translate financial results into the United States Dollar caused sales to drop by $3.7 million or 0.5% for the year.</w:t>
      </w:r>
    </w:p>
    <w:p>
      <w:pPr>
        <w:spacing w:after="0" w:line="32" w:lineRule="exact"/>
        <w:rPr>
          <w:sz w:val="20"/>
          <w:szCs w:val="20"/>
          <w:color w:val="auto"/>
        </w:rPr>
      </w:pPr>
    </w:p>
    <w:p>
      <w:pPr>
        <w:ind w:left="680" w:right="260" w:firstLine="399"/>
        <w:spacing w:after="0" w:line="264" w:lineRule="auto"/>
        <w:rPr>
          <w:sz w:val="20"/>
          <w:szCs w:val="20"/>
          <w:color w:val="auto"/>
        </w:rPr>
      </w:pPr>
      <w:r>
        <w:rPr>
          <w:rFonts w:ascii="Arial" w:cs="Arial" w:eastAsia="Arial" w:hAnsi="Arial"/>
          <w:sz w:val="13"/>
          <w:szCs w:val="13"/>
          <w:color w:val="auto"/>
        </w:rPr>
        <w:t>The gross margin as a percentage of sales decreased from 53.1% in fiscal 2005 to 51.6% in fiscal 2006. The decrease was primarily due to a decline in Asia-Pacific attributable to unfavorable acquisition mix, a shift in the product mix towards OEM electronics and cost pressures not offset by sales price increases, and a decline in Europe due to acquisition mix, partially offset by an increase in the Americas due to sales price increases, cost reductions and favorable acquisition mix.</w:t>
      </w:r>
    </w:p>
    <w:p>
      <w:pPr>
        <w:spacing w:after="0" w:line="67" w:lineRule="exact"/>
        <w:rPr>
          <w:sz w:val="20"/>
          <w:szCs w:val="20"/>
          <w:color w:val="auto"/>
        </w:rPr>
      </w:pPr>
    </w:p>
    <w:p>
      <w:pPr>
        <w:jc w:val="both"/>
        <w:ind w:left="680" w:right="40" w:firstLine="399"/>
        <w:spacing w:after="0" w:line="264" w:lineRule="auto"/>
        <w:rPr>
          <w:sz w:val="20"/>
          <w:szCs w:val="20"/>
          <w:color w:val="auto"/>
        </w:rPr>
      </w:pPr>
      <w:r>
        <w:rPr>
          <w:rFonts w:ascii="Arial" w:cs="Arial" w:eastAsia="Arial" w:hAnsi="Arial"/>
          <w:sz w:val="13"/>
          <w:szCs w:val="13"/>
          <w:color w:val="auto"/>
        </w:rPr>
        <w:t>Research and development expenses grew to $30.4 million in fiscal 2006 from $25.1 million in fiscal 2005, but fell slightly as a percentage of sales from 3.1% in fiscal 2005 to 3.0% in fiscal 2006. Research and development spending increases of 21.4% were offset by a 24.7% increase in sales in fiscal 2006. New product development continues to be a major focus of the Brady management team.</w:t>
      </w:r>
    </w:p>
    <w:p>
      <w:pPr>
        <w:spacing w:after="0" w:line="67"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Selling, general and administrative (“SG&amp;A”) expenses of $338.8 million decreased as a percentage of sales from 35.0% in fiscal 2005 to 33.3% in fiscal 2006. The decrease was due primarily to cost efficiencies gained in the existing businesses in all regions driven by organic sales growth and cost control and a change in our business mix, partially offset by higher SG&amp;A expenses from the acquisitions completed in fiscal 2006.</w:t>
      </w:r>
    </w:p>
    <w:p>
      <w:pPr>
        <w:spacing w:after="0" w:line="67"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Operating income increased $34.1 million to $156.5 million in fiscal 2006. As a percentage of sales, operating income increased from 15.0% in fiscal 2005 to 15.4% in fiscal 2006. The majority of the increase was due to sales growth compounded by strong cost control. The existing businesses improved operating income as a percent of sales, which more than offset the negative impact from the acquisitions completed in the year.</w:t>
      </w:r>
    </w:p>
    <w:p>
      <w:pPr>
        <w:spacing w:after="0" w:line="67"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Investment and other income increased $1.0 million in fiscal 2006 from the prior year, primarily due to a gain of approximately $1.5 million on a currency option that the Company purchased to hedge against increases in the purchase price in U.S. dollar terms of Tradex as the transaction was denominated in Swedish Krona.</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80"/>
          </w:cols>
          <w:pgMar w:left="220" w:top="343" w:right="99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Interest expense increased $5.8 million in fiscal 2006 due to the interest on the $200 million private placement that was completed in the third quarter of fiscal 2006. The full twelve month impact of this additional fixed debt will be $10.6 million.</w:t>
      </w:r>
    </w:p>
    <w:p>
      <w:pPr>
        <w:spacing w:after="0" w:line="59"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The Company’s effective tax rate decreased from 29.0% for fiscal 2005 to 28.0% for fiscal 2006. The improvement in the effective rate was due to a continuing shift to a higher percentage of the Company’s pre-tax income to lower tax rate countries. An effective income tax rate of 28% is expected for fiscal 2007.</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Year Ended July 31, 2005, Compared to Year Ended July 31, 2004</w:t>
      </w:r>
    </w:p>
    <w:p>
      <w:pPr>
        <w:spacing w:after="0" w:line="96" w:lineRule="exact"/>
        <w:rPr>
          <w:sz w:val="20"/>
          <w:szCs w:val="20"/>
          <w:color w:val="auto"/>
        </w:rPr>
      </w:pPr>
    </w:p>
    <w:p>
      <w:pPr>
        <w:ind w:left="680" w:right="140" w:firstLine="399"/>
        <w:spacing w:after="0" w:line="257" w:lineRule="auto"/>
        <w:rPr>
          <w:sz w:val="20"/>
          <w:szCs w:val="20"/>
          <w:color w:val="auto"/>
        </w:rPr>
      </w:pPr>
      <w:r>
        <w:rPr>
          <w:rFonts w:ascii="Arial" w:cs="Arial" w:eastAsia="Arial" w:hAnsi="Arial"/>
          <w:sz w:val="13"/>
          <w:szCs w:val="13"/>
          <w:color w:val="auto"/>
        </w:rPr>
        <w:t>Sales for fiscal 2005 increased by $145.2 million or 21.6% from fiscal 2004. Base sales, defined as sales in the Company’s existing core businesses and regions (exclusive of acquisitions and foreign currency effects), increased $38.4 million or 5.7% for the same period. The acquisitions of ID Technologies (August 2004) in Singapore, Electromark (February 2005) in the United States, and Signs &amp; Labels (June 2005) in the UK, increased sales by $85.5 million or 12.7% in fiscal 2005 compared to fiscal 2004. The results of the acquisition of Technology Print Supplies, Ltd., and its associate, Technology and Supply Media Co., Ltd. in Thailand had minimal impact on the 2005 results because they were purchased at the close of business on July 29, 2005. The increase in sales was also aided by the positive effect of fluctuations in the exchange rates used to translate financial results into the United States Dollar, which increased sales by $21.3 million or 3.2% for the year.</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gross margin as a percentage of sales increased from 51.5% in fiscal 2004 to 53.1% in fiscal 2005. The increase was primarily due to the following two factors:</w:t>
      </w:r>
    </w:p>
    <w:p>
      <w:pPr>
        <w:spacing w:after="0" w:line="96" w:lineRule="exact"/>
        <w:rPr>
          <w:sz w:val="20"/>
          <w:szCs w:val="20"/>
          <w:color w:val="auto"/>
        </w:rPr>
      </w:pPr>
    </w:p>
    <w:p>
      <w:pPr>
        <w:ind w:left="1600" w:hanging="131"/>
        <w:spacing w:after="0"/>
        <w:tabs>
          <w:tab w:leader="none" w:pos="16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Improved product mix attributable to EMED products, which carry a higher gross margin; and</w:t>
      </w:r>
    </w:p>
    <w:p>
      <w:pPr>
        <w:spacing w:after="0" w:line="96" w:lineRule="exact"/>
        <w:rPr>
          <w:rFonts w:ascii="Arial" w:cs="Arial" w:eastAsia="Arial" w:hAnsi="Arial"/>
          <w:sz w:val="13"/>
          <w:szCs w:val="13"/>
          <w:color w:val="auto"/>
        </w:rPr>
      </w:pPr>
    </w:p>
    <w:p>
      <w:pPr>
        <w:ind w:left="1680" w:hanging="187"/>
        <w:spacing w:after="0"/>
        <w:tabs>
          <w:tab w:leader="none" w:pos="1680" w:val="left"/>
        </w:tabs>
        <w:numPr>
          <w:ilvl w:val="1"/>
          <w:numId w:val="14"/>
        </w:numPr>
        <w:rPr>
          <w:rFonts w:ascii="Arial" w:cs="Arial" w:eastAsia="Arial" w:hAnsi="Arial"/>
          <w:sz w:val="13"/>
          <w:szCs w:val="13"/>
          <w:color w:val="auto"/>
        </w:rPr>
      </w:pPr>
      <w:r>
        <w:rPr>
          <w:rFonts w:ascii="Arial" w:cs="Arial" w:eastAsia="Arial" w:hAnsi="Arial"/>
          <w:sz w:val="13"/>
          <w:szCs w:val="13"/>
          <w:color w:val="auto"/>
        </w:rPr>
        <w:t>Improvement in North American margins due to improved product mix and continued cost control efforts.</w:t>
      </w:r>
    </w:p>
    <w:p>
      <w:pPr>
        <w:spacing w:after="0" w:line="15" w:lineRule="exact"/>
        <w:rPr>
          <w:sz w:val="20"/>
          <w:szCs w:val="20"/>
          <w:color w:val="auto"/>
        </w:rPr>
      </w:pPr>
    </w:p>
    <w:p>
      <w:pPr>
        <w:ind w:left="680" w:right="340"/>
        <w:spacing w:after="0" w:line="264" w:lineRule="auto"/>
        <w:rPr>
          <w:sz w:val="20"/>
          <w:szCs w:val="20"/>
          <w:color w:val="auto"/>
        </w:rPr>
      </w:pPr>
      <w:r>
        <w:rPr>
          <w:rFonts w:ascii="Arial" w:cs="Arial" w:eastAsia="Arial" w:hAnsi="Arial"/>
          <w:sz w:val="13"/>
          <w:szCs w:val="13"/>
          <w:color w:val="auto"/>
        </w:rPr>
        <w:t>This increase was partially offset by decreased margins due to increased sales in Asia-Pacific, where gross margins are lower due to a higher percentage of business coming from OEM electronics customers.</w:t>
      </w:r>
    </w:p>
    <w:p>
      <w:pPr>
        <w:spacing w:after="0" w:line="67"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Research and development expenses as a percentage of sales fell from 3.4% in fiscal 2004 to 3.1% in fiscal 2005. Research and development spending increases of 8.9% were offset by a 21.6% increase in sales in fiscal 2005. Research and development spending was lower than expected in the first three quarters of fiscal 2005 as it took longer than expected to hire senior-level research and development personnel. In the fourth quarter of fiscal 2005, research and development spending increased 15.5% over the same period in fiscal 2004.</w:t>
      </w:r>
    </w:p>
    <w:p>
      <w:pPr>
        <w:spacing w:after="0" w:line="50" w:lineRule="exact"/>
        <w:rPr>
          <w:sz w:val="20"/>
          <w:szCs w:val="20"/>
          <w:color w:val="auto"/>
        </w:rPr>
      </w:pPr>
    </w:p>
    <w:p>
      <w:pPr>
        <w:ind w:left="680" w:right="260" w:firstLine="399"/>
        <w:spacing w:after="0" w:line="264" w:lineRule="auto"/>
        <w:rPr>
          <w:sz w:val="20"/>
          <w:szCs w:val="20"/>
          <w:color w:val="auto"/>
        </w:rPr>
      </w:pPr>
      <w:r>
        <w:rPr>
          <w:rFonts w:ascii="Arial" w:cs="Arial" w:eastAsia="Arial" w:hAnsi="Arial"/>
          <w:sz w:val="13"/>
          <w:szCs w:val="13"/>
          <w:color w:val="auto"/>
        </w:rPr>
        <w:t>Selling, general and administrative expenses as a percentage of sales decreased to 35.0% in fiscal 2005 from 37.0% in fiscal 2004. The decrease was due primarily to the use of existing resources to service greater sales volume and the increasing sales in Asia-Pacific, which has lower selling, general and administrative costs than the other regions. Offsetting the sales volume increase were compliance costs related to the Sarbanes-Oxley Act of 2002.</w:t>
      </w:r>
    </w:p>
    <w:p>
      <w:pPr>
        <w:spacing w:after="0" w:line="67"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Fiscal 2004 expenses included a before tax net restructuring charge of $3.2 million. Approximately $2.9 million of the charge related to severance costs for employees. The remaining amount was due to asset disposal at facilities, primarily in North America and Europe.</w:t>
      </w:r>
    </w:p>
    <w:p>
      <w:pPr>
        <w:spacing w:after="0" w:line="59"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Operating income increased $51.5 million to $122.5 million in fiscal 2005. The majority of the increase was due to sales growth, strong cost control, the increased earnings of recent acquisitions, and the benefit of fluctuations in exchange rates. The 2004 operating income included $3.2 million of restructuring costs.</w:t>
      </w:r>
    </w:p>
    <w:p>
      <w:pPr>
        <w:spacing w:after="0" w:line="59"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Investment and other income increased $0.8 million in fiscal 2005 from the prior year, primarily due to the net effect of foreign exchange rates on the Company’s hedge contracts and on short-term intercompany loans.</w:t>
      </w:r>
    </w:p>
    <w:p>
      <w:pPr>
        <w:spacing w:after="0" w:line="59"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Interest expense increased $7.2 million in fiscal 2005 due to the interest on the debt related to the acquisition of EMED. Fiscal 2005 included a full year of interest, while fiscal 2004 included less than three months.</w:t>
      </w:r>
    </w:p>
    <w:p>
      <w:pPr>
        <w:spacing w:after="0" w:line="59"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The Company’s effective tax rate increased from 27.7% for fiscal 2004 to 29.0% for fiscal 2005. The fiscal 2004 effective tax rate included $3.0 million related to the completion of the federal income tax audit of fiscal years</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2000 through 2002. The improvement in the effective rate (excluding the tax audit adjustment) was due to a shift in a portion of the Company’s pre-tax income to lower tax countries.</w:t>
      </w:r>
    </w:p>
    <w:p>
      <w:pPr>
        <w:spacing w:after="0" w:line="18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Business Segment Operating Results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Management of the Company evaluates results based on the following geographic regions: Americas, Europe, and Asia-Pacific.</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3080" w:type="dxa"/>
            <w:vAlign w:val="bottom"/>
            <w:vMerge w:val="restart"/>
          </w:tcPr>
          <w:p>
            <w:pPr>
              <w:jc w:val="center"/>
              <w:ind w:right="2057"/>
              <w:spacing w:after="0"/>
              <w:rPr>
                <w:sz w:val="20"/>
                <w:szCs w:val="20"/>
                <w:color w:val="auto"/>
              </w:rPr>
            </w:pPr>
            <w:r>
              <w:rPr>
                <w:rFonts w:ascii="Arial" w:cs="Arial" w:eastAsia="Arial" w:hAnsi="Arial"/>
                <w:sz w:val="10"/>
                <w:szCs w:val="10"/>
                <w:i w:val="1"/>
                <w:iCs w:val="1"/>
                <w:u w:val="single" w:color="auto"/>
                <w:color w:val="auto"/>
                <w:w w:val="98"/>
              </w:rPr>
              <w:t>(</w:t>
            </w:r>
            <w:r>
              <w:rPr>
                <w:rFonts w:ascii="Arial" w:cs="Arial" w:eastAsia="Arial" w:hAnsi="Arial"/>
                <w:sz w:val="10"/>
                <w:szCs w:val="10"/>
                <w:i w:val="1"/>
                <w:iCs w:val="1"/>
                <w:color w:val="auto"/>
                <w:w w:val="98"/>
              </w:rPr>
              <w:t>Dollars in thousands)</w:t>
            </w: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6"/>
              </w:rPr>
              <w:t>Corporate and</w:t>
            </w: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080" w:type="dxa"/>
            <w:vAlign w:val="bottom"/>
            <w:vMerge w:val="continue"/>
          </w:tcPr>
          <w:p>
            <w:pPr>
              <w:spacing w:after="0"/>
              <w:rPr>
                <w:sz w:val="10"/>
                <w:szCs w:val="10"/>
                <w:color w:val="auto"/>
              </w:rPr>
            </w:pPr>
          </w:p>
        </w:tc>
        <w:tc>
          <w:tcPr>
            <w:tcW w:w="1100" w:type="dxa"/>
            <w:vAlign w:val="bottom"/>
            <w:gridSpan w:val="2"/>
          </w:tcPr>
          <w:p>
            <w:pPr>
              <w:ind w:left="140"/>
              <w:spacing w:after="0"/>
              <w:rPr>
                <w:sz w:val="20"/>
                <w:szCs w:val="20"/>
                <w:color w:val="auto"/>
              </w:rPr>
            </w:pPr>
            <w:r>
              <w:rPr>
                <w:rFonts w:ascii="Arial" w:cs="Arial" w:eastAsia="Arial" w:hAnsi="Arial"/>
                <w:sz w:val="10"/>
                <w:szCs w:val="10"/>
                <w:b w:val="1"/>
                <w:bCs w:val="1"/>
                <w:color w:val="auto"/>
              </w:rPr>
              <w:t>Americas</w:t>
            </w:r>
          </w:p>
        </w:tc>
        <w:tc>
          <w:tcPr>
            <w:tcW w:w="112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Europe</w:t>
            </w:r>
          </w:p>
        </w:tc>
        <w:tc>
          <w:tcPr>
            <w:tcW w:w="1100" w:type="dxa"/>
            <w:vAlign w:val="bottom"/>
            <w:gridSpan w:val="2"/>
          </w:tcPr>
          <w:p>
            <w:pPr>
              <w:ind w:left="80"/>
              <w:spacing w:after="0"/>
              <w:rPr>
                <w:sz w:val="20"/>
                <w:szCs w:val="20"/>
                <w:color w:val="auto"/>
              </w:rPr>
            </w:pPr>
            <w:r>
              <w:rPr>
                <w:rFonts w:ascii="Arial" w:cs="Arial" w:eastAsia="Arial" w:hAnsi="Arial"/>
                <w:sz w:val="10"/>
                <w:szCs w:val="10"/>
                <w:b w:val="1"/>
                <w:bCs w:val="1"/>
                <w:color w:val="auto"/>
              </w:rPr>
              <w:t>Asia-Pacific</w:t>
            </w:r>
          </w:p>
        </w:tc>
        <w:tc>
          <w:tcPr>
            <w:tcW w:w="1240" w:type="dxa"/>
            <w:vAlign w:val="bottom"/>
            <w:gridSpan w:val="2"/>
          </w:tcPr>
          <w:p>
            <w:pPr>
              <w:ind w:left="180"/>
              <w:spacing w:after="0"/>
              <w:rPr>
                <w:sz w:val="20"/>
                <w:szCs w:val="20"/>
                <w:color w:val="auto"/>
              </w:rPr>
            </w:pPr>
            <w:r>
              <w:rPr>
                <w:rFonts w:ascii="Arial" w:cs="Arial" w:eastAsia="Arial" w:hAnsi="Arial"/>
                <w:sz w:val="10"/>
                <w:szCs w:val="10"/>
                <w:b w:val="1"/>
                <w:bCs w:val="1"/>
                <w:color w:val="auto"/>
              </w:rPr>
              <w:t>Subtotals</w:t>
            </w:r>
          </w:p>
        </w:tc>
        <w:tc>
          <w:tcPr>
            <w:tcW w:w="13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4"/>
              </w:rPr>
              <w:t>Eliminations</w:t>
            </w:r>
          </w:p>
        </w:tc>
        <w:tc>
          <w:tcPr>
            <w:tcW w:w="960" w:type="dxa"/>
            <w:vAlign w:val="bottom"/>
            <w:gridSpan w:val="2"/>
          </w:tcPr>
          <w:p>
            <w:pPr>
              <w:jc w:val="right"/>
              <w:ind w:right="44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9"/>
        </w:trPr>
        <w:tc>
          <w:tcPr>
            <w:tcW w:w="308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0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SALES TO EXTERNAL CUSTOMERS</w:t>
            </w: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080" w:type="dxa"/>
            <w:vAlign w:val="bottom"/>
          </w:tcPr>
          <w:p>
            <w:pPr>
              <w:spacing w:after="0"/>
              <w:rPr>
                <w:sz w:val="20"/>
                <w:szCs w:val="20"/>
                <w:color w:val="auto"/>
              </w:rPr>
            </w:pPr>
            <w:r>
              <w:rPr>
                <w:rFonts w:ascii="Arial" w:cs="Arial" w:eastAsia="Arial" w:hAnsi="Arial"/>
                <w:sz w:val="13"/>
                <w:szCs w:val="13"/>
                <w:color w:val="auto"/>
              </w:rPr>
              <w:t>Years ended:</w:t>
            </w: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080" w:type="dxa"/>
            <w:vAlign w:val="bottom"/>
            <w:shd w:val="clear" w:color="auto" w:fill="CCEEFF"/>
          </w:tcPr>
          <w:p>
            <w:pPr>
              <w:jc w:val="center"/>
              <w:ind w:right="2037"/>
              <w:spacing w:after="0"/>
              <w:rPr>
                <w:sz w:val="20"/>
                <w:szCs w:val="20"/>
                <w:color w:val="auto"/>
              </w:rPr>
            </w:pPr>
            <w:r>
              <w:rPr>
                <w:rFonts w:ascii="Arial" w:cs="Arial" w:eastAsia="Arial" w:hAnsi="Arial"/>
                <w:sz w:val="13"/>
                <w:szCs w:val="13"/>
                <w:color w:val="auto"/>
                <w:w w:val="90"/>
              </w:rPr>
              <w:t>July 31, 2006</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   498,916</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   319,432</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   200,088</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   1,018,436</w:t>
            </w:r>
          </w:p>
        </w:tc>
        <w:tc>
          <w:tcPr>
            <w:tcW w:w="138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   1,018,436</w:t>
            </w:r>
          </w:p>
        </w:tc>
        <w:tc>
          <w:tcPr>
            <w:tcW w:w="0" w:type="dxa"/>
            <w:vAlign w:val="bottom"/>
          </w:tcPr>
          <w:p>
            <w:pPr>
              <w:spacing w:after="0"/>
              <w:rPr>
                <w:sz w:val="1"/>
                <w:szCs w:val="1"/>
                <w:color w:val="auto"/>
              </w:rPr>
            </w:pPr>
          </w:p>
        </w:tc>
      </w:tr>
      <w:tr>
        <w:trPr>
          <w:trHeight w:val="157"/>
        </w:trPr>
        <w:tc>
          <w:tcPr>
            <w:tcW w:w="3080" w:type="dxa"/>
            <w:vAlign w:val="bottom"/>
          </w:tcPr>
          <w:p>
            <w:pPr>
              <w:jc w:val="center"/>
              <w:ind w:right="2037"/>
              <w:spacing w:after="0"/>
              <w:rPr>
                <w:sz w:val="20"/>
                <w:szCs w:val="20"/>
                <w:color w:val="auto"/>
              </w:rPr>
            </w:pPr>
            <w:r>
              <w:rPr>
                <w:rFonts w:ascii="Arial" w:cs="Arial" w:eastAsia="Arial" w:hAnsi="Arial"/>
                <w:sz w:val="13"/>
                <w:szCs w:val="13"/>
                <w:color w:val="auto"/>
                <w:w w:val="90"/>
              </w:rPr>
              <w:t>July 31, 2005</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417,780</w:t>
            </w:r>
          </w:p>
        </w:tc>
        <w:tc>
          <w:tcPr>
            <w:tcW w:w="1120" w:type="dxa"/>
            <w:vAlign w:val="bottom"/>
            <w:gridSpan w:val="2"/>
          </w:tcPr>
          <w:p>
            <w:pPr>
              <w:jc w:val="right"/>
              <w:ind w:right="440"/>
              <w:spacing w:after="0"/>
              <w:rPr>
                <w:sz w:val="20"/>
                <w:szCs w:val="20"/>
                <w:color w:val="auto"/>
              </w:rPr>
            </w:pPr>
            <w:r>
              <w:rPr>
                <w:rFonts w:ascii="Arial" w:cs="Arial" w:eastAsia="Arial" w:hAnsi="Arial"/>
                <w:sz w:val="13"/>
                <w:szCs w:val="13"/>
                <w:color w:val="auto"/>
              </w:rPr>
              <w:t>274,691</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123,976</w:t>
            </w:r>
          </w:p>
        </w:tc>
        <w:tc>
          <w:tcPr>
            <w:tcW w:w="1240" w:type="dxa"/>
            <w:vAlign w:val="bottom"/>
            <w:gridSpan w:val="2"/>
          </w:tcPr>
          <w:p>
            <w:pPr>
              <w:jc w:val="right"/>
              <w:ind w:right="440"/>
              <w:spacing w:after="0"/>
              <w:rPr>
                <w:sz w:val="20"/>
                <w:szCs w:val="20"/>
                <w:color w:val="auto"/>
              </w:rPr>
            </w:pPr>
            <w:r>
              <w:rPr>
                <w:rFonts w:ascii="Arial" w:cs="Arial" w:eastAsia="Arial" w:hAnsi="Arial"/>
                <w:sz w:val="13"/>
                <w:szCs w:val="13"/>
                <w:color w:val="auto"/>
              </w:rPr>
              <w:t>816,447</w:t>
            </w:r>
          </w:p>
        </w:tc>
        <w:tc>
          <w:tcPr>
            <w:tcW w:w="1380" w:type="dxa"/>
            <w:vAlign w:val="bottom"/>
            <w:gridSpan w:val="2"/>
          </w:tcPr>
          <w:p>
            <w:pPr>
              <w:ind w:left="8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816,447</w:t>
            </w:r>
          </w:p>
        </w:tc>
        <w:tc>
          <w:tcPr>
            <w:tcW w:w="0" w:type="dxa"/>
            <w:vAlign w:val="bottom"/>
          </w:tcPr>
          <w:p>
            <w:pPr>
              <w:spacing w:after="0"/>
              <w:rPr>
                <w:sz w:val="1"/>
                <w:szCs w:val="1"/>
                <w:color w:val="auto"/>
              </w:rPr>
            </w:pPr>
          </w:p>
        </w:tc>
      </w:tr>
      <w:tr>
        <w:trPr>
          <w:trHeight w:val="157"/>
        </w:trPr>
        <w:tc>
          <w:tcPr>
            <w:tcW w:w="3080" w:type="dxa"/>
            <w:vAlign w:val="bottom"/>
            <w:shd w:val="clear" w:color="auto" w:fill="CCEEFF"/>
          </w:tcPr>
          <w:p>
            <w:pPr>
              <w:jc w:val="center"/>
              <w:ind w:right="2037"/>
              <w:spacing w:after="0"/>
              <w:rPr>
                <w:sz w:val="20"/>
                <w:szCs w:val="20"/>
                <w:color w:val="auto"/>
              </w:rPr>
            </w:pPr>
            <w:r>
              <w:rPr>
                <w:rFonts w:ascii="Arial" w:cs="Arial" w:eastAsia="Arial" w:hAnsi="Arial"/>
                <w:sz w:val="13"/>
                <w:szCs w:val="13"/>
                <w:color w:val="auto"/>
                <w:w w:val="90"/>
              </w:rPr>
              <w:t>July 31, 2004</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341,975</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248,255</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80,989</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671,219</w:t>
            </w:r>
          </w:p>
        </w:tc>
        <w:tc>
          <w:tcPr>
            <w:tcW w:w="138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671,219</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3080" w:type="dxa"/>
            <w:vAlign w:val="bottom"/>
          </w:tcPr>
          <w:p>
            <w:pPr>
              <w:spacing w:after="0"/>
              <w:rPr>
                <w:sz w:val="20"/>
                <w:szCs w:val="20"/>
                <w:color w:val="auto"/>
              </w:rPr>
            </w:pPr>
            <w:r>
              <w:rPr>
                <w:rFonts w:ascii="Arial" w:cs="Arial" w:eastAsia="Arial" w:hAnsi="Arial"/>
                <w:sz w:val="13"/>
                <w:szCs w:val="13"/>
                <w:b w:val="1"/>
                <w:bCs w:val="1"/>
                <w:color w:val="auto"/>
              </w:rPr>
              <w:t>SALES GROWTH INFORMATION</w:t>
            </w: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080" w:type="dxa"/>
            <w:vAlign w:val="bottom"/>
            <w:shd w:val="clear" w:color="auto" w:fill="CCEEFF"/>
          </w:tcPr>
          <w:p>
            <w:pPr>
              <w:spacing w:after="0"/>
              <w:rPr>
                <w:sz w:val="20"/>
                <w:szCs w:val="20"/>
                <w:color w:val="auto"/>
              </w:rPr>
            </w:pPr>
            <w:r>
              <w:rPr>
                <w:rFonts w:ascii="Arial" w:cs="Arial" w:eastAsia="Arial" w:hAnsi="Arial"/>
                <w:sz w:val="13"/>
                <w:szCs w:val="13"/>
                <w:color w:val="auto"/>
              </w:rPr>
              <w:t>Year ended July 31, 2006:</w:t>
            </w: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080" w:type="dxa"/>
            <w:vAlign w:val="bottom"/>
          </w:tcPr>
          <w:p>
            <w:pPr>
              <w:ind w:left="140"/>
              <w:spacing w:after="0"/>
              <w:rPr>
                <w:sz w:val="20"/>
                <w:szCs w:val="20"/>
                <w:color w:val="auto"/>
              </w:rPr>
            </w:pPr>
            <w:r>
              <w:rPr>
                <w:rFonts w:ascii="Arial" w:cs="Arial" w:eastAsia="Arial" w:hAnsi="Arial"/>
                <w:sz w:val="13"/>
                <w:szCs w:val="13"/>
                <w:color w:val="auto"/>
              </w:rPr>
              <w:t>Organic</w:t>
            </w: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5.0%</w:t>
            </w:r>
          </w:p>
        </w:tc>
        <w:tc>
          <w:tcPr>
            <w:tcW w:w="1120" w:type="dxa"/>
            <w:vAlign w:val="bottom"/>
            <w:gridSpan w:val="2"/>
          </w:tcPr>
          <w:p>
            <w:pPr>
              <w:jc w:val="right"/>
              <w:ind w:right="320"/>
              <w:spacing w:after="0"/>
              <w:rPr>
                <w:sz w:val="20"/>
                <w:szCs w:val="20"/>
                <w:color w:val="auto"/>
              </w:rPr>
            </w:pPr>
            <w:r>
              <w:rPr>
                <w:rFonts w:ascii="Arial" w:cs="Arial" w:eastAsia="Arial" w:hAnsi="Arial"/>
                <w:sz w:val="13"/>
                <w:szCs w:val="13"/>
                <w:color w:val="auto"/>
              </w:rPr>
              <w:t>4.2%</w:t>
            </w: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34.7%</w:t>
            </w:r>
          </w:p>
        </w:tc>
        <w:tc>
          <w:tcPr>
            <w:tcW w:w="1240" w:type="dxa"/>
            <w:vAlign w:val="bottom"/>
            <w:gridSpan w:val="2"/>
          </w:tcPr>
          <w:p>
            <w:pPr>
              <w:jc w:val="right"/>
              <w:ind w:right="340"/>
              <w:spacing w:after="0"/>
              <w:rPr>
                <w:sz w:val="20"/>
                <w:szCs w:val="20"/>
                <w:color w:val="auto"/>
              </w:rPr>
            </w:pPr>
            <w:r>
              <w:rPr>
                <w:rFonts w:ascii="Arial" w:cs="Arial" w:eastAsia="Arial" w:hAnsi="Arial"/>
                <w:sz w:val="13"/>
                <w:szCs w:val="13"/>
                <w:color w:val="auto"/>
              </w:rPr>
              <w:t>9.2%</w:t>
            </w:r>
          </w:p>
        </w:tc>
        <w:tc>
          <w:tcPr>
            <w:tcW w:w="1380" w:type="dxa"/>
            <w:vAlign w:val="bottom"/>
            <w:gridSpan w:val="2"/>
          </w:tcPr>
          <w:p>
            <w:pPr>
              <w:ind w:left="8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9.2%</w:t>
            </w:r>
          </w:p>
        </w:tc>
        <w:tc>
          <w:tcPr>
            <w:tcW w:w="0" w:type="dxa"/>
            <w:vAlign w:val="bottom"/>
          </w:tcPr>
          <w:p>
            <w:pPr>
              <w:spacing w:after="0"/>
              <w:rPr>
                <w:sz w:val="1"/>
                <w:szCs w:val="1"/>
                <w:color w:val="auto"/>
              </w:rPr>
            </w:pPr>
          </w:p>
        </w:tc>
      </w:tr>
      <w:tr>
        <w:trPr>
          <w:trHeight w:val="157"/>
        </w:trPr>
        <w:tc>
          <w:tcPr>
            <w:tcW w:w="3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Currency</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1.5%</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(4.3)%</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1.6%</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(0.5)%</w:t>
            </w:r>
          </w:p>
        </w:tc>
        <w:tc>
          <w:tcPr>
            <w:tcW w:w="138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57"/>
        </w:trPr>
        <w:tc>
          <w:tcPr>
            <w:tcW w:w="3080" w:type="dxa"/>
            <w:vAlign w:val="bottom"/>
          </w:tcPr>
          <w:p>
            <w:pPr>
              <w:ind w:left="140"/>
              <w:spacing w:after="0"/>
              <w:rPr>
                <w:sz w:val="20"/>
                <w:szCs w:val="20"/>
                <w:color w:val="auto"/>
              </w:rPr>
            </w:pPr>
            <w:r>
              <w:rPr>
                <w:rFonts w:ascii="Arial" w:cs="Arial" w:eastAsia="Arial" w:hAnsi="Arial"/>
                <w:sz w:val="13"/>
                <w:szCs w:val="13"/>
                <w:color w:val="auto"/>
              </w:rPr>
              <w:t>Acquisitions</w:t>
            </w: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12.9%</w:t>
            </w:r>
          </w:p>
        </w:tc>
        <w:tc>
          <w:tcPr>
            <w:tcW w:w="1120" w:type="dxa"/>
            <w:vAlign w:val="bottom"/>
            <w:gridSpan w:val="2"/>
          </w:tcPr>
          <w:p>
            <w:pPr>
              <w:jc w:val="right"/>
              <w:ind w:right="320"/>
              <w:spacing w:after="0"/>
              <w:rPr>
                <w:sz w:val="20"/>
                <w:szCs w:val="20"/>
                <w:color w:val="auto"/>
              </w:rPr>
            </w:pPr>
            <w:r>
              <w:rPr>
                <w:rFonts w:ascii="Arial" w:cs="Arial" w:eastAsia="Arial" w:hAnsi="Arial"/>
                <w:sz w:val="13"/>
                <w:szCs w:val="13"/>
                <w:color w:val="auto"/>
              </w:rPr>
              <w:t>16.4%</w:t>
            </w: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25.1%</w:t>
            </w:r>
          </w:p>
        </w:tc>
        <w:tc>
          <w:tcPr>
            <w:tcW w:w="1240" w:type="dxa"/>
            <w:vAlign w:val="bottom"/>
            <w:gridSpan w:val="2"/>
          </w:tcPr>
          <w:p>
            <w:pPr>
              <w:jc w:val="right"/>
              <w:ind w:right="340"/>
              <w:spacing w:after="0"/>
              <w:rPr>
                <w:sz w:val="20"/>
                <w:szCs w:val="20"/>
                <w:color w:val="auto"/>
              </w:rPr>
            </w:pPr>
            <w:r>
              <w:rPr>
                <w:rFonts w:ascii="Arial" w:cs="Arial" w:eastAsia="Arial" w:hAnsi="Arial"/>
                <w:sz w:val="13"/>
                <w:szCs w:val="13"/>
                <w:color w:val="auto"/>
              </w:rPr>
              <w:t>16.0%</w:t>
            </w:r>
          </w:p>
        </w:tc>
        <w:tc>
          <w:tcPr>
            <w:tcW w:w="1380" w:type="dxa"/>
            <w:vAlign w:val="bottom"/>
            <w:gridSpan w:val="2"/>
          </w:tcPr>
          <w:p>
            <w:pPr>
              <w:ind w:left="8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16.0%</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0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19.4%</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16.3%</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61.4%</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24.7%</w:t>
            </w:r>
          </w:p>
        </w:tc>
        <w:tc>
          <w:tcPr>
            <w:tcW w:w="138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24.7%</w:t>
            </w:r>
          </w:p>
        </w:tc>
        <w:tc>
          <w:tcPr>
            <w:tcW w:w="0" w:type="dxa"/>
            <w:vAlign w:val="bottom"/>
          </w:tcPr>
          <w:p>
            <w:pPr>
              <w:spacing w:after="0"/>
              <w:rPr>
                <w:sz w:val="1"/>
                <w:szCs w:val="1"/>
                <w:color w:val="auto"/>
              </w:rPr>
            </w:pPr>
          </w:p>
        </w:tc>
      </w:tr>
      <w:tr>
        <w:trPr>
          <w:trHeight w:val="157"/>
        </w:trPr>
        <w:tc>
          <w:tcPr>
            <w:tcW w:w="3080" w:type="dxa"/>
            <w:vAlign w:val="bottom"/>
          </w:tcPr>
          <w:p>
            <w:pPr>
              <w:spacing w:after="0"/>
              <w:rPr>
                <w:sz w:val="20"/>
                <w:szCs w:val="20"/>
                <w:color w:val="auto"/>
              </w:rPr>
            </w:pPr>
            <w:r>
              <w:rPr>
                <w:rFonts w:ascii="Arial" w:cs="Arial" w:eastAsia="Arial" w:hAnsi="Arial"/>
                <w:sz w:val="13"/>
                <w:szCs w:val="13"/>
                <w:color w:val="auto"/>
              </w:rPr>
              <w:t>Year ended July 31, 2005:</w:t>
            </w: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Organic</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4.4%</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2.5%</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21.4%</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5.7%</w:t>
            </w:r>
          </w:p>
        </w:tc>
        <w:tc>
          <w:tcPr>
            <w:tcW w:w="138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57"/>
        </w:trPr>
        <w:tc>
          <w:tcPr>
            <w:tcW w:w="3080" w:type="dxa"/>
            <w:vAlign w:val="bottom"/>
          </w:tcPr>
          <w:p>
            <w:pPr>
              <w:ind w:left="140"/>
              <w:spacing w:after="0"/>
              <w:rPr>
                <w:sz w:val="20"/>
                <w:szCs w:val="20"/>
                <w:color w:val="auto"/>
              </w:rPr>
            </w:pPr>
            <w:r>
              <w:rPr>
                <w:rFonts w:ascii="Arial" w:cs="Arial" w:eastAsia="Arial" w:hAnsi="Arial"/>
                <w:sz w:val="13"/>
                <w:szCs w:val="13"/>
                <w:color w:val="auto"/>
              </w:rPr>
              <w:t>Currency</w:t>
            </w: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1.2%</w:t>
            </w:r>
          </w:p>
        </w:tc>
        <w:tc>
          <w:tcPr>
            <w:tcW w:w="1120" w:type="dxa"/>
            <w:vAlign w:val="bottom"/>
            <w:gridSpan w:val="2"/>
          </w:tcPr>
          <w:p>
            <w:pPr>
              <w:jc w:val="right"/>
              <w:ind w:right="320"/>
              <w:spacing w:after="0"/>
              <w:rPr>
                <w:sz w:val="20"/>
                <w:szCs w:val="20"/>
                <w:color w:val="auto"/>
              </w:rPr>
            </w:pPr>
            <w:r>
              <w:rPr>
                <w:rFonts w:ascii="Arial" w:cs="Arial" w:eastAsia="Arial" w:hAnsi="Arial"/>
                <w:sz w:val="13"/>
                <w:szCs w:val="13"/>
                <w:color w:val="auto"/>
              </w:rPr>
              <w:t>6.0%</w:t>
            </w: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3.0%</w:t>
            </w:r>
          </w:p>
        </w:tc>
        <w:tc>
          <w:tcPr>
            <w:tcW w:w="1240" w:type="dxa"/>
            <w:vAlign w:val="bottom"/>
            <w:gridSpan w:val="2"/>
          </w:tcPr>
          <w:p>
            <w:pPr>
              <w:jc w:val="right"/>
              <w:ind w:right="340"/>
              <w:spacing w:after="0"/>
              <w:rPr>
                <w:sz w:val="20"/>
                <w:szCs w:val="20"/>
                <w:color w:val="auto"/>
              </w:rPr>
            </w:pPr>
            <w:r>
              <w:rPr>
                <w:rFonts w:ascii="Arial" w:cs="Arial" w:eastAsia="Arial" w:hAnsi="Arial"/>
                <w:sz w:val="13"/>
                <w:szCs w:val="13"/>
                <w:color w:val="auto"/>
              </w:rPr>
              <w:t>3.2%</w:t>
            </w:r>
          </w:p>
        </w:tc>
        <w:tc>
          <w:tcPr>
            <w:tcW w:w="1380" w:type="dxa"/>
            <w:vAlign w:val="bottom"/>
            <w:gridSpan w:val="2"/>
          </w:tcPr>
          <w:p>
            <w:pPr>
              <w:ind w:left="8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57"/>
        </w:trPr>
        <w:tc>
          <w:tcPr>
            <w:tcW w:w="3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Acquisitions</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16.6%</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2.2%</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28.7%</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12.7%</w:t>
            </w:r>
          </w:p>
        </w:tc>
        <w:tc>
          <w:tcPr>
            <w:tcW w:w="138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12.7%</w:t>
            </w:r>
          </w:p>
        </w:tc>
        <w:tc>
          <w:tcPr>
            <w:tcW w:w="0" w:type="dxa"/>
            <w:vAlign w:val="bottom"/>
          </w:tcPr>
          <w:p>
            <w:pPr>
              <w:spacing w:after="0"/>
              <w:rPr>
                <w:sz w:val="1"/>
                <w:szCs w:val="1"/>
                <w:color w:val="auto"/>
              </w:rPr>
            </w:pPr>
          </w:p>
        </w:tc>
      </w:tr>
      <w:tr>
        <w:trPr>
          <w:trHeight w:val="20"/>
        </w:trPr>
        <w:tc>
          <w:tcPr>
            <w:tcW w:w="3080" w:type="dxa"/>
            <w:vAlign w:val="bottom"/>
            <w:vMerge w:val="restart"/>
          </w:tcPr>
          <w:p>
            <w:pPr>
              <w:ind w:left="280"/>
              <w:spacing w:after="0"/>
              <w:rPr>
                <w:sz w:val="20"/>
                <w:szCs w:val="20"/>
                <w:color w:val="auto"/>
              </w:rPr>
            </w:pPr>
            <w:r>
              <w:rPr>
                <w:rFonts w:ascii="Arial" w:cs="Arial" w:eastAsia="Arial" w:hAnsi="Arial"/>
                <w:sz w:val="13"/>
                <w:szCs w:val="13"/>
                <w:color w:val="auto"/>
              </w:rPr>
              <w:t>Total</w:t>
            </w: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80" w:type="dxa"/>
            <w:vAlign w:val="bottom"/>
            <w:vMerge w:val="continue"/>
          </w:tcPr>
          <w:p>
            <w:pPr>
              <w:spacing w:after="0"/>
              <w:rPr>
                <w:sz w:val="13"/>
                <w:szCs w:val="13"/>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22.2%</w:t>
            </w:r>
          </w:p>
        </w:tc>
        <w:tc>
          <w:tcPr>
            <w:tcW w:w="1120" w:type="dxa"/>
            <w:vAlign w:val="bottom"/>
            <w:gridSpan w:val="2"/>
          </w:tcPr>
          <w:p>
            <w:pPr>
              <w:jc w:val="right"/>
              <w:ind w:right="320"/>
              <w:spacing w:after="0"/>
              <w:rPr>
                <w:sz w:val="20"/>
                <w:szCs w:val="20"/>
                <w:color w:val="auto"/>
              </w:rPr>
            </w:pPr>
            <w:r>
              <w:rPr>
                <w:rFonts w:ascii="Arial" w:cs="Arial" w:eastAsia="Arial" w:hAnsi="Arial"/>
                <w:sz w:val="13"/>
                <w:szCs w:val="13"/>
                <w:color w:val="auto"/>
              </w:rPr>
              <w:t>10.7%</w:t>
            </w: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53.1%</w:t>
            </w:r>
          </w:p>
        </w:tc>
        <w:tc>
          <w:tcPr>
            <w:tcW w:w="1240" w:type="dxa"/>
            <w:vAlign w:val="bottom"/>
            <w:gridSpan w:val="2"/>
          </w:tcPr>
          <w:p>
            <w:pPr>
              <w:jc w:val="right"/>
              <w:ind w:right="340"/>
              <w:spacing w:after="0"/>
              <w:rPr>
                <w:sz w:val="20"/>
                <w:szCs w:val="20"/>
                <w:color w:val="auto"/>
              </w:rPr>
            </w:pPr>
            <w:r>
              <w:rPr>
                <w:rFonts w:ascii="Arial" w:cs="Arial" w:eastAsia="Arial" w:hAnsi="Arial"/>
                <w:sz w:val="13"/>
                <w:szCs w:val="13"/>
                <w:color w:val="auto"/>
              </w:rPr>
              <w:t>21.6%</w:t>
            </w:r>
          </w:p>
        </w:tc>
        <w:tc>
          <w:tcPr>
            <w:tcW w:w="1380" w:type="dxa"/>
            <w:vAlign w:val="bottom"/>
            <w:gridSpan w:val="2"/>
          </w:tcPr>
          <w:p>
            <w:pPr>
              <w:ind w:left="8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21.6%</w:t>
            </w:r>
          </w:p>
        </w:tc>
        <w:tc>
          <w:tcPr>
            <w:tcW w:w="0" w:type="dxa"/>
            <w:vAlign w:val="bottom"/>
          </w:tcPr>
          <w:p>
            <w:pPr>
              <w:spacing w:after="0"/>
              <w:rPr>
                <w:sz w:val="1"/>
                <w:szCs w:val="1"/>
                <w:color w:val="auto"/>
              </w:rPr>
            </w:pPr>
          </w:p>
        </w:tc>
      </w:tr>
    </w:tbl>
    <w:p>
      <w:pPr>
        <w:spacing w:after="0" w:line="9"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25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SEGMENT PROFIT (LOSS)</w:t>
            </w:r>
          </w:p>
        </w:tc>
        <w:tc>
          <w:tcPr>
            <w:tcW w:w="6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580" w:type="dxa"/>
            <w:vAlign w:val="bottom"/>
          </w:tcPr>
          <w:p>
            <w:pPr>
              <w:spacing w:after="0"/>
              <w:rPr>
                <w:sz w:val="20"/>
                <w:szCs w:val="20"/>
                <w:color w:val="auto"/>
              </w:rPr>
            </w:pPr>
            <w:r>
              <w:rPr>
                <w:rFonts w:ascii="Arial" w:cs="Arial" w:eastAsia="Arial" w:hAnsi="Arial"/>
                <w:sz w:val="13"/>
                <w:szCs w:val="13"/>
                <w:color w:val="auto"/>
              </w:rPr>
              <w:t>Years ended:</w:t>
            </w: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July 31, 2006</w:t>
            </w: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rPr>
              <w:t>122,525</w:t>
            </w:r>
          </w:p>
        </w:tc>
        <w:tc>
          <w:tcPr>
            <w:tcW w:w="40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54"/>
              <w:spacing w:after="0"/>
              <w:rPr>
                <w:sz w:val="20"/>
                <w:szCs w:val="20"/>
                <w:color w:val="auto"/>
              </w:rPr>
            </w:pPr>
            <w:r>
              <w:rPr>
                <w:rFonts w:ascii="Arial" w:cs="Arial" w:eastAsia="Arial" w:hAnsi="Arial"/>
                <w:sz w:val="13"/>
                <w:szCs w:val="13"/>
                <w:color w:val="auto"/>
              </w:rPr>
              <w:t>83,970</w:t>
            </w:r>
          </w:p>
        </w:tc>
        <w:tc>
          <w:tcPr>
            <w:tcW w:w="4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rPr>
              <w:t>49,316</w:t>
            </w:r>
          </w:p>
        </w:tc>
        <w:tc>
          <w:tcPr>
            <w:tcW w:w="42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255,811</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4"/>
              </w:rPr>
              <w:t>(10,633)</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245,178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580" w:type="dxa"/>
            <w:vAlign w:val="bottom"/>
          </w:tcPr>
          <w:p>
            <w:pPr>
              <w:ind w:left="140"/>
              <w:spacing w:after="0"/>
              <w:rPr>
                <w:sz w:val="20"/>
                <w:szCs w:val="20"/>
                <w:color w:val="auto"/>
              </w:rPr>
            </w:pPr>
            <w:r>
              <w:rPr>
                <w:rFonts w:ascii="Arial" w:cs="Arial" w:eastAsia="Arial" w:hAnsi="Arial"/>
                <w:sz w:val="13"/>
                <w:szCs w:val="13"/>
                <w:color w:val="auto"/>
              </w:rPr>
              <w:t>July 31, 2005</w:t>
            </w:r>
          </w:p>
        </w:tc>
        <w:tc>
          <w:tcPr>
            <w:tcW w:w="660" w:type="dxa"/>
            <w:vAlign w:val="bottom"/>
          </w:tcPr>
          <w:p>
            <w:pPr>
              <w:spacing w:after="0"/>
              <w:rPr>
                <w:sz w:val="13"/>
                <w:szCs w:val="13"/>
                <w:color w:val="auto"/>
              </w:rPr>
            </w:pPr>
          </w:p>
        </w:tc>
        <w:tc>
          <w:tcPr>
            <w:tcW w:w="740" w:type="dxa"/>
            <w:vAlign w:val="bottom"/>
          </w:tcPr>
          <w:p>
            <w:pPr>
              <w:jc w:val="right"/>
              <w:ind w:right="134"/>
              <w:spacing w:after="0"/>
              <w:rPr>
                <w:sz w:val="20"/>
                <w:szCs w:val="20"/>
                <w:color w:val="auto"/>
              </w:rPr>
            </w:pPr>
            <w:r>
              <w:rPr>
                <w:rFonts w:ascii="Arial" w:cs="Arial" w:eastAsia="Arial" w:hAnsi="Arial"/>
                <w:sz w:val="13"/>
                <w:szCs w:val="13"/>
                <w:color w:val="auto"/>
              </w:rPr>
              <w:t>98,193</w:t>
            </w:r>
          </w:p>
        </w:tc>
        <w:tc>
          <w:tcPr>
            <w:tcW w:w="400" w:type="dxa"/>
            <w:vAlign w:val="bottom"/>
          </w:tcPr>
          <w:p>
            <w:pPr>
              <w:spacing w:after="0"/>
              <w:rPr>
                <w:sz w:val="13"/>
                <w:szCs w:val="13"/>
                <w:color w:val="auto"/>
              </w:rPr>
            </w:pPr>
          </w:p>
        </w:tc>
        <w:tc>
          <w:tcPr>
            <w:tcW w:w="700" w:type="dxa"/>
            <w:vAlign w:val="bottom"/>
          </w:tcPr>
          <w:p>
            <w:pPr>
              <w:jc w:val="right"/>
              <w:ind w:right="154"/>
              <w:spacing w:after="0"/>
              <w:rPr>
                <w:sz w:val="20"/>
                <w:szCs w:val="20"/>
                <w:color w:val="auto"/>
              </w:rPr>
            </w:pPr>
            <w:r>
              <w:rPr>
                <w:rFonts w:ascii="Arial" w:cs="Arial" w:eastAsia="Arial" w:hAnsi="Arial"/>
                <w:sz w:val="13"/>
                <w:szCs w:val="13"/>
                <w:color w:val="auto"/>
              </w:rPr>
              <w:t>79,792</w:t>
            </w:r>
          </w:p>
        </w:tc>
        <w:tc>
          <w:tcPr>
            <w:tcW w:w="420" w:type="dxa"/>
            <w:vAlign w:val="bottom"/>
          </w:tcPr>
          <w:p>
            <w:pPr>
              <w:spacing w:after="0"/>
              <w:rPr>
                <w:sz w:val="13"/>
                <w:szCs w:val="13"/>
                <w:color w:val="auto"/>
              </w:rPr>
            </w:pPr>
          </w:p>
        </w:tc>
        <w:tc>
          <w:tcPr>
            <w:tcW w:w="700" w:type="dxa"/>
            <w:vAlign w:val="bottom"/>
          </w:tcPr>
          <w:p>
            <w:pPr>
              <w:jc w:val="right"/>
              <w:ind w:right="134"/>
              <w:spacing w:after="0"/>
              <w:rPr>
                <w:sz w:val="20"/>
                <w:szCs w:val="20"/>
                <w:color w:val="auto"/>
              </w:rPr>
            </w:pPr>
            <w:r>
              <w:rPr>
                <w:rFonts w:ascii="Arial" w:cs="Arial" w:eastAsia="Arial" w:hAnsi="Arial"/>
                <w:sz w:val="13"/>
                <w:szCs w:val="13"/>
                <w:color w:val="auto"/>
              </w:rPr>
              <w:t>34,228</w:t>
            </w:r>
          </w:p>
        </w:tc>
        <w:tc>
          <w:tcPr>
            <w:tcW w:w="42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212,213</w:t>
            </w: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(4,845)</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207,368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July 31, 2004</w:t>
            </w:r>
          </w:p>
        </w:tc>
        <w:tc>
          <w:tcPr>
            <w:tcW w:w="6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rPr>
              <w:t>60,132</w:t>
            </w:r>
          </w:p>
        </w:tc>
        <w:tc>
          <w:tcPr>
            <w:tcW w:w="4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54"/>
              <w:spacing w:after="0"/>
              <w:rPr>
                <w:sz w:val="20"/>
                <w:szCs w:val="20"/>
                <w:color w:val="auto"/>
              </w:rPr>
            </w:pPr>
            <w:r>
              <w:rPr>
                <w:rFonts w:ascii="Arial" w:cs="Arial" w:eastAsia="Arial" w:hAnsi="Arial"/>
                <w:sz w:val="13"/>
                <w:szCs w:val="13"/>
                <w:color w:val="auto"/>
              </w:rPr>
              <w:t>66,404</w:t>
            </w:r>
          </w:p>
        </w:tc>
        <w:tc>
          <w:tcPr>
            <w:tcW w:w="42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34"/>
              <w:spacing w:after="0"/>
              <w:rPr>
                <w:sz w:val="20"/>
                <w:szCs w:val="20"/>
                <w:color w:val="auto"/>
              </w:rPr>
            </w:pPr>
            <w:r>
              <w:rPr>
                <w:rFonts w:ascii="Arial" w:cs="Arial" w:eastAsia="Arial" w:hAnsi="Arial"/>
                <w:sz w:val="13"/>
                <w:szCs w:val="13"/>
                <w:color w:val="auto"/>
              </w:rPr>
              <w:t>22,768</w:t>
            </w:r>
          </w:p>
        </w:tc>
        <w:tc>
          <w:tcPr>
            <w:tcW w:w="4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149,304</w:t>
            </w: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(4,696)</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144,608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23"/>
        </w:trPr>
        <w:tc>
          <w:tcPr>
            <w:tcW w:w="2580" w:type="dxa"/>
            <w:vAlign w:val="bottom"/>
          </w:tcPr>
          <w:p>
            <w:pPr>
              <w:spacing w:after="0"/>
              <w:rPr>
                <w:sz w:val="20"/>
                <w:szCs w:val="20"/>
                <w:color w:val="auto"/>
              </w:rPr>
            </w:pPr>
            <w:r>
              <w:rPr>
                <w:rFonts w:ascii="Arial" w:cs="Arial" w:eastAsia="Arial" w:hAnsi="Arial"/>
                <w:sz w:val="13"/>
                <w:szCs w:val="13"/>
                <w:b w:val="1"/>
                <w:bCs w:val="1"/>
                <w:color w:val="auto"/>
              </w:rPr>
              <w:t>NET INCOME RECONCILIATION</w:t>
            </w: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gridSpan w:val="3"/>
            <w:vMerge w:val="restart"/>
          </w:tcPr>
          <w:p>
            <w:pPr>
              <w:jc w:val="center"/>
              <w:ind w:right="160"/>
              <w:spacing w:after="0"/>
              <w:rPr>
                <w:sz w:val="20"/>
                <w:szCs w:val="20"/>
                <w:color w:val="auto"/>
              </w:rPr>
            </w:pPr>
            <w:r>
              <w:rPr>
                <w:rFonts w:ascii="Arial" w:cs="Arial" w:eastAsia="Arial" w:hAnsi="Arial"/>
                <w:sz w:val="10"/>
                <w:szCs w:val="10"/>
                <w:b w:val="1"/>
                <w:bCs w:val="1"/>
                <w:color w:val="auto"/>
                <w:w w:val="92"/>
              </w:rPr>
              <w:t>Years ended:</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3"/>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20" w:type="dxa"/>
            <w:vAlign w:val="bottom"/>
            <w:gridSpan w:val="3"/>
          </w:tcPr>
          <w:p>
            <w:pPr>
              <w:jc w:val="right"/>
              <w:ind w:right="580"/>
              <w:spacing w:after="0" w:line="81" w:lineRule="exact"/>
              <w:rPr>
                <w:sz w:val="20"/>
                <w:szCs w:val="20"/>
                <w:color w:val="auto"/>
              </w:rPr>
            </w:pPr>
            <w:r>
              <w:rPr>
                <w:rFonts w:ascii="Arial" w:cs="Arial" w:eastAsia="Arial" w:hAnsi="Arial"/>
                <w:sz w:val="9"/>
                <w:szCs w:val="9"/>
                <w:b w:val="1"/>
                <w:bCs w:val="1"/>
                <w:color w:val="auto"/>
              </w:rPr>
              <w:t>July 31,</w:t>
            </w:r>
          </w:p>
        </w:tc>
        <w:tc>
          <w:tcPr>
            <w:tcW w:w="80" w:type="dxa"/>
            <w:vAlign w:val="bottom"/>
          </w:tcPr>
          <w:p>
            <w:pPr>
              <w:spacing w:after="0"/>
              <w:rPr>
                <w:sz w:val="7"/>
                <w:szCs w:val="7"/>
                <w:color w:val="auto"/>
              </w:rPr>
            </w:pPr>
          </w:p>
        </w:tc>
        <w:tc>
          <w:tcPr>
            <w:tcW w:w="740" w:type="dxa"/>
            <w:vAlign w:val="bottom"/>
            <w:gridSpan w:val="2"/>
          </w:tcPr>
          <w:p>
            <w:pPr>
              <w:jc w:val="center"/>
              <w:ind w:right="220"/>
              <w:spacing w:after="0" w:line="81" w:lineRule="exact"/>
              <w:rPr>
                <w:sz w:val="20"/>
                <w:szCs w:val="20"/>
                <w:color w:val="auto"/>
              </w:rPr>
            </w:pPr>
            <w:r>
              <w:rPr>
                <w:rFonts w:ascii="Arial" w:cs="Arial" w:eastAsia="Arial" w:hAnsi="Arial"/>
                <w:sz w:val="9"/>
                <w:szCs w:val="9"/>
                <w:b w:val="1"/>
                <w:bCs w:val="1"/>
                <w:color w:val="auto"/>
              </w:rPr>
              <w:t>July 31,</w:t>
            </w: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jc w:val="right"/>
              <w:ind w:right="97"/>
              <w:spacing w:after="0" w:line="81" w:lineRule="exact"/>
              <w:rPr>
                <w:sz w:val="20"/>
                <w:szCs w:val="20"/>
                <w:color w:val="auto"/>
              </w:rPr>
            </w:pPr>
            <w:r>
              <w:rPr>
                <w:rFonts w:ascii="Arial" w:cs="Arial" w:eastAsia="Arial" w:hAnsi="Arial"/>
                <w:sz w:val="9"/>
                <w:szCs w:val="9"/>
                <w:b w:val="1"/>
                <w:bCs w:val="1"/>
                <w:color w:val="auto"/>
              </w:rPr>
              <w:t>July 31,</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96"/>
              <w:spacing w:after="0"/>
              <w:rPr>
                <w:sz w:val="20"/>
                <w:szCs w:val="20"/>
                <w:color w:val="auto"/>
              </w:rPr>
            </w:pPr>
            <w:r>
              <w:rPr>
                <w:rFonts w:ascii="Arial" w:cs="Arial" w:eastAsia="Arial" w:hAnsi="Arial"/>
                <w:sz w:val="10"/>
                <w:szCs w:val="10"/>
                <w:b w:val="1"/>
                <w:bCs w:val="1"/>
                <w:color w:val="auto"/>
                <w:w w:val="98"/>
              </w:rPr>
              <w:t>2006</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7"/>
              <w:spacing w:after="0"/>
              <w:rPr>
                <w:sz w:val="20"/>
                <w:szCs w:val="20"/>
                <w:color w:val="auto"/>
              </w:rPr>
            </w:pPr>
            <w:r>
              <w:rPr>
                <w:rFonts w:ascii="Arial" w:cs="Arial" w:eastAsia="Arial" w:hAnsi="Arial"/>
                <w:sz w:val="10"/>
                <w:szCs w:val="10"/>
                <w:b w:val="1"/>
                <w:bCs w:val="1"/>
                <w:color w:val="auto"/>
                <w:w w:val="89"/>
              </w:rPr>
              <w:t>2005</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2004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580" w:type="dxa"/>
            <w:vAlign w:val="bottom"/>
            <w:shd w:val="clear" w:color="auto" w:fill="CCEEFF"/>
          </w:tcPr>
          <w:p>
            <w:pPr>
              <w:spacing w:after="0"/>
              <w:rPr>
                <w:sz w:val="20"/>
                <w:szCs w:val="20"/>
                <w:color w:val="auto"/>
              </w:rPr>
            </w:pPr>
            <w:r>
              <w:rPr>
                <w:rFonts w:ascii="Arial" w:cs="Arial" w:eastAsia="Arial" w:hAnsi="Arial"/>
                <w:sz w:val="13"/>
                <w:szCs w:val="13"/>
                <w:color w:val="auto"/>
              </w:rPr>
              <w:t>Total profit for reportable segments</w:t>
            </w:r>
          </w:p>
        </w:tc>
        <w:tc>
          <w:tcPr>
            <w:tcW w:w="6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4"/>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255,811</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212,213</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149,304</w:t>
            </w:r>
          </w:p>
        </w:tc>
        <w:tc>
          <w:tcPr>
            <w:tcW w:w="0" w:type="dxa"/>
            <w:vAlign w:val="bottom"/>
          </w:tcPr>
          <w:p>
            <w:pPr>
              <w:spacing w:after="0"/>
              <w:rPr>
                <w:sz w:val="1"/>
                <w:szCs w:val="1"/>
                <w:color w:val="auto"/>
              </w:rPr>
            </w:pPr>
          </w:p>
        </w:tc>
      </w:tr>
      <w:tr>
        <w:trPr>
          <w:trHeight w:val="157"/>
        </w:trPr>
        <w:tc>
          <w:tcPr>
            <w:tcW w:w="2580" w:type="dxa"/>
            <w:vAlign w:val="bottom"/>
          </w:tcPr>
          <w:p>
            <w:pPr>
              <w:ind w:left="140"/>
              <w:spacing w:after="0"/>
              <w:rPr>
                <w:sz w:val="20"/>
                <w:szCs w:val="20"/>
                <w:color w:val="auto"/>
              </w:rPr>
            </w:pPr>
            <w:r>
              <w:rPr>
                <w:rFonts w:ascii="Arial" w:cs="Arial" w:eastAsia="Arial" w:hAnsi="Arial"/>
                <w:sz w:val="13"/>
                <w:szCs w:val="13"/>
                <w:color w:val="auto"/>
              </w:rPr>
              <w:t>Corporate and eliminations</w:t>
            </w: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(10,633)</w:t>
            </w:r>
          </w:p>
        </w:tc>
        <w:tc>
          <w:tcPr>
            <w:tcW w:w="8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(4,845)</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(4,696)</w:t>
            </w:r>
          </w:p>
        </w:tc>
        <w:tc>
          <w:tcPr>
            <w:tcW w:w="0" w:type="dxa"/>
            <w:vAlign w:val="bottom"/>
          </w:tcPr>
          <w:p>
            <w:pPr>
              <w:spacing w:after="0"/>
              <w:rPr>
                <w:sz w:val="1"/>
                <w:szCs w:val="1"/>
                <w:color w:val="auto"/>
              </w:rPr>
            </w:pPr>
          </w:p>
        </w:tc>
      </w:tr>
      <w:tr>
        <w:trPr>
          <w:trHeight w:val="157"/>
        </w:trPr>
        <w:tc>
          <w:tcPr>
            <w:tcW w:w="2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Unallocated amounts:</w:t>
            </w:r>
          </w:p>
        </w:tc>
        <w:tc>
          <w:tcPr>
            <w:tcW w:w="6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580" w:type="dxa"/>
            <w:vAlign w:val="bottom"/>
          </w:tcPr>
          <w:p>
            <w:pPr>
              <w:ind w:left="280"/>
              <w:spacing w:after="0"/>
              <w:rPr>
                <w:sz w:val="20"/>
                <w:szCs w:val="20"/>
                <w:color w:val="auto"/>
              </w:rPr>
            </w:pPr>
            <w:r>
              <w:rPr>
                <w:rFonts w:ascii="Arial" w:cs="Arial" w:eastAsia="Arial" w:hAnsi="Arial"/>
                <w:sz w:val="13"/>
                <w:szCs w:val="13"/>
                <w:color w:val="auto"/>
              </w:rPr>
              <w:t>Administrative costs</w:t>
            </w: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(88,662)</w:t>
            </w:r>
          </w:p>
        </w:tc>
        <w:tc>
          <w:tcPr>
            <w:tcW w:w="8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(84,916)</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(70,446)</w:t>
            </w:r>
          </w:p>
        </w:tc>
        <w:tc>
          <w:tcPr>
            <w:tcW w:w="0" w:type="dxa"/>
            <w:vAlign w:val="bottom"/>
          </w:tcPr>
          <w:p>
            <w:pPr>
              <w:spacing w:after="0"/>
              <w:rPr>
                <w:sz w:val="1"/>
                <w:szCs w:val="1"/>
                <w:color w:val="auto"/>
              </w:rPr>
            </w:pPr>
          </w:p>
        </w:tc>
      </w:tr>
      <w:tr>
        <w:trPr>
          <w:trHeight w:val="157"/>
        </w:trPr>
        <w:tc>
          <w:tcPr>
            <w:tcW w:w="25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Interest (expense) income — net</w:t>
            </w:r>
          </w:p>
        </w:tc>
        <w:tc>
          <w:tcPr>
            <w:tcW w:w="6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(14,231)</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(8,403)</w:t>
            </w: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(1,231)</w:t>
            </w:r>
          </w:p>
        </w:tc>
        <w:tc>
          <w:tcPr>
            <w:tcW w:w="0" w:type="dxa"/>
            <w:vAlign w:val="bottom"/>
          </w:tcPr>
          <w:p>
            <w:pPr>
              <w:spacing w:after="0"/>
              <w:rPr>
                <w:sz w:val="1"/>
                <w:szCs w:val="1"/>
                <w:color w:val="auto"/>
              </w:rPr>
            </w:pPr>
          </w:p>
        </w:tc>
      </w:tr>
      <w:tr>
        <w:trPr>
          <w:trHeight w:val="157"/>
        </w:trPr>
        <w:tc>
          <w:tcPr>
            <w:tcW w:w="2580" w:type="dxa"/>
            <w:vAlign w:val="bottom"/>
          </w:tcPr>
          <w:p>
            <w:pPr>
              <w:ind w:left="280"/>
              <w:spacing w:after="0"/>
              <w:rPr>
                <w:sz w:val="20"/>
                <w:szCs w:val="20"/>
                <w:color w:val="auto"/>
              </w:rPr>
            </w:pPr>
            <w:r>
              <w:rPr>
                <w:rFonts w:ascii="Arial" w:cs="Arial" w:eastAsia="Arial" w:hAnsi="Arial"/>
                <w:sz w:val="13"/>
                <w:szCs w:val="13"/>
                <w:color w:val="auto"/>
              </w:rPr>
              <w:t>Restructuring charge, net</w:t>
            </w: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(3,181)</w:t>
            </w:r>
          </w:p>
        </w:tc>
        <w:tc>
          <w:tcPr>
            <w:tcW w:w="0" w:type="dxa"/>
            <w:vAlign w:val="bottom"/>
          </w:tcPr>
          <w:p>
            <w:pPr>
              <w:spacing w:after="0"/>
              <w:rPr>
                <w:sz w:val="1"/>
                <w:szCs w:val="1"/>
                <w:color w:val="auto"/>
              </w:rPr>
            </w:pPr>
          </w:p>
        </w:tc>
      </w:tr>
      <w:tr>
        <w:trPr>
          <w:trHeight w:val="157"/>
        </w:trPr>
        <w:tc>
          <w:tcPr>
            <w:tcW w:w="25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Investment and other income</w:t>
            </w:r>
          </w:p>
        </w:tc>
        <w:tc>
          <w:tcPr>
            <w:tcW w:w="6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2,403</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1,369</w:t>
            </w: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577</w:t>
            </w:r>
          </w:p>
        </w:tc>
        <w:tc>
          <w:tcPr>
            <w:tcW w:w="0" w:type="dxa"/>
            <w:vAlign w:val="bottom"/>
          </w:tcPr>
          <w:p>
            <w:pPr>
              <w:spacing w:after="0"/>
              <w:rPr>
                <w:sz w:val="1"/>
                <w:szCs w:val="1"/>
                <w:color w:val="auto"/>
              </w:rPr>
            </w:pPr>
          </w:p>
        </w:tc>
      </w:tr>
      <w:tr>
        <w:trPr>
          <w:trHeight w:val="20"/>
        </w:trPr>
        <w:tc>
          <w:tcPr>
            <w:tcW w:w="2580" w:type="dxa"/>
            <w:vAlign w:val="bottom"/>
            <w:vMerge w:val="restart"/>
          </w:tcPr>
          <w:p>
            <w:pPr>
              <w:ind w:left="400"/>
              <w:spacing w:after="0"/>
              <w:rPr>
                <w:sz w:val="20"/>
                <w:szCs w:val="20"/>
                <w:color w:val="auto"/>
              </w:rPr>
            </w:pPr>
            <w:r>
              <w:rPr>
                <w:rFonts w:ascii="Arial" w:cs="Arial" w:eastAsia="Arial" w:hAnsi="Arial"/>
                <w:sz w:val="13"/>
                <w:szCs w:val="13"/>
                <w:color w:val="auto"/>
              </w:rPr>
              <w:t>Income before income taxes</w:t>
            </w: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58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144,688</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115,418</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70,327</w:t>
            </w:r>
          </w:p>
        </w:tc>
        <w:tc>
          <w:tcPr>
            <w:tcW w:w="0" w:type="dxa"/>
            <w:vAlign w:val="bottom"/>
          </w:tcPr>
          <w:p>
            <w:pPr>
              <w:spacing w:after="0"/>
              <w:rPr>
                <w:sz w:val="1"/>
                <w:szCs w:val="1"/>
                <w:color w:val="auto"/>
              </w:rPr>
            </w:pPr>
          </w:p>
        </w:tc>
      </w:tr>
      <w:tr>
        <w:trPr>
          <w:trHeight w:val="158"/>
        </w:trPr>
        <w:tc>
          <w:tcPr>
            <w:tcW w:w="25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Income taxes</w:t>
            </w:r>
          </w:p>
        </w:tc>
        <w:tc>
          <w:tcPr>
            <w:tcW w:w="6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(40,513)</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(33,471)</w:t>
            </w: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(19,456)</w:t>
            </w:r>
          </w:p>
        </w:tc>
        <w:tc>
          <w:tcPr>
            <w:tcW w:w="0" w:type="dxa"/>
            <w:vAlign w:val="bottom"/>
          </w:tcPr>
          <w:p>
            <w:pPr>
              <w:spacing w:after="0"/>
              <w:rPr>
                <w:sz w:val="1"/>
                <w:szCs w:val="1"/>
                <w:color w:val="auto"/>
              </w:rPr>
            </w:pPr>
          </w:p>
        </w:tc>
      </w:tr>
      <w:tr>
        <w:trPr>
          <w:trHeight w:val="20"/>
        </w:trPr>
        <w:tc>
          <w:tcPr>
            <w:tcW w:w="2580" w:type="dxa"/>
            <w:vAlign w:val="bottom"/>
            <w:vMerge w:val="restart"/>
          </w:tcPr>
          <w:p>
            <w:pPr>
              <w:ind w:left="540"/>
              <w:spacing w:after="0"/>
              <w:rPr>
                <w:sz w:val="20"/>
                <w:szCs w:val="20"/>
                <w:color w:val="auto"/>
              </w:rPr>
            </w:pPr>
            <w:r>
              <w:rPr>
                <w:rFonts w:ascii="Arial" w:cs="Arial" w:eastAsia="Arial" w:hAnsi="Arial"/>
                <w:sz w:val="13"/>
                <w:szCs w:val="13"/>
                <w:color w:val="auto"/>
              </w:rPr>
              <w:t>Net income</w:t>
            </w: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58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jc w:val="right"/>
              <w:ind w:right="84"/>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104,175</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81,947</w:t>
            </w:r>
          </w:p>
        </w:tc>
        <w:tc>
          <w:tcPr>
            <w:tcW w:w="3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50,871</w:t>
            </w:r>
          </w:p>
        </w:tc>
        <w:tc>
          <w:tcPr>
            <w:tcW w:w="0" w:type="dxa"/>
            <w:vAlign w:val="bottom"/>
          </w:tcPr>
          <w:p>
            <w:pPr>
              <w:spacing w:after="0"/>
              <w:rPr>
                <w:sz w:val="1"/>
                <w:szCs w:val="1"/>
                <w:color w:val="auto"/>
              </w:rPr>
            </w:pPr>
          </w:p>
        </w:tc>
      </w:tr>
      <w:tr>
        <w:trPr>
          <w:trHeight w:val="30"/>
        </w:trPr>
        <w:tc>
          <w:tcPr>
            <w:tcW w:w="2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The Company evaluates regional performance using sales and segment profit. Segment profit or loss does not include certain administrative costs, interest, restructuring charges, investment and other income and income taxes.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Americas</w:t>
      </w:r>
    </w:p>
    <w:p>
      <w:pPr>
        <w:spacing w:after="0" w:line="100"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Sales in the Americas region increased 19.4% from fiscal 2005 to fiscal 2006, and 22.2% from fiscal 2004 to fiscal 2005. Organic growth accounted for 5.0% in 2006 and 4.4% in 2005. The organic growth in fiscal 2006 was due to strong growth in the United States in our safety, electrical, and industrial markets. Our operations in Canada, Mexico and Brazil also provided year-over-year organic sales growth in the Brady brand business. Within the direct marketing business, base sales increased over the prior year as well. The organic growth in fiscal 2005 was due partially to an improving economy in the United States and strong performance in the industrial OEM and electronics markets. Also contributing to the base growth increase were the following factors: Canada turned the corner in fiscal 2005 and posted double-digit organic growth year over year and Brazil and Mexico reported double-digit organic growth in fiscal 2005 as well. The acquisitions of Stopware, TruMed, J.A.M., Personnel Concepts and Identicard added 12.9% to fiscal 2006 sales. The acquisitions of Brandon International, Prinzing Enterprises Inc., EMED, and Electromark added 16.6% to fiscal 2005 sales. The positive effect of fluctuations in the exchange rates used to translate financial results into U.S. currency increased sales in the region by 1.5% and 1.2% in fiscal 2006 and 2005, respectively.</w:t>
      </w:r>
    </w:p>
    <w:p>
      <w:pPr>
        <w:spacing w:after="0" w:line="59"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In the Americas region, segment profit as a percentage of sales increased to 24.6% in 2006 from 23.5% in 2005. While the region continues to experience increases on many of its materials and utility costs, the impact on segment profit of the increase in sales volume and sales prices has more than offset these cost increases. As expected, the recent acquisitions have reported an initial rate of profit that is below the average of the region. As the businesses continue to integrate and achieve synergies, profit levels are expected to increase, all other things being equal. Comparing fiscal 2005 to 2004, segment profit as a percentage of sales increased from 17.6% to 23.5%, due to the increase in sales volume, profit from acquisitions, continuing cost savings primarily in the direct marketing business and the benefits from lower manufacturing costs of higher volume stock products as we transferred production to the Company’s Mexico subsidiary.</w:t>
      </w:r>
    </w:p>
    <w:p>
      <w:pPr>
        <w:spacing w:after="0" w:line="10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Europe</w:t>
      </w:r>
    </w:p>
    <w:p>
      <w:pPr>
        <w:spacing w:after="0" w:line="100"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Sales in the European region increased 16.3% in fiscal 2006 from fiscal 2005 and 10.7% in fiscal 2005 from fiscal 2004. Organic growth in fiscal 2006 accounted for 4.2% and 2.5% in fiscal 2005. The increase in the organic growth in fiscal 2006 was due to modest growth in the direct marketing business as a result of continuing to add new customers and expand product offerings and growth from expansion into newer geographies for the Brady brand business, primarily from the expansion into Slovakia, Turkey and the Nordic region. Foreign currency translation decreased the region’s sales by 4.3% from fiscal 2005 to 2006 compared to an increase in the region’s sales by 6.0% from fiscal 2004 to 2005. The acquisitions of Texit and Tradex added 16.4% to the region’s sales in fiscal 2006 and the acquisitions of B.I.G. and Signs &amp; Labels added 2.2% to the region’s sales in fiscal 2005.</w:t>
      </w:r>
    </w:p>
    <w:p>
      <w:pPr>
        <w:spacing w:after="0" w:line="55"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Segment profit as a percentage of sales decreased to 26.3% in fiscal 2006 from 29.0% in fiscal 2005 and increased to 29.0% in fiscal 2005 from 26.7% in fiscal 2004. The decrease experienced in fiscal 2006 from 2005 was due to the impact of a stronger U.S. dollar, the profit dilution caused by the start-up of business in Slovakia and the integration and acquisition-related costs from the June 2005 acquisition of Signs and Labels and Tradex, as we had anticipated. As Tradex’s headquarters are in Sweden, all of the headquarter costs are reflected in the Europe segment. Excluding acquisitions in the year, Europe’s segment profit as a percent of sales increased in fiscal 2006 over fiscal 2005. The increase achieved in fiscal 2005 from 2004 was due to the restructuring activity completed during fiscal 2004 and continued operational improvements.</w:t>
      </w:r>
    </w:p>
    <w:p>
      <w:pPr>
        <w:spacing w:after="0" w:line="9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Asia-Pacific</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Asia-Pacific sales increased 61.4% in fiscal 2006 from fiscal 2005 and 53.1% in fiscal 2005 from fiscal 2004. Organic growth accounted for 34.7% in fiscal 2006 and 21.4% in fiscal 2005. The increase in organic growth for fiscal 2006 was due to the high demand for consumer electronics and strong growth in the Australian direct marketing and safety businesses. Of the 21.4% increase in organic growth in fiscal 2005, a significant portion was driven by growth in China as the Asian economy continued to strengthen. Foreign currency translation increased the region’s sales by 1.6%</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spacing w:after="0" w:line="276" w:lineRule="auto"/>
        <w:rPr>
          <w:sz w:val="20"/>
          <w:szCs w:val="20"/>
          <w:color w:val="auto"/>
        </w:rPr>
      </w:pPr>
      <w:r>
        <w:rPr>
          <w:rFonts w:ascii="Arial" w:cs="Arial" w:eastAsia="Arial" w:hAnsi="Arial"/>
          <w:sz w:val="13"/>
          <w:szCs w:val="13"/>
          <w:color w:val="auto"/>
        </w:rPr>
        <w:t>from fiscal 2005 to 2006 compared to an increase of 3.0% from fiscal 2004 to 2005. The acquisitions of Technology Print Supply and Technology Supply Media, QDPT, Accidental Health, Tradex, Carroll and Daewon added 25.1% to the region’s sales in fiscal 2006, whereas the acquisition of ID Technologies added 28.7% in fiscal 2005.</w:t>
      </w:r>
    </w:p>
    <w:p>
      <w:pPr>
        <w:spacing w:after="0" w:line="5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Segment profit as a percentage of sales decreased to 24.7% in fiscal 2006 from 27.6% in fiscal 2005 and to 27.6% in fiscal 2005 from 28.1% in fiscal 2004. The decrease experienced in fiscal 2006 was due to the continued shift of business mix towards the die cut business that experiences lower margins, combined with pricing pressures from our OEM customers and the lower initial rate of profit produced by the companies acquired in the region. The decrease in the profit percentage in fiscal 2005 was also due to lower margins in China as a result of a higher mix of OEM electronics, which have lower margins. As a result of these pricing pressures, we will continue to focus on generating efficiencies in our operations and the development of proprietary new solutions.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Cash and cash equivalents were $113.0 million at July 31, 2006, compared to $73.0 million at July 31, 2005. Additionally, short-term investments, consisting of investments in</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auction rate securities, were $11.5 million at July 31, 2006, compared to $7.1 million at July 31, 2005. Working capital increased $98.9 million during fiscal 2006 to $240.5 million and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increased $9.9 million during fiscal 2005 to $141.6 million. Accounts receivable balances increased $64.5 million from July 31, 2005 to July 31, 2006. The increase in accounts receivable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was due primarily to increased sales volume, foreign currency translation and accounts receivable balances added from acquisitions completed during fiscal 2006. Inventories increased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$39.2 million from July 31, 2005 to July 31, 2006 due to foreign currency translation, inventory of acquired companies, and a planned increase in inventory levels in Asia-Pacific and North</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America to meet demand for sales initiatives and an extended supply chain due to the use of our Mexican and Asian sourcing of purchased products. Current liabilities increased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$57.8 million due to increased operating liabilities associated with acquisitions completed during fiscal 2006.</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Company has maintained significant cash balances due in large part to its strong operating cash flow, which totaled $114.9 million for fiscal 2006, $119.1 million for fiscal 2005</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and $87.6 million for fiscal 2004. In accordance with the adoption of SFAS No. 123(R), “Share Based Payment” on August 1, 2005, the Company has classified the income tax benefit from</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the exercise of stock options subsequent to adoption as a financing cash inflow. Prior to adoption, this tax benefit was recorded in cash flows from operations and totaled $5.4 million and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$4.4 million for the fiscal years ended July 31, 2005 and 2004, respectively. The $31.5 million increase in operating cash flows from fiscal 2004 to 2005 was primarily due to a $31.1 million</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increase in net income.</w:t>
      </w:r>
    </w:p>
    <w:p>
      <w:pPr>
        <w:spacing w:after="0" w:line="89"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Capital expenditures were $39.4 million in fiscal 2006, $21.9 million in fiscal 2005 and $14.9 million in fiscal 2004. Capital expenditures in 2006 were driven by the completion of the central distribution warehouse in Milwaukee, Wisconsin, continued expansion in Asia, new facilities in Slovakia and in Canada and by upgrading existing plant and machinery. Capital expenditures in 2005 included plant expansions in China and the start of the addition of the central distribution warehouse in Milwaukee. Capital expenditures in 2004 included plant additions/expansions in China and facility improvement costs.</w:t>
      </w:r>
    </w:p>
    <w:p>
      <w:pPr>
        <w:spacing w:after="0" w:line="70" w:lineRule="exact"/>
        <w:rPr>
          <w:sz w:val="20"/>
          <w:szCs w:val="20"/>
          <w:color w:val="auto"/>
        </w:rPr>
      </w:pPr>
    </w:p>
    <w:p>
      <w:pPr>
        <w:ind w:left="680" w:right="40" w:firstLine="399"/>
        <w:spacing w:after="0" w:line="275" w:lineRule="auto"/>
        <w:rPr>
          <w:sz w:val="20"/>
          <w:szCs w:val="20"/>
          <w:color w:val="auto"/>
        </w:rPr>
      </w:pPr>
      <w:r>
        <w:rPr>
          <w:rFonts w:ascii="Arial" w:cs="Arial" w:eastAsia="Arial" w:hAnsi="Arial"/>
          <w:sz w:val="12"/>
          <w:szCs w:val="12"/>
          <w:color w:val="auto"/>
        </w:rPr>
        <w:t>Financing activities provided $319.0 million of cash in fiscal 2006, used $9.7 million in fiscal 2005 and provided $146.1 million in fiscal 2004. In fiscal 2006, the Company completed a secondary public offering of 4.6 million shares of its Class A nonvoting common stock and received proceeds of approximately $157.7 million. Cash used for dividends to shareholders was $26.1 million in fiscal 2006, $21.3 million in fiscal 2005 and $19.8 million in fiscal 2004. Cash received from the exercise of stock options was $8.9 million in fiscal 2006, $15.7 million in fiscal 2005 and $19.4 million in fiscal 2004. The Company purchased treasury stock of $24.7 million in fiscal 2006, $1.6 million in fiscal 2005 and $0.6 million in fiscal 2004. In fiscal 2006, a stock repurchase plan was implemented by purchasing shares on the open market or in privately negotiated transactions, with repurchased shares available for use in connection with the Company’s stock option plan and for other corporate purposes. The Company completed the repurchase of 800,000 shares of its Class A Common Stock for</w:t>
      </w:r>
    </w:p>
    <w:p>
      <w:pPr>
        <w:spacing w:after="0" w:line="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$26.5 million in fiscal year 2006. The remainder of the treasury stock purchases resulted from purchases of Class A Common Stock by the Company’s deferred compensation plan.</w:t>
      </w:r>
    </w:p>
    <w:p>
      <w:pPr>
        <w:spacing w:after="0" w:line="100"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On March 31, 2004, the Company entered into an unsecured $215.0 million multi-currency revolving loan agreement with a group of five banks. The $215.0 million was divided between a 5-year credit facility for</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80"/>
        <w:spacing w:after="0" w:line="320" w:lineRule="auto"/>
        <w:rPr>
          <w:sz w:val="20"/>
          <w:szCs w:val="20"/>
          <w:color w:val="auto"/>
        </w:rPr>
      </w:pPr>
      <w:r>
        <w:rPr>
          <w:rFonts w:ascii="Arial" w:cs="Arial" w:eastAsia="Arial" w:hAnsi="Arial"/>
          <w:sz w:val="12"/>
          <w:szCs w:val="12"/>
          <w:color w:val="auto"/>
        </w:rPr>
        <w:t>$125.0 million and a 364-day credit facility for $90.0 million. On July 6, 2004, the Company permanently reduced the borrowings on the 364-day facility to $0 and closed the facility. On January 19, 2006, the agreement was amended to increase the available amount under the 5-year credit facility to $200.0 million from $125.0 million (the “previous credit facility”).</w:t>
      </w:r>
    </w:p>
    <w:p>
      <w:pPr>
        <w:spacing w:after="0" w:line="35" w:lineRule="exact"/>
        <w:rPr>
          <w:sz w:val="20"/>
          <w:szCs w:val="20"/>
          <w:color w:val="auto"/>
        </w:rPr>
      </w:pPr>
    </w:p>
    <w:p>
      <w:pPr>
        <w:ind w:left="680" w:right="80" w:firstLine="399"/>
        <w:spacing w:after="0" w:line="320" w:lineRule="auto"/>
        <w:rPr>
          <w:sz w:val="20"/>
          <w:szCs w:val="20"/>
          <w:color w:val="auto"/>
        </w:rPr>
      </w:pPr>
      <w:r>
        <w:rPr>
          <w:rFonts w:ascii="Arial" w:cs="Arial" w:eastAsia="Arial" w:hAnsi="Arial"/>
          <w:sz w:val="12"/>
          <w:szCs w:val="12"/>
          <w:color w:val="auto"/>
        </w:rPr>
        <w:t>On October 5, 2006, the Company entered into a $200.0 million multi-currency revolving loan agreement with a group of five banks that replaced the previous credit facility. At the Company’s option, and subject to certain standard conditions, the available amount under the new credit facility may be increased from $200.0 million up to $300.0 million.</w:t>
      </w:r>
    </w:p>
    <w:p>
      <w:pPr>
        <w:spacing w:after="0" w:line="35"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Under the new 5-year agreement, which has a final maturity date of October 5, 2011, the Company has the option to select either a base interest rate (based upon the higher of the federal funds rate plus one-half of 1% or the prime rate of Bank of America) or a Eurocurrency interest rate (at the LIBOR rate plus a margin based on the Company’s consolidated leverage ratio). A commitment fee is payable on the unused amount of the facility. The agreement requires the Company to maintain two financial covenants. As of October 5, 2006, the Company was in compliance with the covenants of the new agreement, and as of July 31, 2006, the Company was in compliance with the covenants of the previous credit facility.</w:t>
      </w:r>
    </w:p>
    <w:p>
      <w:pPr>
        <w:spacing w:after="0" w:line="53"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new agreement restricts the amount of certain types of payments, including dividends, which can be made annually to $50.0 million plus an amount equal to 75% of consolidated net income for the prior fiscal year of the Company. The Company believes that based on historic dividend practice, this restriction would not impede the Company in following a similar dividend practice in the future. During fiscal 2006 and 2005, the Company borrowed and repaid $415.7 million and $83.0 million, respectively. As of July 31, 2006 and October 5, 2006, there were $0 and $10.0 million of outstanding borrowings under the previous credit facility or the new credit facility, respectively.</w:t>
      </w:r>
    </w:p>
    <w:p>
      <w:pPr>
        <w:spacing w:after="0" w:line="7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On February 14, 2006, the Company completed the private placement of $200.0 million in ten-year fixed notes at 5.3% interest to institutional investors. The notes will be amortized in equal installments over seven years, beginning in 2010 with interest payable on the notes semiannually on August 14 and February 14, beginning in August 2006. The notes have been fully and unconditionally guaranteed on an unsecured basis by the Company’s domestic subsidiaries. The Company used the net proceeds of the offering to finance acquisitions completed in fiscal 2006 and intends to use the remainder to fund future acquisitions and for general corporate purposes. This private placement was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repaying them prior to the maturity date. The agreement also requires the Company to maintain a financial covenant. As of July 31, 2006, the Company was in compliance with this covenant.</w:t>
      </w:r>
    </w:p>
    <w:p>
      <w:pPr>
        <w:spacing w:after="0" w:line="58"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On June 30, 2004, the Company finalized a debt offering of $150.0 million of 5.14% unsecured senior notes due in 2014 in an offering exempt from the registration requirements of the Securities Act of 1933. The debt offering was in conjunction with the Company’s acquisition of EMED. The notes will be amortized over seven years beginning in 2008, with interest payable on the notes being due semiannually on June 28 and December 28, beginning in December 2004. The Company used the proceeds of the offering to reduce outstanding indebtedness under the Company’s revolving credit facilities used to initially fund the EMED acquisition. The debt has certain prepayment penalties for repaying the debt prior to its maturity date. The agreement also requires the Company to maintain a financial covenant. As of July 31, 2006, the Company was in compliance with this covenant.</w:t>
      </w:r>
    </w:p>
    <w:p>
      <w:pPr>
        <w:spacing w:after="0" w:line="55" w:lineRule="exact"/>
        <w:rPr>
          <w:sz w:val="20"/>
          <w:szCs w:val="20"/>
          <w:color w:val="auto"/>
        </w:rPr>
      </w:pPr>
    </w:p>
    <w:p>
      <w:pPr>
        <w:ind w:left="680" w:right="280" w:firstLine="399"/>
        <w:spacing w:after="0" w:line="264" w:lineRule="auto"/>
        <w:rPr>
          <w:sz w:val="20"/>
          <w:szCs w:val="20"/>
          <w:color w:val="auto"/>
        </w:rPr>
      </w:pPr>
      <w:r>
        <w:rPr>
          <w:rFonts w:ascii="Arial" w:cs="Arial" w:eastAsia="Arial" w:hAnsi="Arial"/>
          <w:sz w:val="13"/>
          <w:szCs w:val="13"/>
          <w:color w:val="auto"/>
        </w:rPr>
        <w:t>Long-term obligations as a percentage of long-term obligations plus stockholders’ investment were 31.9% at July 31, 2006 and 23.2% at July 31, 2005. Long-term obligations increased by $200.0 million from July 31, 2005 to July 31, 2006 due to the private placement that was completed during the year and stockholders’ investment increased $248.3 million during this period due to net earnings for fiscal 2006 and the effect of the issuance of stock from the equity offering.</w:t>
      </w:r>
    </w:p>
    <w:p>
      <w:pPr>
        <w:spacing w:after="0" w:line="67" w:lineRule="exact"/>
        <w:rPr>
          <w:sz w:val="20"/>
          <w:szCs w:val="20"/>
          <w:color w:val="auto"/>
        </w:rPr>
      </w:pPr>
    </w:p>
    <w:p>
      <w:pPr>
        <w:ind w:left="680" w:right="480" w:firstLine="399"/>
        <w:spacing w:after="0" w:line="276" w:lineRule="auto"/>
        <w:rPr>
          <w:sz w:val="20"/>
          <w:szCs w:val="20"/>
          <w:color w:val="auto"/>
        </w:rPr>
      </w:pPr>
      <w:r>
        <w:rPr>
          <w:rFonts w:ascii="Arial" w:cs="Arial" w:eastAsia="Arial" w:hAnsi="Arial"/>
          <w:sz w:val="13"/>
          <w:szCs w:val="13"/>
          <w:color w:val="auto"/>
        </w:rPr>
        <w:t>The Company intends to fund its short-term and long-term cash requirements, including its fiscal 2007 dividend payments, primarily through net cash provided by operating activities.</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Company believes that its continued strong cash flows from operations and existing borrowing capacity will enable it to execute its long-term strategic plan. This strategic plan includes investments, which expand its current market share, open new markets and geographies, develop new products and distribution channels and continue to improve our processes. This strategic plan also includes executing key acquisitions.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Subsequent Events Affecting Liquidity and Capital Resources</w:t>
      </w:r>
    </w:p>
    <w:p>
      <w:pPr>
        <w:spacing w:after="0" w:line="100" w:lineRule="exact"/>
        <w:rPr>
          <w:sz w:val="20"/>
          <w:szCs w:val="20"/>
          <w:color w:val="auto"/>
        </w:rPr>
      </w:pPr>
    </w:p>
    <w:p>
      <w:pPr>
        <w:jc w:val="both"/>
        <w:ind w:left="680" w:right="20" w:firstLine="399"/>
        <w:spacing w:after="0" w:line="296" w:lineRule="auto"/>
        <w:rPr>
          <w:sz w:val="20"/>
          <w:szCs w:val="20"/>
          <w:color w:val="auto"/>
        </w:rPr>
      </w:pPr>
      <w:r>
        <w:rPr>
          <w:rFonts w:ascii="Arial" w:cs="Arial" w:eastAsia="Arial" w:hAnsi="Arial"/>
          <w:sz w:val="12"/>
          <w:szCs w:val="12"/>
          <w:color w:val="auto"/>
        </w:rPr>
        <w:t>On August 15, 2006, the Company completed the acquisition of CIPI, headquartered in Burlington, Massachusetts. CIPI is a market leader in badging accessories used to identify and track employees and visitors in a variety of settings including businesses, healthcare facilities and government buildings. Founded in 1966, CIPI had sales of approximately $31 million in its fiscal 2005 and currently employs approximately 900 people at operations in the United States, the Netherlands, Hong Kong and China.</w:t>
      </w:r>
    </w:p>
    <w:p>
      <w:pPr>
        <w:spacing w:after="0" w:line="5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On September 12, 2006, the Board of Directors announced an increase in the quarterly dividend to shareholders of the Company’s Class A Common Stock, from $0.13 to $0.14 per share. The dividend will be paid on October 31, 2006, to shareholders of record at the close of business on October 10, 2006. This dividend represents an increase of 7.7% percent and is the 21st consecutive annual increase in dividends since the Company went public in 1984.</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Off-Balance Sheet Arrangements</w:t>
      </w:r>
    </w:p>
    <w:p>
      <w:pPr>
        <w:spacing w:after="0" w:line="10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 Company does not have material off-balance sheet arrangements or related party transactions. The Company is not aware of factors that are reasonably likely to adversely affect liquidity trends, other than the risks discussed in this filing and presented in other Company filings. However, the following additional information is provided to assist financial statement users.</w:t>
      </w:r>
    </w:p>
    <w:p>
      <w:pPr>
        <w:spacing w:after="0" w:line="67"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i w:val="1"/>
          <w:iCs w:val="1"/>
          <w:color w:val="auto"/>
        </w:rPr>
        <w:t xml:space="preserve">Operating Leases </w:t>
      </w:r>
      <w:r>
        <w:rPr>
          <w:rFonts w:ascii="Arial" w:cs="Arial" w:eastAsia="Arial" w:hAnsi="Arial"/>
          <w:sz w:val="13"/>
          <w:szCs w:val="13"/>
          <w:color w:val="auto"/>
        </w:rPr>
        <w:t>— These leases generally are entered into for investments in facilities such as manufacturing facilities, warehouses and office buildings, computer equipment and</w:t>
      </w:r>
      <w:r>
        <w:rPr>
          <w:rFonts w:ascii="Arial" w:cs="Arial" w:eastAsia="Arial" w:hAnsi="Arial"/>
          <w:sz w:val="13"/>
          <w:szCs w:val="13"/>
          <w:i w:val="1"/>
          <w:iCs w:val="1"/>
          <w:color w:val="auto"/>
        </w:rPr>
        <w:t xml:space="preserve"> </w:t>
      </w:r>
      <w:r>
        <w:rPr>
          <w:rFonts w:ascii="Arial" w:cs="Arial" w:eastAsia="Arial" w:hAnsi="Arial"/>
          <w:sz w:val="13"/>
          <w:szCs w:val="13"/>
          <w:color w:val="auto"/>
        </w:rPr>
        <w:t>company vehicles, for which the economic profile is favorable.</w:t>
      </w:r>
    </w:p>
    <w:p>
      <w:pPr>
        <w:spacing w:after="0" w:line="59"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i w:val="1"/>
          <w:iCs w:val="1"/>
          <w:color w:val="auto"/>
        </w:rPr>
        <w:t xml:space="preserve">Purchase Commitments </w:t>
      </w:r>
      <w:r>
        <w:rPr>
          <w:rFonts w:ascii="Arial" w:cs="Arial" w:eastAsia="Arial" w:hAnsi="Arial"/>
          <w:sz w:val="13"/>
          <w:szCs w:val="13"/>
          <w:color w:val="auto"/>
        </w:rPr>
        <w:t>— The Company has purchase commitments for materials, supplies, services, and property, plant and equipment entered into in the ordinary course of</w:t>
      </w:r>
      <w:r>
        <w:rPr>
          <w:rFonts w:ascii="Arial" w:cs="Arial" w:eastAsia="Arial" w:hAnsi="Arial"/>
          <w:sz w:val="13"/>
          <w:szCs w:val="13"/>
          <w:i w:val="1"/>
          <w:iCs w:val="1"/>
          <w:color w:val="auto"/>
        </w:rPr>
        <w:t xml:space="preserve"> </w:t>
      </w:r>
      <w:r>
        <w:rPr>
          <w:rFonts w:ascii="Arial" w:cs="Arial" w:eastAsia="Arial" w:hAnsi="Arial"/>
          <w:sz w:val="13"/>
          <w:szCs w:val="13"/>
          <w:color w:val="auto"/>
        </w:rPr>
        <w:t>business. Such commitments are not in excess of current market prices.</w:t>
      </w:r>
    </w:p>
    <w:p>
      <w:pPr>
        <w:spacing w:after="0" w:line="59"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59"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i w:val="1"/>
          <w:iCs w:val="1"/>
          <w:color w:val="auto"/>
        </w:rPr>
        <w:t xml:space="preserve">Other Contractual Obligations </w:t>
      </w:r>
      <w:r>
        <w:rPr>
          <w:rFonts w:ascii="Arial" w:cs="Arial" w:eastAsia="Arial" w:hAnsi="Arial"/>
          <w:sz w:val="13"/>
          <w:szCs w:val="13"/>
          <w:color w:val="auto"/>
        </w:rPr>
        <w:t>— The Company does not have material financial guarantees or other contractual commitments that are reasonably likely to adversely affect liquidity</w:t>
      </w:r>
      <w:r>
        <w:rPr>
          <w:rFonts w:ascii="Arial" w:cs="Arial" w:eastAsia="Arial" w:hAnsi="Arial"/>
          <w:sz w:val="13"/>
          <w:szCs w:val="13"/>
          <w:i w:val="1"/>
          <w:iCs w:val="1"/>
          <w:color w:val="auto"/>
        </w:rPr>
        <w:t xml:space="preserve"> </w:t>
      </w:r>
      <w:r>
        <w:rPr>
          <w:rFonts w:ascii="Arial" w:cs="Arial" w:eastAsia="Arial" w:hAnsi="Arial"/>
          <w:sz w:val="13"/>
          <w:szCs w:val="13"/>
          <w:color w:val="auto"/>
        </w:rPr>
        <w:t>other than those discussed below under “Payments Due Under Contractual Obligations.”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Related Party Transactions </w:t>
      </w:r>
      <w:r>
        <w:rPr>
          <w:rFonts w:ascii="Arial" w:cs="Arial" w:eastAsia="Arial" w:hAnsi="Arial"/>
          <w:sz w:val="13"/>
          <w:szCs w:val="13"/>
          <w:color w:val="auto"/>
        </w:rPr>
        <w:t>— The Company does not have related party transactions that affect the results of operations, cash flow or financial condition.</w:t>
      </w:r>
    </w:p>
    <w:p>
      <w:pPr>
        <w:spacing w:after="0" w:line="30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Payments Due Under Contractual Obligations</w:t>
      </w:r>
    </w:p>
    <w:p>
      <w:pPr>
        <w:spacing w:after="0" w:line="10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The Company’s future commitments at July 31, 2006 for long-term debt, operating lease obligations, purchase obligations, interest obligations and other obligations are as follows (dollars in thousands):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0"/>
                <w:szCs w:val="10"/>
                <w:b w:val="1"/>
                <w:bCs w:val="1"/>
                <w:color w:val="auto"/>
              </w:rPr>
              <w:t>Payments Due by Period</w:t>
            </w: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492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C</w:t>
            </w:r>
            <w:r>
              <w:rPr>
                <w:rFonts w:ascii="Arial" w:cs="Arial" w:eastAsia="Arial" w:hAnsi="Arial"/>
                <w:sz w:val="10"/>
                <w:szCs w:val="10"/>
                <w:b w:val="1"/>
                <w:bCs w:val="1"/>
                <w:color w:val="auto"/>
              </w:rPr>
              <w:t>ontractual Obligations</w:t>
            </w: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tcPr>
          <w:p>
            <w:pPr>
              <w:jc w:val="right"/>
              <w:ind w:right="180"/>
              <w:spacing w:after="0" w:line="91" w:lineRule="exact"/>
              <w:rPr>
                <w:sz w:val="20"/>
                <w:szCs w:val="20"/>
                <w:color w:val="auto"/>
              </w:rPr>
            </w:pPr>
            <w:r>
              <w:rPr>
                <w:rFonts w:ascii="Arial" w:cs="Arial" w:eastAsia="Arial" w:hAnsi="Arial"/>
                <w:sz w:val="10"/>
                <w:szCs w:val="10"/>
                <w:b w:val="1"/>
                <w:bCs w:val="1"/>
                <w:color w:val="auto"/>
                <w:w w:val="89"/>
              </w:rPr>
              <w:t>Less than</w:t>
            </w: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jc w:val="right"/>
              <w:ind w:right="198"/>
              <w:spacing w:after="0" w:line="91" w:lineRule="exact"/>
              <w:rPr>
                <w:sz w:val="20"/>
                <w:szCs w:val="20"/>
                <w:color w:val="auto"/>
              </w:rPr>
            </w:pPr>
            <w:r>
              <w:rPr>
                <w:rFonts w:ascii="Arial" w:cs="Arial" w:eastAsia="Arial" w:hAnsi="Arial"/>
                <w:sz w:val="10"/>
                <w:szCs w:val="10"/>
                <w:b w:val="1"/>
                <w:bCs w:val="1"/>
                <w:color w:val="auto"/>
              </w:rPr>
              <w:t>1-3</w:t>
            </w: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jc w:val="right"/>
              <w:ind w:right="198"/>
              <w:spacing w:after="0" w:line="91" w:lineRule="exact"/>
              <w:rPr>
                <w:sz w:val="20"/>
                <w:szCs w:val="20"/>
                <w:color w:val="auto"/>
              </w:rPr>
            </w:pPr>
            <w:r>
              <w:rPr>
                <w:rFonts w:ascii="Arial" w:cs="Arial" w:eastAsia="Arial" w:hAnsi="Arial"/>
                <w:sz w:val="10"/>
                <w:szCs w:val="10"/>
                <w:b w:val="1"/>
                <w:bCs w:val="1"/>
                <w:color w:val="auto"/>
              </w:rPr>
              <w:t>3-5</w:t>
            </w: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jc w:val="right"/>
              <w:ind w:right="38"/>
              <w:spacing w:after="0" w:line="91" w:lineRule="exact"/>
              <w:rPr>
                <w:sz w:val="20"/>
                <w:szCs w:val="20"/>
                <w:color w:val="auto"/>
              </w:rPr>
            </w:pPr>
            <w:r>
              <w:rPr>
                <w:rFonts w:ascii="Arial" w:cs="Arial" w:eastAsia="Arial" w:hAnsi="Arial"/>
                <w:sz w:val="10"/>
                <w:szCs w:val="10"/>
                <w:b w:val="1"/>
                <w:bCs w:val="1"/>
                <w:color w:val="auto"/>
              </w:rPr>
              <w:t>More than</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49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ind w:left="100"/>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10"/>
                <w:szCs w:val="10"/>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rPr>
              <w:t>1 Year</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87"/>
              </w:rPr>
              <w:t>Years</w:t>
            </w:r>
          </w:p>
        </w:tc>
        <w:tc>
          <w:tcPr>
            <w:tcW w:w="140" w:type="dxa"/>
            <w:vAlign w:val="bottom"/>
          </w:tcPr>
          <w:p>
            <w:pPr>
              <w:spacing w:after="0"/>
              <w:rPr>
                <w:sz w:val="10"/>
                <w:szCs w:val="10"/>
                <w:color w:val="auto"/>
              </w:rPr>
            </w:pPr>
          </w:p>
        </w:tc>
        <w:tc>
          <w:tcPr>
            <w:tcW w:w="94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87"/>
              </w:rPr>
              <w:t>Years</w:t>
            </w:r>
          </w:p>
        </w:tc>
        <w:tc>
          <w:tcPr>
            <w:tcW w:w="80" w:type="dxa"/>
            <w:vAlign w:val="bottom"/>
          </w:tcPr>
          <w:p>
            <w:pPr>
              <w:spacing w:after="0"/>
              <w:rPr>
                <w:sz w:val="10"/>
                <w:szCs w:val="10"/>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rPr>
              <w:t>5 Years</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Long-Term Debt Obligations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350,038</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42,875</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100,000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207,143</w:t>
            </w:r>
          </w:p>
        </w:tc>
        <w:tc>
          <w:tcPr>
            <w:tcW w:w="0" w:type="dxa"/>
            <w:vAlign w:val="bottom"/>
          </w:tcPr>
          <w:p>
            <w:pPr>
              <w:spacing w:after="0"/>
              <w:rPr>
                <w:sz w:val="1"/>
                <w:szCs w:val="1"/>
                <w:color w:val="auto"/>
              </w:rPr>
            </w:pPr>
          </w:p>
        </w:tc>
      </w:tr>
      <w:tr>
        <w:trPr>
          <w:trHeight w:val="157"/>
        </w:trPr>
        <w:tc>
          <w:tcPr>
            <w:tcW w:w="4920" w:type="dxa"/>
            <w:vAlign w:val="bottom"/>
            <w:gridSpan w:val="2"/>
          </w:tcPr>
          <w:p>
            <w:pPr>
              <w:spacing w:after="0"/>
              <w:rPr>
                <w:sz w:val="20"/>
                <w:szCs w:val="20"/>
                <w:color w:val="auto"/>
              </w:rPr>
            </w:pPr>
            <w:r>
              <w:rPr>
                <w:rFonts w:ascii="Arial" w:cs="Arial" w:eastAsia="Arial" w:hAnsi="Arial"/>
                <w:sz w:val="13"/>
                <w:szCs w:val="13"/>
                <w:color w:val="auto"/>
              </w:rPr>
              <w:t>Operating Lease Obligations</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51,946</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15,744</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20,931</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8,199</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7,072</w:t>
            </w:r>
          </w:p>
        </w:tc>
        <w:tc>
          <w:tcPr>
            <w:tcW w:w="0" w:type="dxa"/>
            <w:vAlign w:val="bottom"/>
          </w:tcPr>
          <w:p>
            <w:pPr>
              <w:spacing w:after="0"/>
              <w:rPr>
                <w:sz w:val="1"/>
                <w:szCs w:val="1"/>
                <w:color w:val="auto"/>
              </w:rPr>
            </w:pPr>
          </w:p>
        </w:tc>
      </w:tr>
      <w:tr>
        <w:trPr>
          <w:trHeight w:val="157"/>
        </w:trPr>
        <w:tc>
          <w:tcPr>
            <w:tcW w:w="4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Purchase Obligations(1)</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47,860</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47,250</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400</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210</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57"/>
        </w:trPr>
        <w:tc>
          <w:tcPr>
            <w:tcW w:w="4920" w:type="dxa"/>
            <w:vAlign w:val="bottom"/>
            <w:gridSpan w:val="2"/>
          </w:tcPr>
          <w:p>
            <w:pPr>
              <w:spacing w:after="0"/>
              <w:rPr>
                <w:sz w:val="20"/>
                <w:szCs w:val="20"/>
                <w:color w:val="auto"/>
              </w:rPr>
            </w:pPr>
            <w:r>
              <w:rPr>
                <w:rFonts w:ascii="Arial" w:cs="Arial" w:eastAsia="Arial" w:hAnsi="Arial"/>
                <w:sz w:val="13"/>
                <w:szCs w:val="13"/>
                <w:color w:val="auto"/>
              </w:rPr>
              <w:t>Interest Obligations</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112,750</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18,310</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35,519</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29,598</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29,323</w:t>
            </w:r>
          </w:p>
        </w:tc>
        <w:tc>
          <w:tcPr>
            <w:tcW w:w="0" w:type="dxa"/>
            <w:vAlign w:val="bottom"/>
          </w:tcPr>
          <w:p>
            <w:pPr>
              <w:spacing w:after="0"/>
              <w:rPr>
                <w:sz w:val="1"/>
                <w:szCs w:val="1"/>
                <w:color w:val="auto"/>
              </w:rPr>
            </w:pPr>
          </w:p>
        </w:tc>
      </w:tr>
      <w:tr>
        <w:trPr>
          <w:trHeight w:val="157"/>
        </w:trPr>
        <w:tc>
          <w:tcPr>
            <w:tcW w:w="4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Obligations(2)</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7,490</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628</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1,370</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1,521</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3,971</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ind w:left="140"/>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920" w:type="dxa"/>
            <w:vAlign w:val="bottom"/>
            <w:gridSpan w:val="2"/>
            <w:vMerge w:val="continue"/>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570,084</w:t>
            </w:r>
          </w:p>
        </w:tc>
        <w:tc>
          <w:tcPr>
            <w:tcW w:w="4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81,952</w:t>
            </w: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101,095</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139,528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247,509</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6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hanging="259"/>
        <w:spacing w:after="0"/>
        <w:tabs>
          <w:tab w:leader="none" w:pos="10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Purchase obligations include all open purchase orders as of July 31, 2006.</w:t>
      </w:r>
    </w:p>
    <w:p>
      <w:pPr>
        <w:spacing w:after="0" w:line="47" w:lineRule="exact"/>
        <w:rPr>
          <w:rFonts w:ascii="Arial" w:cs="Arial" w:eastAsia="Arial" w:hAnsi="Arial"/>
          <w:sz w:val="13"/>
          <w:szCs w:val="13"/>
          <w:color w:val="auto"/>
        </w:rPr>
      </w:pPr>
    </w:p>
    <w:p>
      <w:pPr>
        <w:ind w:left="1000" w:right="260" w:hanging="259"/>
        <w:spacing w:after="0" w:line="276" w:lineRule="auto"/>
        <w:tabs>
          <w:tab w:leader="none" w:pos="10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Other obligations represent expected payments under the Company’s postretirement medical, dental, and vision plan as disclosed in Note 3 to the consolidated financial statements, under Item 8 of this report.</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Inflation and Changing Prices</w:t>
      </w:r>
    </w:p>
    <w:p>
      <w:pPr>
        <w:spacing w:after="0" w:line="10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Essentially all of the Company’s revenue is derived from the sale of its products in competitive markets. Because prices are influenced by market conditions, it is not always possible to fully recover cost increases through pricing. Changes in product mix from year to year, timing differences in instituting price changes and the large amount of part numbers make it virtually impossible to accurately define the impact of inflation on profit margins.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Critical Accounting Estimates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ind w:left="680" w:right="80" w:firstLine="399"/>
        <w:spacing w:after="0" w:line="279" w:lineRule="auto"/>
        <w:rPr>
          <w:sz w:val="20"/>
          <w:szCs w:val="20"/>
          <w:color w:val="auto"/>
        </w:rPr>
      </w:pPr>
      <w:r>
        <w:rPr>
          <w:rFonts w:ascii="Arial" w:cs="Arial" w:eastAsia="Arial" w:hAnsi="Arial"/>
          <w:sz w:val="12"/>
          <w:szCs w:val="12"/>
          <w:color w:val="auto"/>
        </w:rPr>
        <w:t>The Company accounts for income taxes in accordance with Statement of Financial Accounting Standards (“SFAS”) No. 109, “Accounting for Income Taxes,” which requires an asset and liability approach to financial accounting and reporting for income taxes. Deferred income tax assets and liabilities are computed annually for differences between the financial statement and tax basis of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expected to be realized. Income tax expense is the tax payable or refundable for the period plus or minus the change during the period in deferred tax assets and liabilities. Changes in existing regulatory tax laws and rates may affect the Company’s ability to successfully manage regulatory matters around the world, and future business results may affect the amount of deferred tax liabilities or the valuation of deferred tax assets over time. The Company’s accounting for deferred tax consequences represents management’s best estimate of future events that can be appropriately reflected in the accounting estimates. Although the Company’s current estimates may be subject to change in the future, management does not believe such changes would result in a material period-to-period impact on the results of operations or the financial condition of the Company.</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Goodwill and Intangible Assets</w:t>
      </w:r>
    </w:p>
    <w:p>
      <w:pPr>
        <w:spacing w:after="0" w:line="96"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The allocation of purchase price for business combinations requires management estimates and judgment as to expectations for future cash flows of the acquired business and the allocation of those cash flows to identifiable intangible assets in determining the estimated fair value for purchase price allocation purposes. If the actual results differ from the estimates and judgments used in these estimates, the amounts recorded in the financial statements could result in a possible impairment of the intangible assets and goodwill or require acceleration of the amortization expense of finite-lived intangible assets. In addition, SFAS No. 142, “Goodwill and Other Intangible Assets,” requires that goodwill and other indefinite-lived intangible assets be tested annually for impairment. Changes in management’s estimates or judgments could result in an impairment charge, and such a charge could</w:t>
      </w:r>
    </w:p>
    <w:p>
      <w:pPr>
        <w:spacing w:after="0" w:line="252"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60"/>
        <w:spacing w:after="0" w:line="276" w:lineRule="auto"/>
        <w:rPr>
          <w:sz w:val="20"/>
          <w:szCs w:val="20"/>
          <w:color w:val="auto"/>
        </w:rPr>
      </w:pPr>
      <w:r>
        <w:rPr>
          <w:rFonts w:ascii="Arial" w:cs="Arial" w:eastAsia="Arial" w:hAnsi="Arial"/>
          <w:sz w:val="13"/>
          <w:szCs w:val="13"/>
          <w:color w:val="auto"/>
        </w:rPr>
        <w:t>have an adverse effect on the Company’s financial condition and results of operations. To aid in establishing the value of goodwill and other intangible assets at the time of acquisition, Company policy requires that all acquisitions with a purchase price above $5 million must be evaluated by a professional appraisal company.</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Reserves and Allowances</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The Company has recorded reserves or allowances for inventory obsolescence, uncollectible accounts receivable, returns, credit memos, incurred but not reported medical claims, and income tax contingencies. These reserves require the use of estimates and judgment. The Company bases its estimates on historical experience and on various other assumptions that are believed to be reasonable under the circumstances. The Company believes that such estimates are made with consistent and appropriate methods. Actual results may differ from these estimates under different assumptions or conditions.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New Accounting Standards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information required by this Item is provided in Note 1 of the Notes to Consolidated Financial Statements contained in Item 8 — Financial Statements and Supplementary Data.</w:t>
      </w:r>
    </w:p>
    <w:p>
      <w:pPr>
        <w:spacing w:after="0" w:line="18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Forward-Looking Statements</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2"/>
          <w:szCs w:val="12"/>
          <w:color w:val="auto"/>
        </w:rPr>
        <w:t>Brady believes that certain statements in this Form 10-K are “forward-looking statements” within the meaning of the Private Securities Litigation Reform Act of 1995. All statements related to future, not past, events included in this Form 10-K, including, without limitation, statements regarding Brady’s future financial position, business strategy, targets, projected sales, costs, earnings, capital expenditures, debt levels and cash flows, and plans and objectives of management for future operations are forward-looking statements. When used in this Form 10-K,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future financial performance of major markets Brady serves, which include, without limitation, telecommunications, manufacturing, electrical, construction, laboratory, education, governmental, public utility, computer, transportation; difficulties in making and integrating acquisitions; risks associated with newly acquired businesses; Brady’s ability to retain significant contracts and customers; future competition; Brady’s ability to develop and successfully market new products; changes in the supply of, or price for, parts and components; increased price pressure from suppliers and customers; interruptions to sources of supply; environmental, health and safety compliance costs and liabilities; Brady’s ability to realize cost savings from operating initiatives; Brady’s ability to attract and retain key talent; difficulties associated with exports; risks associated with international operations; fluctuations in currency rates versus the US dollar; technology changes; potential write-offs of Brady’s substantial intangible assets; risks associated with obtaining governmental approvals and maintaining regulatory compliance for new and existing products; business interruptions due to implementing business systems;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located in Item 1A of Part I of this Form 10-K. These uncertainties may cause Brady’s actual future results to be materially different than those expressed in its forward-looking statements. Brady does not undertake to update its forward-looking statements.</w:t>
      </w:r>
    </w:p>
    <w:p>
      <w:pPr>
        <w:spacing w:after="0" w:line="14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 Factors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Please see the information contained in Item 1A — Risk Factors.</w:t>
      </w:r>
    </w:p>
    <w:p>
      <w:pPr>
        <w:spacing w:after="0" w:line="30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7A.</w:t>
      </w:r>
      <w:r>
        <w:rPr>
          <w:sz w:val="20"/>
          <w:szCs w:val="20"/>
          <w:color w:val="auto"/>
        </w:rPr>
        <w:tab/>
      </w:r>
      <w:r>
        <w:rPr>
          <w:rFonts w:ascii="Arial" w:cs="Arial" w:eastAsia="Arial" w:hAnsi="Arial"/>
          <w:sz w:val="11"/>
          <w:szCs w:val="11"/>
          <w:b w:val="1"/>
          <w:bCs w:val="1"/>
          <w:i w:val="1"/>
          <w:iCs w:val="1"/>
          <w:color w:val="auto"/>
        </w:rPr>
        <w:t>Quantitative and Qualitative Disclosures About Market Risk</w:t>
      </w:r>
    </w:p>
    <w:p>
      <w:pPr>
        <w:spacing w:after="0" w:line="100"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The Company’s business operations give rise to market risk exposure due to changes in foreign exchange rates. To manage that risk effectively, the Company enters into hedging transactions, according to established guidelines and policies, that enable it to mitigate the adverse effects of this financial market risk.</w:t>
      </w:r>
    </w:p>
    <w:p>
      <w:pPr>
        <w:spacing w:after="0" w:line="59"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The global nature of the Company’s business requires active participation in the foreign exchange markets. As a result of investments, production facilities and other operations on a global scale, the Company has assets, liabilities and cash flows in currencies other than the U.S. Dollar. The primary objective of the Company’s foreign-currency exchange risk management is to minimize the impact of currency movements on intercompany transactions and foreign raw-material imports. To achieve this objective, we hedge a portion of known exposures using forward contracts. Main exposures are related to transactions denominated in the British Pound, the Euro, Canadian Dollar, Australian Dollar, Swedish Krona and Chinese RMB currency. In the third quarter of fiscal 2006, we purchased a currency option to hedge against increases in the purchase price in U.S. dollar terms of Tradex, as the transaction was denominated in the Swedish Krona. A gain of approximately $1.5 million was recorded in fiscal 2006 due to this option.</w:t>
      </w:r>
    </w:p>
    <w:p>
      <w:pPr>
        <w:spacing w:after="0" w:line="59" w:lineRule="exact"/>
        <w:rPr>
          <w:sz w:val="20"/>
          <w:szCs w:val="20"/>
          <w:color w:val="auto"/>
        </w:rPr>
      </w:pPr>
    </w:p>
    <w:p>
      <w:pPr>
        <w:jc w:val="both"/>
        <w:ind w:left="680" w:right="120" w:firstLine="399"/>
        <w:spacing w:after="0" w:line="334" w:lineRule="auto"/>
        <w:rPr>
          <w:sz w:val="20"/>
          <w:szCs w:val="20"/>
          <w:color w:val="auto"/>
        </w:rPr>
      </w:pPr>
      <w:r>
        <w:rPr>
          <w:rFonts w:ascii="Arial" w:cs="Arial" w:eastAsia="Arial" w:hAnsi="Arial"/>
          <w:sz w:val="11"/>
          <w:szCs w:val="11"/>
          <w:color w:val="auto"/>
        </w:rPr>
        <w:t>The Company could be exposed to interest rate risk through its corporate borrowing activities. The objective of the Company’s interest rate risk management activities is to manage the levels of the Company’s fixed and floating interest rate exposure to be consistent with the Company’s preferred mix. The interest rate risk management program allows the Company to enter into approved interest rate derivatives if there is a desire to modify the Company’s exposure to interest rates. As of July 31, 2006, the Company had no interest rate derivatives.</w:t>
      </w:r>
    </w:p>
    <w:p>
      <w:pPr>
        <w:spacing w:after="0" w:line="23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49"/>
        </w:trPr>
        <w:tc>
          <w:tcPr>
            <w:tcW w:w="980" w:type="dxa"/>
            <w:vAlign w:val="bottom"/>
            <w:tcBorders>
              <w:bottom w:val="single" w:sz="8" w:color="0000EE"/>
            </w:tcBorders>
            <w:gridSpan w:val="3"/>
          </w:tcPr>
          <w:p>
            <w:pPr>
              <w:spacing w:after="0"/>
              <w:rPr>
                <w:rFonts w:ascii="Arial" w:cs="Arial" w:eastAsia="Arial" w:hAnsi="Arial"/>
                <w:sz w:val="13"/>
                <w:szCs w:val="13"/>
                <w:b w:val="1"/>
                <w:bCs w:val="1"/>
                <w:color w:val="0000EE"/>
                <w:w w:val="87"/>
              </w:rPr>
            </w:pPr>
            <w:hyperlink w:anchor="page3">
              <w:r>
                <w:rPr>
                  <w:rFonts w:ascii="Arial" w:cs="Arial" w:eastAsia="Arial" w:hAnsi="Arial"/>
                  <w:sz w:val="13"/>
                  <w:szCs w:val="13"/>
                  <w:b w:val="1"/>
                  <w:bCs w:val="1"/>
                  <w:color w:val="0000EE"/>
                  <w:w w:val="87"/>
                </w:rPr>
                <w:t>Table of Contents</w:t>
              </w:r>
            </w:hyperlink>
          </w:p>
        </w:tc>
        <w:tc>
          <w:tcPr>
            <w:tcW w:w="30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392"/>
        </w:trPr>
        <w:tc>
          <w:tcPr>
            <w:tcW w:w="1280" w:type="dxa"/>
            <w:vAlign w:val="bottom"/>
            <w:gridSpan w:val="4"/>
          </w:tcPr>
          <w:p>
            <w:pPr>
              <w:ind w:left="680"/>
              <w:spacing w:after="0"/>
              <w:rPr>
                <w:sz w:val="20"/>
                <w:szCs w:val="20"/>
                <w:color w:val="auto"/>
              </w:rPr>
            </w:pPr>
            <w:r>
              <w:rPr>
                <w:rFonts w:ascii="Arial" w:cs="Arial" w:eastAsia="Arial" w:hAnsi="Arial"/>
                <w:sz w:val="13"/>
                <w:szCs w:val="13"/>
                <w:b w:val="1"/>
                <w:bCs w:val="1"/>
                <w:color w:val="auto"/>
              </w:rPr>
              <w:t>Item 8.</w:t>
            </w:r>
          </w:p>
        </w:tc>
        <w:tc>
          <w:tcPr>
            <w:tcW w:w="9000" w:type="dxa"/>
            <w:vAlign w:val="bottom"/>
            <w:gridSpan w:val="6"/>
          </w:tcPr>
          <w:p>
            <w:pPr>
              <w:ind w:left="220"/>
              <w:spacing w:after="0"/>
              <w:rPr>
                <w:sz w:val="20"/>
                <w:szCs w:val="20"/>
                <w:color w:val="auto"/>
              </w:rPr>
            </w:pPr>
            <w:r>
              <w:rPr>
                <w:rFonts w:ascii="Arial" w:cs="Arial" w:eastAsia="Arial" w:hAnsi="Arial"/>
                <w:sz w:val="13"/>
                <w:szCs w:val="13"/>
                <w:b w:val="1"/>
                <w:bCs w:val="1"/>
                <w:i w:val="1"/>
                <w:iCs w:val="1"/>
                <w:color w:val="auto"/>
              </w:rPr>
              <w:t>Financial Statements and Supplementary Data</w:t>
            </w: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03"/>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520" w:type="dxa"/>
            <w:vAlign w:val="bottom"/>
            <w:gridSpan w:val="5"/>
          </w:tcPr>
          <w:p>
            <w:pPr>
              <w:jc w:val="center"/>
              <w:ind w:right="2700"/>
              <w:spacing w:after="0"/>
              <w:rPr>
                <w:sz w:val="20"/>
                <w:szCs w:val="20"/>
                <w:color w:val="auto"/>
              </w:rPr>
            </w:pPr>
            <w:r>
              <w:rPr>
                <w:rFonts w:ascii="Arial" w:cs="Arial" w:eastAsia="Arial" w:hAnsi="Arial"/>
                <w:sz w:val="13"/>
                <w:szCs w:val="13"/>
                <w:b w:val="1"/>
                <w:bCs w:val="1"/>
                <w:color w:val="auto"/>
              </w:rPr>
              <w:t>BRADY CORPORATION &amp; SUBSIDIARIES</w:t>
            </w: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46"/>
        </w:trPr>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6520" w:type="dxa"/>
            <w:vAlign w:val="bottom"/>
            <w:gridSpan w:val="5"/>
          </w:tcPr>
          <w:p>
            <w:pPr>
              <w:jc w:val="center"/>
              <w:ind w:right="2680"/>
              <w:spacing w:after="0"/>
              <w:rPr>
                <w:sz w:val="20"/>
                <w:szCs w:val="20"/>
                <w:color w:val="auto"/>
              </w:rPr>
            </w:pPr>
            <w:r>
              <w:rPr>
                <w:rFonts w:ascii="Arial" w:cs="Arial" w:eastAsia="Arial" w:hAnsi="Arial"/>
                <w:sz w:val="13"/>
                <w:szCs w:val="13"/>
                <w:b w:val="1"/>
                <w:bCs w:val="1"/>
                <w:color w:val="auto"/>
              </w:rPr>
              <w:t>INDEX TO FINANCIAL STATEMENTS</w:t>
            </w: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86"/>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0"/>
                <w:szCs w:val="10"/>
                <w:b w:val="1"/>
                <w:bCs w:val="1"/>
                <w:color w:val="auto"/>
              </w:rPr>
              <w:t>Page</w:t>
            </w:r>
          </w:p>
        </w:tc>
        <w:tc>
          <w:tcPr>
            <w:tcW w:w="800" w:type="dxa"/>
            <w:vAlign w:val="bottom"/>
          </w:tcPr>
          <w:p>
            <w:pPr>
              <w:spacing w:after="0"/>
              <w:rPr>
                <w:sz w:val="24"/>
                <w:szCs w:val="24"/>
                <w:color w:val="auto"/>
              </w:rPr>
            </w:pPr>
          </w:p>
        </w:tc>
      </w:tr>
      <w:tr>
        <w:trPr>
          <w:trHeight w:val="157"/>
        </w:trPr>
        <w:tc>
          <w:tcPr>
            <w:tcW w:w="680" w:type="dxa"/>
            <w:vAlign w:val="bottom"/>
          </w:tcPr>
          <w:p>
            <w:pPr>
              <w:spacing w:after="0"/>
              <w:rPr>
                <w:sz w:val="13"/>
                <w:szCs w:val="13"/>
                <w:color w:val="auto"/>
              </w:rPr>
            </w:pPr>
          </w:p>
        </w:tc>
        <w:tc>
          <w:tcPr>
            <w:tcW w:w="3080" w:type="dxa"/>
            <w:vAlign w:val="bottom"/>
            <w:tcBorders>
              <w:bottom w:val="single" w:sz="8" w:color="0000EE"/>
            </w:tcBorders>
            <w:gridSpan w:val="4"/>
          </w:tcPr>
          <w:p>
            <w:pPr>
              <w:spacing w:after="0"/>
              <w:rPr>
                <w:rFonts w:ascii="Arial" w:cs="Arial" w:eastAsia="Arial" w:hAnsi="Arial"/>
                <w:sz w:val="13"/>
                <w:szCs w:val="13"/>
                <w:color w:val="0000EE"/>
                <w:w w:val="92"/>
              </w:rPr>
            </w:pPr>
            <w:hyperlink w:anchor="page31">
              <w:r>
                <w:rPr>
                  <w:rFonts w:ascii="Arial" w:cs="Arial" w:eastAsia="Arial" w:hAnsi="Arial"/>
                  <w:sz w:val="13"/>
                  <w:szCs w:val="13"/>
                  <w:color w:val="0000EE"/>
                  <w:w w:val="92"/>
                </w:rPr>
                <w:t>Report of Independent Registered Public Accounting Firm</w:t>
              </w:r>
            </w:hyperlink>
          </w:p>
        </w:tc>
        <w:tc>
          <w:tcPr>
            <w:tcW w:w="6520" w:type="dxa"/>
            <w:vAlign w:val="bottom"/>
            <w:gridSpan w:val="5"/>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3"/>
                <w:szCs w:val="13"/>
                <w:color w:val="auto"/>
                <w:w w:val="92"/>
              </w:rPr>
              <w:t>II-15</w:t>
            </w:r>
          </w:p>
        </w:tc>
        <w:tc>
          <w:tcPr>
            <w:tcW w:w="800" w:type="dxa"/>
            <w:vAlign w:val="bottom"/>
          </w:tcPr>
          <w:p>
            <w:pPr>
              <w:spacing w:after="0"/>
              <w:rPr>
                <w:sz w:val="13"/>
                <w:szCs w:val="13"/>
                <w:color w:val="auto"/>
              </w:rPr>
            </w:pPr>
          </w:p>
        </w:tc>
      </w:tr>
      <w:tr>
        <w:trPr>
          <w:trHeight w:val="158"/>
        </w:trPr>
        <w:tc>
          <w:tcPr>
            <w:tcW w:w="680" w:type="dxa"/>
            <w:vAlign w:val="bottom"/>
          </w:tcPr>
          <w:p>
            <w:pPr>
              <w:spacing w:after="0"/>
              <w:rPr>
                <w:sz w:val="13"/>
                <w:szCs w:val="13"/>
                <w:color w:val="auto"/>
              </w:rPr>
            </w:pPr>
          </w:p>
        </w:tc>
        <w:tc>
          <w:tcPr>
            <w:tcW w:w="9600" w:type="dxa"/>
            <w:vAlign w:val="bottom"/>
            <w:gridSpan w:val="9"/>
          </w:tcPr>
          <w:p>
            <w:pPr>
              <w:spacing w:after="0"/>
              <w:rPr>
                <w:sz w:val="20"/>
                <w:szCs w:val="20"/>
                <w:color w:val="auto"/>
              </w:rPr>
            </w:pPr>
            <w:r>
              <w:rPr>
                <w:rFonts w:ascii="Arial" w:cs="Arial" w:eastAsia="Arial" w:hAnsi="Arial"/>
                <w:sz w:val="13"/>
                <w:szCs w:val="13"/>
                <w:color w:val="auto"/>
              </w:rPr>
              <w:t>Financial Statements:</w:t>
            </w: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60" w:type="dxa"/>
            <w:vAlign w:val="bottom"/>
            <w:gridSpan w:val="8"/>
          </w:tcPr>
          <w:p>
            <w:pPr>
              <w:spacing w:after="0" w:line="137" w:lineRule="exact"/>
              <w:rPr>
                <w:rFonts w:ascii="Arial" w:cs="Arial" w:eastAsia="Arial" w:hAnsi="Arial"/>
                <w:sz w:val="13"/>
                <w:szCs w:val="13"/>
                <w:color w:val="0000EE"/>
              </w:rPr>
            </w:pPr>
            <w:hyperlink w:anchor="page32">
              <w:r>
                <w:rPr>
                  <w:rFonts w:ascii="Arial" w:cs="Arial" w:eastAsia="Arial" w:hAnsi="Arial"/>
                  <w:sz w:val="13"/>
                  <w:szCs w:val="13"/>
                  <w:color w:val="0000EE"/>
                </w:rPr>
                <w:t>Consolidated Balance Sheets — July 31, 2006 and 2005</w:t>
              </w:r>
            </w:hyperlink>
          </w:p>
        </w:tc>
        <w:tc>
          <w:tcPr>
            <w:tcW w:w="380" w:type="dxa"/>
            <w:vAlign w:val="bottom"/>
          </w:tcPr>
          <w:p>
            <w:pPr>
              <w:ind w:left="120"/>
              <w:spacing w:after="0" w:line="137" w:lineRule="exact"/>
              <w:rPr>
                <w:sz w:val="20"/>
                <w:szCs w:val="20"/>
                <w:color w:val="auto"/>
              </w:rPr>
            </w:pPr>
            <w:r>
              <w:rPr>
                <w:rFonts w:ascii="Arial" w:cs="Arial" w:eastAsia="Arial" w:hAnsi="Arial"/>
                <w:sz w:val="13"/>
                <w:szCs w:val="13"/>
                <w:color w:val="auto"/>
                <w:w w:val="92"/>
              </w:rPr>
              <w:t>II-16</w:t>
            </w:r>
          </w:p>
        </w:tc>
        <w:tc>
          <w:tcPr>
            <w:tcW w:w="80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40" w:type="dxa"/>
            <w:vAlign w:val="bottom"/>
            <w:gridSpan w:val="3"/>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60" w:type="dxa"/>
            <w:vAlign w:val="bottom"/>
            <w:gridSpan w:val="8"/>
          </w:tcPr>
          <w:p>
            <w:pPr>
              <w:spacing w:after="0" w:line="138" w:lineRule="exact"/>
              <w:rPr>
                <w:rFonts w:ascii="Arial" w:cs="Arial" w:eastAsia="Arial" w:hAnsi="Arial"/>
                <w:sz w:val="13"/>
                <w:szCs w:val="13"/>
                <w:color w:val="0000EE"/>
              </w:rPr>
            </w:pPr>
            <w:hyperlink w:anchor="page33">
              <w:r>
                <w:rPr>
                  <w:rFonts w:ascii="Arial" w:cs="Arial" w:eastAsia="Arial" w:hAnsi="Arial"/>
                  <w:sz w:val="13"/>
                  <w:szCs w:val="13"/>
                  <w:color w:val="0000EE"/>
                </w:rPr>
                <w:t>Consolidated Statements of Income — Years Ended July 31, 2006, 2005 and 2004</w:t>
              </w:r>
            </w:hyperlink>
          </w:p>
        </w:tc>
        <w:tc>
          <w:tcPr>
            <w:tcW w:w="380" w:type="dxa"/>
            <w:vAlign w:val="bottom"/>
          </w:tcPr>
          <w:p>
            <w:pPr>
              <w:ind w:left="120"/>
              <w:spacing w:after="0" w:line="138" w:lineRule="exact"/>
              <w:rPr>
                <w:sz w:val="20"/>
                <w:szCs w:val="20"/>
                <w:color w:val="auto"/>
              </w:rPr>
            </w:pPr>
            <w:r>
              <w:rPr>
                <w:rFonts w:ascii="Arial" w:cs="Arial" w:eastAsia="Arial" w:hAnsi="Arial"/>
                <w:sz w:val="13"/>
                <w:szCs w:val="13"/>
                <w:color w:val="auto"/>
                <w:w w:val="92"/>
              </w:rPr>
              <w:t>II-17</w:t>
            </w:r>
          </w:p>
        </w:tc>
        <w:tc>
          <w:tcPr>
            <w:tcW w:w="80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0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60" w:type="dxa"/>
            <w:vAlign w:val="bottom"/>
            <w:tcBorders>
              <w:bottom w:val="single" w:sz="8" w:color="0000EE"/>
            </w:tcBorders>
            <w:gridSpan w:val="7"/>
          </w:tcPr>
          <w:p>
            <w:pPr>
              <w:spacing w:after="0" w:line="138" w:lineRule="exact"/>
              <w:rPr>
                <w:rFonts w:ascii="Arial" w:cs="Arial" w:eastAsia="Arial" w:hAnsi="Arial"/>
                <w:sz w:val="13"/>
                <w:szCs w:val="13"/>
                <w:color w:val="0000EE"/>
                <w:w w:val="90"/>
              </w:rPr>
            </w:pPr>
            <w:hyperlink w:anchor="page34">
              <w:r>
                <w:rPr>
                  <w:rFonts w:ascii="Arial" w:cs="Arial" w:eastAsia="Arial" w:hAnsi="Arial"/>
                  <w:sz w:val="13"/>
                  <w:szCs w:val="13"/>
                  <w:color w:val="0000EE"/>
                  <w:w w:val="90"/>
                </w:rPr>
                <w:t>Consolidated Statements of Stockholders’ Investment — Years Ended July 31, 2006, 2005 and 2004</w:t>
              </w:r>
            </w:hyperlink>
          </w:p>
        </w:tc>
        <w:tc>
          <w:tcPr>
            <w:tcW w:w="4200" w:type="dxa"/>
            <w:vAlign w:val="bottom"/>
          </w:tcPr>
          <w:p>
            <w:pPr>
              <w:spacing w:after="0"/>
              <w:rPr>
                <w:sz w:val="11"/>
                <w:szCs w:val="11"/>
                <w:color w:val="auto"/>
              </w:rPr>
            </w:pPr>
          </w:p>
        </w:tc>
        <w:tc>
          <w:tcPr>
            <w:tcW w:w="380" w:type="dxa"/>
            <w:vAlign w:val="bottom"/>
          </w:tcPr>
          <w:p>
            <w:pPr>
              <w:ind w:left="120"/>
              <w:spacing w:after="0" w:line="138" w:lineRule="exact"/>
              <w:rPr>
                <w:sz w:val="20"/>
                <w:szCs w:val="20"/>
                <w:color w:val="auto"/>
              </w:rPr>
            </w:pPr>
            <w:r>
              <w:rPr>
                <w:rFonts w:ascii="Arial" w:cs="Arial" w:eastAsia="Arial" w:hAnsi="Arial"/>
                <w:sz w:val="13"/>
                <w:szCs w:val="13"/>
                <w:color w:val="auto"/>
                <w:w w:val="92"/>
              </w:rPr>
              <w:t>II-18</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540" w:type="dxa"/>
            <w:vAlign w:val="bottom"/>
            <w:tcBorders>
              <w:bottom w:val="single" w:sz="8" w:color="0000EE"/>
            </w:tcBorders>
            <w:gridSpan w:val="5"/>
          </w:tcPr>
          <w:p>
            <w:pPr>
              <w:spacing w:after="0" w:line="138" w:lineRule="exact"/>
              <w:rPr>
                <w:rFonts w:ascii="Arial" w:cs="Arial" w:eastAsia="Arial" w:hAnsi="Arial"/>
                <w:sz w:val="13"/>
                <w:szCs w:val="13"/>
                <w:color w:val="0000EE"/>
                <w:w w:val="90"/>
              </w:rPr>
            </w:pPr>
            <w:hyperlink w:anchor="page35">
              <w:r>
                <w:rPr>
                  <w:rFonts w:ascii="Arial" w:cs="Arial" w:eastAsia="Arial" w:hAnsi="Arial"/>
                  <w:sz w:val="13"/>
                  <w:szCs w:val="13"/>
                  <w:color w:val="0000EE"/>
                  <w:w w:val="90"/>
                </w:rPr>
                <w:t>Consolidated Statements of Cash Flows — Years Ended July 31, 2006, 2005 and 2004</w:t>
              </w:r>
            </w:hyperlink>
          </w:p>
        </w:tc>
        <w:tc>
          <w:tcPr>
            <w:tcW w:w="4920" w:type="dxa"/>
            <w:vAlign w:val="bottom"/>
            <w:gridSpan w:val="3"/>
          </w:tcPr>
          <w:p>
            <w:pPr>
              <w:spacing w:after="0"/>
              <w:rPr>
                <w:sz w:val="11"/>
                <w:szCs w:val="11"/>
                <w:color w:val="auto"/>
              </w:rPr>
            </w:pPr>
          </w:p>
        </w:tc>
        <w:tc>
          <w:tcPr>
            <w:tcW w:w="380" w:type="dxa"/>
            <w:vAlign w:val="bottom"/>
          </w:tcPr>
          <w:p>
            <w:pPr>
              <w:ind w:left="120"/>
              <w:spacing w:after="0" w:line="138" w:lineRule="exact"/>
              <w:rPr>
                <w:sz w:val="20"/>
                <w:szCs w:val="20"/>
                <w:color w:val="auto"/>
              </w:rPr>
            </w:pPr>
            <w:r>
              <w:rPr>
                <w:rFonts w:ascii="Arial" w:cs="Arial" w:eastAsia="Arial" w:hAnsi="Arial"/>
                <w:sz w:val="13"/>
                <w:szCs w:val="13"/>
                <w:color w:val="auto"/>
                <w:w w:val="92"/>
              </w:rPr>
              <w:t>II-19</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740" w:type="dxa"/>
            <w:vAlign w:val="bottom"/>
            <w:tcBorders>
              <w:bottom w:val="single" w:sz="8" w:color="0000EE"/>
            </w:tcBorders>
            <w:gridSpan w:val="6"/>
          </w:tcPr>
          <w:p>
            <w:pPr>
              <w:spacing w:after="0" w:line="138" w:lineRule="exact"/>
              <w:rPr>
                <w:rFonts w:ascii="Arial" w:cs="Arial" w:eastAsia="Arial" w:hAnsi="Arial"/>
                <w:sz w:val="13"/>
                <w:szCs w:val="13"/>
                <w:color w:val="0000EE"/>
                <w:w w:val="90"/>
              </w:rPr>
            </w:pPr>
            <w:hyperlink w:anchor="page36">
              <w:r>
                <w:rPr>
                  <w:rFonts w:ascii="Arial" w:cs="Arial" w:eastAsia="Arial" w:hAnsi="Arial"/>
                  <w:sz w:val="13"/>
                  <w:szCs w:val="13"/>
                  <w:color w:val="0000EE"/>
                  <w:w w:val="90"/>
                </w:rPr>
                <w:t>Notes to Consolidated Financial Statements — Years Ended July 31, 2006, 2005 and 2004</w:t>
              </w:r>
            </w:hyperlink>
          </w:p>
        </w:tc>
        <w:tc>
          <w:tcPr>
            <w:tcW w:w="4720" w:type="dxa"/>
            <w:vAlign w:val="bottom"/>
            <w:gridSpan w:val="2"/>
          </w:tcPr>
          <w:p>
            <w:pPr>
              <w:spacing w:after="0"/>
              <w:rPr>
                <w:sz w:val="11"/>
                <w:szCs w:val="11"/>
                <w:color w:val="auto"/>
              </w:rPr>
            </w:pPr>
          </w:p>
        </w:tc>
        <w:tc>
          <w:tcPr>
            <w:tcW w:w="380" w:type="dxa"/>
            <w:vAlign w:val="bottom"/>
          </w:tcPr>
          <w:p>
            <w:pPr>
              <w:ind w:left="120"/>
              <w:spacing w:after="0" w:line="138" w:lineRule="exact"/>
              <w:rPr>
                <w:sz w:val="20"/>
                <w:szCs w:val="20"/>
                <w:color w:val="auto"/>
              </w:rPr>
            </w:pPr>
            <w:r>
              <w:rPr>
                <w:rFonts w:ascii="Arial" w:cs="Arial" w:eastAsia="Arial" w:hAnsi="Arial"/>
                <w:sz w:val="13"/>
                <w:szCs w:val="13"/>
                <w:color w:val="auto"/>
                <w:w w:val="92"/>
              </w:rPr>
              <w:t>II-20</w:t>
            </w:r>
          </w:p>
        </w:tc>
        <w:tc>
          <w:tcPr>
            <w:tcW w:w="800" w:type="dxa"/>
            <w:vAlign w:val="bottom"/>
          </w:tcPr>
          <w:p>
            <w:pPr>
              <w:spacing w:after="0"/>
              <w:rPr>
                <w:sz w:val="11"/>
                <w:szCs w:val="11"/>
                <w:color w:val="auto"/>
              </w:rPr>
            </w:pPr>
          </w:p>
        </w:tc>
      </w:tr>
      <w:tr>
        <w:trPr>
          <w:trHeight w:val="460"/>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920" w:type="dxa"/>
            <w:vAlign w:val="bottom"/>
            <w:gridSpan w:val="3"/>
          </w:tcPr>
          <w:p>
            <w:pPr>
              <w:jc w:val="center"/>
              <w:ind w:right="4300"/>
              <w:spacing w:after="0"/>
              <w:rPr>
                <w:sz w:val="20"/>
                <w:szCs w:val="20"/>
                <w:color w:val="auto"/>
              </w:rPr>
            </w:pPr>
            <w:r>
              <w:rPr>
                <w:rFonts w:ascii="Arial" w:cs="Arial" w:eastAsia="Arial" w:hAnsi="Arial"/>
                <w:sz w:val="13"/>
                <w:szCs w:val="13"/>
                <w:color w:val="auto"/>
                <w:w w:val="99"/>
              </w:rPr>
              <w:t>II-14</w:t>
            </w: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2480" w:type="dxa"/>
            <w:vAlign w:val="bottom"/>
            <w:tcBorders>
              <w:bottom w:val="single" w:sz="8" w:color="808080"/>
            </w:tcBorders>
          </w:tcPr>
          <w:p>
            <w:pPr>
              <w:spacing w:after="0"/>
              <w:rPr>
                <w:sz w:val="14"/>
                <w:szCs w:val="14"/>
                <w:color w:val="auto"/>
              </w:rPr>
            </w:pPr>
          </w:p>
        </w:tc>
        <w:tc>
          <w:tcPr>
            <w:tcW w:w="136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42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34" w:right="2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the Board of Directors and Stockholders of</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Brady Corporation</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Milwaukee, WI</w:t>
      </w:r>
    </w:p>
    <w:p>
      <w:pPr>
        <w:spacing w:after="0" w:line="89"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We have audited the accompanying consolidated balance sheets of Brady Corporation and subsidiaries (the “Company”) as of July 31, 2006 and 2005, and the related consolidated statements of income, stockholders’ investment, and cash flows for each of the three years in the period ended July 31, 2006. Our audits also included the financial statement schedule listed in the Index at Item 15. These financial statements and financial statement schedule are the responsibility of the Company’s management. Our responsibility is to express an opinion on the financial statements and financial statement schedules based on our audits.</w:t>
      </w:r>
    </w:p>
    <w:p>
      <w:pPr>
        <w:spacing w:after="0" w:line="7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our opinion, such consolidated financial statements present fairly, in all material respects, the financial position of Brady Corporation and subsidiaries at July 31, 2006 and 2005, and the results of their operations and their cash flows for each of the three years in the period ended July 31, 2006,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70"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 xml:space="preserve">We have also audited, in accordance with the standards of the Public Company Accounting Oversight Board (United States), the effectiveness of the Company’s internal control over financial reporting as of July 31, 2006, based on the criteria established in </w:t>
      </w:r>
      <w:r>
        <w:rPr>
          <w:rFonts w:ascii="Arial" w:cs="Arial" w:eastAsia="Arial" w:hAnsi="Arial"/>
          <w:sz w:val="12"/>
          <w:szCs w:val="12"/>
          <w:i w:val="1"/>
          <w:iCs w:val="1"/>
          <w:color w:val="auto"/>
        </w:rPr>
        <w:t>Internal Control — Integrated Framework</w:t>
      </w:r>
      <w:r>
        <w:rPr>
          <w:rFonts w:ascii="Arial" w:cs="Arial" w:eastAsia="Arial" w:hAnsi="Arial"/>
          <w:sz w:val="12"/>
          <w:szCs w:val="12"/>
          <w:color w:val="auto"/>
        </w:rPr>
        <w:t xml:space="preserve"> issued by the Committee of Sponsoring Organizations of the Treadway Commission and our report dated September 28, 2006 expressed an unqualified opinion on management’s assessment of the effectiveness of the Company’s internal control over financial reporting and an unqualified opinion on the effectiveness of the Company’s internal control over financial reporting.</w:t>
      </w:r>
    </w:p>
    <w:p>
      <w:pPr>
        <w:spacing w:after="0" w:line="28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 D</w:t>
      </w:r>
      <w:r>
        <w:rPr>
          <w:rFonts w:ascii="Arial" w:cs="Arial" w:eastAsia="Arial" w:hAnsi="Arial"/>
          <w:sz w:val="8"/>
          <w:szCs w:val="8"/>
          <w:color w:val="auto"/>
        </w:rPr>
        <w:t>ELOITTE</w:t>
      </w:r>
      <w:r>
        <w:rPr>
          <w:rFonts w:ascii="Arial" w:cs="Arial" w:eastAsia="Arial" w:hAnsi="Arial"/>
          <w:sz w:val="13"/>
          <w:szCs w:val="13"/>
          <w:color w:val="auto"/>
        </w:rPr>
        <w:t xml:space="preserve"> &amp; T</w:t>
      </w:r>
      <w:r>
        <w:rPr>
          <w:rFonts w:ascii="Arial" w:cs="Arial" w:eastAsia="Arial" w:hAnsi="Arial"/>
          <w:sz w:val="8"/>
          <w:szCs w:val="8"/>
          <w:color w:val="auto"/>
        </w:rPr>
        <w:t>OUCHE</w:t>
      </w:r>
      <w:r>
        <w:rPr>
          <w:rFonts w:ascii="Arial" w:cs="Arial" w:eastAsia="Arial" w:hAnsi="Arial"/>
          <w:sz w:val="13"/>
          <w:szCs w:val="13"/>
          <w:color w:val="auto"/>
        </w:rPr>
        <w:t xml:space="preserve"> LLP</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Milwaukee, WI</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September 28, 2006</w:t>
      </w:r>
    </w:p>
    <w:p>
      <w:pPr>
        <w:spacing w:after="0" w:line="29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300"/>
        <w:spacing w:after="0"/>
        <w:rPr>
          <w:sz w:val="20"/>
          <w:szCs w:val="20"/>
          <w:color w:val="auto"/>
        </w:rPr>
      </w:pPr>
      <w:r>
        <w:rPr>
          <w:rFonts w:ascii="Arial" w:cs="Arial" w:eastAsia="Arial" w:hAnsi="Arial"/>
          <w:sz w:val="13"/>
          <w:szCs w:val="13"/>
          <w:b w:val="1"/>
          <w:bCs w:val="1"/>
          <w:color w:val="auto"/>
        </w:rPr>
        <w:t>BRADY CORPORATION AND SUBSIDIARIES</w:t>
      </w:r>
    </w:p>
    <w:p>
      <w:pPr>
        <w:spacing w:after="0" w:line="96" w:lineRule="exact"/>
        <w:rPr>
          <w:sz w:val="20"/>
          <w:szCs w:val="20"/>
          <w:color w:val="auto"/>
        </w:rPr>
      </w:pPr>
    </w:p>
    <w:p>
      <w:pPr>
        <w:ind w:left="4540"/>
        <w:spacing w:after="0"/>
        <w:rPr>
          <w:sz w:val="20"/>
          <w:szCs w:val="20"/>
          <w:color w:val="auto"/>
        </w:rPr>
      </w:pPr>
      <w:r>
        <w:rPr>
          <w:rFonts w:ascii="Arial" w:cs="Arial" w:eastAsia="Arial" w:hAnsi="Arial"/>
          <w:sz w:val="13"/>
          <w:szCs w:val="13"/>
          <w:b w:val="1"/>
          <w:bCs w:val="1"/>
          <w:color w:val="auto"/>
        </w:rPr>
        <w:t>CONSOLIDATED BALANCE SHEETS</w:t>
      </w:r>
    </w:p>
    <w:p>
      <w:pPr>
        <w:spacing w:after="0" w:line="19" w:lineRule="exact"/>
        <w:rPr>
          <w:sz w:val="20"/>
          <w:szCs w:val="20"/>
          <w:color w:val="auto"/>
        </w:rPr>
      </w:pPr>
    </w:p>
    <w:p>
      <w:pPr>
        <w:ind w:left="5040"/>
        <w:spacing w:after="0"/>
        <w:rPr>
          <w:sz w:val="20"/>
          <w:szCs w:val="20"/>
          <w:color w:val="auto"/>
        </w:rPr>
      </w:pPr>
      <w:r>
        <w:rPr>
          <w:rFonts w:ascii="Arial" w:cs="Arial" w:eastAsia="Arial" w:hAnsi="Arial"/>
          <w:sz w:val="13"/>
          <w:szCs w:val="13"/>
          <w:b w:val="1"/>
          <w:bCs w:val="1"/>
          <w:color w:val="auto"/>
        </w:rPr>
        <w:t>July 31, 2006 and 2005</w:t>
      </w:r>
    </w:p>
    <w:p>
      <w:pPr>
        <w:spacing w:after="0" w:line="120"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2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81"/>
              <w:spacing w:after="0"/>
              <w:rPr>
                <w:sz w:val="20"/>
                <w:szCs w:val="20"/>
                <w:color w:val="auto"/>
              </w:rPr>
            </w:pPr>
            <w:r>
              <w:rPr>
                <w:rFonts w:ascii="Arial" w:cs="Arial" w:eastAsia="Arial" w:hAnsi="Arial"/>
                <w:sz w:val="10"/>
                <w:szCs w:val="10"/>
                <w:b w:val="1"/>
                <w:bCs w:val="1"/>
                <w:color w:val="auto"/>
              </w:rPr>
              <w:t>2006</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0"/>
              </w:rPr>
              <w:t>thousands)</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21"/>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8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4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200" w:type="dxa"/>
            <w:vAlign w:val="bottom"/>
            <w:shd w:val="clear" w:color="auto" w:fill="CCEEFF"/>
          </w:tcPr>
          <w:p>
            <w:pPr>
              <w:ind w:left="4780"/>
              <w:spacing w:after="0"/>
              <w:rPr>
                <w:sz w:val="20"/>
                <w:szCs w:val="20"/>
                <w:color w:val="auto"/>
              </w:rPr>
            </w:pPr>
            <w:r>
              <w:rPr>
                <w:rFonts w:ascii="Arial" w:cs="Arial" w:eastAsia="Arial" w:hAnsi="Arial"/>
                <w:sz w:val="12"/>
                <w:szCs w:val="12"/>
                <w:b w:val="1"/>
                <w:bCs w:val="1"/>
                <w:color w:val="auto"/>
              </w:rPr>
              <w:t>ASSETS</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8200" w:type="dxa"/>
            <w:vAlign w:val="bottom"/>
          </w:tcPr>
          <w:p>
            <w:pPr>
              <w:spacing w:after="0"/>
              <w:rPr>
                <w:sz w:val="20"/>
                <w:szCs w:val="20"/>
                <w:color w:val="auto"/>
              </w:rPr>
            </w:pPr>
            <w:r>
              <w:rPr>
                <w:rFonts w:ascii="Arial" w:cs="Arial" w:eastAsia="Arial" w:hAnsi="Arial"/>
                <w:sz w:val="12"/>
                <w:szCs w:val="12"/>
                <w:color w:val="auto"/>
              </w:rPr>
              <w:t>Current assets:</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and cash equivalents</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960" w:type="dxa"/>
            <w:vAlign w:val="bottom"/>
            <w:gridSpan w:val="2"/>
            <w:shd w:val="clear" w:color="auto" w:fill="CCEEFF"/>
          </w:tcPr>
          <w:p>
            <w:pPr>
              <w:jc w:val="right"/>
              <w:ind w:right="348"/>
              <w:spacing w:after="0"/>
              <w:rPr>
                <w:sz w:val="20"/>
                <w:szCs w:val="20"/>
                <w:color w:val="auto"/>
              </w:rPr>
            </w:pPr>
            <w:r>
              <w:rPr>
                <w:rFonts w:ascii="Arial" w:cs="Arial" w:eastAsia="Arial" w:hAnsi="Arial"/>
                <w:sz w:val="12"/>
                <w:szCs w:val="12"/>
                <w:color w:val="auto"/>
              </w:rPr>
              <w:t>113,008</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72,970</w:t>
            </w:r>
          </w:p>
        </w:tc>
        <w:tc>
          <w:tcPr>
            <w:tcW w:w="0" w:type="dxa"/>
            <w:vAlign w:val="bottom"/>
          </w:tcPr>
          <w:p>
            <w:pPr>
              <w:spacing w:after="0"/>
              <w:rPr>
                <w:sz w:val="1"/>
                <w:szCs w:val="1"/>
                <w:color w:val="auto"/>
              </w:rPr>
            </w:pPr>
          </w:p>
        </w:tc>
      </w:tr>
      <w:tr>
        <w:trPr>
          <w:trHeight w:val="147"/>
        </w:trPr>
        <w:tc>
          <w:tcPr>
            <w:tcW w:w="8200" w:type="dxa"/>
            <w:vAlign w:val="bottom"/>
          </w:tcPr>
          <w:p>
            <w:pPr>
              <w:ind w:left="120"/>
              <w:spacing w:after="0"/>
              <w:rPr>
                <w:sz w:val="20"/>
                <w:szCs w:val="20"/>
                <w:color w:val="auto"/>
              </w:rPr>
            </w:pPr>
            <w:r>
              <w:rPr>
                <w:rFonts w:ascii="Arial" w:cs="Arial" w:eastAsia="Arial" w:hAnsi="Arial"/>
                <w:sz w:val="12"/>
                <w:szCs w:val="12"/>
                <w:color w:val="auto"/>
              </w:rPr>
              <w:t>Short term investments</w:t>
            </w:r>
          </w:p>
        </w:tc>
        <w:tc>
          <w:tcPr>
            <w:tcW w:w="140" w:type="dxa"/>
            <w:vAlign w:val="bottom"/>
          </w:tcPr>
          <w:p>
            <w:pPr>
              <w:spacing w:after="0"/>
              <w:rPr>
                <w:sz w:val="12"/>
                <w:szCs w:val="12"/>
                <w:color w:val="auto"/>
              </w:rPr>
            </w:pPr>
          </w:p>
        </w:tc>
        <w:tc>
          <w:tcPr>
            <w:tcW w:w="960" w:type="dxa"/>
            <w:vAlign w:val="bottom"/>
            <w:gridSpan w:val="2"/>
          </w:tcPr>
          <w:p>
            <w:pPr>
              <w:jc w:val="right"/>
              <w:ind w:right="348"/>
              <w:spacing w:after="0"/>
              <w:rPr>
                <w:sz w:val="20"/>
                <w:szCs w:val="20"/>
                <w:color w:val="auto"/>
              </w:rPr>
            </w:pPr>
            <w:r>
              <w:rPr>
                <w:rFonts w:ascii="Arial" w:cs="Arial" w:eastAsia="Arial" w:hAnsi="Arial"/>
                <w:sz w:val="12"/>
                <w:szCs w:val="12"/>
                <w:color w:val="auto"/>
              </w:rPr>
              <w:t>11,500</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7,100</w:t>
            </w:r>
          </w:p>
        </w:tc>
        <w:tc>
          <w:tcPr>
            <w:tcW w:w="0" w:type="dxa"/>
            <w:vAlign w:val="bottom"/>
          </w:tcPr>
          <w:p>
            <w:pPr>
              <w:spacing w:after="0"/>
              <w:rPr>
                <w:sz w:val="1"/>
                <w:szCs w:val="1"/>
                <w:color w:val="auto"/>
              </w:rPr>
            </w:pPr>
          </w:p>
        </w:tc>
      </w:tr>
      <w:tr>
        <w:trPr>
          <w:trHeight w:val="147"/>
        </w:trPr>
        <w:tc>
          <w:tcPr>
            <w:tcW w:w="8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Accounts receivable, less allowance for losses ($6,390 and $3,726, respectively)</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187,907</w:t>
            </w:r>
          </w:p>
        </w:tc>
        <w:tc>
          <w:tcPr>
            <w:tcW w:w="40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123,453</w:t>
            </w:r>
          </w:p>
        </w:tc>
        <w:tc>
          <w:tcPr>
            <w:tcW w:w="0" w:type="dxa"/>
            <w:vAlign w:val="bottom"/>
          </w:tcPr>
          <w:p>
            <w:pPr>
              <w:spacing w:after="0"/>
              <w:rPr>
                <w:sz w:val="1"/>
                <w:szCs w:val="1"/>
                <w:color w:val="auto"/>
              </w:rPr>
            </w:pPr>
          </w:p>
        </w:tc>
      </w:tr>
      <w:tr>
        <w:trPr>
          <w:trHeight w:val="147"/>
        </w:trPr>
        <w:tc>
          <w:tcPr>
            <w:tcW w:w="8200" w:type="dxa"/>
            <w:vAlign w:val="bottom"/>
          </w:tcPr>
          <w:p>
            <w:pPr>
              <w:ind w:left="120"/>
              <w:spacing w:after="0"/>
              <w:rPr>
                <w:sz w:val="20"/>
                <w:szCs w:val="20"/>
                <w:color w:val="auto"/>
              </w:rPr>
            </w:pPr>
            <w:r>
              <w:rPr>
                <w:rFonts w:ascii="Arial" w:cs="Arial" w:eastAsia="Arial" w:hAnsi="Arial"/>
                <w:sz w:val="12"/>
                <w:szCs w:val="12"/>
                <w:color w:val="auto"/>
              </w:rPr>
              <w:t>Inventories:</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2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Finished products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59,365</w:t>
            </w:r>
          </w:p>
        </w:tc>
        <w:tc>
          <w:tcPr>
            <w:tcW w:w="40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38,827</w:t>
            </w:r>
          </w:p>
        </w:tc>
        <w:tc>
          <w:tcPr>
            <w:tcW w:w="0" w:type="dxa"/>
            <w:vAlign w:val="bottom"/>
          </w:tcPr>
          <w:p>
            <w:pPr>
              <w:spacing w:after="0"/>
              <w:rPr>
                <w:sz w:val="1"/>
                <w:szCs w:val="1"/>
                <w:color w:val="auto"/>
              </w:rPr>
            </w:pPr>
          </w:p>
        </w:tc>
      </w:tr>
      <w:tr>
        <w:trPr>
          <w:trHeight w:val="147"/>
        </w:trPr>
        <w:tc>
          <w:tcPr>
            <w:tcW w:w="8200" w:type="dxa"/>
            <w:vAlign w:val="bottom"/>
          </w:tcPr>
          <w:p>
            <w:pPr>
              <w:ind w:left="240"/>
              <w:spacing w:after="0"/>
              <w:rPr>
                <w:sz w:val="20"/>
                <w:szCs w:val="20"/>
                <w:color w:val="auto"/>
              </w:rPr>
            </w:pPr>
            <w:r>
              <w:rPr>
                <w:rFonts w:ascii="Arial" w:cs="Arial" w:eastAsia="Arial" w:hAnsi="Arial"/>
                <w:sz w:val="12"/>
                <w:szCs w:val="12"/>
                <w:color w:val="auto"/>
              </w:rPr>
              <w:t>Work-in-process</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12,850</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9,681</w:t>
            </w:r>
          </w:p>
        </w:tc>
        <w:tc>
          <w:tcPr>
            <w:tcW w:w="0" w:type="dxa"/>
            <w:vAlign w:val="bottom"/>
          </w:tcPr>
          <w:p>
            <w:pPr>
              <w:spacing w:after="0"/>
              <w:rPr>
                <w:sz w:val="1"/>
                <w:szCs w:val="1"/>
                <w:color w:val="auto"/>
              </w:rPr>
            </w:pPr>
          </w:p>
        </w:tc>
      </w:tr>
      <w:tr>
        <w:trPr>
          <w:trHeight w:val="147"/>
        </w:trPr>
        <w:tc>
          <w:tcPr>
            <w:tcW w:w="82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Raw materials and supplies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37,702</w:t>
            </w:r>
          </w:p>
        </w:tc>
        <w:tc>
          <w:tcPr>
            <w:tcW w:w="40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22,227</w:t>
            </w:r>
          </w:p>
        </w:tc>
        <w:tc>
          <w:tcPr>
            <w:tcW w:w="0" w:type="dxa"/>
            <w:vAlign w:val="bottom"/>
          </w:tcPr>
          <w:p>
            <w:pPr>
              <w:spacing w:after="0"/>
              <w:rPr>
                <w:sz w:val="1"/>
                <w:szCs w:val="1"/>
                <w:color w:val="auto"/>
              </w:rPr>
            </w:pPr>
          </w:p>
        </w:tc>
      </w:tr>
      <w:tr>
        <w:trPr>
          <w:trHeight w:val="20"/>
        </w:trPr>
        <w:tc>
          <w:tcPr>
            <w:tcW w:w="8200" w:type="dxa"/>
            <w:vAlign w:val="bottom"/>
            <w:vMerge w:val="restart"/>
          </w:tcPr>
          <w:p>
            <w:pPr>
              <w:ind w:left="360"/>
              <w:spacing w:after="0"/>
              <w:rPr>
                <w:sz w:val="20"/>
                <w:szCs w:val="20"/>
                <w:color w:val="auto"/>
              </w:rPr>
            </w:pPr>
            <w:r>
              <w:rPr>
                <w:rFonts w:ascii="Arial" w:cs="Arial" w:eastAsia="Arial" w:hAnsi="Arial"/>
                <w:sz w:val="12"/>
                <w:szCs w:val="12"/>
                <w:color w:val="auto"/>
              </w:rPr>
              <w:t>Total inventories</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2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109,917</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70,735</w:t>
            </w:r>
          </w:p>
        </w:tc>
        <w:tc>
          <w:tcPr>
            <w:tcW w:w="0" w:type="dxa"/>
            <w:vAlign w:val="bottom"/>
          </w:tcPr>
          <w:p>
            <w:pPr>
              <w:spacing w:after="0"/>
              <w:rPr>
                <w:sz w:val="1"/>
                <w:szCs w:val="1"/>
                <w:color w:val="auto"/>
              </w:rPr>
            </w:pPr>
          </w:p>
        </w:tc>
      </w:tr>
      <w:tr>
        <w:trPr>
          <w:trHeight w:val="150"/>
        </w:trPr>
        <w:tc>
          <w:tcPr>
            <w:tcW w:w="8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Prepaid expenses and other current assets</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36,825</w:t>
            </w:r>
          </w:p>
        </w:tc>
        <w:tc>
          <w:tcPr>
            <w:tcW w:w="40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28,114</w:t>
            </w:r>
          </w:p>
        </w:tc>
        <w:tc>
          <w:tcPr>
            <w:tcW w:w="0" w:type="dxa"/>
            <w:vAlign w:val="bottom"/>
          </w:tcPr>
          <w:p>
            <w:pPr>
              <w:spacing w:after="0"/>
              <w:rPr>
                <w:sz w:val="1"/>
                <w:szCs w:val="1"/>
                <w:color w:val="auto"/>
              </w:rPr>
            </w:pPr>
          </w:p>
        </w:tc>
      </w:tr>
      <w:tr>
        <w:trPr>
          <w:trHeight w:val="20"/>
        </w:trPr>
        <w:tc>
          <w:tcPr>
            <w:tcW w:w="8200" w:type="dxa"/>
            <w:vAlign w:val="bottom"/>
            <w:vMerge w:val="restart"/>
          </w:tcPr>
          <w:p>
            <w:pPr>
              <w:ind w:left="360"/>
              <w:spacing w:after="0"/>
              <w:rPr>
                <w:sz w:val="20"/>
                <w:szCs w:val="20"/>
                <w:color w:val="auto"/>
              </w:rPr>
            </w:pPr>
            <w:r>
              <w:rPr>
                <w:rFonts w:ascii="Arial" w:cs="Arial" w:eastAsia="Arial" w:hAnsi="Arial"/>
                <w:sz w:val="12"/>
                <w:szCs w:val="12"/>
                <w:color w:val="auto"/>
              </w:rPr>
              <w:t>Total current assets</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2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459,157</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302,372</w:t>
            </w:r>
          </w:p>
        </w:tc>
        <w:tc>
          <w:tcPr>
            <w:tcW w:w="0" w:type="dxa"/>
            <w:vAlign w:val="bottom"/>
          </w:tcPr>
          <w:p>
            <w:pPr>
              <w:spacing w:after="0"/>
              <w:rPr>
                <w:sz w:val="1"/>
                <w:szCs w:val="1"/>
                <w:color w:val="auto"/>
              </w:rPr>
            </w:pPr>
          </w:p>
        </w:tc>
      </w:tr>
      <w:tr>
        <w:trPr>
          <w:trHeight w:val="147"/>
        </w:trPr>
        <w:tc>
          <w:tcPr>
            <w:tcW w:w="8200" w:type="dxa"/>
            <w:vAlign w:val="bottom"/>
            <w:shd w:val="clear" w:color="auto" w:fill="CCEEFF"/>
          </w:tcPr>
          <w:p>
            <w:pPr>
              <w:spacing w:after="0"/>
              <w:rPr>
                <w:sz w:val="20"/>
                <w:szCs w:val="20"/>
                <w:color w:val="auto"/>
              </w:rPr>
            </w:pPr>
            <w:r>
              <w:rPr>
                <w:rFonts w:ascii="Arial" w:cs="Arial" w:eastAsia="Arial" w:hAnsi="Arial"/>
                <w:sz w:val="12"/>
                <w:szCs w:val="12"/>
                <w:color w:val="auto"/>
              </w:rPr>
              <w:t>Other assets:</w:t>
            </w: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00" w:type="dxa"/>
            <w:vAlign w:val="bottom"/>
            <w:tcBorders>
              <w:left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200" w:type="dxa"/>
            <w:vAlign w:val="bottom"/>
          </w:tcPr>
          <w:p>
            <w:pPr>
              <w:ind w:left="120"/>
              <w:spacing w:after="0"/>
              <w:rPr>
                <w:sz w:val="20"/>
                <w:szCs w:val="20"/>
                <w:color w:val="auto"/>
              </w:rPr>
            </w:pPr>
            <w:r>
              <w:rPr>
                <w:rFonts w:ascii="Arial" w:cs="Arial" w:eastAsia="Arial" w:hAnsi="Arial"/>
                <w:sz w:val="12"/>
                <w:szCs w:val="12"/>
                <w:color w:val="auto"/>
              </w:rPr>
              <w:t>Goodwill</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587,642</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332,369</w:t>
            </w:r>
          </w:p>
        </w:tc>
        <w:tc>
          <w:tcPr>
            <w:tcW w:w="0" w:type="dxa"/>
            <w:vAlign w:val="bottom"/>
          </w:tcPr>
          <w:p>
            <w:pPr>
              <w:spacing w:after="0"/>
              <w:rPr>
                <w:sz w:val="1"/>
                <w:szCs w:val="1"/>
                <w:color w:val="auto"/>
              </w:rPr>
            </w:pPr>
          </w:p>
        </w:tc>
      </w:tr>
      <w:tr>
        <w:trPr>
          <w:trHeight w:val="147"/>
        </w:trPr>
        <w:tc>
          <w:tcPr>
            <w:tcW w:w="8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intangibles assets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134,111</w:t>
            </w:r>
          </w:p>
        </w:tc>
        <w:tc>
          <w:tcPr>
            <w:tcW w:w="40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71,647</w:t>
            </w:r>
          </w:p>
        </w:tc>
        <w:tc>
          <w:tcPr>
            <w:tcW w:w="0" w:type="dxa"/>
            <w:vAlign w:val="bottom"/>
          </w:tcPr>
          <w:p>
            <w:pPr>
              <w:spacing w:after="0"/>
              <w:rPr>
                <w:sz w:val="1"/>
                <w:szCs w:val="1"/>
                <w:color w:val="auto"/>
              </w:rPr>
            </w:pPr>
          </w:p>
        </w:tc>
      </w:tr>
      <w:tr>
        <w:trPr>
          <w:trHeight w:val="147"/>
        </w:trPr>
        <w:tc>
          <w:tcPr>
            <w:tcW w:w="8200" w:type="dxa"/>
            <w:vAlign w:val="bottom"/>
          </w:tcPr>
          <w:p>
            <w:pPr>
              <w:ind w:left="120"/>
              <w:spacing w:after="0"/>
              <w:rPr>
                <w:sz w:val="20"/>
                <w:szCs w:val="20"/>
                <w:color w:val="auto"/>
              </w:rPr>
            </w:pPr>
            <w:r>
              <w:rPr>
                <w:rFonts w:ascii="Arial" w:cs="Arial" w:eastAsia="Arial" w:hAnsi="Arial"/>
                <w:sz w:val="12"/>
                <w:szCs w:val="12"/>
                <w:color w:val="auto"/>
              </w:rPr>
              <w:t>Deferred income taxes</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34,135</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39,043</w:t>
            </w:r>
          </w:p>
        </w:tc>
        <w:tc>
          <w:tcPr>
            <w:tcW w:w="0" w:type="dxa"/>
            <w:vAlign w:val="bottom"/>
          </w:tcPr>
          <w:p>
            <w:pPr>
              <w:spacing w:after="0"/>
              <w:rPr>
                <w:sz w:val="1"/>
                <w:szCs w:val="1"/>
                <w:color w:val="auto"/>
              </w:rPr>
            </w:pPr>
          </w:p>
        </w:tc>
      </w:tr>
      <w:tr>
        <w:trPr>
          <w:trHeight w:val="147"/>
        </w:trPr>
        <w:tc>
          <w:tcPr>
            <w:tcW w:w="8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10,235</w:t>
            </w:r>
          </w:p>
        </w:tc>
        <w:tc>
          <w:tcPr>
            <w:tcW w:w="40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6,305</w:t>
            </w:r>
          </w:p>
        </w:tc>
        <w:tc>
          <w:tcPr>
            <w:tcW w:w="0" w:type="dxa"/>
            <w:vAlign w:val="bottom"/>
          </w:tcPr>
          <w:p>
            <w:pPr>
              <w:spacing w:after="0"/>
              <w:rPr>
                <w:sz w:val="1"/>
                <w:szCs w:val="1"/>
                <w:color w:val="auto"/>
              </w:rPr>
            </w:pPr>
          </w:p>
        </w:tc>
      </w:tr>
      <w:tr>
        <w:trPr>
          <w:trHeight w:val="147"/>
        </w:trPr>
        <w:tc>
          <w:tcPr>
            <w:tcW w:w="8200" w:type="dxa"/>
            <w:vAlign w:val="bottom"/>
          </w:tcPr>
          <w:p>
            <w:pPr>
              <w:spacing w:after="0"/>
              <w:rPr>
                <w:sz w:val="20"/>
                <w:szCs w:val="20"/>
                <w:color w:val="auto"/>
              </w:rPr>
            </w:pPr>
            <w:r>
              <w:rPr>
                <w:rFonts w:ascii="Arial" w:cs="Arial" w:eastAsia="Arial" w:hAnsi="Arial"/>
                <w:sz w:val="12"/>
                <w:szCs w:val="12"/>
                <w:color w:val="auto"/>
              </w:rPr>
              <w:t>Property, plant and equipment:</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Cost: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200" w:type="dxa"/>
            <w:vAlign w:val="bottom"/>
          </w:tcPr>
          <w:p>
            <w:pPr>
              <w:ind w:left="240"/>
              <w:spacing w:after="0"/>
              <w:rPr>
                <w:sz w:val="20"/>
                <w:szCs w:val="20"/>
                <w:color w:val="auto"/>
              </w:rPr>
            </w:pPr>
            <w:r>
              <w:rPr>
                <w:rFonts w:ascii="Arial" w:cs="Arial" w:eastAsia="Arial" w:hAnsi="Arial"/>
                <w:sz w:val="12"/>
                <w:szCs w:val="12"/>
                <w:color w:val="auto"/>
              </w:rPr>
              <w:t>Land</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6,548</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6,388</w:t>
            </w:r>
          </w:p>
        </w:tc>
        <w:tc>
          <w:tcPr>
            <w:tcW w:w="0" w:type="dxa"/>
            <w:vAlign w:val="bottom"/>
          </w:tcPr>
          <w:p>
            <w:pPr>
              <w:spacing w:after="0"/>
              <w:rPr>
                <w:sz w:val="1"/>
                <w:szCs w:val="1"/>
                <w:color w:val="auto"/>
              </w:rPr>
            </w:pPr>
          </w:p>
        </w:tc>
      </w:tr>
      <w:tr>
        <w:trPr>
          <w:trHeight w:val="147"/>
        </w:trPr>
        <w:tc>
          <w:tcPr>
            <w:tcW w:w="82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Buildings and improvements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78,418</w:t>
            </w:r>
          </w:p>
        </w:tc>
        <w:tc>
          <w:tcPr>
            <w:tcW w:w="40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65,007</w:t>
            </w:r>
          </w:p>
        </w:tc>
        <w:tc>
          <w:tcPr>
            <w:tcW w:w="0" w:type="dxa"/>
            <w:vAlign w:val="bottom"/>
          </w:tcPr>
          <w:p>
            <w:pPr>
              <w:spacing w:after="0"/>
              <w:rPr>
                <w:sz w:val="1"/>
                <w:szCs w:val="1"/>
                <w:color w:val="auto"/>
              </w:rPr>
            </w:pPr>
          </w:p>
        </w:tc>
      </w:tr>
      <w:tr>
        <w:trPr>
          <w:trHeight w:val="147"/>
        </w:trPr>
        <w:tc>
          <w:tcPr>
            <w:tcW w:w="8200" w:type="dxa"/>
            <w:vAlign w:val="bottom"/>
          </w:tcPr>
          <w:p>
            <w:pPr>
              <w:ind w:left="240"/>
              <w:spacing w:after="0"/>
              <w:rPr>
                <w:sz w:val="20"/>
                <w:szCs w:val="20"/>
                <w:color w:val="auto"/>
              </w:rPr>
            </w:pPr>
            <w:r>
              <w:rPr>
                <w:rFonts w:ascii="Arial" w:cs="Arial" w:eastAsia="Arial" w:hAnsi="Arial"/>
                <w:sz w:val="12"/>
                <w:szCs w:val="12"/>
                <w:color w:val="auto"/>
              </w:rPr>
              <w:t>Machinery and equipment</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198,426</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157,093</w:t>
            </w:r>
          </w:p>
        </w:tc>
        <w:tc>
          <w:tcPr>
            <w:tcW w:w="0" w:type="dxa"/>
            <w:vAlign w:val="bottom"/>
          </w:tcPr>
          <w:p>
            <w:pPr>
              <w:spacing w:after="0"/>
              <w:rPr>
                <w:sz w:val="1"/>
                <w:szCs w:val="1"/>
                <w:color w:val="auto"/>
              </w:rPr>
            </w:pPr>
          </w:p>
        </w:tc>
      </w:tr>
      <w:tr>
        <w:trPr>
          <w:trHeight w:val="147"/>
        </w:trPr>
        <w:tc>
          <w:tcPr>
            <w:tcW w:w="82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Construction in progress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12,098</w:t>
            </w:r>
          </w:p>
        </w:tc>
        <w:tc>
          <w:tcPr>
            <w:tcW w:w="40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6,510</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295,490</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234,998</w:t>
            </w:r>
          </w:p>
        </w:tc>
        <w:tc>
          <w:tcPr>
            <w:tcW w:w="0" w:type="dxa"/>
            <w:vAlign w:val="bottom"/>
          </w:tcPr>
          <w:p>
            <w:pPr>
              <w:spacing w:after="0"/>
              <w:rPr>
                <w:sz w:val="1"/>
                <w:szCs w:val="1"/>
                <w:color w:val="auto"/>
              </w:rPr>
            </w:pPr>
          </w:p>
        </w:tc>
      </w:tr>
      <w:tr>
        <w:trPr>
          <w:trHeight w:val="150"/>
        </w:trPr>
        <w:tc>
          <w:tcPr>
            <w:tcW w:w="8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Less accumulated depreciation</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155,584</w:t>
            </w:r>
          </w:p>
        </w:tc>
        <w:tc>
          <w:tcPr>
            <w:tcW w:w="40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136,587</w:t>
            </w:r>
          </w:p>
        </w:tc>
        <w:tc>
          <w:tcPr>
            <w:tcW w:w="0" w:type="dxa"/>
            <w:vAlign w:val="bottom"/>
          </w:tcPr>
          <w:p>
            <w:pPr>
              <w:spacing w:after="0"/>
              <w:rPr>
                <w:sz w:val="1"/>
                <w:szCs w:val="1"/>
                <w:color w:val="auto"/>
              </w:rPr>
            </w:pPr>
          </w:p>
        </w:tc>
      </w:tr>
      <w:tr>
        <w:trPr>
          <w:trHeight w:val="20"/>
        </w:trPr>
        <w:tc>
          <w:tcPr>
            <w:tcW w:w="8200" w:type="dxa"/>
            <w:vAlign w:val="bottom"/>
            <w:vMerge w:val="restart"/>
          </w:tcPr>
          <w:p>
            <w:pPr>
              <w:ind w:left="360"/>
              <w:spacing w:after="0"/>
              <w:rPr>
                <w:sz w:val="20"/>
                <w:szCs w:val="20"/>
                <w:color w:val="auto"/>
              </w:rPr>
            </w:pPr>
            <w:r>
              <w:rPr>
                <w:rFonts w:ascii="Arial" w:cs="Arial" w:eastAsia="Arial" w:hAnsi="Arial"/>
                <w:sz w:val="12"/>
                <w:szCs w:val="12"/>
                <w:color w:val="auto"/>
              </w:rPr>
              <w:t>Property, plant and equipment — net</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2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139,906</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98,411</w:t>
            </w:r>
          </w:p>
        </w:tc>
        <w:tc>
          <w:tcPr>
            <w:tcW w:w="0" w:type="dxa"/>
            <w:vAlign w:val="bottom"/>
          </w:tcPr>
          <w:p>
            <w:pPr>
              <w:spacing w:after="0"/>
              <w:rPr>
                <w:sz w:val="1"/>
                <w:szCs w:val="1"/>
                <w:color w:val="auto"/>
              </w:rPr>
            </w:pPr>
          </w:p>
        </w:tc>
      </w:tr>
      <w:tr>
        <w:trPr>
          <w:trHeight w:val="22"/>
        </w:trPr>
        <w:tc>
          <w:tcPr>
            <w:tcW w:w="8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200" w:type="dxa"/>
            <w:vAlign w:val="bottom"/>
            <w:shd w:val="clear" w:color="auto" w:fill="CCEEFF"/>
          </w:tcPr>
          <w:p>
            <w:pPr>
              <w:spacing w:after="0"/>
              <w:rPr>
                <w:sz w:val="20"/>
                <w:szCs w:val="20"/>
                <w:color w:val="auto"/>
              </w:rPr>
            </w:pPr>
            <w:r>
              <w:rPr>
                <w:rFonts w:ascii="Arial" w:cs="Arial" w:eastAsia="Arial" w:hAnsi="Arial"/>
                <w:sz w:val="12"/>
                <w:szCs w:val="12"/>
                <w:color w:val="auto"/>
              </w:rPr>
              <w:t>Total</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1,365,186</w:t>
            </w:r>
          </w:p>
        </w:tc>
        <w:tc>
          <w:tcPr>
            <w:tcW w:w="40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850,147</w:t>
            </w:r>
          </w:p>
        </w:tc>
        <w:tc>
          <w:tcPr>
            <w:tcW w:w="0" w:type="dxa"/>
            <w:vAlign w:val="bottom"/>
          </w:tcPr>
          <w:p>
            <w:pPr>
              <w:spacing w:after="0"/>
              <w:rPr>
                <w:sz w:val="1"/>
                <w:szCs w:val="1"/>
                <w:color w:val="auto"/>
              </w:rPr>
            </w:pPr>
          </w:p>
        </w:tc>
      </w:tr>
      <w:tr>
        <w:trPr>
          <w:trHeight w:val="273"/>
        </w:trPr>
        <w:tc>
          <w:tcPr>
            <w:tcW w:w="8200" w:type="dxa"/>
            <w:vAlign w:val="bottom"/>
          </w:tcPr>
          <w:p>
            <w:pPr>
              <w:ind w:left="3560"/>
              <w:spacing w:after="0"/>
              <w:rPr>
                <w:sz w:val="20"/>
                <w:szCs w:val="20"/>
                <w:color w:val="auto"/>
              </w:rPr>
            </w:pPr>
            <w:r>
              <w:rPr>
                <w:rFonts w:ascii="Arial" w:cs="Arial" w:eastAsia="Arial" w:hAnsi="Arial"/>
                <w:sz w:val="12"/>
                <w:szCs w:val="12"/>
                <w:b w:val="1"/>
                <w:bCs w:val="1"/>
                <w:color w:val="auto"/>
              </w:rPr>
              <w:t>LIABILITIES AND STOCKHOLDERS’ INVESTMENT</w:t>
            </w:r>
          </w:p>
        </w:tc>
        <w:tc>
          <w:tcPr>
            <w:tcW w:w="14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0"/>
        </w:trPr>
        <w:tc>
          <w:tcPr>
            <w:tcW w:w="8200" w:type="dxa"/>
            <w:vAlign w:val="bottom"/>
            <w:shd w:val="clear" w:color="auto" w:fill="CCEEFF"/>
          </w:tcPr>
          <w:p>
            <w:pPr>
              <w:spacing w:after="0"/>
              <w:rPr>
                <w:sz w:val="20"/>
                <w:szCs w:val="20"/>
                <w:color w:val="auto"/>
              </w:rPr>
            </w:pPr>
            <w:r>
              <w:rPr>
                <w:rFonts w:ascii="Arial" w:cs="Arial" w:eastAsia="Arial" w:hAnsi="Arial"/>
                <w:sz w:val="12"/>
                <w:szCs w:val="12"/>
                <w:color w:val="auto"/>
              </w:rPr>
              <w:t>Current liabilities:</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8200" w:type="dxa"/>
            <w:vAlign w:val="bottom"/>
          </w:tcPr>
          <w:p>
            <w:pPr>
              <w:ind w:left="120"/>
              <w:spacing w:after="0"/>
              <w:rPr>
                <w:sz w:val="20"/>
                <w:szCs w:val="20"/>
                <w:color w:val="auto"/>
              </w:rPr>
            </w:pPr>
            <w:r>
              <w:rPr>
                <w:rFonts w:ascii="Arial" w:cs="Arial" w:eastAsia="Arial" w:hAnsi="Arial"/>
                <w:sz w:val="12"/>
                <w:szCs w:val="12"/>
                <w:color w:val="auto"/>
              </w:rPr>
              <w:t>Accounts payable</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78,585</w:t>
            </w:r>
          </w:p>
        </w:tc>
        <w:tc>
          <w:tcPr>
            <w:tcW w:w="400" w:type="dxa"/>
            <w:vAlign w:val="bottom"/>
          </w:tcPr>
          <w:p>
            <w:pPr>
              <w:spacing w:after="0"/>
              <w:rPr>
                <w:sz w:val="12"/>
                <w:szCs w:val="12"/>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52,696</w:t>
            </w:r>
          </w:p>
        </w:tc>
        <w:tc>
          <w:tcPr>
            <w:tcW w:w="0" w:type="dxa"/>
            <w:vAlign w:val="bottom"/>
          </w:tcPr>
          <w:p>
            <w:pPr>
              <w:spacing w:after="0"/>
              <w:rPr>
                <w:sz w:val="1"/>
                <w:szCs w:val="1"/>
                <w:color w:val="auto"/>
              </w:rPr>
            </w:pPr>
          </w:p>
        </w:tc>
      </w:tr>
      <w:tr>
        <w:trPr>
          <w:trHeight w:val="147"/>
        </w:trPr>
        <w:tc>
          <w:tcPr>
            <w:tcW w:w="8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Wages and amounts withheld from employees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61,778</w:t>
            </w:r>
          </w:p>
        </w:tc>
        <w:tc>
          <w:tcPr>
            <w:tcW w:w="40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49,620</w:t>
            </w:r>
          </w:p>
        </w:tc>
        <w:tc>
          <w:tcPr>
            <w:tcW w:w="0" w:type="dxa"/>
            <w:vAlign w:val="bottom"/>
          </w:tcPr>
          <w:p>
            <w:pPr>
              <w:spacing w:after="0"/>
              <w:rPr>
                <w:sz w:val="1"/>
                <w:szCs w:val="1"/>
                <w:color w:val="auto"/>
              </w:rPr>
            </w:pPr>
          </w:p>
        </w:tc>
      </w:tr>
      <w:tr>
        <w:trPr>
          <w:trHeight w:val="147"/>
        </w:trPr>
        <w:tc>
          <w:tcPr>
            <w:tcW w:w="8200" w:type="dxa"/>
            <w:vAlign w:val="bottom"/>
          </w:tcPr>
          <w:p>
            <w:pPr>
              <w:ind w:left="120"/>
              <w:spacing w:after="0"/>
              <w:rPr>
                <w:sz w:val="20"/>
                <w:szCs w:val="20"/>
                <w:color w:val="auto"/>
              </w:rPr>
            </w:pPr>
            <w:r>
              <w:rPr>
                <w:rFonts w:ascii="Arial" w:cs="Arial" w:eastAsia="Arial" w:hAnsi="Arial"/>
                <w:sz w:val="12"/>
                <w:szCs w:val="12"/>
                <w:color w:val="auto"/>
              </w:rPr>
              <w:t>Taxes, other than income taxes</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6,231</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4,815</w:t>
            </w:r>
          </w:p>
        </w:tc>
        <w:tc>
          <w:tcPr>
            <w:tcW w:w="0" w:type="dxa"/>
            <w:vAlign w:val="bottom"/>
          </w:tcPr>
          <w:p>
            <w:pPr>
              <w:spacing w:after="0"/>
              <w:rPr>
                <w:sz w:val="1"/>
                <w:szCs w:val="1"/>
                <w:color w:val="auto"/>
              </w:rPr>
            </w:pPr>
          </w:p>
        </w:tc>
      </w:tr>
      <w:tr>
        <w:trPr>
          <w:trHeight w:val="147"/>
        </w:trPr>
        <w:tc>
          <w:tcPr>
            <w:tcW w:w="8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Accrued income taxes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25,243</w:t>
            </w:r>
          </w:p>
        </w:tc>
        <w:tc>
          <w:tcPr>
            <w:tcW w:w="40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24,028</w:t>
            </w:r>
          </w:p>
        </w:tc>
        <w:tc>
          <w:tcPr>
            <w:tcW w:w="0" w:type="dxa"/>
            <w:vAlign w:val="bottom"/>
          </w:tcPr>
          <w:p>
            <w:pPr>
              <w:spacing w:after="0"/>
              <w:rPr>
                <w:sz w:val="1"/>
                <w:szCs w:val="1"/>
                <w:color w:val="auto"/>
              </w:rPr>
            </w:pPr>
          </w:p>
        </w:tc>
      </w:tr>
      <w:tr>
        <w:trPr>
          <w:trHeight w:val="147"/>
        </w:trPr>
        <w:tc>
          <w:tcPr>
            <w:tcW w:w="8200" w:type="dxa"/>
            <w:vAlign w:val="bottom"/>
          </w:tcPr>
          <w:p>
            <w:pPr>
              <w:ind w:left="120"/>
              <w:spacing w:after="0"/>
              <w:rPr>
                <w:sz w:val="20"/>
                <w:szCs w:val="20"/>
                <w:color w:val="auto"/>
              </w:rPr>
            </w:pPr>
            <w:r>
              <w:rPr>
                <w:rFonts w:ascii="Arial" w:cs="Arial" w:eastAsia="Arial" w:hAnsi="Arial"/>
                <w:sz w:val="12"/>
                <w:szCs w:val="12"/>
                <w:color w:val="auto"/>
              </w:rPr>
              <w:t>Other current liabilities</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46,763</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29,649</w:t>
            </w:r>
          </w:p>
        </w:tc>
        <w:tc>
          <w:tcPr>
            <w:tcW w:w="0" w:type="dxa"/>
            <w:vAlign w:val="bottom"/>
          </w:tcPr>
          <w:p>
            <w:pPr>
              <w:spacing w:after="0"/>
              <w:rPr>
                <w:sz w:val="1"/>
                <w:szCs w:val="1"/>
                <w:color w:val="auto"/>
              </w:rPr>
            </w:pPr>
          </w:p>
        </w:tc>
      </w:tr>
      <w:tr>
        <w:trPr>
          <w:trHeight w:val="147"/>
        </w:trPr>
        <w:tc>
          <w:tcPr>
            <w:tcW w:w="8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Short-term borrowings and current maturities on long-term obligations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40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0"/>
        </w:trPr>
        <w:tc>
          <w:tcPr>
            <w:tcW w:w="8200" w:type="dxa"/>
            <w:vAlign w:val="bottom"/>
            <w:vMerge w:val="restart"/>
          </w:tcPr>
          <w:p>
            <w:pPr>
              <w:ind w:left="360"/>
              <w:spacing w:after="0"/>
              <w:rPr>
                <w:sz w:val="20"/>
                <w:szCs w:val="20"/>
                <w:color w:val="auto"/>
              </w:rPr>
            </w:pPr>
            <w:r>
              <w:rPr>
                <w:rFonts w:ascii="Arial" w:cs="Arial" w:eastAsia="Arial" w:hAnsi="Arial"/>
                <w:sz w:val="12"/>
                <w:szCs w:val="12"/>
                <w:color w:val="auto"/>
              </w:rPr>
              <w:t>Total current liabilities</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2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218,620</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160,812</w:t>
            </w:r>
          </w:p>
        </w:tc>
        <w:tc>
          <w:tcPr>
            <w:tcW w:w="0" w:type="dxa"/>
            <w:vAlign w:val="bottom"/>
          </w:tcPr>
          <w:p>
            <w:pPr>
              <w:spacing w:after="0"/>
              <w:rPr>
                <w:sz w:val="1"/>
                <w:szCs w:val="1"/>
                <w:color w:val="auto"/>
              </w:rPr>
            </w:pPr>
          </w:p>
        </w:tc>
      </w:tr>
      <w:tr>
        <w:trPr>
          <w:trHeight w:val="150"/>
        </w:trPr>
        <w:tc>
          <w:tcPr>
            <w:tcW w:w="8200" w:type="dxa"/>
            <w:vAlign w:val="bottom"/>
            <w:shd w:val="clear" w:color="auto" w:fill="CCEEFF"/>
          </w:tcPr>
          <w:p>
            <w:pPr>
              <w:spacing w:after="0"/>
              <w:rPr>
                <w:sz w:val="20"/>
                <w:szCs w:val="20"/>
                <w:color w:val="auto"/>
              </w:rPr>
            </w:pPr>
            <w:r>
              <w:rPr>
                <w:rFonts w:ascii="Arial" w:cs="Arial" w:eastAsia="Arial" w:hAnsi="Arial"/>
                <w:sz w:val="12"/>
                <w:szCs w:val="12"/>
                <w:color w:val="auto"/>
              </w:rPr>
              <w:t>Long-term obligations, less current maturities</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350,018</w:t>
            </w:r>
          </w:p>
        </w:tc>
        <w:tc>
          <w:tcPr>
            <w:tcW w:w="40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150,026</w:t>
            </w:r>
          </w:p>
        </w:tc>
        <w:tc>
          <w:tcPr>
            <w:tcW w:w="0" w:type="dxa"/>
            <w:vAlign w:val="bottom"/>
          </w:tcPr>
          <w:p>
            <w:pPr>
              <w:spacing w:after="0"/>
              <w:rPr>
                <w:sz w:val="1"/>
                <w:szCs w:val="1"/>
                <w:color w:val="auto"/>
              </w:rPr>
            </w:pPr>
          </w:p>
        </w:tc>
      </w:tr>
      <w:tr>
        <w:trPr>
          <w:trHeight w:val="147"/>
        </w:trPr>
        <w:tc>
          <w:tcPr>
            <w:tcW w:w="8200" w:type="dxa"/>
            <w:vAlign w:val="bottom"/>
          </w:tcPr>
          <w:p>
            <w:pPr>
              <w:spacing w:after="0"/>
              <w:rPr>
                <w:sz w:val="20"/>
                <w:szCs w:val="20"/>
                <w:color w:val="auto"/>
              </w:rPr>
            </w:pPr>
            <w:r>
              <w:rPr>
                <w:rFonts w:ascii="Arial" w:cs="Arial" w:eastAsia="Arial" w:hAnsi="Arial"/>
                <w:sz w:val="12"/>
                <w:szCs w:val="12"/>
                <w:color w:val="auto"/>
              </w:rPr>
              <w:t>Other liabilities</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50,502</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42,035</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2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Total liabilities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619,140</w:t>
            </w:r>
          </w:p>
        </w:tc>
        <w:tc>
          <w:tcPr>
            <w:tcW w:w="40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352,873</w:t>
            </w:r>
          </w:p>
        </w:tc>
        <w:tc>
          <w:tcPr>
            <w:tcW w:w="0" w:type="dxa"/>
            <w:vAlign w:val="bottom"/>
          </w:tcPr>
          <w:p>
            <w:pPr>
              <w:spacing w:after="0"/>
              <w:rPr>
                <w:sz w:val="1"/>
                <w:szCs w:val="1"/>
                <w:color w:val="auto"/>
              </w:rPr>
            </w:pPr>
          </w:p>
        </w:tc>
      </w:tr>
      <w:tr>
        <w:trPr>
          <w:trHeight w:val="144"/>
        </w:trPr>
        <w:tc>
          <w:tcPr>
            <w:tcW w:w="8200" w:type="dxa"/>
            <w:vAlign w:val="bottom"/>
          </w:tcPr>
          <w:p>
            <w:pPr>
              <w:spacing w:after="0"/>
              <w:rPr>
                <w:sz w:val="20"/>
                <w:szCs w:val="20"/>
                <w:color w:val="auto"/>
              </w:rPr>
            </w:pPr>
            <w:r>
              <w:rPr>
                <w:rFonts w:ascii="Arial" w:cs="Arial" w:eastAsia="Arial" w:hAnsi="Arial"/>
                <w:sz w:val="12"/>
                <w:szCs w:val="12"/>
                <w:color w:val="auto"/>
              </w:rPr>
              <w:t>Stockholders’ investment:</w:t>
            </w: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8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Common stock:</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8200" w:type="dxa"/>
            <w:vAlign w:val="bottom"/>
          </w:tcPr>
          <w:p>
            <w:pPr>
              <w:ind w:left="240"/>
              <w:spacing w:after="0"/>
              <w:rPr>
                <w:sz w:val="20"/>
                <w:szCs w:val="20"/>
                <w:color w:val="auto"/>
              </w:rPr>
            </w:pPr>
            <w:r>
              <w:rPr>
                <w:rFonts w:ascii="Arial" w:cs="Arial" w:eastAsia="Arial" w:hAnsi="Arial"/>
                <w:sz w:val="12"/>
                <w:szCs w:val="12"/>
                <w:color w:val="auto"/>
                <w:w w:val="91"/>
              </w:rPr>
              <w:t>Class A Nonvoting — Issued 50,481,743 and 45,877,543 shares, respectively (aggregate liquidation preference of $42,152 and $38,308 at July 31, 2006 and 2005,</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8200" w:type="dxa"/>
            <w:vAlign w:val="bottom"/>
          </w:tcPr>
          <w:p>
            <w:pPr>
              <w:ind w:left="360"/>
              <w:spacing w:after="0"/>
              <w:rPr>
                <w:sz w:val="20"/>
                <w:szCs w:val="20"/>
                <w:color w:val="auto"/>
              </w:rPr>
            </w:pPr>
            <w:r>
              <w:rPr>
                <w:rFonts w:ascii="Arial" w:cs="Arial" w:eastAsia="Arial" w:hAnsi="Arial"/>
                <w:sz w:val="12"/>
                <w:szCs w:val="12"/>
                <w:color w:val="auto"/>
              </w:rPr>
              <w:t>respectively)</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505</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458</w:t>
            </w:r>
          </w:p>
        </w:tc>
        <w:tc>
          <w:tcPr>
            <w:tcW w:w="0" w:type="dxa"/>
            <w:vAlign w:val="bottom"/>
          </w:tcPr>
          <w:p>
            <w:pPr>
              <w:spacing w:after="0"/>
              <w:rPr>
                <w:sz w:val="1"/>
                <w:szCs w:val="1"/>
                <w:color w:val="auto"/>
              </w:rPr>
            </w:pPr>
          </w:p>
        </w:tc>
      </w:tr>
      <w:tr>
        <w:trPr>
          <w:trHeight w:val="150"/>
        </w:trPr>
        <w:tc>
          <w:tcPr>
            <w:tcW w:w="82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Class B Voting — Issued and outstanding 3,538,628 shares</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w:t>
            </w:r>
          </w:p>
        </w:tc>
        <w:tc>
          <w:tcPr>
            <w:tcW w:w="40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35</w:t>
            </w:r>
          </w:p>
        </w:tc>
        <w:tc>
          <w:tcPr>
            <w:tcW w:w="0" w:type="dxa"/>
            <w:vAlign w:val="bottom"/>
          </w:tcPr>
          <w:p>
            <w:pPr>
              <w:spacing w:after="0"/>
              <w:rPr>
                <w:sz w:val="1"/>
                <w:szCs w:val="1"/>
                <w:color w:val="auto"/>
              </w:rPr>
            </w:pPr>
          </w:p>
        </w:tc>
      </w:tr>
      <w:tr>
        <w:trPr>
          <w:trHeight w:val="147"/>
        </w:trPr>
        <w:tc>
          <w:tcPr>
            <w:tcW w:w="8200" w:type="dxa"/>
            <w:vAlign w:val="bottom"/>
          </w:tcPr>
          <w:p>
            <w:pPr>
              <w:ind w:left="120"/>
              <w:spacing w:after="0"/>
              <w:rPr>
                <w:sz w:val="20"/>
                <w:szCs w:val="20"/>
                <w:color w:val="auto"/>
              </w:rPr>
            </w:pPr>
            <w:r>
              <w:rPr>
                <w:rFonts w:ascii="Arial" w:cs="Arial" w:eastAsia="Arial" w:hAnsi="Arial"/>
                <w:sz w:val="12"/>
                <w:szCs w:val="12"/>
                <w:color w:val="auto"/>
              </w:rPr>
              <w:t>Additional paid-in capital</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258,922</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99,029</w:t>
            </w:r>
          </w:p>
        </w:tc>
        <w:tc>
          <w:tcPr>
            <w:tcW w:w="0" w:type="dxa"/>
            <w:vAlign w:val="bottom"/>
          </w:tcPr>
          <w:p>
            <w:pPr>
              <w:spacing w:after="0"/>
              <w:rPr>
                <w:sz w:val="1"/>
                <w:szCs w:val="1"/>
                <w:color w:val="auto"/>
              </w:rPr>
            </w:pPr>
          </w:p>
        </w:tc>
      </w:tr>
      <w:tr>
        <w:trPr>
          <w:trHeight w:val="147"/>
        </w:trPr>
        <w:tc>
          <w:tcPr>
            <w:tcW w:w="8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Earnings retained in the business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460,991</w:t>
            </w:r>
          </w:p>
        </w:tc>
        <w:tc>
          <w:tcPr>
            <w:tcW w:w="40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382,880</w:t>
            </w:r>
          </w:p>
        </w:tc>
        <w:tc>
          <w:tcPr>
            <w:tcW w:w="0" w:type="dxa"/>
            <w:vAlign w:val="bottom"/>
          </w:tcPr>
          <w:p>
            <w:pPr>
              <w:spacing w:after="0"/>
              <w:rPr>
                <w:sz w:val="1"/>
                <w:szCs w:val="1"/>
                <w:color w:val="auto"/>
              </w:rPr>
            </w:pPr>
          </w:p>
        </w:tc>
      </w:tr>
      <w:tr>
        <w:trPr>
          <w:trHeight w:val="147"/>
        </w:trPr>
        <w:tc>
          <w:tcPr>
            <w:tcW w:w="8200" w:type="dxa"/>
            <w:vAlign w:val="bottom"/>
          </w:tcPr>
          <w:p>
            <w:pPr>
              <w:ind w:left="120"/>
              <w:spacing w:after="0"/>
              <w:rPr>
                <w:sz w:val="20"/>
                <w:szCs w:val="20"/>
                <w:color w:val="auto"/>
              </w:rPr>
            </w:pPr>
            <w:r>
              <w:rPr>
                <w:rFonts w:ascii="Arial" w:cs="Arial" w:eastAsia="Arial" w:hAnsi="Arial"/>
                <w:sz w:val="12"/>
                <w:szCs w:val="12"/>
                <w:color w:val="auto"/>
              </w:rPr>
              <w:t>Treasury stock — 292,901 and 85,344 shares, respectively of Class A nonvoting common stock, at cost</w:t>
            </w:r>
          </w:p>
        </w:tc>
        <w:tc>
          <w:tcPr>
            <w:tcW w:w="140" w:type="dxa"/>
            <w:vAlign w:val="bottom"/>
          </w:tcPr>
          <w:p>
            <w:pPr>
              <w:spacing w:after="0"/>
              <w:rPr>
                <w:sz w:val="12"/>
                <w:szCs w:val="12"/>
                <w:color w:val="auto"/>
              </w:rPr>
            </w:pPr>
          </w:p>
        </w:tc>
        <w:tc>
          <w:tcPr>
            <w:tcW w:w="960" w:type="dxa"/>
            <w:vAlign w:val="bottom"/>
            <w:gridSpan w:val="2"/>
          </w:tcPr>
          <w:p>
            <w:pPr>
              <w:jc w:val="right"/>
              <w:ind w:right="308"/>
              <w:spacing w:after="0"/>
              <w:rPr>
                <w:sz w:val="20"/>
                <w:szCs w:val="20"/>
                <w:color w:val="auto"/>
              </w:rPr>
            </w:pPr>
            <w:r>
              <w:rPr>
                <w:rFonts w:ascii="Arial" w:cs="Arial" w:eastAsia="Arial" w:hAnsi="Arial"/>
                <w:sz w:val="12"/>
                <w:szCs w:val="12"/>
                <w:color w:val="auto"/>
              </w:rPr>
              <w:t>(10,865)</w:t>
            </w: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(1,575)</w:t>
            </w:r>
          </w:p>
        </w:tc>
        <w:tc>
          <w:tcPr>
            <w:tcW w:w="0" w:type="dxa"/>
            <w:vAlign w:val="bottom"/>
          </w:tcPr>
          <w:p>
            <w:pPr>
              <w:spacing w:after="0"/>
              <w:rPr>
                <w:sz w:val="1"/>
                <w:szCs w:val="1"/>
                <w:color w:val="auto"/>
              </w:rPr>
            </w:pPr>
          </w:p>
        </w:tc>
      </w:tr>
      <w:tr>
        <w:trPr>
          <w:trHeight w:val="147"/>
        </w:trPr>
        <w:tc>
          <w:tcPr>
            <w:tcW w:w="8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Accumulated other comprehensive income</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35,696</w:t>
            </w:r>
          </w:p>
        </w:tc>
        <w:tc>
          <w:tcPr>
            <w:tcW w:w="40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17,497</w:t>
            </w:r>
          </w:p>
        </w:tc>
        <w:tc>
          <w:tcPr>
            <w:tcW w:w="0" w:type="dxa"/>
            <w:vAlign w:val="bottom"/>
          </w:tcPr>
          <w:p>
            <w:pPr>
              <w:spacing w:after="0"/>
              <w:rPr>
                <w:sz w:val="1"/>
                <w:szCs w:val="1"/>
                <w:color w:val="auto"/>
              </w:rPr>
            </w:pPr>
          </w:p>
        </w:tc>
      </w:tr>
      <w:tr>
        <w:trPr>
          <w:trHeight w:val="147"/>
        </w:trPr>
        <w:tc>
          <w:tcPr>
            <w:tcW w:w="8200" w:type="dxa"/>
            <w:vAlign w:val="bottom"/>
          </w:tcPr>
          <w:p>
            <w:pPr>
              <w:ind w:left="120"/>
              <w:spacing w:after="0"/>
              <w:rPr>
                <w:sz w:val="20"/>
                <w:szCs w:val="20"/>
                <w:color w:val="auto"/>
              </w:rPr>
            </w:pPr>
            <w:r>
              <w:rPr>
                <w:rFonts w:ascii="Arial" w:cs="Arial" w:eastAsia="Arial" w:hAnsi="Arial"/>
                <w:sz w:val="12"/>
                <w:szCs w:val="12"/>
                <w:color w:val="auto"/>
              </w:rPr>
              <w:t>Other</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762</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(1,050)</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2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Total stockholders’ investment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746,046</w:t>
            </w:r>
          </w:p>
        </w:tc>
        <w:tc>
          <w:tcPr>
            <w:tcW w:w="40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497,274</w:t>
            </w:r>
          </w:p>
        </w:tc>
        <w:tc>
          <w:tcPr>
            <w:tcW w:w="0" w:type="dxa"/>
            <w:vAlign w:val="bottom"/>
          </w:tcPr>
          <w:p>
            <w:pPr>
              <w:spacing w:after="0"/>
              <w:rPr>
                <w:sz w:val="1"/>
                <w:szCs w:val="1"/>
                <w:color w:val="auto"/>
              </w:rPr>
            </w:pPr>
          </w:p>
        </w:tc>
      </w:tr>
      <w:tr>
        <w:trPr>
          <w:trHeight w:val="20"/>
        </w:trPr>
        <w:tc>
          <w:tcPr>
            <w:tcW w:w="8200" w:type="dxa"/>
            <w:vAlign w:val="bottom"/>
            <w:vMerge w:val="restart"/>
          </w:tcPr>
          <w:p>
            <w:pPr>
              <w:spacing w:after="0"/>
              <w:rPr>
                <w:sz w:val="20"/>
                <w:szCs w:val="20"/>
                <w:color w:val="auto"/>
              </w:rPr>
            </w:pPr>
            <w:r>
              <w:rPr>
                <w:rFonts w:ascii="Arial" w:cs="Arial" w:eastAsia="Arial" w:hAnsi="Arial"/>
                <w:sz w:val="12"/>
                <w:szCs w:val="12"/>
                <w:color w:val="auto"/>
              </w:rPr>
              <w:t>Total</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200" w:type="dxa"/>
            <w:vAlign w:val="bottom"/>
            <w:vMerge w:val="continue"/>
          </w:tcPr>
          <w:p>
            <w:pPr>
              <w:spacing w:after="0"/>
              <w:rPr>
                <w:sz w:val="12"/>
                <w:szCs w:val="12"/>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1,365,186</w:t>
            </w:r>
          </w:p>
        </w:tc>
        <w:tc>
          <w:tcPr>
            <w:tcW w:w="400" w:type="dxa"/>
            <w:vAlign w:val="bottom"/>
          </w:tcPr>
          <w:p>
            <w:pPr>
              <w:spacing w:after="0"/>
              <w:rPr>
                <w:sz w:val="12"/>
                <w:szCs w:val="12"/>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850,147</w:t>
            </w:r>
          </w:p>
        </w:tc>
        <w:tc>
          <w:tcPr>
            <w:tcW w:w="0" w:type="dxa"/>
            <w:vAlign w:val="bottom"/>
          </w:tcPr>
          <w:p>
            <w:pPr>
              <w:spacing w:after="0"/>
              <w:rPr>
                <w:sz w:val="1"/>
                <w:szCs w:val="1"/>
                <w:color w:val="auto"/>
              </w:rPr>
            </w:pPr>
          </w:p>
        </w:tc>
      </w:tr>
      <w:tr>
        <w:trPr>
          <w:trHeight w:val="32"/>
        </w:trPr>
        <w:tc>
          <w:tcPr>
            <w:tcW w:w="8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See notes to consolidated financial statements.</w:t>
      </w:r>
    </w:p>
    <w:p>
      <w:pPr>
        <w:spacing w:after="0" w:line="29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300"/>
        <w:spacing w:after="0"/>
        <w:rPr>
          <w:sz w:val="20"/>
          <w:szCs w:val="20"/>
          <w:color w:val="auto"/>
        </w:rPr>
      </w:pPr>
      <w:r>
        <w:rPr>
          <w:rFonts w:ascii="Arial" w:cs="Arial" w:eastAsia="Arial" w:hAnsi="Arial"/>
          <w:sz w:val="13"/>
          <w:szCs w:val="13"/>
          <w:b w:val="1"/>
          <w:bCs w:val="1"/>
          <w:color w:val="auto"/>
        </w:rPr>
        <w:t>BRADY CORPORATION AND SUBSIDIARIES</w:t>
      </w:r>
    </w:p>
    <w:p>
      <w:pPr>
        <w:spacing w:after="0" w:line="96" w:lineRule="exact"/>
        <w:rPr>
          <w:sz w:val="20"/>
          <w:szCs w:val="20"/>
          <w:color w:val="auto"/>
        </w:rPr>
      </w:pPr>
    </w:p>
    <w:p>
      <w:pPr>
        <w:ind w:left="4300"/>
        <w:spacing w:after="0"/>
        <w:rPr>
          <w:sz w:val="20"/>
          <w:szCs w:val="20"/>
          <w:color w:val="auto"/>
        </w:rPr>
      </w:pPr>
      <w:r>
        <w:rPr>
          <w:rFonts w:ascii="Arial" w:cs="Arial" w:eastAsia="Arial" w:hAnsi="Arial"/>
          <w:sz w:val="13"/>
          <w:szCs w:val="13"/>
          <w:b w:val="1"/>
          <w:bCs w:val="1"/>
          <w:color w:val="auto"/>
        </w:rPr>
        <w:t>CONSOLIDATED STATEMENTS OF INCOME</w:t>
      </w:r>
    </w:p>
    <w:p>
      <w:pPr>
        <w:spacing w:after="0" w:line="19" w:lineRule="exact"/>
        <w:rPr>
          <w:sz w:val="20"/>
          <w:szCs w:val="20"/>
          <w:color w:val="auto"/>
        </w:rPr>
      </w:pPr>
    </w:p>
    <w:p>
      <w:pPr>
        <w:ind w:left="4500"/>
        <w:spacing w:after="0"/>
        <w:rPr>
          <w:sz w:val="20"/>
          <w:szCs w:val="20"/>
          <w:color w:val="auto"/>
        </w:rPr>
      </w:pPr>
      <w:r>
        <w:rPr>
          <w:rFonts w:ascii="Arial" w:cs="Arial" w:eastAsia="Arial" w:hAnsi="Arial"/>
          <w:sz w:val="13"/>
          <w:szCs w:val="13"/>
          <w:b w:val="1"/>
          <w:bCs w:val="1"/>
          <w:color w:val="auto"/>
        </w:rPr>
        <w:t>Years Ended July 31, 2006, 2005 and 2004</w:t>
      </w:r>
    </w:p>
    <w:p>
      <w:pPr>
        <w:spacing w:after="0" w:line="90"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36"/>
              <w:spacing w:after="0"/>
              <w:rPr>
                <w:sz w:val="20"/>
                <w:szCs w:val="20"/>
                <w:color w:val="auto"/>
              </w:rPr>
            </w:pPr>
            <w:r>
              <w:rPr>
                <w:rFonts w:ascii="Arial" w:cs="Arial" w:eastAsia="Arial" w:hAnsi="Arial"/>
                <w:sz w:val="10"/>
                <w:szCs w:val="10"/>
                <w:b w:val="1"/>
                <w:bCs w:val="1"/>
                <w:color w:val="auto"/>
              </w:rPr>
              <w:t>2006</w:t>
            </w:r>
          </w:p>
        </w:tc>
        <w:tc>
          <w:tcPr>
            <w:tcW w:w="40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w w:val="71"/>
              </w:rPr>
              <w:t>thousands,</w:t>
            </w: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5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ind w:right="56"/>
              <w:spacing w:after="0"/>
              <w:rPr>
                <w:sz w:val="20"/>
                <w:szCs w:val="20"/>
                <w:color w:val="auto"/>
              </w:rPr>
            </w:pPr>
            <w:r>
              <w:rPr>
                <w:rFonts w:ascii="Arial" w:cs="Arial" w:eastAsia="Arial" w:hAnsi="Arial"/>
                <w:sz w:val="10"/>
                <w:szCs w:val="10"/>
                <w:b w:val="1"/>
                <w:bCs w:val="1"/>
                <w:color w:val="auto"/>
              </w:rPr>
              <w:t>(In</w:t>
            </w:r>
          </w:p>
        </w:tc>
        <w:tc>
          <w:tcPr>
            <w:tcW w:w="400" w:type="dxa"/>
            <w:vAlign w:val="bottom"/>
            <w:gridSpan w:val="2"/>
            <w:vMerge w:val="continue"/>
          </w:tcPr>
          <w:p>
            <w:pPr>
              <w:spacing w:after="0"/>
              <w:rPr>
                <w:sz w:val="11"/>
                <w:szCs w:val="11"/>
                <w:color w:val="auto"/>
              </w:rPr>
            </w:pPr>
          </w:p>
        </w:tc>
        <w:tc>
          <w:tcPr>
            <w:tcW w:w="1260" w:type="dxa"/>
            <w:vAlign w:val="bottom"/>
            <w:gridSpan w:val="4"/>
          </w:tcPr>
          <w:p>
            <w:pPr>
              <w:jc w:val="right"/>
              <w:ind w:right="11"/>
              <w:spacing w:after="0"/>
              <w:rPr>
                <w:sz w:val="20"/>
                <w:szCs w:val="20"/>
                <w:color w:val="auto"/>
              </w:rPr>
            </w:pPr>
            <w:r>
              <w:rPr>
                <w:rFonts w:ascii="Arial" w:cs="Arial" w:eastAsia="Arial" w:hAnsi="Arial"/>
                <w:sz w:val="10"/>
                <w:szCs w:val="10"/>
                <w:b w:val="1"/>
                <w:bCs w:val="1"/>
                <w:color w:val="auto"/>
                <w:w w:val="92"/>
              </w:rPr>
              <w:t>except per share amounts)</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sales</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1,018,436</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816,447</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671,219</w:t>
            </w:r>
          </w:p>
        </w:tc>
        <w:tc>
          <w:tcPr>
            <w:tcW w:w="0" w:type="dxa"/>
            <w:vAlign w:val="bottom"/>
          </w:tcPr>
          <w:p>
            <w:pPr>
              <w:spacing w:after="0"/>
              <w:rPr>
                <w:sz w:val="1"/>
                <w:szCs w:val="1"/>
                <w:color w:val="auto"/>
              </w:rPr>
            </w:pPr>
          </w:p>
        </w:tc>
      </w:tr>
      <w:tr>
        <w:trPr>
          <w:trHeight w:val="157"/>
        </w:trPr>
        <w:tc>
          <w:tcPr>
            <w:tcW w:w="6900" w:type="dxa"/>
            <w:vAlign w:val="bottom"/>
            <w:gridSpan w:val="2"/>
          </w:tcPr>
          <w:p>
            <w:pPr>
              <w:ind w:left="140"/>
              <w:spacing w:after="0"/>
              <w:rPr>
                <w:sz w:val="20"/>
                <w:szCs w:val="20"/>
                <w:color w:val="auto"/>
              </w:rPr>
            </w:pPr>
            <w:r>
              <w:rPr>
                <w:rFonts w:ascii="Arial" w:cs="Arial" w:eastAsia="Arial" w:hAnsi="Arial"/>
                <w:sz w:val="13"/>
                <w:szCs w:val="13"/>
                <w:color w:val="auto"/>
              </w:rPr>
              <w:t>Cost of products sold</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492,681</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383,171</w:t>
            </w: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325,858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9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Gross margin</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525,755</w:t>
            </w: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433,276</w:t>
            </w: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345,361</w:t>
            </w:r>
          </w:p>
        </w:tc>
        <w:tc>
          <w:tcPr>
            <w:tcW w:w="0" w:type="dxa"/>
            <w:vAlign w:val="bottom"/>
          </w:tcPr>
          <w:p>
            <w:pPr>
              <w:spacing w:after="0"/>
              <w:rPr>
                <w:sz w:val="1"/>
                <w:szCs w:val="1"/>
                <w:color w:val="auto"/>
              </w:rPr>
            </w:pPr>
          </w:p>
        </w:tc>
      </w:tr>
      <w:tr>
        <w:trPr>
          <w:trHeight w:val="157"/>
        </w:trPr>
        <w:tc>
          <w:tcPr>
            <w:tcW w:w="6900" w:type="dxa"/>
            <w:vAlign w:val="bottom"/>
            <w:gridSpan w:val="2"/>
          </w:tcPr>
          <w:p>
            <w:pPr>
              <w:spacing w:after="0"/>
              <w:rPr>
                <w:sz w:val="20"/>
                <w:szCs w:val="20"/>
                <w:color w:val="auto"/>
              </w:rPr>
            </w:pPr>
            <w:r>
              <w:rPr>
                <w:rFonts w:ascii="Arial" w:cs="Arial" w:eastAsia="Arial" w:hAnsi="Arial"/>
                <w:sz w:val="13"/>
                <w:szCs w:val="13"/>
                <w:color w:val="auto"/>
              </w:rPr>
              <w:t>Operating expenses:</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Research and development</w:t>
            </w:r>
          </w:p>
        </w:tc>
        <w:tc>
          <w:tcPr>
            <w:tcW w:w="1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30,443</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25,078</w:t>
            </w: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23,028</w:t>
            </w:r>
          </w:p>
        </w:tc>
        <w:tc>
          <w:tcPr>
            <w:tcW w:w="0" w:type="dxa"/>
            <w:vAlign w:val="bottom"/>
          </w:tcPr>
          <w:p>
            <w:pPr>
              <w:spacing w:after="0"/>
              <w:rPr>
                <w:sz w:val="1"/>
                <w:szCs w:val="1"/>
                <w:color w:val="auto"/>
              </w:rPr>
            </w:pPr>
          </w:p>
        </w:tc>
      </w:tr>
      <w:tr>
        <w:trPr>
          <w:trHeight w:val="157"/>
        </w:trPr>
        <w:tc>
          <w:tcPr>
            <w:tcW w:w="6900" w:type="dxa"/>
            <w:vAlign w:val="bottom"/>
            <w:gridSpan w:val="2"/>
          </w:tcPr>
          <w:p>
            <w:pPr>
              <w:ind w:left="140"/>
              <w:spacing w:after="0"/>
              <w:rPr>
                <w:sz w:val="20"/>
                <w:szCs w:val="20"/>
                <w:color w:val="auto"/>
              </w:rPr>
            </w:pPr>
            <w:r>
              <w:rPr>
                <w:rFonts w:ascii="Arial" w:cs="Arial" w:eastAsia="Arial" w:hAnsi="Arial"/>
                <w:sz w:val="13"/>
                <w:szCs w:val="13"/>
                <w:color w:val="auto"/>
              </w:rPr>
              <w:t>Selling, general and administrative</w:t>
            </w:r>
          </w:p>
        </w:tc>
        <w:tc>
          <w:tcPr>
            <w:tcW w:w="18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338,796</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285,746</w:t>
            </w: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248,171</w:t>
            </w:r>
          </w:p>
        </w:tc>
        <w:tc>
          <w:tcPr>
            <w:tcW w:w="0" w:type="dxa"/>
            <w:vAlign w:val="bottom"/>
          </w:tcPr>
          <w:p>
            <w:pPr>
              <w:spacing w:after="0"/>
              <w:rPr>
                <w:sz w:val="1"/>
                <w:szCs w:val="1"/>
                <w:color w:val="auto"/>
              </w:rPr>
            </w:pPr>
          </w:p>
        </w:tc>
      </w:tr>
      <w:tr>
        <w:trPr>
          <w:trHeight w:val="157"/>
        </w:trPr>
        <w:tc>
          <w:tcPr>
            <w:tcW w:w="6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Restructuring charge — net</w:t>
            </w:r>
          </w:p>
        </w:tc>
        <w:tc>
          <w:tcPr>
            <w:tcW w:w="180" w:type="dxa"/>
            <w:vAlign w:val="bottom"/>
            <w:shd w:val="clear" w:color="auto" w:fill="CCEEFF"/>
          </w:tcPr>
          <w:p>
            <w:pPr>
              <w:spacing w:after="0"/>
              <w:rPr>
                <w:sz w:val="13"/>
                <w:szCs w:val="13"/>
                <w:color w:val="auto"/>
              </w:rPr>
            </w:pPr>
          </w:p>
        </w:tc>
        <w:tc>
          <w:tcPr>
            <w:tcW w:w="104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3,181</w:t>
            </w: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ind w:left="280"/>
              <w:spacing w:after="0"/>
              <w:rPr>
                <w:sz w:val="20"/>
                <w:szCs w:val="20"/>
                <w:color w:val="auto"/>
              </w:rPr>
            </w:pPr>
            <w:r>
              <w:rPr>
                <w:rFonts w:ascii="Arial" w:cs="Arial" w:eastAsia="Arial" w:hAnsi="Arial"/>
                <w:sz w:val="13"/>
                <w:szCs w:val="13"/>
                <w:color w:val="auto"/>
              </w:rPr>
              <w:t>Total operating expenses</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9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369,239</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310,824</w:t>
            </w: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274,380</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156,516</w:t>
            </w: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122,452</w:t>
            </w: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70,981</w:t>
            </w:r>
          </w:p>
        </w:tc>
        <w:tc>
          <w:tcPr>
            <w:tcW w:w="0" w:type="dxa"/>
            <w:vAlign w:val="bottom"/>
          </w:tcPr>
          <w:p>
            <w:pPr>
              <w:spacing w:after="0"/>
              <w:rPr>
                <w:sz w:val="1"/>
                <w:szCs w:val="1"/>
                <w:color w:val="auto"/>
              </w:rPr>
            </w:pPr>
          </w:p>
        </w:tc>
      </w:tr>
      <w:tr>
        <w:trPr>
          <w:trHeight w:val="157"/>
        </w:trPr>
        <w:tc>
          <w:tcPr>
            <w:tcW w:w="6900" w:type="dxa"/>
            <w:vAlign w:val="bottom"/>
            <w:gridSpan w:val="2"/>
          </w:tcPr>
          <w:p>
            <w:pPr>
              <w:spacing w:after="0"/>
              <w:rPr>
                <w:sz w:val="20"/>
                <w:szCs w:val="20"/>
                <w:color w:val="auto"/>
              </w:rPr>
            </w:pPr>
            <w:r>
              <w:rPr>
                <w:rFonts w:ascii="Arial" w:cs="Arial" w:eastAsia="Arial" w:hAnsi="Arial"/>
                <w:sz w:val="13"/>
                <w:szCs w:val="13"/>
                <w:color w:val="auto"/>
              </w:rPr>
              <w:t>Other income (expense):</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Investment and other income — net</w:t>
            </w:r>
          </w:p>
        </w:tc>
        <w:tc>
          <w:tcPr>
            <w:tcW w:w="1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2,403</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1,369</w:t>
            </w: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577</w:t>
            </w:r>
          </w:p>
        </w:tc>
        <w:tc>
          <w:tcPr>
            <w:tcW w:w="0" w:type="dxa"/>
            <w:vAlign w:val="bottom"/>
          </w:tcPr>
          <w:p>
            <w:pPr>
              <w:spacing w:after="0"/>
              <w:rPr>
                <w:sz w:val="1"/>
                <w:szCs w:val="1"/>
                <w:color w:val="auto"/>
              </w:rPr>
            </w:pPr>
          </w:p>
        </w:tc>
      </w:tr>
      <w:tr>
        <w:trPr>
          <w:trHeight w:val="157"/>
        </w:trPr>
        <w:tc>
          <w:tcPr>
            <w:tcW w:w="6900" w:type="dxa"/>
            <w:vAlign w:val="bottom"/>
            <w:gridSpan w:val="2"/>
          </w:tcPr>
          <w:p>
            <w:pPr>
              <w:ind w:left="140"/>
              <w:spacing w:after="0"/>
              <w:rPr>
                <w:sz w:val="20"/>
                <w:szCs w:val="20"/>
                <w:color w:val="auto"/>
              </w:rPr>
            </w:pPr>
            <w:r>
              <w:rPr>
                <w:rFonts w:ascii="Arial" w:cs="Arial" w:eastAsia="Arial" w:hAnsi="Arial"/>
                <w:sz w:val="13"/>
                <w:szCs w:val="13"/>
                <w:color w:val="auto"/>
              </w:rPr>
              <w:t>Interest expense</w:t>
            </w:r>
          </w:p>
        </w:tc>
        <w:tc>
          <w:tcPr>
            <w:tcW w:w="180" w:type="dxa"/>
            <w:vAlign w:val="bottom"/>
          </w:tcPr>
          <w:p>
            <w:pPr>
              <w:spacing w:after="0"/>
              <w:rPr>
                <w:sz w:val="13"/>
                <w:szCs w:val="13"/>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3"/>
                <w:szCs w:val="13"/>
                <w:color w:val="auto"/>
              </w:rPr>
              <w:t>(14,231)</w:t>
            </w: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(8,403)</w:t>
            </w:r>
          </w:p>
        </w:tc>
        <w:tc>
          <w:tcPr>
            <w:tcW w:w="18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(1,231)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9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Net other expense</w:t>
            </w:r>
          </w:p>
        </w:tc>
        <w:tc>
          <w:tcPr>
            <w:tcW w:w="180" w:type="dxa"/>
            <w:vAlign w:val="bottom"/>
            <w:shd w:val="clear" w:color="auto" w:fill="CCEEFF"/>
          </w:tcPr>
          <w:p>
            <w:pPr>
              <w:spacing w:after="0"/>
              <w:rPr>
                <w:sz w:val="13"/>
                <w:szCs w:val="13"/>
                <w:color w:val="auto"/>
              </w:rPr>
            </w:pPr>
          </w:p>
        </w:tc>
        <w:tc>
          <w:tcPr>
            <w:tcW w:w="104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(11,828)</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(7,034)</w:t>
            </w: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(654)</w:t>
            </w: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3"/>
                <w:szCs w:val="13"/>
                <w:color w:val="auto"/>
              </w:rPr>
              <w:t>Income before income taxes</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9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144,688</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115,418</w:t>
            </w: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70,327</w:t>
            </w:r>
          </w:p>
        </w:tc>
        <w:tc>
          <w:tcPr>
            <w:tcW w:w="0" w:type="dxa"/>
            <w:vAlign w:val="bottom"/>
          </w:tcPr>
          <w:p>
            <w:pPr>
              <w:spacing w:after="0"/>
              <w:rPr>
                <w:sz w:val="1"/>
                <w:szCs w:val="1"/>
                <w:color w:val="auto"/>
              </w:rPr>
            </w:pPr>
          </w:p>
        </w:tc>
      </w:tr>
      <w:tr>
        <w:trPr>
          <w:trHeight w:val="158"/>
        </w:trPr>
        <w:tc>
          <w:tcPr>
            <w:tcW w:w="6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Income taxes</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40,513</w:t>
            </w: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33,471</w:t>
            </w: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19,456</w:t>
            </w: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3"/>
                <w:szCs w:val="13"/>
                <w:color w:val="auto"/>
              </w:rPr>
              <w:t>Net income</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900" w:type="dxa"/>
            <w:vAlign w:val="bottom"/>
            <w:gridSpan w:val="2"/>
            <w:vMerge w:val="continue"/>
          </w:tcPr>
          <w:p>
            <w:pPr>
              <w:spacing w:after="0"/>
              <w:rPr>
                <w:sz w:val="14"/>
                <w:szCs w:val="14"/>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104,175</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81,947</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50,871</w:t>
            </w:r>
          </w:p>
        </w:tc>
        <w:tc>
          <w:tcPr>
            <w:tcW w:w="0" w:type="dxa"/>
            <w:vAlign w:val="bottom"/>
          </w:tcPr>
          <w:p>
            <w:pPr>
              <w:spacing w:after="0"/>
              <w:rPr>
                <w:sz w:val="1"/>
                <w:szCs w:val="1"/>
                <w:color w:val="auto"/>
              </w:rPr>
            </w:pPr>
          </w:p>
        </w:tc>
      </w:tr>
      <w:tr>
        <w:trPr>
          <w:trHeight w:val="165"/>
        </w:trPr>
        <w:tc>
          <w:tcPr>
            <w:tcW w:w="6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per common share(1):</w:t>
            </w:r>
          </w:p>
        </w:tc>
        <w:tc>
          <w:tcPr>
            <w:tcW w:w="1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900" w:type="dxa"/>
            <w:vAlign w:val="bottom"/>
            <w:gridSpan w:val="2"/>
          </w:tcPr>
          <w:p>
            <w:pPr>
              <w:ind w:left="140"/>
              <w:spacing w:after="0"/>
              <w:rPr>
                <w:sz w:val="20"/>
                <w:szCs w:val="20"/>
                <w:color w:val="auto"/>
              </w:rPr>
            </w:pPr>
            <w:r>
              <w:rPr>
                <w:rFonts w:ascii="Arial" w:cs="Arial" w:eastAsia="Arial" w:hAnsi="Arial"/>
                <w:sz w:val="13"/>
                <w:szCs w:val="13"/>
                <w:color w:val="auto"/>
              </w:rPr>
              <w:t>Class A Nonvoting:</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9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Basic</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w:t>
            </w: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1.67</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1.08</w:t>
            </w:r>
          </w:p>
        </w:tc>
        <w:tc>
          <w:tcPr>
            <w:tcW w:w="0" w:type="dxa"/>
            <w:vAlign w:val="bottom"/>
          </w:tcPr>
          <w:p>
            <w:pPr>
              <w:spacing w:after="0"/>
              <w:rPr>
                <w:sz w:val="1"/>
                <w:szCs w:val="1"/>
                <w:color w:val="auto"/>
              </w:rPr>
            </w:pPr>
          </w:p>
        </w:tc>
      </w:tr>
      <w:tr>
        <w:trPr>
          <w:trHeight w:val="29"/>
        </w:trPr>
        <w:tc>
          <w:tcPr>
            <w:tcW w:w="6900" w:type="dxa"/>
            <w:vAlign w:val="bottom"/>
            <w:gridSpan w:val="2"/>
            <w:vMerge w:val="restart"/>
          </w:tcPr>
          <w:p>
            <w:pPr>
              <w:ind w:left="280"/>
              <w:spacing w:after="0"/>
              <w:rPr>
                <w:sz w:val="20"/>
                <w:szCs w:val="20"/>
                <w:color w:val="auto"/>
              </w:rPr>
            </w:pPr>
            <w:r>
              <w:rPr>
                <w:rFonts w:ascii="Arial" w:cs="Arial" w:eastAsia="Arial" w:hAnsi="Arial"/>
                <w:sz w:val="13"/>
                <w:szCs w:val="13"/>
                <w:color w:val="auto"/>
              </w:rPr>
              <w:t>Diluted</w:t>
            </w: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900" w:type="dxa"/>
            <w:vAlign w:val="bottom"/>
            <w:gridSpan w:val="2"/>
            <w:vMerge w:val="continue"/>
          </w:tcPr>
          <w:p>
            <w:pPr>
              <w:spacing w:after="0"/>
              <w:rPr>
                <w:sz w:val="14"/>
                <w:szCs w:val="14"/>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2.07</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1.64</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1.07</w:t>
            </w:r>
          </w:p>
        </w:tc>
        <w:tc>
          <w:tcPr>
            <w:tcW w:w="0" w:type="dxa"/>
            <w:vAlign w:val="bottom"/>
          </w:tcPr>
          <w:p>
            <w:pPr>
              <w:spacing w:after="0"/>
              <w:rPr>
                <w:sz w:val="1"/>
                <w:szCs w:val="1"/>
                <w:color w:val="auto"/>
              </w:rPr>
            </w:pPr>
          </w:p>
        </w:tc>
      </w:tr>
      <w:tr>
        <w:trPr>
          <w:trHeight w:val="33"/>
        </w:trPr>
        <w:tc>
          <w:tcPr>
            <w:tcW w:w="130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9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Dividends</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0.52</w:t>
            </w: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0.44</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0.42</w:t>
            </w:r>
          </w:p>
        </w:tc>
        <w:tc>
          <w:tcPr>
            <w:tcW w:w="0" w:type="dxa"/>
            <w:vAlign w:val="bottom"/>
          </w:tcPr>
          <w:p>
            <w:pPr>
              <w:spacing w:after="0"/>
              <w:rPr>
                <w:sz w:val="1"/>
                <w:szCs w:val="1"/>
                <w:color w:val="auto"/>
              </w:rPr>
            </w:pPr>
          </w:p>
        </w:tc>
      </w:tr>
      <w:tr>
        <w:trPr>
          <w:trHeight w:val="166"/>
        </w:trPr>
        <w:tc>
          <w:tcPr>
            <w:tcW w:w="6900" w:type="dxa"/>
            <w:vAlign w:val="bottom"/>
            <w:gridSpan w:val="2"/>
          </w:tcPr>
          <w:p>
            <w:pPr>
              <w:ind w:left="140"/>
              <w:spacing w:after="0"/>
              <w:rPr>
                <w:sz w:val="20"/>
                <w:szCs w:val="20"/>
                <w:color w:val="auto"/>
              </w:rPr>
            </w:pPr>
            <w:r>
              <w:rPr>
                <w:rFonts w:ascii="Arial" w:cs="Arial" w:eastAsia="Arial" w:hAnsi="Arial"/>
                <w:sz w:val="13"/>
                <w:szCs w:val="13"/>
                <w:color w:val="auto"/>
              </w:rPr>
              <w:t>Class B Voting:</w:t>
            </w: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9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Basic</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w:t>
            </w: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1.66</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1.06</w:t>
            </w:r>
          </w:p>
        </w:tc>
        <w:tc>
          <w:tcPr>
            <w:tcW w:w="0" w:type="dxa"/>
            <w:vAlign w:val="bottom"/>
          </w:tcPr>
          <w:p>
            <w:pPr>
              <w:spacing w:after="0"/>
              <w:rPr>
                <w:sz w:val="1"/>
                <w:szCs w:val="1"/>
                <w:color w:val="auto"/>
              </w:rPr>
            </w:pPr>
          </w:p>
        </w:tc>
      </w:tr>
      <w:tr>
        <w:trPr>
          <w:trHeight w:val="29"/>
        </w:trPr>
        <w:tc>
          <w:tcPr>
            <w:tcW w:w="6900" w:type="dxa"/>
            <w:vAlign w:val="bottom"/>
            <w:gridSpan w:val="2"/>
            <w:vMerge w:val="restart"/>
          </w:tcPr>
          <w:p>
            <w:pPr>
              <w:ind w:left="280"/>
              <w:spacing w:after="0"/>
              <w:rPr>
                <w:sz w:val="20"/>
                <w:szCs w:val="20"/>
                <w:color w:val="auto"/>
              </w:rPr>
            </w:pPr>
            <w:r>
              <w:rPr>
                <w:rFonts w:ascii="Arial" w:cs="Arial" w:eastAsia="Arial" w:hAnsi="Arial"/>
                <w:sz w:val="13"/>
                <w:szCs w:val="13"/>
                <w:color w:val="auto"/>
              </w:rPr>
              <w:t>Diluted</w:t>
            </w: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900" w:type="dxa"/>
            <w:vAlign w:val="bottom"/>
            <w:gridSpan w:val="2"/>
            <w:vMerge w:val="continue"/>
          </w:tcPr>
          <w:p>
            <w:pPr>
              <w:spacing w:after="0"/>
              <w:rPr>
                <w:sz w:val="14"/>
                <w:szCs w:val="14"/>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2.05</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1.63</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1.05</w:t>
            </w:r>
          </w:p>
        </w:tc>
        <w:tc>
          <w:tcPr>
            <w:tcW w:w="0" w:type="dxa"/>
            <w:vAlign w:val="bottom"/>
          </w:tcPr>
          <w:p>
            <w:pPr>
              <w:spacing w:after="0"/>
              <w:rPr>
                <w:sz w:val="1"/>
                <w:szCs w:val="1"/>
                <w:color w:val="auto"/>
              </w:rPr>
            </w:pPr>
          </w:p>
        </w:tc>
      </w:tr>
      <w:tr>
        <w:trPr>
          <w:trHeight w:val="33"/>
        </w:trPr>
        <w:tc>
          <w:tcPr>
            <w:tcW w:w="130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9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Dividends</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0.50</w:t>
            </w: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0.42</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0.40</w:t>
            </w:r>
          </w:p>
        </w:tc>
        <w:tc>
          <w:tcPr>
            <w:tcW w:w="0" w:type="dxa"/>
            <w:vAlign w:val="bottom"/>
          </w:tcPr>
          <w:p>
            <w:pPr>
              <w:spacing w:after="0"/>
              <w:rPr>
                <w:sz w:val="1"/>
                <w:szCs w:val="1"/>
                <w:color w:val="auto"/>
              </w:rPr>
            </w:pPr>
          </w:p>
        </w:tc>
      </w:tr>
      <w:tr>
        <w:trPr>
          <w:trHeight w:val="166"/>
        </w:trPr>
        <w:tc>
          <w:tcPr>
            <w:tcW w:w="6900" w:type="dxa"/>
            <w:vAlign w:val="bottom"/>
            <w:gridSpan w:val="2"/>
          </w:tcPr>
          <w:p>
            <w:pPr>
              <w:spacing w:after="0"/>
              <w:rPr>
                <w:sz w:val="20"/>
                <w:szCs w:val="20"/>
                <w:color w:val="auto"/>
              </w:rPr>
            </w:pPr>
            <w:r>
              <w:rPr>
                <w:rFonts w:ascii="Arial" w:cs="Arial" w:eastAsia="Arial" w:hAnsi="Arial"/>
                <w:sz w:val="13"/>
                <w:szCs w:val="13"/>
                <w:color w:val="auto"/>
              </w:rPr>
              <w:t>Weighted average Class A and Class B common shares outstanding(1)</w:t>
            </w: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9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Basic</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49,494</w:t>
            </w: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48,967</w:t>
            </w: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47,298</w:t>
            </w:r>
          </w:p>
        </w:tc>
        <w:tc>
          <w:tcPr>
            <w:tcW w:w="0" w:type="dxa"/>
            <w:vAlign w:val="bottom"/>
          </w:tcPr>
          <w:p>
            <w:pPr>
              <w:spacing w:after="0"/>
              <w:rPr>
                <w:sz w:val="1"/>
                <w:szCs w:val="1"/>
                <w:color w:val="auto"/>
              </w:rPr>
            </w:pPr>
          </w:p>
        </w:tc>
      </w:tr>
      <w:tr>
        <w:trPr>
          <w:trHeight w:val="29"/>
        </w:trPr>
        <w:tc>
          <w:tcPr>
            <w:tcW w:w="6900" w:type="dxa"/>
            <w:vAlign w:val="bottom"/>
            <w:gridSpan w:val="2"/>
            <w:vMerge w:val="restart"/>
          </w:tcPr>
          <w:p>
            <w:pPr>
              <w:ind w:left="280"/>
              <w:spacing w:after="0"/>
              <w:rPr>
                <w:sz w:val="20"/>
                <w:szCs w:val="20"/>
                <w:color w:val="auto"/>
              </w:rPr>
            </w:pPr>
            <w:r>
              <w:rPr>
                <w:rFonts w:ascii="Arial" w:cs="Arial" w:eastAsia="Arial" w:hAnsi="Arial"/>
                <w:sz w:val="13"/>
                <w:szCs w:val="13"/>
                <w:color w:val="auto"/>
              </w:rPr>
              <w:t>Diluted</w:t>
            </w: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9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50,385</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49,859</w:t>
            </w:r>
          </w:p>
        </w:tc>
        <w:tc>
          <w:tcPr>
            <w:tcW w:w="18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47,813</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56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740"/>
        <w:spacing w:after="0"/>
        <w:rPr>
          <w:sz w:val="20"/>
          <w:szCs w:val="20"/>
          <w:color w:val="auto"/>
        </w:rPr>
      </w:pPr>
      <w:r>
        <w:rPr>
          <w:rFonts w:ascii="Arial" w:cs="Arial" w:eastAsia="Arial" w:hAnsi="Arial"/>
          <w:sz w:val="13"/>
          <w:szCs w:val="13"/>
          <w:color w:val="auto"/>
        </w:rPr>
        <w:t>(1)  Adjusted for two-for-one stock split in the form of a 100% stock dividend, effective December 31, 2004</w:t>
      </w:r>
    </w:p>
    <w:p>
      <w:pPr>
        <w:spacing w:after="0" w:line="57"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See notes to consolidated financial statements.</w:t>
      </w:r>
    </w:p>
    <w:p>
      <w:pPr>
        <w:spacing w:after="0" w:line="29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300"/>
        <w:spacing w:after="0"/>
        <w:rPr>
          <w:sz w:val="20"/>
          <w:szCs w:val="20"/>
          <w:color w:val="auto"/>
        </w:rPr>
      </w:pPr>
      <w:r>
        <w:rPr>
          <w:rFonts w:ascii="Arial" w:cs="Arial" w:eastAsia="Arial" w:hAnsi="Arial"/>
          <w:sz w:val="13"/>
          <w:szCs w:val="13"/>
          <w:b w:val="1"/>
          <w:bCs w:val="1"/>
          <w:color w:val="auto"/>
        </w:rPr>
        <w:t>BRADY CORPORATION AND SUBSIDIARIES</w:t>
      </w:r>
    </w:p>
    <w:p>
      <w:pPr>
        <w:spacing w:after="0" w:line="96" w:lineRule="exact"/>
        <w:rPr>
          <w:sz w:val="20"/>
          <w:szCs w:val="20"/>
          <w:color w:val="auto"/>
        </w:rPr>
      </w:pPr>
    </w:p>
    <w:p>
      <w:pPr>
        <w:ind w:left="3540"/>
        <w:spacing w:after="0"/>
        <w:rPr>
          <w:sz w:val="20"/>
          <w:szCs w:val="20"/>
          <w:color w:val="auto"/>
        </w:rPr>
      </w:pPr>
      <w:r>
        <w:rPr>
          <w:rFonts w:ascii="Arial" w:cs="Arial" w:eastAsia="Arial" w:hAnsi="Arial"/>
          <w:sz w:val="13"/>
          <w:szCs w:val="13"/>
          <w:b w:val="1"/>
          <w:bCs w:val="1"/>
          <w:color w:val="auto"/>
        </w:rPr>
        <w:t>CONSOLIDATED STATEMENTS OF STOCKHOLDERS’ INVESTMENT</w:t>
      </w:r>
    </w:p>
    <w:p>
      <w:pPr>
        <w:spacing w:after="0" w:line="19" w:lineRule="exact"/>
        <w:rPr>
          <w:sz w:val="20"/>
          <w:szCs w:val="20"/>
          <w:color w:val="auto"/>
        </w:rPr>
      </w:pPr>
    </w:p>
    <w:p>
      <w:pPr>
        <w:ind w:left="4420"/>
        <w:spacing w:after="0"/>
        <w:rPr>
          <w:sz w:val="20"/>
          <w:szCs w:val="20"/>
          <w:color w:val="auto"/>
        </w:rPr>
      </w:pPr>
      <w:r>
        <w:rPr>
          <w:rFonts w:ascii="Arial" w:cs="Arial" w:eastAsia="Arial" w:hAnsi="Arial"/>
          <w:sz w:val="13"/>
          <w:szCs w:val="13"/>
          <w:b w:val="1"/>
          <w:bCs w:val="1"/>
          <w:color w:val="auto"/>
        </w:rPr>
        <w:t>Years Ended JULY 31, 2006, 2005 AND 2004</w:t>
      </w:r>
    </w:p>
    <w:p>
      <w:pPr>
        <w:spacing w:after="0" w:line="168"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46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gridSpan w:val="2"/>
          </w:tcPr>
          <w:p>
            <w:pPr>
              <w:jc w:val="center"/>
              <w:ind w:right="154"/>
              <w:spacing w:after="0"/>
              <w:rPr>
                <w:sz w:val="20"/>
                <w:szCs w:val="20"/>
                <w:color w:val="auto"/>
              </w:rPr>
            </w:pPr>
            <w:r>
              <w:rPr>
                <w:rFonts w:ascii="Arial" w:cs="Arial" w:eastAsia="Arial" w:hAnsi="Arial"/>
                <w:sz w:val="9"/>
                <w:szCs w:val="9"/>
                <w:b w:val="1"/>
                <w:bCs w:val="1"/>
                <w:color w:val="auto"/>
                <w:w w:val="88"/>
              </w:rPr>
              <w:t>Earnings</w:t>
            </w: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9"/>
                <w:szCs w:val="9"/>
                <w:b w:val="1"/>
                <w:bCs w:val="1"/>
                <w:color w:val="auto"/>
                <w:w w:val="91"/>
              </w:rPr>
              <w:t>Accumulated</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6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gridSpan w:val="3"/>
          </w:tcPr>
          <w:p>
            <w:pPr>
              <w:jc w:val="right"/>
              <w:ind w:right="220"/>
              <w:spacing w:after="0" w:line="98" w:lineRule="exact"/>
              <w:rPr>
                <w:sz w:val="20"/>
                <w:szCs w:val="20"/>
                <w:color w:val="auto"/>
              </w:rPr>
            </w:pPr>
            <w:r>
              <w:rPr>
                <w:rFonts w:ascii="Arial" w:cs="Arial" w:eastAsia="Arial" w:hAnsi="Arial"/>
                <w:sz w:val="9"/>
                <w:szCs w:val="9"/>
                <w:b w:val="1"/>
                <w:bCs w:val="1"/>
                <w:color w:val="auto"/>
                <w:w w:val="99"/>
              </w:rPr>
              <w:t>Additional</w:t>
            </w:r>
          </w:p>
        </w:tc>
        <w:tc>
          <w:tcPr>
            <w:tcW w:w="700" w:type="dxa"/>
            <w:vAlign w:val="bottom"/>
            <w:gridSpan w:val="2"/>
          </w:tcPr>
          <w:p>
            <w:pPr>
              <w:jc w:val="center"/>
              <w:ind w:right="154"/>
              <w:spacing w:after="0" w:line="98" w:lineRule="exact"/>
              <w:rPr>
                <w:sz w:val="20"/>
                <w:szCs w:val="20"/>
                <w:color w:val="auto"/>
              </w:rPr>
            </w:pPr>
            <w:r>
              <w:rPr>
                <w:rFonts w:ascii="Arial" w:cs="Arial" w:eastAsia="Arial" w:hAnsi="Arial"/>
                <w:sz w:val="9"/>
                <w:szCs w:val="9"/>
                <w:b w:val="1"/>
                <w:bCs w:val="1"/>
                <w:color w:val="auto"/>
                <w:w w:val="89"/>
              </w:rPr>
              <w:t>Retained</w:t>
            </w: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tcPr>
          <w:p>
            <w:pPr>
              <w:jc w:val="center"/>
              <w:ind w:right="300"/>
              <w:spacing w:after="0" w:line="98" w:lineRule="exact"/>
              <w:rPr>
                <w:sz w:val="20"/>
                <w:szCs w:val="20"/>
                <w:color w:val="auto"/>
              </w:rPr>
            </w:pPr>
            <w:r>
              <w:rPr>
                <w:rFonts w:ascii="Arial" w:cs="Arial" w:eastAsia="Arial" w:hAnsi="Arial"/>
                <w:sz w:val="9"/>
                <w:szCs w:val="9"/>
                <w:b w:val="1"/>
                <w:bCs w:val="1"/>
                <w:color w:val="auto"/>
                <w:w w:val="91"/>
              </w:rPr>
              <w:t>Other</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tcPr>
          <w:p>
            <w:pPr>
              <w:jc w:val="center"/>
              <w:ind w:right="200"/>
              <w:spacing w:after="0" w:line="98" w:lineRule="exact"/>
              <w:rPr>
                <w:sz w:val="20"/>
                <w:szCs w:val="20"/>
                <w:color w:val="auto"/>
              </w:rPr>
            </w:pPr>
            <w:r>
              <w:rPr>
                <w:rFonts w:ascii="Arial" w:cs="Arial" w:eastAsia="Arial" w:hAnsi="Arial"/>
                <w:sz w:val="9"/>
                <w:szCs w:val="9"/>
                <w:b w:val="1"/>
                <w:bCs w:val="1"/>
                <w:color w:val="auto"/>
                <w:w w:val="92"/>
              </w:rPr>
              <w:t>Total</w:t>
            </w:r>
          </w:p>
        </w:tc>
        <w:tc>
          <w:tcPr>
            <w:tcW w:w="0" w:type="dxa"/>
            <w:vAlign w:val="bottom"/>
          </w:tcPr>
          <w:p>
            <w:pPr>
              <w:spacing w:after="0"/>
              <w:rPr>
                <w:sz w:val="1"/>
                <w:szCs w:val="1"/>
                <w:color w:val="auto"/>
              </w:rPr>
            </w:pPr>
          </w:p>
        </w:tc>
      </w:tr>
      <w:tr>
        <w:trPr>
          <w:trHeight w:val="98"/>
        </w:trPr>
        <w:tc>
          <w:tcPr>
            <w:tcW w:w="4600" w:type="dxa"/>
            <w:vAlign w:val="bottom"/>
          </w:tcPr>
          <w:p>
            <w:pPr>
              <w:spacing w:after="0"/>
              <w:rPr>
                <w:sz w:val="8"/>
                <w:szCs w:val="8"/>
                <w:color w:val="auto"/>
              </w:rPr>
            </w:pPr>
          </w:p>
        </w:tc>
        <w:tc>
          <w:tcPr>
            <w:tcW w:w="640" w:type="dxa"/>
            <w:vAlign w:val="bottom"/>
            <w:gridSpan w:val="3"/>
          </w:tcPr>
          <w:p>
            <w:pPr>
              <w:jc w:val="right"/>
              <w:ind w:right="240"/>
              <w:spacing w:after="0" w:line="98" w:lineRule="exact"/>
              <w:rPr>
                <w:sz w:val="20"/>
                <w:szCs w:val="20"/>
                <w:color w:val="auto"/>
              </w:rPr>
            </w:pPr>
            <w:r>
              <w:rPr>
                <w:rFonts w:ascii="Arial" w:cs="Arial" w:eastAsia="Arial" w:hAnsi="Arial"/>
                <w:sz w:val="9"/>
                <w:szCs w:val="9"/>
                <w:b w:val="1"/>
                <w:bCs w:val="1"/>
                <w:color w:val="auto"/>
                <w:w w:val="97"/>
              </w:rPr>
              <w:t>Common</w:t>
            </w:r>
          </w:p>
        </w:tc>
        <w:tc>
          <w:tcPr>
            <w:tcW w:w="80" w:type="dxa"/>
            <w:vAlign w:val="bottom"/>
          </w:tcPr>
          <w:p>
            <w:pPr>
              <w:spacing w:after="0"/>
              <w:rPr>
                <w:sz w:val="8"/>
                <w:szCs w:val="8"/>
                <w:color w:val="auto"/>
              </w:rPr>
            </w:pPr>
          </w:p>
        </w:tc>
        <w:tc>
          <w:tcPr>
            <w:tcW w:w="600" w:type="dxa"/>
            <w:vAlign w:val="bottom"/>
            <w:gridSpan w:val="2"/>
          </w:tcPr>
          <w:p>
            <w:pPr>
              <w:jc w:val="right"/>
              <w:ind w:right="280"/>
              <w:spacing w:after="0" w:line="98" w:lineRule="exact"/>
              <w:rPr>
                <w:sz w:val="20"/>
                <w:szCs w:val="20"/>
                <w:color w:val="auto"/>
              </w:rPr>
            </w:pPr>
            <w:r>
              <w:rPr>
                <w:rFonts w:ascii="Arial" w:cs="Arial" w:eastAsia="Arial" w:hAnsi="Arial"/>
                <w:sz w:val="9"/>
                <w:szCs w:val="9"/>
                <w:b w:val="1"/>
                <w:bCs w:val="1"/>
                <w:color w:val="auto"/>
                <w:w w:val="99"/>
              </w:rPr>
              <w:t>Paid-In</w:t>
            </w:r>
          </w:p>
        </w:tc>
        <w:tc>
          <w:tcPr>
            <w:tcW w:w="700" w:type="dxa"/>
            <w:vAlign w:val="bottom"/>
            <w:gridSpan w:val="2"/>
          </w:tcPr>
          <w:p>
            <w:pPr>
              <w:jc w:val="center"/>
              <w:ind w:right="154"/>
              <w:spacing w:after="0" w:line="98" w:lineRule="exact"/>
              <w:rPr>
                <w:sz w:val="20"/>
                <w:szCs w:val="20"/>
                <w:color w:val="auto"/>
              </w:rPr>
            </w:pPr>
            <w:r>
              <w:rPr>
                <w:rFonts w:ascii="Arial" w:cs="Arial" w:eastAsia="Arial" w:hAnsi="Arial"/>
                <w:sz w:val="9"/>
                <w:szCs w:val="9"/>
                <w:b w:val="1"/>
                <w:bCs w:val="1"/>
                <w:color w:val="auto"/>
                <w:w w:val="91"/>
              </w:rPr>
              <w:t>in the</w:t>
            </w:r>
          </w:p>
        </w:tc>
        <w:tc>
          <w:tcPr>
            <w:tcW w:w="60" w:type="dxa"/>
            <w:vAlign w:val="bottom"/>
          </w:tcPr>
          <w:p>
            <w:pPr>
              <w:spacing w:after="0"/>
              <w:rPr>
                <w:sz w:val="8"/>
                <w:szCs w:val="8"/>
                <w:color w:val="auto"/>
              </w:rPr>
            </w:pPr>
          </w:p>
        </w:tc>
        <w:tc>
          <w:tcPr>
            <w:tcW w:w="620" w:type="dxa"/>
            <w:vAlign w:val="bottom"/>
            <w:gridSpan w:val="2"/>
          </w:tcPr>
          <w:p>
            <w:pPr>
              <w:jc w:val="center"/>
              <w:ind w:right="260"/>
              <w:spacing w:after="0" w:line="98" w:lineRule="exact"/>
              <w:rPr>
                <w:sz w:val="20"/>
                <w:szCs w:val="20"/>
                <w:color w:val="auto"/>
              </w:rPr>
            </w:pPr>
            <w:r>
              <w:rPr>
                <w:rFonts w:ascii="Arial" w:cs="Arial" w:eastAsia="Arial" w:hAnsi="Arial"/>
                <w:sz w:val="9"/>
                <w:szCs w:val="9"/>
                <w:b w:val="1"/>
                <w:bCs w:val="1"/>
                <w:color w:val="auto"/>
                <w:w w:val="94"/>
              </w:rPr>
              <w:t>Treasury</w:t>
            </w:r>
          </w:p>
        </w:tc>
        <w:tc>
          <w:tcPr>
            <w:tcW w:w="100" w:type="dxa"/>
            <w:vAlign w:val="bottom"/>
          </w:tcPr>
          <w:p>
            <w:pPr>
              <w:spacing w:after="0"/>
              <w:rPr>
                <w:sz w:val="8"/>
                <w:szCs w:val="8"/>
                <w:color w:val="auto"/>
              </w:rPr>
            </w:pPr>
          </w:p>
        </w:tc>
        <w:tc>
          <w:tcPr>
            <w:tcW w:w="1000" w:type="dxa"/>
            <w:vAlign w:val="bottom"/>
            <w:gridSpan w:val="2"/>
          </w:tcPr>
          <w:p>
            <w:pPr>
              <w:jc w:val="center"/>
              <w:ind w:right="300"/>
              <w:spacing w:after="0" w:line="98" w:lineRule="exact"/>
              <w:rPr>
                <w:sz w:val="20"/>
                <w:szCs w:val="20"/>
                <w:color w:val="auto"/>
              </w:rPr>
            </w:pPr>
            <w:r>
              <w:rPr>
                <w:rFonts w:ascii="Arial" w:cs="Arial" w:eastAsia="Arial" w:hAnsi="Arial"/>
                <w:sz w:val="9"/>
                <w:szCs w:val="9"/>
                <w:b w:val="1"/>
                <w:bCs w:val="1"/>
                <w:color w:val="auto"/>
                <w:w w:val="91"/>
              </w:rPr>
              <w:t>Comprehensive</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tcPr>
          <w:p>
            <w:pPr>
              <w:jc w:val="center"/>
              <w:ind w:right="200"/>
              <w:spacing w:after="0" w:line="98" w:lineRule="exact"/>
              <w:rPr>
                <w:sz w:val="20"/>
                <w:szCs w:val="20"/>
                <w:color w:val="auto"/>
              </w:rPr>
            </w:pPr>
            <w:r>
              <w:rPr>
                <w:rFonts w:ascii="Arial" w:cs="Arial" w:eastAsia="Arial" w:hAnsi="Arial"/>
                <w:sz w:val="9"/>
                <w:szCs w:val="9"/>
                <w:b w:val="1"/>
                <w:bCs w:val="1"/>
                <w:color w:val="auto"/>
                <w:w w:val="88"/>
              </w:rPr>
              <w:t>Comprehensive</w:t>
            </w:r>
          </w:p>
        </w:tc>
        <w:tc>
          <w:tcPr>
            <w:tcW w:w="0" w:type="dxa"/>
            <w:vAlign w:val="bottom"/>
          </w:tcPr>
          <w:p>
            <w:pPr>
              <w:spacing w:after="0"/>
              <w:rPr>
                <w:sz w:val="1"/>
                <w:szCs w:val="1"/>
                <w:color w:val="auto"/>
              </w:rPr>
            </w:pPr>
          </w:p>
        </w:tc>
      </w:tr>
      <w:tr>
        <w:trPr>
          <w:trHeight w:val="111"/>
        </w:trPr>
        <w:tc>
          <w:tcPr>
            <w:tcW w:w="4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jc w:val="right"/>
              <w:ind w:right="41"/>
              <w:spacing w:after="0"/>
              <w:rPr>
                <w:sz w:val="20"/>
                <w:szCs w:val="20"/>
                <w:color w:val="auto"/>
              </w:rPr>
            </w:pPr>
            <w:r>
              <w:rPr>
                <w:rFonts w:ascii="Arial" w:cs="Arial" w:eastAsia="Arial" w:hAnsi="Arial"/>
                <w:sz w:val="9"/>
                <w:szCs w:val="9"/>
                <w:b w:val="1"/>
                <w:bCs w:val="1"/>
                <w:color w:val="auto"/>
                <w:w w:val="89"/>
              </w:rPr>
              <w:t>Stock</w:t>
            </w: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ind w:right="42"/>
              <w:spacing w:after="0"/>
              <w:rPr>
                <w:sz w:val="20"/>
                <w:szCs w:val="20"/>
                <w:color w:val="auto"/>
              </w:rPr>
            </w:pPr>
            <w:r>
              <w:rPr>
                <w:rFonts w:ascii="Arial" w:cs="Arial" w:eastAsia="Arial" w:hAnsi="Arial"/>
                <w:sz w:val="9"/>
                <w:szCs w:val="9"/>
                <w:b w:val="1"/>
                <w:bCs w:val="1"/>
                <w:color w:val="auto"/>
                <w:w w:val="93"/>
              </w:rPr>
              <w:t>Capital</w:t>
            </w:r>
          </w:p>
        </w:tc>
        <w:tc>
          <w:tcPr>
            <w:tcW w:w="200" w:type="dxa"/>
            <w:vAlign w:val="bottom"/>
          </w:tcPr>
          <w:p>
            <w:pPr>
              <w:spacing w:after="0"/>
              <w:rPr>
                <w:sz w:val="9"/>
                <w:szCs w:val="9"/>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4"/>
              </w:rPr>
              <w:t>Business</w:t>
            </w:r>
          </w:p>
        </w:tc>
        <w:tc>
          <w:tcPr>
            <w:tcW w:w="2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center"/>
              <w:ind w:right="22"/>
              <w:spacing w:after="0"/>
              <w:rPr>
                <w:sz w:val="20"/>
                <w:szCs w:val="20"/>
                <w:color w:val="auto"/>
              </w:rPr>
            </w:pPr>
            <w:r>
              <w:rPr>
                <w:rFonts w:ascii="Arial" w:cs="Arial" w:eastAsia="Arial" w:hAnsi="Arial"/>
                <w:sz w:val="9"/>
                <w:szCs w:val="9"/>
                <w:b w:val="1"/>
                <w:bCs w:val="1"/>
                <w:color w:val="auto"/>
                <w:w w:val="89"/>
              </w:rPr>
              <w:t>Stock</w:t>
            </w: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center"/>
              <w:ind w:right="42"/>
              <w:spacing w:after="0"/>
              <w:rPr>
                <w:sz w:val="20"/>
                <w:szCs w:val="20"/>
                <w:color w:val="auto"/>
              </w:rPr>
            </w:pPr>
            <w:r>
              <w:rPr>
                <w:rFonts w:ascii="Arial" w:cs="Arial" w:eastAsia="Arial" w:hAnsi="Arial"/>
                <w:sz w:val="9"/>
                <w:szCs w:val="9"/>
                <w:b w:val="1"/>
                <w:bCs w:val="1"/>
                <w:color w:val="auto"/>
                <w:w w:val="95"/>
              </w:rPr>
              <w:t>Income</w:t>
            </w:r>
          </w:p>
        </w:tc>
        <w:tc>
          <w:tcPr>
            <w:tcW w:w="2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jc w:val="right"/>
              <w:ind w:right="21"/>
              <w:spacing w:after="0"/>
              <w:rPr>
                <w:sz w:val="20"/>
                <w:szCs w:val="20"/>
                <w:color w:val="auto"/>
              </w:rPr>
            </w:pPr>
            <w:r>
              <w:rPr>
                <w:rFonts w:ascii="Arial" w:cs="Arial" w:eastAsia="Arial" w:hAnsi="Arial"/>
                <w:sz w:val="9"/>
                <w:szCs w:val="9"/>
                <w:b w:val="1"/>
                <w:bCs w:val="1"/>
                <w:color w:val="auto"/>
                <w:w w:val="99"/>
              </w:rPr>
              <w:t>Other</w:t>
            </w: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center"/>
              <w:ind w:right="44"/>
              <w:spacing w:after="0"/>
              <w:rPr>
                <w:sz w:val="20"/>
                <w:szCs w:val="20"/>
                <w:color w:val="auto"/>
              </w:rPr>
            </w:pPr>
            <w:r>
              <w:rPr>
                <w:rFonts w:ascii="Arial" w:cs="Arial" w:eastAsia="Arial" w:hAnsi="Arial"/>
                <w:sz w:val="9"/>
                <w:szCs w:val="9"/>
                <w:b w:val="1"/>
                <w:bCs w:val="1"/>
                <w:color w:val="auto"/>
                <w:w w:val="88"/>
              </w:rPr>
              <w:t>Income</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4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jc w:val="right"/>
              <w:ind w:right="14"/>
              <w:spacing w:after="0" w:line="98" w:lineRule="exact"/>
              <w:rPr>
                <w:sz w:val="20"/>
                <w:szCs w:val="20"/>
                <w:color w:val="auto"/>
              </w:rPr>
            </w:pPr>
            <w:r>
              <w:rPr>
                <w:rFonts w:ascii="Arial" w:cs="Arial" w:eastAsia="Arial" w:hAnsi="Arial"/>
                <w:sz w:val="9"/>
                <w:szCs w:val="9"/>
                <w:b w:val="1"/>
                <w:bCs w:val="1"/>
                <w:color w:val="auto"/>
              </w:rPr>
              <w:t>(In</w:t>
            </w:r>
          </w:p>
        </w:tc>
        <w:tc>
          <w:tcPr>
            <w:tcW w:w="1780" w:type="dxa"/>
            <w:vAlign w:val="bottom"/>
            <w:gridSpan w:val="6"/>
          </w:tcPr>
          <w:p>
            <w:pPr>
              <w:spacing w:after="0"/>
              <w:rPr>
                <w:sz w:val="20"/>
                <w:szCs w:val="20"/>
                <w:color w:val="auto"/>
              </w:rPr>
            </w:pPr>
            <w:r>
              <w:rPr>
                <w:rFonts w:ascii="Arial" w:cs="Arial" w:eastAsia="Arial" w:hAnsi="Arial"/>
                <w:sz w:val="9"/>
                <w:szCs w:val="9"/>
                <w:b w:val="1"/>
                <w:bCs w:val="1"/>
                <w:color w:val="auto"/>
              </w:rPr>
              <w:t>thousands, except per share amounts)</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2"/>
                <w:szCs w:val="12"/>
                <w:color w:val="auto"/>
              </w:rPr>
              <w:t>Balances at July 31, 2003</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466</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47,232</w:t>
            </w:r>
          </w:p>
        </w:tc>
        <w:tc>
          <w:tcPr>
            <w:tcW w:w="7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w w:val="89"/>
              </w:rPr>
              <w:t>$ 290,805</w:t>
            </w: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(509)</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1,595</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(628)</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600" w:type="dxa"/>
            <w:vAlign w:val="bottom"/>
          </w:tcPr>
          <w:p>
            <w:pPr>
              <w:ind w:left="120"/>
              <w:spacing w:after="0"/>
              <w:rPr>
                <w:sz w:val="20"/>
                <w:szCs w:val="20"/>
                <w:color w:val="auto"/>
              </w:rPr>
            </w:pPr>
            <w:r>
              <w:rPr>
                <w:rFonts w:ascii="Arial" w:cs="Arial" w:eastAsia="Arial" w:hAnsi="Arial"/>
                <w:sz w:val="12"/>
                <w:szCs w:val="12"/>
                <w:color w:val="auto"/>
              </w:rPr>
              <w:t>Net income</w:t>
            </w:r>
          </w:p>
        </w:tc>
        <w:tc>
          <w:tcPr>
            <w:tcW w:w="8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54"/>
              <w:spacing w:after="0"/>
              <w:rPr>
                <w:sz w:val="20"/>
                <w:szCs w:val="20"/>
                <w:color w:val="auto"/>
              </w:rPr>
            </w:pPr>
            <w:r>
              <w:rPr>
                <w:rFonts w:ascii="Arial" w:cs="Arial" w:eastAsia="Arial" w:hAnsi="Arial"/>
                <w:sz w:val="12"/>
                <w:szCs w:val="12"/>
                <w:color w:val="auto"/>
              </w:rPr>
              <w:t>50,871</w:t>
            </w:r>
          </w:p>
        </w:tc>
        <w:tc>
          <w:tcPr>
            <w:tcW w:w="6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50,871</w:t>
            </w:r>
          </w:p>
        </w:tc>
        <w:tc>
          <w:tcPr>
            <w:tcW w:w="0" w:type="dxa"/>
            <w:vAlign w:val="bottom"/>
          </w:tcPr>
          <w:p>
            <w:pPr>
              <w:spacing w:after="0"/>
              <w:rPr>
                <w:sz w:val="1"/>
                <w:szCs w:val="1"/>
                <w:color w:val="auto"/>
              </w:rPr>
            </w:pPr>
          </w:p>
        </w:tc>
      </w:tr>
      <w:tr>
        <w:trPr>
          <w:trHeight w:val="147"/>
        </w:trPr>
        <w:tc>
          <w:tcPr>
            <w:tcW w:w="4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currency translation adjustment and other</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7,745</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7,745</w:t>
            </w:r>
          </w:p>
        </w:tc>
        <w:tc>
          <w:tcPr>
            <w:tcW w:w="0" w:type="dxa"/>
            <w:vAlign w:val="bottom"/>
          </w:tcPr>
          <w:p>
            <w:pPr>
              <w:spacing w:after="0"/>
              <w:rPr>
                <w:sz w:val="1"/>
                <w:szCs w:val="1"/>
                <w:color w:val="auto"/>
              </w:rPr>
            </w:pPr>
          </w:p>
        </w:tc>
      </w:tr>
      <w:tr>
        <w:trPr>
          <w:trHeight w:val="20"/>
        </w:trPr>
        <w:tc>
          <w:tcPr>
            <w:tcW w:w="4600" w:type="dxa"/>
            <w:vAlign w:val="bottom"/>
            <w:vMerge w:val="restart"/>
          </w:tcPr>
          <w:p>
            <w:pPr>
              <w:ind w:left="220"/>
              <w:spacing w:after="0"/>
              <w:rPr>
                <w:sz w:val="20"/>
                <w:szCs w:val="20"/>
                <w:color w:val="auto"/>
              </w:rPr>
            </w:pPr>
            <w:r>
              <w:rPr>
                <w:rFonts w:ascii="Arial" w:cs="Arial" w:eastAsia="Arial" w:hAnsi="Arial"/>
                <w:sz w:val="12"/>
                <w:szCs w:val="12"/>
                <w:color w:val="auto"/>
              </w:rPr>
              <w:t>Total comprehensive income</w:t>
            </w: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58,616</w:t>
            </w:r>
          </w:p>
        </w:tc>
        <w:tc>
          <w:tcPr>
            <w:tcW w:w="0" w:type="dxa"/>
            <w:vAlign w:val="bottom"/>
          </w:tcPr>
          <w:p>
            <w:pPr>
              <w:spacing w:after="0"/>
              <w:rPr>
                <w:sz w:val="1"/>
                <w:szCs w:val="1"/>
                <w:color w:val="auto"/>
              </w:rPr>
            </w:pPr>
          </w:p>
        </w:tc>
      </w:tr>
      <w:tr>
        <w:trPr>
          <w:trHeight w:val="155"/>
        </w:trPr>
        <w:tc>
          <w:tcPr>
            <w:tcW w:w="4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Issuance of 1,607,058 shares of Class A Common Stock under stock option plan</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19,406</w:t>
            </w:r>
          </w:p>
        </w:tc>
        <w:tc>
          <w:tcPr>
            <w:tcW w:w="7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600" w:type="dxa"/>
            <w:vAlign w:val="bottom"/>
          </w:tcPr>
          <w:p>
            <w:pPr>
              <w:ind w:left="120"/>
              <w:spacing w:after="0"/>
              <w:rPr>
                <w:sz w:val="20"/>
                <w:szCs w:val="20"/>
                <w:color w:val="auto"/>
              </w:rPr>
            </w:pPr>
            <w:r>
              <w:rPr>
                <w:rFonts w:ascii="Arial" w:cs="Arial" w:eastAsia="Arial" w:hAnsi="Arial"/>
                <w:sz w:val="12"/>
                <w:szCs w:val="12"/>
                <w:color w:val="auto"/>
              </w:rPr>
              <w:t>Other (Note 6)</w:t>
            </w:r>
          </w:p>
        </w:tc>
        <w:tc>
          <w:tcPr>
            <w:tcW w:w="8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346</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Tax benefit from exercise of stock options</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4,406</w:t>
            </w:r>
          </w:p>
        </w:tc>
        <w:tc>
          <w:tcPr>
            <w:tcW w:w="7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600" w:type="dxa"/>
            <w:vAlign w:val="bottom"/>
          </w:tcPr>
          <w:p>
            <w:pPr>
              <w:ind w:left="120"/>
              <w:spacing w:after="0"/>
              <w:rPr>
                <w:sz w:val="20"/>
                <w:szCs w:val="20"/>
                <w:color w:val="auto"/>
              </w:rPr>
            </w:pPr>
            <w:r>
              <w:rPr>
                <w:rFonts w:ascii="Arial" w:cs="Arial" w:eastAsia="Arial" w:hAnsi="Arial"/>
                <w:sz w:val="12"/>
                <w:szCs w:val="12"/>
                <w:color w:val="auto"/>
              </w:rPr>
              <w:t>Purchase of 32,790 shares of Class A Common Stock</w:t>
            </w:r>
          </w:p>
        </w:tc>
        <w:tc>
          <w:tcPr>
            <w:tcW w:w="8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2"/>
                <w:szCs w:val="12"/>
                <w:color w:val="auto"/>
              </w:rPr>
              <w:t>(565)</w:t>
            </w:r>
          </w:p>
        </w:tc>
        <w:tc>
          <w:tcPr>
            <w:tcW w:w="10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Stock-based compensation expense</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1,581</w:t>
            </w:r>
          </w:p>
        </w:tc>
        <w:tc>
          <w:tcPr>
            <w:tcW w:w="7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600" w:type="dxa"/>
            <w:vAlign w:val="bottom"/>
          </w:tcPr>
          <w:p>
            <w:pPr>
              <w:ind w:left="120"/>
              <w:spacing w:after="0"/>
              <w:rPr>
                <w:sz w:val="20"/>
                <w:szCs w:val="20"/>
                <w:color w:val="auto"/>
              </w:rPr>
            </w:pPr>
            <w:r>
              <w:rPr>
                <w:rFonts w:ascii="Arial" w:cs="Arial" w:eastAsia="Arial" w:hAnsi="Arial"/>
                <w:sz w:val="12"/>
                <w:szCs w:val="12"/>
                <w:color w:val="auto"/>
              </w:rPr>
              <w:t>Cash dividends on Common Stock:</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Class A — $.42 per share</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14"/>
              <w:spacing w:after="0"/>
              <w:rPr>
                <w:sz w:val="20"/>
                <w:szCs w:val="20"/>
                <w:color w:val="auto"/>
              </w:rPr>
            </w:pPr>
            <w:r>
              <w:rPr>
                <w:rFonts w:ascii="Arial" w:cs="Arial" w:eastAsia="Arial" w:hAnsi="Arial"/>
                <w:sz w:val="12"/>
                <w:szCs w:val="12"/>
                <w:color w:val="auto"/>
              </w:rPr>
              <w:t>(18,025)</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600" w:type="dxa"/>
            <w:vAlign w:val="bottom"/>
          </w:tcPr>
          <w:p>
            <w:pPr>
              <w:ind w:left="120"/>
              <w:spacing w:after="0"/>
              <w:rPr>
                <w:sz w:val="20"/>
                <w:szCs w:val="20"/>
                <w:color w:val="auto"/>
              </w:rPr>
            </w:pPr>
            <w:r>
              <w:rPr>
                <w:rFonts w:ascii="Arial" w:cs="Arial" w:eastAsia="Arial" w:hAnsi="Arial"/>
                <w:sz w:val="12"/>
                <w:szCs w:val="12"/>
                <w:color w:val="auto"/>
              </w:rPr>
              <w:t>Class B — $.40 per share</w:t>
            </w:r>
          </w:p>
        </w:tc>
        <w:tc>
          <w:tcPr>
            <w:tcW w:w="8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14"/>
              <w:spacing w:after="0"/>
              <w:rPr>
                <w:sz w:val="20"/>
                <w:szCs w:val="20"/>
                <w:color w:val="auto"/>
              </w:rPr>
            </w:pPr>
            <w:r>
              <w:rPr>
                <w:rFonts w:ascii="Arial" w:cs="Arial" w:eastAsia="Arial" w:hAnsi="Arial"/>
                <w:sz w:val="12"/>
                <w:szCs w:val="12"/>
                <w:color w:val="auto"/>
              </w:rPr>
              <w:t>(1,427)</w:t>
            </w:r>
          </w:p>
        </w:tc>
        <w:tc>
          <w:tcPr>
            <w:tcW w:w="6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600" w:type="dxa"/>
            <w:vAlign w:val="bottom"/>
            <w:shd w:val="clear" w:color="auto" w:fill="CCEEFF"/>
          </w:tcPr>
          <w:p>
            <w:pPr>
              <w:spacing w:after="0"/>
              <w:rPr>
                <w:sz w:val="20"/>
                <w:szCs w:val="20"/>
                <w:color w:val="auto"/>
              </w:rPr>
            </w:pPr>
            <w:r>
              <w:rPr>
                <w:rFonts w:ascii="Arial" w:cs="Arial" w:eastAsia="Arial" w:hAnsi="Arial"/>
                <w:sz w:val="12"/>
                <w:szCs w:val="12"/>
                <w:color w:val="auto"/>
              </w:rPr>
              <w:t>Balances at July 31, 2004</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72,625</w:t>
            </w:r>
          </w:p>
        </w:tc>
        <w:tc>
          <w:tcPr>
            <w:tcW w:w="7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w w:val="89"/>
              </w:rPr>
              <w:t>$ 322,224</w:t>
            </w: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(1,074)</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9,340</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(282)</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4600" w:type="dxa"/>
            <w:vAlign w:val="bottom"/>
            <w:vMerge w:val="restart"/>
          </w:tcPr>
          <w:p>
            <w:pPr>
              <w:ind w:left="120"/>
              <w:spacing w:after="0"/>
              <w:rPr>
                <w:sz w:val="20"/>
                <w:szCs w:val="20"/>
                <w:color w:val="auto"/>
              </w:rPr>
            </w:pPr>
            <w:r>
              <w:rPr>
                <w:rFonts w:ascii="Arial" w:cs="Arial" w:eastAsia="Arial" w:hAnsi="Arial"/>
                <w:sz w:val="12"/>
                <w:szCs w:val="12"/>
                <w:color w:val="auto"/>
              </w:rPr>
              <w:t>Net income</w:t>
            </w: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vMerge w:val="restart"/>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81,947</w:t>
            </w:r>
          </w:p>
        </w:tc>
        <w:tc>
          <w:tcPr>
            <w:tcW w:w="0" w:type="dxa"/>
            <w:vAlign w:val="bottom"/>
          </w:tcPr>
          <w:p>
            <w:pPr>
              <w:spacing w:after="0" w:line="20" w:lineRule="exact"/>
              <w:rPr>
                <w:sz w:val="1"/>
                <w:szCs w:val="1"/>
                <w:color w:val="auto"/>
              </w:rPr>
            </w:pPr>
          </w:p>
        </w:tc>
      </w:tr>
      <w:tr>
        <w:trPr>
          <w:trHeight w:val="155"/>
        </w:trPr>
        <w:tc>
          <w:tcPr>
            <w:tcW w:w="4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54"/>
              <w:spacing w:after="0"/>
              <w:rPr>
                <w:sz w:val="20"/>
                <w:szCs w:val="20"/>
                <w:color w:val="auto"/>
              </w:rPr>
            </w:pPr>
            <w:r>
              <w:rPr>
                <w:rFonts w:ascii="Arial" w:cs="Arial" w:eastAsia="Arial" w:hAnsi="Arial"/>
                <w:sz w:val="12"/>
                <w:szCs w:val="12"/>
                <w:color w:val="auto"/>
              </w:rPr>
              <w:t>81,947</w:t>
            </w:r>
          </w:p>
        </w:tc>
        <w:tc>
          <w:tcPr>
            <w:tcW w:w="6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currency translation adjustment and other</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8,157</w:t>
            </w: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8,157</w:t>
            </w:r>
          </w:p>
        </w:tc>
        <w:tc>
          <w:tcPr>
            <w:tcW w:w="0" w:type="dxa"/>
            <w:vAlign w:val="bottom"/>
          </w:tcPr>
          <w:p>
            <w:pPr>
              <w:spacing w:after="0"/>
              <w:rPr>
                <w:sz w:val="1"/>
                <w:szCs w:val="1"/>
                <w:color w:val="auto"/>
              </w:rPr>
            </w:pPr>
          </w:p>
        </w:tc>
      </w:tr>
      <w:tr>
        <w:trPr>
          <w:trHeight w:val="20"/>
        </w:trPr>
        <w:tc>
          <w:tcPr>
            <w:tcW w:w="4600" w:type="dxa"/>
            <w:vAlign w:val="bottom"/>
            <w:vMerge w:val="restart"/>
          </w:tcPr>
          <w:p>
            <w:pPr>
              <w:ind w:left="220"/>
              <w:spacing w:after="0"/>
              <w:rPr>
                <w:sz w:val="20"/>
                <w:szCs w:val="20"/>
                <w:color w:val="auto"/>
              </w:rPr>
            </w:pPr>
            <w:r>
              <w:rPr>
                <w:rFonts w:ascii="Arial" w:cs="Arial" w:eastAsia="Arial" w:hAnsi="Arial"/>
                <w:sz w:val="12"/>
                <w:szCs w:val="12"/>
                <w:color w:val="auto"/>
              </w:rPr>
              <w:t>Total comprehensive income</w:t>
            </w: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90,104</w:t>
            </w:r>
          </w:p>
        </w:tc>
        <w:tc>
          <w:tcPr>
            <w:tcW w:w="0" w:type="dxa"/>
            <w:vAlign w:val="bottom"/>
          </w:tcPr>
          <w:p>
            <w:pPr>
              <w:spacing w:after="0"/>
              <w:rPr>
                <w:sz w:val="1"/>
                <w:szCs w:val="1"/>
                <w:color w:val="auto"/>
              </w:rPr>
            </w:pPr>
          </w:p>
        </w:tc>
      </w:tr>
      <w:tr>
        <w:trPr>
          <w:trHeight w:val="155"/>
        </w:trPr>
        <w:tc>
          <w:tcPr>
            <w:tcW w:w="4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Issuance of 1,117,431 shares of Class A Common Stock under stock option plan</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15,722</w:t>
            </w:r>
          </w:p>
        </w:tc>
        <w:tc>
          <w:tcPr>
            <w:tcW w:w="7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600" w:type="dxa"/>
            <w:vAlign w:val="bottom"/>
          </w:tcPr>
          <w:p>
            <w:pPr>
              <w:ind w:left="120"/>
              <w:spacing w:after="0"/>
              <w:rPr>
                <w:sz w:val="20"/>
                <w:szCs w:val="20"/>
                <w:color w:val="auto"/>
              </w:rPr>
            </w:pPr>
            <w:r>
              <w:rPr>
                <w:rFonts w:ascii="Arial" w:cs="Arial" w:eastAsia="Arial" w:hAnsi="Arial"/>
                <w:sz w:val="12"/>
                <w:szCs w:val="12"/>
                <w:color w:val="auto"/>
              </w:rPr>
              <w:t>Other (Note 6)</w:t>
            </w:r>
          </w:p>
        </w:tc>
        <w:tc>
          <w:tcPr>
            <w:tcW w:w="8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2"/>
                <w:szCs w:val="12"/>
                <w:color w:val="auto"/>
              </w:rPr>
              <w:t>(768)</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Tax benefit from exercise of stock options</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5,385</w:t>
            </w:r>
          </w:p>
        </w:tc>
        <w:tc>
          <w:tcPr>
            <w:tcW w:w="7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600" w:type="dxa"/>
            <w:vAlign w:val="bottom"/>
          </w:tcPr>
          <w:p>
            <w:pPr>
              <w:ind w:left="120"/>
              <w:spacing w:after="0"/>
              <w:rPr>
                <w:sz w:val="20"/>
                <w:szCs w:val="20"/>
                <w:color w:val="auto"/>
              </w:rPr>
            </w:pPr>
            <w:r>
              <w:rPr>
                <w:rFonts w:ascii="Arial" w:cs="Arial" w:eastAsia="Arial" w:hAnsi="Arial"/>
                <w:sz w:val="12"/>
                <w:szCs w:val="12"/>
                <w:color w:val="auto"/>
              </w:rPr>
              <w:t>Purchase of 16,030 shares of Class A Common Stock</w:t>
            </w:r>
          </w:p>
        </w:tc>
        <w:tc>
          <w:tcPr>
            <w:tcW w:w="8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2"/>
                <w:szCs w:val="12"/>
                <w:color w:val="auto"/>
              </w:rPr>
              <w:t>(501)</w:t>
            </w:r>
          </w:p>
        </w:tc>
        <w:tc>
          <w:tcPr>
            <w:tcW w:w="10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Stock-based compensation expense</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5,297</w:t>
            </w:r>
          </w:p>
        </w:tc>
        <w:tc>
          <w:tcPr>
            <w:tcW w:w="7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600" w:type="dxa"/>
            <w:vAlign w:val="bottom"/>
          </w:tcPr>
          <w:p>
            <w:pPr>
              <w:ind w:left="120"/>
              <w:spacing w:after="0"/>
              <w:rPr>
                <w:sz w:val="20"/>
                <w:szCs w:val="20"/>
                <w:color w:val="auto"/>
              </w:rPr>
            </w:pPr>
            <w:r>
              <w:rPr>
                <w:rFonts w:ascii="Arial" w:cs="Arial" w:eastAsia="Arial" w:hAnsi="Arial"/>
                <w:sz w:val="12"/>
                <w:szCs w:val="12"/>
                <w:color w:val="auto"/>
              </w:rPr>
              <w:t>Cash dividends on Common Stock:</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Class A — $.44 per share</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14"/>
              <w:spacing w:after="0"/>
              <w:rPr>
                <w:sz w:val="20"/>
                <w:szCs w:val="20"/>
                <w:color w:val="auto"/>
              </w:rPr>
            </w:pPr>
            <w:r>
              <w:rPr>
                <w:rFonts w:ascii="Arial" w:cs="Arial" w:eastAsia="Arial" w:hAnsi="Arial"/>
                <w:sz w:val="12"/>
                <w:szCs w:val="12"/>
                <w:color w:val="auto"/>
              </w:rPr>
              <w:t>(19,793)</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600" w:type="dxa"/>
            <w:vAlign w:val="bottom"/>
          </w:tcPr>
          <w:p>
            <w:pPr>
              <w:ind w:left="120"/>
              <w:spacing w:after="0"/>
              <w:rPr>
                <w:sz w:val="20"/>
                <w:szCs w:val="20"/>
                <w:color w:val="auto"/>
              </w:rPr>
            </w:pPr>
            <w:r>
              <w:rPr>
                <w:rFonts w:ascii="Arial" w:cs="Arial" w:eastAsia="Arial" w:hAnsi="Arial"/>
                <w:sz w:val="12"/>
                <w:szCs w:val="12"/>
                <w:color w:val="auto"/>
              </w:rPr>
              <w:t>Class B — $.42 per share</w:t>
            </w:r>
          </w:p>
        </w:tc>
        <w:tc>
          <w:tcPr>
            <w:tcW w:w="8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14"/>
              <w:spacing w:after="0"/>
              <w:rPr>
                <w:sz w:val="20"/>
                <w:szCs w:val="20"/>
                <w:color w:val="auto"/>
              </w:rPr>
            </w:pPr>
            <w:r>
              <w:rPr>
                <w:rFonts w:ascii="Arial" w:cs="Arial" w:eastAsia="Arial" w:hAnsi="Arial"/>
                <w:sz w:val="12"/>
                <w:szCs w:val="12"/>
                <w:color w:val="auto"/>
              </w:rPr>
              <w:t>(1,498)</w:t>
            </w:r>
          </w:p>
        </w:tc>
        <w:tc>
          <w:tcPr>
            <w:tcW w:w="6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600" w:type="dxa"/>
            <w:vAlign w:val="bottom"/>
            <w:shd w:val="clear" w:color="auto" w:fill="CCEEFF"/>
          </w:tcPr>
          <w:p>
            <w:pPr>
              <w:spacing w:after="0"/>
              <w:rPr>
                <w:sz w:val="20"/>
                <w:szCs w:val="20"/>
                <w:color w:val="auto"/>
              </w:rPr>
            </w:pPr>
            <w:r>
              <w:rPr>
                <w:rFonts w:ascii="Arial" w:cs="Arial" w:eastAsia="Arial" w:hAnsi="Arial"/>
                <w:sz w:val="12"/>
                <w:szCs w:val="12"/>
                <w:color w:val="auto"/>
              </w:rPr>
              <w:t>Balances at July 31, 2005</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493</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99,029</w:t>
            </w:r>
          </w:p>
        </w:tc>
        <w:tc>
          <w:tcPr>
            <w:tcW w:w="7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w w:val="89"/>
              </w:rPr>
              <w:t>$ 382,880</w:t>
            </w: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(1,575)</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17,497</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94"/>
              </w:rPr>
              <w:t>(1,050)</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4600" w:type="dxa"/>
            <w:vAlign w:val="bottom"/>
            <w:vMerge w:val="restart"/>
          </w:tcPr>
          <w:p>
            <w:pPr>
              <w:ind w:left="120"/>
              <w:spacing w:after="0"/>
              <w:rPr>
                <w:sz w:val="20"/>
                <w:szCs w:val="20"/>
                <w:color w:val="auto"/>
              </w:rPr>
            </w:pPr>
            <w:r>
              <w:rPr>
                <w:rFonts w:ascii="Arial" w:cs="Arial" w:eastAsia="Arial" w:hAnsi="Arial"/>
                <w:sz w:val="12"/>
                <w:szCs w:val="12"/>
                <w:color w:val="auto"/>
              </w:rPr>
              <w:t>Net income</w:t>
            </w: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vMerge w:val="restart"/>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104,175</w:t>
            </w:r>
          </w:p>
        </w:tc>
        <w:tc>
          <w:tcPr>
            <w:tcW w:w="0" w:type="dxa"/>
            <w:vAlign w:val="bottom"/>
          </w:tcPr>
          <w:p>
            <w:pPr>
              <w:spacing w:after="0" w:line="20" w:lineRule="exact"/>
              <w:rPr>
                <w:sz w:val="1"/>
                <w:szCs w:val="1"/>
                <w:color w:val="auto"/>
              </w:rPr>
            </w:pPr>
          </w:p>
        </w:tc>
      </w:tr>
      <w:tr>
        <w:trPr>
          <w:trHeight w:val="155"/>
        </w:trPr>
        <w:tc>
          <w:tcPr>
            <w:tcW w:w="4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54"/>
              <w:spacing w:after="0"/>
              <w:rPr>
                <w:sz w:val="20"/>
                <w:szCs w:val="20"/>
                <w:color w:val="auto"/>
              </w:rPr>
            </w:pPr>
            <w:r>
              <w:rPr>
                <w:rFonts w:ascii="Arial" w:cs="Arial" w:eastAsia="Arial" w:hAnsi="Arial"/>
                <w:sz w:val="12"/>
                <w:szCs w:val="12"/>
                <w:color w:val="auto"/>
              </w:rPr>
              <w:t>104,175</w:t>
            </w:r>
          </w:p>
        </w:tc>
        <w:tc>
          <w:tcPr>
            <w:tcW w:w="6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currency translation adjustment and other</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18,199</w:t>
            </w: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18,199</w:t>
            </w:r>
          </w:p>
        </w:tc>
        <w:tc>
          <w:tcPr>
            <w:tcW w:w="0" w:type="dxa"/>
            <w:vAlign w:val="bottom"/>
          </w:tcPr>
          <w:p>
            <w:pPr>
              <w:spacing w:after="0"/>
              <w:rPr>
                <w:sz w:val="1"/>
                <w:szCs w:val="1"/>
                <w:color w:val="auto"/>
              </w:rPr>
            </w:pPr>
          </w:p>
        </w:tc>
      </w:tr>
      <w:tr>
        <w:trPr>
          <w:trHeight w:val="20"/>
        </w:trPr>
        <w:tc>
          <w:tcPr>
            <w:tcW w:w="4600" w:type="dxa"/>
            <w:vAlign w:val="bottom"/>
            <w:vMerge w:val="restart"/>
          </w:tcPr>
          <w:p>
            <w:pPr>
              <w:ind w:left="220"/>
              <w:spacing w:after="0"/>
              <w:rPr>
                <w:sz w:val="20"/>
                <w:szCs w:val="20"/>
                <w:color w:val="auto"/>
              </w:rPr>
            </w:pPr>
            <w:r>
              <w:rPr>
                <w:rFonts w:ascii="Arial" w:cs="Arial" w:eastAsia="Arial" w:hAnsi="Arial"/>
                <w:sz w:val="12"/>
                <w:szCs w:val="12"/>
                <w:color w:val="auto"/>
              </w:rPr>
              <w:t>Total comprehensive income</w:t>
            </w: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122,374</w:t>
            </w:r>
          </w:p>
        </w:tc>
        <w:tc>
          <w:tcPr>
            <w:tcW w:w="0" w:type="dxa"/>
            <w:vAlign w:val="bottom"/>
          </w:tcPr>
          <w:p>
            <w:pPr>
              <w:spacing w:after="0"/>
              <w:rPr>
                <w:sz w:val="1"/>
                <w:szCs w:val="1"/>
                <w:color w:val="auto"/>
              </w:rPr>
            </w:pPr>
          </w:p>
        </w:tc>
      </w:tr>
      <w:tr>
        <w:trPr>
          <w:trHeight w:val="155"/>
        </w:trPr>
        <w:tc>
          <w:tcPr>
            <w:tcW w:w="4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Issuance of 4,600,000 shares of Class A Common Stock from equity offering</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87"/>
              </w:rPr>
              <w:t>157,699</w:t>
            </w:r>
          </w:p>
        </w:tc>
        <w:tc>
          <w:tcPr>
            <w:tcW w:w="7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600" w:type="dxa"/>
            <w:vAlign w:val="bottom"/>
          </w:tcPr>
          <w:p>
            <w:pPr>
              <w:ind w:left="120"/>
              <w:spacing w:after="0"/>
              <w:rPr>
                <w:sz w:val="20"/>
                <w:szCs w:val="20"/>
                <w:color w:val="auto"/>
              </w:rPr>
            </w:pPr>
            <w:r>
              <w:rPr>
                <w:rFonts w:ascii="Arial" w:cs="Arial" w:eastAsia="Arial" w:hAnsi="Arial"/>
                <w:sz w:val="12"/>
                <w:szCs w:val="12"/>
                <w:color w:val="auto"/>
              </w:rPr>
              <w:t>Issuance of 4,200 shares of Class A Common Stock under stock option plan</w:t>
            </w:r>
          </w:p>
        </w:tc>
        <w:tc>
          <w:tcPr>
            <w:tcW w:w="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2"/>
                <w:szCs w:val="12"/>
                <w:color w:val="auto"/>
              </w:rPr>
              <w:t>(8,286)</w:t>
            </w:r>
          </w:p>
        </w:tc>
        <w:tc>
          <w:tcPr>
            <w:tcW w:w="70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17,205</w:t>
            </w:r>
          </w:p>
        </w:tc>
        <w:tc>
          <w:tcPr>
            <w:tcW w:w="10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(Note 6)</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1,812</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600" w:type="dxa"/>
            <w:vAlign w:val="bottom"/>
          </w:tcPr>
          <w:p>
            <w:pPr>
              <w:ind w:left="120"/>
              <w:spacing w:after="0"/>
              <w:rPr>
                <w:sz w:val="20"/>
                <w:szCs w:val="20"/>
                <w:color w:val="auto"/>
              </w:rPr>
            </w:pPr>
            <w:r>
              <w:rPr>
                <w:rFonts w:ascii="Arial" w:cs="Arial" w:eastAsia="Arial" w:hAnsi="Arial"/>
                <w:sz w:val="12"/>
                <w:szCs w:val="12"/>
                <w:color w:val="auto"/>
              </w:rPr>
              <w:t>Tax benefit from exercise of stock options</w:t>
            </w:r>
          </w:p>
        </w:tc>
        <w:tc>
          <w:tcPr>
            <w:tcW w:w="8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2"/>
                <w:szCs w:val="12"/>
                <w:color w:val="auto"/>
              </w:rPr>
              <w:t>4,912</w:t>
            </w:r>
          </w:p>
        </w:tc>
        <w:tc>
          <w:tcPr>
            <w:tcW w:w="70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Purchase of 800,000 shares of Class A Common Stock</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98"/>
              </w:rPr>
              <w:t>(26,495)</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600" w:type="dxa"/>
            <w:vAlign w:val="bottom"/>
          </w:tcPr>
          <w:p>
            <w:pPr>
              <w:ind w:left="120"/>
              <w:spacing w:after="0"/>
              <w:rPr>
                <w:sz w:val="20"/>
                <w:szCs w:val="20"/>
                <w:color w:val="auto"/>
              </w:rPr>
            </w:pPr>
            <w:r>
              <w:rPr>
                <w:rFonts w:ascii="Arial" w:cs="Arial" w:eastAsia="Arial" w:hAnsi="Arial"/>
                <w:sz w:val="12"/>
                <w:szCs w:val="12"/>
                <w:color w:val="auto"/>
              </w:rPr>
              <w:t>Stock-based compensation expense</w:t>
            </w:r>
          </w:p>
        </w:tc>
        <w:tc>
          <w:tcPr>
            <w:tcW w:w="8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2"/>
                <w:szCs w:val="12"/>
                <w:color w:val="auto"/>
              </w:rPr>
              <w:t>5,568</w:t>
            </w:r>
          </w:p>
        </w:tc>
        <w:tc>
          <w:tcPr>
            <w:tcW w:w="70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dividends on Common Stock:</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600" w:type="dxa"/>
            <w:vAlign w:val="bottom"/>
          </w:tcPr>
          <w:p>
            <w:pPr>
              <w:ind w:left="120"/>
              <w:spacing w:after="0"/>
              <w:rPr>
                <w:sz w:val="20"/>
                <w:szCs w:val="20"/>
                <w:color w:val="auto"/>
              </w:rPr>
            </w:pPr>
            <w:r>
              <w:rPr>
                <w:rFonts w:ascii="Arial" w:cs="Arial" w:eastAsia="Arial" w:hAnsi="Arial"/>
                <w:sz w:val="12"/>
                <w:szCs w:val="12"/>
                <w:color w:val="auto"/>
              </w:rPr>
              <w:t>Class A — $.52 per share</w:t>
            </w:r>
          </w:p>
        </w:tc>
        <w:tc>
          <w:tcPr>
            <w:tcW w:w="8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14"/>
              <w:spacing w:after="0"/>
              <w:rPr>
                <w:sz w:val="20"/>
                <w:szCs w:val="20"/>
                <w:color w:val="auto"/>
              </w:rPr>
            </w:pPr>
            <w:r>
              <w:rPr>
                <w:rFonts w:ascii="Arial" w:cs="Arial" w:eastAsia="Arial" w:hAnsi="Arial"/>
                <w:sz w:val="12"/>
                <w:szCs w:val="12"/>
                <w:color w:val="auto"/>
              </w:rPr>
              <w:t>(24,283)</w:t>
            </w:r>
          </w:p>
        </w:tc>
        <w:tc>
          <w:tcPr>
            <w:tcW w:w="6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Class B — $.50 per share</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14"/>
              <w:spacing w:after="0"/>
              <w:rPr>
                <w:sz w:val="20"/>
                <w:szCs w:val="20"/>
                <w:color w:val="auto"/>
              </w:rPr>
            </w:pPr>
            <w:r>
              <w:rPr>
                <w:rFonts w:ascii="Arial" w:cs="Arial" w:eastAsia="Arial" w:hAnsi="Arial"/>
                <w:sz w:val="12"/>
                <w:szCs w:val="12"/>
                <w:color w:val="auto"/>
              </w:rPr>
              <w:t>(1,781)</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2"/>
                <w:szCs w:val="12"/>
                <w:color w:val="auto"/>
              </w:rPr>
              <w:t>Balances at July 31, 2006</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600" w:type="dxa"/>
            <w:vAlign w:val="bottom"/>
            <w:vMerge w:val="continue"/>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540</w:t>
            </w:r>
          </w:p>
        </w:tc>
        <w:tc>
          <w:tcPr>
            <w:tcW w:w="2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gridSpan w:val="2"/>
          </w:tcPr>
          <w:p>
            <w:pPr>
              <w:jc w:val="right"/>
              <w:ind w:right="200"/>
              <w:spacing w:after="0"/>
              <w:rPr>
                <w:sz w:val="20"/>
                <w:szCs w:val="20"/>
                <w:color w:val="auto"/>
              </w:rPr>
            </w:pPr>
            <w:r>
              <w:rPr>
                <w:rFonts w:ascii="Arial" w:cs="Arial" w:eastAsia="Arial" w:hAnsi="Arial"/>
                <w:sz w:val="12"/>
                <w:szCs w:val="12"/>
                <w:color w:val="auto"/>
                <w:w w:val="87"/>
              </w:rPr>
              <w:t>258,922</w:t>
            </w:r>
          </w:p>
        </w:tc>
        <w:tc>
          <w:tcPr>
            <w:tcW w:w="700" w:type="dxa"/>
            <w:vAlign w:val="bottom"/>
            <w:gridSpan w:val="2"/>
          </w:tcPr>
          <w:p>
            <w:pPr>
              <w:jc w:val="right"/>
              <w:ind w:right="154"/>
              <w:spacing w:after="0"/>
              <w:rPr>
                <w:sz w:val="20"/>
                <w:szCs w:val="20"/>
                <w:color w:val="auto"/>
              </w:rPr>
            </w:pPr>
            <w:r>
              <w:rPr>
                <w:rFonts w:ascii="Arial" w:cs="Arial" w:eastAsia="Arial" w:hAnsi="Arial"/>
                <w:sz w:val="12"/>
                <w:szCs w:val="12"/>
                <w:color w:val="auto"/>
                <w:w w:val="89"/>
              </w:rPr>
              <w:t>$ 460,991</w:t>
            </w: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620" w:type="dxa"/>
            <w:vAlign w:val="bottom"/>
            <w:gridSpan w:val="2"/>
          </w:tcPr>
          <w:p>
            <w:pPr>
              <w:jc w:val="right"/>
              <w:ind w:right="160"/>
              <w:spacing w:after="0"/>
              <w:rPr>
                <w:sz w:val="20"/>
                <w:szCs w:val="20"/>
                <w:color w:val="auto"/>
              </w:rPr>
            </w:pPr>
            <w:r>
              <w:rPr>
                <w:rFonts w:ascii="Arial" w:cs="Arial" w:eastAsia="Arial" w:hAnsi="Arial"/>
                <w:sz w:val="12"/>
                <w:szCs w:val="12"/>
                <w:color w:val="auto"/>
                <w:w w:val="98"/>
              </w:rPr>
              <w:t>(10,865)</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35,696</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762</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4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73025</wp:posOffset>
            </wp:positionV>
            <wp:extent cx="823595"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Adjusted for two-for-one stock split in the form of a 100% stock dividend, effective December 31, 2004.</w:t>
      </w:r>
    </w:p>
    <w:p>
      <w:pPr>
        <w:spacing w:after="0" w:line="29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300"/>
        <w:spacing w:after="0"/>
        <w:rPr>
          <w:sz w:val="20"/>
          <w:szCs w:val="20"/>
          <w:color w:val="auto"/>
        </w:rPr>
      </w:pPr>
      <w:r>
        <w:rPr>
          <w:rFonts w:ascii="Arial" w:cs="Arial" w:eastAsia="Arial" w:hAnsi="Arial"/>
          <w:sz w:val="13"/>
          <w:szCs w:val="13"/>
          <w:b w:val="1"/>
          <w:bCs w:val="1"/>
          <w:color w:val="auto"/>
        </w:rPr>
        <w:t>BRADY CORPORATION AND SUBSIDIARIES</w:t>
      </w:r>
    </w:p>
    <w:p>
      <w:pPr>
        <w:spacing w:after="0" w:line="96"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9" w:lineRule="exact"/>
        <w:rPr>
          <w:sz w:val="20"/>
          <w:szCs w:val="20"/>
          <w:color w:val="auto"/>
        </w:rPr>
      </w:pPr>
    </w:p>
    <w:p>
      <w:pPr>
        <w:ind w:left="4500"/>
        <w:spacing w:after="0"/>
        <w:rPr>
          <w:sz w:val="20"/>
          <w:szCs w:val="20"/>
          <w:color w:val="auto"/>
        </w:rPr>
      </w:pPr>
      <w:r>
        <w:rPr>
          <w:rFonts w:ascii="Arial" w:cs="Arial" w:eastAsia="Arial" w:hAnsi="Arial"/>
          <w:sz w:val="13"/>
          <w:szCs w:val="13"/>
          <w:b w:val="1"/>
          <w:bCs w:val="1"/>
          <w:color w:val="auto"/>
        </w:rPr>
        <w:t>Years Ended July 31, 2006, 2005 and 2004</w:t>
      </w:r>
    </w:p>
    <w:p>
      <w:pPr>
        <w:spacing w:after="0" w:line="90"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2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81"/>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81"/>
              <w:spacing w:after="0"/>
              <w:rPr>
                <w:sz w:val="20"/>
                <w:szCs w:val="20"/>
                <w:color w:val="auto"/>
              </w:rPr>
            </w:pPr>
            <w:r>
              <w:rPr>
                <w:rFonts w:ascii="Arial" w:cs="Arial" w:eastAsia="Arial" w:hAnsi="Arial"/>
                <w:sz w:val="10"/>
                <w:szCs w:val="10"/>
                <w:b w:val="1"/>
                <w:bCs w:val="1"/>
                <w:color w:val="auto"/>
              </w:rPr>
              <w:t>2005</w:t>
            </w:r>
          </w:p>
        </w:tc>
        <w:tc>
          <w:tcPr>
            <w:tcW w:w="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81"/>
              <w:spacing w:after="0"/>
              <w:rPr>
                <w:sz w:val="20"/>
                <w:szCs w:val="20"/>
                <w:color w:val="auto"/>
              </w:rPr>
            </w:pPr>
            <w:r>
              <w:rPr>
                <w:rFonts w:ascii="Arial" w:cs="Arial" w:eastAsia="Arial" w:hAnsi="Arial"/>
                <w:sz w:val="10"/>
                <w:szCs w:val="10"/>
                <w:b w:val="1"/>
                <w:bCs w:val="1"/>
                <w:color w:val="auto"/>
              </w:rPr>
              <w:t>2004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4"/>
          </w:tcPr>
          <w:p>
            <w:pPr>
              <w:jc w:val="right"/>
              <w:ind w:right="160"/>
              <w:spacing w:after="0"/>
              <w:rPr>
                <w:sz w:val="20"/>
                <w:szCs w:val="20"/>
                <w:color w:val="auto"/>
              </w:rPr>
            </w:pPr>
            <w:r>
              <w:rPr>
                <w:rFonts w:ascii="Arial" w:cs="Arial" w:eastAsia="Arial" w:hAnsi="Arial"/>
                <w:sz w:val="10"/>
                <w:szCs w:val="10"/>
                <w:b w:val="1"/>
                <w:bCs w:val="1"/>
                <w:color w:val="auto"/>
                <w:w w:val="96"/>
              </w:rPr>
              <w:t>(Dollars in thousands)</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200" w:type="dxa"/>
            <w:vAlign w:val="bottom"/>
            <w:shd w:val="clear" w:color="auto" w:fill="CCEEFF"/>
          </w:tcPr>
          <w:p>
            <w:pPr>
              <w:spacing w:after="0"/>
              <w:rPr>
                <w:sz w:val="20"/>
                <w:szCs w:val="20"/>
                <w:color w:val="auto"/>
              </w:rPr>
            </w:pPr>
            <w:r>
              <w:rPr>
                <w:rFonts w:ascii="Arial" w:cs="Arial" w:eastAsia="Arial" w:hAnsi="Arial"/>
                <w:sz w:val="12"/>
                <w:szCs w:val="12"/>
                <w:color w:val="auto"/>
              </w:rPr>
              <w:t>Operating activities:</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200" w:type="dxa"/>
            <w:vAlign w:val="bottom"/>
          </w:tcPr>
          <w:p>
            <w:pPr>
              <w:ind w:left="120"/>
              <w:spacing w:after="0"/>
              <w:rPr>
                <w:sz w:val="20"/>
                <w:szCs w:val="20"/>
                <w:color w:val="auto"/>
              </w:rPr>
            </w:pPr>
            <w:r>
              <w:rPr>
                <w:rFonts w:ascii="Arial" w:cs="Arial" w:eastAsia="Arial" w:hAnsi="Arial"/>
                <w:sz w:val="12"/>
                <w:szCs w:val="12"/>
                <w:color w:val="auto"/>
              </w:rPr>
              <w:t>Net income</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104,175</w:t>
            </w:r>
          </w:p>
        </w:tc>
        <w:tc>
          <w:tcPr>
            <w:tcW w:w="100" w:type="dxa"/>
            <w:vAlign w:val="bottom"/>
          </w:tcPr>
          <w:p>
            <w:pPr>
              <w:spacing w:after="0"/>
              <w:rPr>
                <w:sz w:val="12"/>
                <w:szCs w:val="12"/>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rPr>
              <w:t>81,947</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50,871</w:t>
            </w:r>
          </w:p>
        </w:tc>
        <w:tc>
          <w:tcPr>
            <w:tcW w:w="0" w:type="dxa"/>
            <w:vAlign w:val="bottom"/>
          </w:tcPr>
          <w:p>
            <w:pPr>
              <w:spacing w:after="0"/>
              <w:rPr>
                <w:sz w:val="1"/>
                <w:szCs w:val="1"/>
                <w:color w:val="auto"/>
              </w:rPr>
            </w:pPr>
          </w:p>
        </w:tc>
      </w:tr>
      <w:tr>
        <w:trPr>
          <w:trHeight w:val="147"/>
        </w:trPr>
        <w:tc>
          <w:tcPr>
            <w:tcW w:w="7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Adjustments to reconcile net income to net cash provided by operating activities:</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200" w:type="dxa"/>
            <w:vAlign w:val="bottom"/>
          </w:tcPr>
          <w:p>
            <w:pPr>
              <w:ind w:left="260"/>
              <w:spacing w:after="0"/>
              <w:rPr>
                <w:sz w:val="20"/>
                <w:szCs w:val="20"/>
                <w:color w:val="auto"/>
              </w:rPr>
            </w:pPr>
            <w:r>
              <w:rPr>
                <w:rFonts w:ascii="Arial" w:cs="Arial" w:eastAsia="Arial" w:hAnsi="Arial"/>
                <w:sz w:val="12"/>
                <w:szCs w:val="12"/>
                <w:color w:val="auto"/>
              </w:rPr>
              <w:t>Depreciation and amortization</w:t>
            </w: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35,144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rPr>
              <w:t>26,822</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20,190</w:t>
            </w:r>
          </w:p>
        </w:tc>
        <w:tc>
          <w:tcPr>
            <w:tcW w:w="0" w:type="dxa"/>
            <w:vAlign w:val="bottom"/>
          </w:tcPr>
          <w:p>
            <w:pPr>
              <w:spacing w:after="0"/>
              <w:rPr>
                <w:sz w:val="1"/>
                <w:szCs w:val="1"/>
                <w:color w:val="auto"/>
              </w:rPr>
            </w:pPr>
          </w:p>
        </w:tc>
      </w:tr>
      <w:tr>
        <w:trPr>
          <w:trHeight w:val="147"/>
        </w:trPr>
        <w:tc>
          <w:tcPr>
            <w:tcW w:w="72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Gain on foreign currency contract</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(1,516)</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200" w:type="dxa"/>
            <w:vAlign w:val="bottom"/>
          </w:tcPr>
          <w:p>
            <w:pPr>
              <w:ind w:left="260"/>
              <w:spacing w:after="0"/>
              <w:rPr>
                <w:sz w:val="20"/>
                <w:szCs w:val="20"/>
                <w:color w:val="auto"/>
              </w:rPr>
            </w:pPr>
            <w:r>
              <w:rPr>
                <w:rFonts w:ascii="Arial" w:cs="Arial" w:eastAsia="Arial" w:hAnsi="Arial"/>
                <w:sz w:val="12"/>
                <w:szCs w:val="12"/>
                <w:color w:val="auto"/>
              </w:rPr>
              <w:t>Income tax benefit from the exercise of stock options</w:t>
            </w:r>
          </w:p>
        </w:tc>
        <w:tc>
          <w:tcPr>
            <w:tcW w:w="16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rPr>
              <w:t>5,385</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4,406</w:t>
            </w:r>
          </w:p>
        </w:tc>
        <w:tc>
          <w:tcPr>
            <w:tcW w:w="0" w:type="dxa"/>
            <w:vAlign w:val="bottom"/>
          </w:tcPr>
          <w:p>
            <w:pPr>
              <w:spacing w:after="0"/>
              <w:rPr>
                <w:sz w:val="1"/>
                <w:szCs w:val="1"/>
                <w:color w:val="auto"/>
              </w:rPr>
            </w:pPr>
          </w:p>
        </w:tc>
      </w:tr>
      <w:tr>
        <w:trPr>
          <w:trHeight w:val="147"/>
        </w:trPr>
        <w:tc>
          <w:tcPr>
            <w:tcW w:w="72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Deferred income taxes</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(1,843)</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(2,653)</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5,172</w:t>
            </w:r>
          </w:p>
        </w:tc>
        <w:tc>
          <w:tcPr>
            <w:tcW w:w="0" w:type="dxa"/>
            <w:vAlign w:val="bottom"/>
          </w:tcPr>
          <w:p>
            <w:pPr>
              <w:spacing w:after="0"/>
              <w:rPr>
                <w:sz w:val="1"/>
                <w:szCs w:val="1"/>
                <w:color w:val="auto"/>
              </w:rPr>
            </w:pPr>
          </w:p>
        </w:tc>
      </w:tr>
      <w:tr>
        <w:trPr>
          <w:trHeight w:val="147"/>
        </w:trPr>
        <w:tc>
          <w:tcPr>
            <w:tcW w:w="7200" w:type="dxa"/>
            <w:vAlign w:val="bottom"/>
          </w:tcPr>
          <w:p>
            <w:pPr>
              <w:ind w:left="260"/>
              <w:spacing w:after="0"/>
              <w:rPr>
                <w:sz w:val="20"/>
                <w:szCs w:val="20"/>
                <w:color w:val="auto"/>
              </w:rPr>
            </w:pPr>
            <w:r>
              <w:rPr>
                <w:rFonts w:ascii="Arial" w:cs="Arial" w:eastAsia="Arial" w:hAnsi="Arial"/>
                <w:sz w:val="12"/>
                <w:szCs w:val="12"/>
                <w:color w:val="auto"/>
              </w:rPr>
              <w:t>Loss on sale of property, plant and equipment</w:t>
            </w: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124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rPr>
              <w:t>743</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321</w:t>
            </w:r>
          </w:p>
        </w:tc>
        <w:tc>
          <w:tcPr>
            <w:tcW w:w="0" w:type="dxa"/>
            <w:vAlign w:val="bottom"/>
          </w:tcPr>
          <w:p>
            <w:pPr>
              <w:spacing w:after="0"/>
              <w:rPr>
                <w:sz w:val="1"/>
                <w:szCs w:val="1"/>
                <w:color w:val="auto"/>
              </w:rPr>
            </w:pPr>
          </w:p>
        </w:tc>
      </w:tr>
      <w:tr>
        <w:trPr>
          <w:trHeight w:val="147"/>
        </w:trPr>
        <w:tc>
          <w:tcPr>
            <w:tcW w:w="72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Provision for losses on accounts receivable</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1,152</w:t>
            </w:r>
          </w:p>
        </w:tc>
        <w:tc>
          <w:tcPr>
            <w:tcW w:w="10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1,216</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1,450</w:t>
            </w:r>
          </w:p>
        </w:tc>
        <w:tc>
          <w:tcPr>
            <w:tcW w:w="0" w:type="dxa"/>
            <w:vAlign w:val="bottom"/>
          </w:tcPr>
          <w:p>
            <w:pPr>
              <w:spacing w:after="0"/>
              <w:rPr>
                <w:sz w:val="1"/>
                <w:szCs w:val="1"/>
                <w:color w:val="auto"/>
              </w:rPr>
            </w:pPr>
          </w:p>
        </w:tc>
      </w:tr>
      <w:tr>
        <w:trPr>
          <w:trHeight w:val="147"/>
        </w:trPr>
        <w:tc>
          <w:tcPr>
            <w:tcW w:w="7200" w:type="dxa"/>
            <w:vAlign w:val="bottom"/>
          </w:tcPr>
          <w:p>
            <w:pPr>
              <w:ind w:left="260"/>
              <w:spacing w:after="0"/>
              <w:rPr>
                <w:sz w:val="20"/>
                <w:szCs w:val="20"/>
                <w:color w:val="auto"/>
              </w:rPr>
            </w:pPr>
            <w:r>
              <w:rPr>
                <w:rFonts w:ascii="Arial" w:cs="Arial" w:eastAsia="Arial" w:hAnsi="Arial"/>
                <w:sz w:val="12"/>
                <w:szCs w:val="12"/>
                <w:color w:val="auto"/>
              </w:rPr>
              <w:t>Non-cash portion of stock-based compensation expense</w:t>
            </w: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5,568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rPr>
              <w:t>5,579</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1,927</w:t>
            </w:r>
          </w:p>
        </w:tc>
        <w:tc>
          <w:tcPr>
            <w:tcW w:w="0" w:type="dxa"/>
            <w:vAlign w:val="bottom"/>
          </w:tcPr>
          <w:p>
            <w:pPr>
              <w:spacing w:after="0"/>
              <w:rPr>
                <w:sz w:val="1"/>
                <w:szCs w:val="1"/>
                <w:color w:val="auto"/>
              </w:rPr>
            </w:pPr>
          </w:p>
        </w:tc>
      </w:tr>
      <w:tr>
        <w:trPr>
          <w:trHeight w:val="147"/>
        </w:trPr>
        <w:tc>
          <w:tcPr>
            <w:tcW w:w="72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Net restructuring charge accrued liability</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3,221</w:t>
            </w:r>
          </w:p>
        </w:tc>
        <w:tc>
          <w:tcPr>
            <w:tcW w:w="0" w:type="dxa"/>
            <w:vAlign w:val="bottom"/>
          </w:tcPr>
          <w:p>
            <w:pPr>
              <w:spacing w:after="0"/>
              <w:rPr>
                <w:sz w:val="1"/>
                <w:szCs w:val="1"/>
                <w:color w:val="auto"/>
              </w:rPr>
            </w:pPr>
          </w:p>
        </w:tc>
      </w:tr>
      <w:tr>
        <w:trPr>
          <w:trHeight w:val="147"/>
        </w:trPr>
        <w:tc>
          <w:tcPr>
            <w:tcW w:w="7200" w:type="dxa"/>
            <w:vAlign w:val="bottom"/>
          </w:tcPr>
          <w:p>
            <w:pPr>
              <w:ind w:left="260"/>
              <w:spacing w:after="0"/>
              <w:rPr>
                <w:sz w:val="20"/>
                <w:szCs w:val="20"/>
                <w:color w:val="auto"/>
              </w:rPr>
            </w:pPr>
            <w:r>
              <w:rPr>
                <w:rFonts w:ascii="Arial" w:cs="Arial" w:eastAsia="Arial" w:hAnsi="Arial"/>
                <w:sz w:val="12"/>
                <w:szCs w:val="12"/>
                <w:color w:val="auto"/>
              </w:rPr>
              <w:t>Changes in operating assets and liabilities (net of effects of business acquisitions):</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200" w:type="dxa"/>
            <w:vAlign w:val="bottom"/>
            <w:shd w:val="clear" w:color="auto" w:fill="CCEEFF"/>
          </w:tcPr>
          <w:p>
            <w:pPr>
              <w:ind w:left="380"/>
              <w:spacing w:after="0"/>
              <w:rPr>
                <w:sz w:val="20"/>
                <w:szCs w:val="20"/>
                <w:color w:val="auto"/>
              </w:rPr>
            </w:pPr>
            <w:r>
              <w:rPr>
                <w:rFonts w:ascii="Arial" w:cs="Arial" w:eastAsia="Arial" w:hAnsi="Arial"/>
                <w:sz w:val="12"/>
                <w:szCs w:val="12"/>
                <w:color w:val="auto"/>
              </w:rPr>
              <w:t>Accounts receivable</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(13,620)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(7,132)</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(11,979)</w:t>
            </w:r>
          </w:p>
        </w:tc>
        <w:tc>
          <w:tcPr>
            <w:tcW w:w="0" w:type="dxa"/>
            <w:vAlign w:val="bottom"/>
          </w:tcPr>
          <w:p>
            <w:pPr>
              <w:spacing w:after="0"/>
              <w:rPr>
                <w:sz w:val="1"/>
                <w:szCs w:val="1"/>
                <w:color w:val="auto"/>
              </w:rPr>
            </w:pPr>
          </w:p>
        </w:tc>
      </w:tr>
      <w:tr>
        <w:trPr>
          <w:trHeight w:val="147"/>
        </w:trPr>
        <w:tc>
          <w:tcPr>
            <w:tcW w:w="7200" w:type="dxa"/>
            <w:vAlign w:val="bottom"/>
          </w:tcPr>
          <w:p>
            <w:pPr>
              <w:ind w:left="380"/>
              <w:spacing w:after="0"/>
              <w:rPr>
                <w:sz w:val="20"/>
                <w:szCs w:val="20"/>
                <w:color w:val="auto"/>
              </w:rPr>
            </w:pPr>
            <w:r>
              <w:rPr>
                <w:rFonts w:ascii="Arial" w:cs="Arial" w:eastAsia="Arial" w:hAnsi="Arial"/>
                <w:sz w:val="12"/>
                <w:szCs w:val="12"/>
                <w:color w:val="auto"/>
              </w:rPr>
              <w:t>Inventories</w:t>
            </w:r>
          </w:p>
        </w:tc>
        <w:tc>
          <w:tcPr>
            <w:tcW w:w="16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(16,961)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2"/>
                <w:szCs w:val="12"/>
                <w:color w:val="auto"/>
              </w:rPr>
              <w:t>(11,847)</w:t>
            </w:r>
          </w:p>
        </w:tc>
        <w:tc>
          <w:tcPr>
            <w:tcW w:w="14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(6,791)</w:t>
            </w:r>
          </w:p>
        </w:tc>
        <w:tc>
          <w:tcPr>
            <w:tcW w:w="0" w:type="dxa"/>
            <w:vAlign w:val="bottom"/>
          </w:tcPr>
          <w:p>
            <w:pPr>
              <w:spacing w:after="0"/>
              <w:rPr>
                <w:sz w:val="1"/>
                <w:szCs w:val="1"/>
                <w:color w:val="auto"/>
              </w:rPr>
            </w:pPr>
          </w:p>
        </w:tc>
      </w:tr>
      <w:tr>
        <w:trPr>
          <w:trHeight w:val="147"/>
        </w:trPr>
        <w:tc>
          <w:tcPr>
            <w:tcW w:w="7200" w:type="dxa"/>
            <w:vAlign w:val="bottom"/>
            <w:shd w:val="clear" w:color="auto" w:fill="CCEEFF"/>
          </w:tcPr>
          <w:p>
            <w:pPr>
              <w:ind w:left="380"/>
              <w:spacing w:after="0"/>
              <w:rPr>
                <w:sz w:val="20"/>
                <w:szCs w:val="20"/>
                <w:color w:val="auto"/>
              </w:rPr>
            </w:pPr>
            <w:r>
              <w:rPr>
                <w:rFonts w:ascii="Arial" w:cs="Arial" w:eastAsia="Arial" w:hAnsi="Arial"/>
                <w:sz w:val="12"/>
                <w:szCs w:val="12"/>
                <w:color w:val="auto"/>
              </w:rPr>
              <w:t>Prepaid expenses and other assets</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(2,163)</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(3,572)</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2,168</w:t>
            </w:r>
          </w:p>
        </w:tc>
        <w:tc>
          <w:tcPr>
            <w:tcW w:w="0" w:type="dxa"/>
            <w:vAlign w:val="bottom"/>
          </w:tcPr>
          <w:p>
            <w:pPr>
              <w:spacing w:after="0"/>
              <w:rPr>
                <w:sz w:val="1"/>
                <w:szCs w:val="1"/>
                <w:color w:val="auto"/>
              </w:rPr>
            </w:pPr>
          </w:p>
        </w:tc>
      </w:tr>
      <w:tr>
        <w:trPr>
          <w:trHeight w:val="147"/>
        </w:trPr>
        <w:tc>
          <w:tcPr>
            <w:tcW w:w="7200" w:type="dxa"/>
            <w:vAlign w:val="bottom"/>
          </w:tcPr>
          <w:p>
            <w:pPr>
              <w:ind w:left="380"/>
              <w:spacing w:after="0"/>
              <w:rPr>
                <w:sz w:val="20"/>
                <w:szCs w:val="20"/>
                <w:color w:val="auto"/>
              </w:rPr>
            </w:pPr>
            <w:r>
              <w:rPr>
                <w:rFonts w:ascii="Arial" w:cs="Arial" w:eastAsia="Arial" w:hAnsi="Arial"/>
                <w:sz w:val="12"/>
                <w:szCs w:val="12"/>
                <w:color w:val="auto"/>
              </w:rPr>
              <w:t>Accounts payable and accrued liabilities</w:t>
            </w: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10,421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rPr>
              <w:t>8,827</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15,210</w:t>
            </w:r>
          </w:p>
        </w:tc>
        <w:tc>
          <w:tcPr>
            <w:tcW w:w="0" w:type="dxa"/>
            <w:vAlign w:val="bottom"/>
          </w:tcPr>
          <w:p>
            <w:pPr>
              <w:spacing w:after="0"/>
              <w:rPr>
                <w:sz w:val="1"/>
                <w:szCs w:val="1"/>
                <w:color w:val="auto"/>
              </w:rPr>
            </w:pPr>
          </w:p>
        </w:tc>
      </w:tr>
      <w:tr>
        <w:trPr>
          <w:trHeight w:val="147"/>
        </w:trPr>
        <w:tc>
          <w:tcPr>
            <w:tcW w:w="7200" w:type="dxa"/>
            <w:vAlign w:val="bottom"/>
            <w:shd w:val="clear" w:color="auto" w:fill="CCEEFF"/>
          </w:tcPr>
          <w:p>
            <w:pPr>
              <w:ind w:left="380"/>
              <w:spacing w:after="0"/>
              <w:rPr>
                <w:sz w:val="20"/>
                <w:szCs w:val="20"/>
                <w:color w:val="auto"/>
              </w:rPr>
            </w:pPr>
            <w:r>
              <w:rPr>
                <w:rFonts w:ascii="Arial" w:cs="Arial" w:eastAsia="Arial" w:hAnsi="Arial"/>
                <w:sz w:val="12"/>
                <w:szCs w:val="12"/>
                <w:color w:val="auto"/>
              </w:rPr>
              <w:t>Income taxes</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w:t>
            </w:r>
          </w:p>
        </w:tc>
        <w:tc>
          <w:tcPr>
            <w:tcW w:w="10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9,662</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(393)</w:t>
            </w:r>
          </w:p>
        </w:tc>
        <w:tc>
          <w:tcPr>
            <w:tcW w:w="0" w:type="dxa"/>
            <w:vAlign w:val="bottom"/>
          </w:tcPr>
          <w:p>
            <w:pPr>
              <w:spacing w:after="0"/>
              <w:rPr>
                <w:sz w:val="1"/>
                <w:szCs w:val="1"/>
                <w:color w:val="auto"/>
              </w:rPr>
            </w:pPr>
          </w:p>
        </w:tc>
      </w:tr>
      <w:tr>
        <w:trPr>
          <w:trHeight w:val="147"/>
        </w:trPr>
        <w:tc>
          <w:tcPr>
            <w:tcW w:w="7200" w:type="dxa"/>
            <w:vAlign w:val="bottom"/>
          </w:tcPr>
          <w:p>
            <w:pPr>
              <w:ind w:left="380"/>
              <w:spacing w:after="0"/>
              <w:rPr>
                <w:sz w:val="20"/>
                <w:szCs w:val="20"/>
                <w:color w:val="auto"/>
              </w:rPr>
            </w:pPr>
            <w:r>
              <w:rPr>
                <w:rFonts w:ascii="Arial" w:cs="Arial" w:eastAsia="Arial" w:hAnsi="Arial"/>
                <w:sz w:val="12"/>
                <w:szCs w:val="12"/>
                <w:color w:val="auto"/>
              </w:rPr>
              <w:t>Other liabilities</w:t>
            </w:r>
          </w:p>
        </w:tc>
        <w:tc>
          <w:tcPr>
            <w:tcW w:w="16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(5,643)</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rPr>
              <w:t>4,126</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1,873</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200" w:type="dxa"/>
            <w:vAlign w:val="bottom"/>
            <w:shd w:val="clear" w:color="auto" w:fill="CCEEFF"/>
          </w:tcPr>
          <w:p>
            <w:pPr>
              <w:ind w:left="500"/>
              <w:spacing w:after="0"/>
              <w:rPr>
                <w:sz w:val="20"/>
                <w:szCs w:val="20"/>
                <w:color w:val="auto"/>
              </w:rPr>
            </w:pPr>
            <w:r>
              <w:rPr>
                <w:rFonts w:ascii="Arial" w:cs="Arial" w:eastAsia="Arial" w:hAnsi="Arial"/>
                <w:sz w:val="12"/>
                <w:szCs w:val="12"/>
                <w:color w:val="auto"/>
              </w:rPr>
              <w:t>Net cash provided by operating activities</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114,896</w:t>
            </w:r>
          </w:p>
        </w:tc>
        <w:tc>
          <w:tcPr>
            <w:tcW w:w="10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119,103</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87,646</w:t>
            </w:r>
          </w:p>
        </w:tc>
        <w:tc>
          <w:tcPr>
            <w:tcW w:w="0" w:type="dxa"/>
            <w:vAlign w:val="bottom"/>
          </w:tcPr>
          <w:p>
            <w:pPr>
              <w:spacing w:after="0"/>
              <w:rPr>
                <w:sz w:val="1"/>
                <w:szCs w:val="1"/>
                <w:color w:val="auto"/>
              </w:rPr>
            </w:pPr>
          </w:p>
        </w:tc>
      </w:tr>
      <w:tr>
        <w:trPr>
          <w:trHeight w:val="144"/>
        </w:trPr>
        <w:tc>
          <w:tcPr>
            <w:tcW w:w="7200" w:type="dxa"/>
            <w:vAlign w:val="bottom"/>
          </w:tcPr>
          <w:p>
            <w:pPr>
              <w:spacing w:after="0"/>
              <w:rPr>
                <w:sz w:val="20"/>
                <w:szCs w:val="20"/>
                <w:color w:val="auto"/>
              </w:rPr>
            </w:pPr>
            <w:r>
              <w:rPr>
                <w:rFonts w:ascii="Arial" w:cs="Arial" w:eastAsia="Arial" w:hAnsi="Arial"/>
                <w:sz w:val="12"/>
                <w:szCs w:val="12"/>
                <w:color w:val="auto"/>
              </w:rPr>
              <w:t>Investing activities:</w:t>
            </w: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7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Acquisitions of businesses, net of cash acquired</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(351,331)</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(79,926)</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(228,928)</w:t>
            </w:r>
          </w:p>
        </w:tc>
        <w:tc>
          <w:tcPr>
            <w:tcW w:w="0" w:type="dxa"/>
            <w:vAlign w:val="bottom"/>
          </w:tcPr>
          <w:p>
            <w:pPr>
              <w:spacing w:after="0"/>
              <w:rPr>
                <w:sz w:val="1"/>
                <w:szCs w:val="1"/>
                <w:color w:val="auto"/>
              </w:rPr>
            </w:pPr>
          </w:p>
        </w:tc>
      </w:tr>
      <w:tr>
        <w:trPr>
          <w:trHeight w:val="147"/>
        </w:trPr>
        <w:tc>
          <w:tcPr>
            <w:tcW w:w="7200" w:type="dxa"/>
            <w:vAlign w:val="bottom"/>
          </w:tcPr>
          <w:p>
            <w:pPr>
              <w:ind w:left="120"/>
              <w:spacing w:after="0"/>
              <w:rPr>
                <w:sz w:val="20"/>
                <w:szCs w:val="20"/>
                <w:color w:val="auto"/>
              </w:rPr>
            </w:pPr>
            <w:r>
              <w:rPr>
                <w:rFonts w:ascii="Arial" w:cs="Arial" w:eastAsia="Arial" w:hAnsi="Arial"/>
                <w:sz w:val="12"/>
                <w:szCs w:val="12"/>
                <w:color w:val="auto"/>
              </w:rPr>
              <w:t>Purchases of short-term investments</w:t>
            </w:r>
          </w:p>
        </w:tc>
        <w:tc>
          <w:tcPr>
            <w:tcW w:w="16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(150,900)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2"/>
                <w:szCs w:val="12"/>
                <w:color w:val="auto"/>
              </w:rPr>
              <w:t>(50,025)</w:t>
            </w:r>
          </w:p>
        </w:tc>
        <w:tc>
          <w:tcPr>
            <w:tcW w:w="14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(38,450)</w:t>
            </w:r>
          </w:p>
        </w:tc>
        <w:tc>
          <w:tcPr>
            <w:tcW w:w="0" w:type="dxa"/>
            <w:vAlign w:val="bottom"/>
          </w:tcPr>
          <w:p>
            <w:pPr>
              <w:spacing w:after="0"/>
              <w:rPr>
                <w:sz w:val="1"/>
                <w:szCs w:val="1"/>
                <w:color w:val="auto"/>
              </w:rPr>
            </w:pPr>
          </w:p>
        </w:tc>
      </w:tr>
      <w:tr>
        <w:trPr>
          <w:trHeight w:val="147"/>
        </w:trPr>
        <w:tc>
          <w:tcPr>
            <w:tcW w:w="7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Sales of short-term investments</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146,500</w:t>
            </w:r>
          </w:p>
        </w:tc>
        <w:tc>
          <w:tcPr>
            <w:tcW w:w="10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48,075</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42,850</w:t>
            </w:r>
          </w:p>
        </w:tc>
        <w:tc>
          <w:tcPr>
            <w:tcW w:w="0" w:type="dxa"/>
            <w:vAlign w:val="bottom"/>
          </w:tcPr>
          <w:p>
            <w:pPr>
              <w:spacing w:after="0"/>
              <w:rPr>
                <w:sz w:val="1"/>
                <w:szCs w:val="1"/>
                <w:color w:val="auto"/>
              </w:rPr>
            </w:pPr>
          </w:p>
        </w:tc>
      </w:tr>
      <w:tr>
        <w:trPr>
          <w:trHeight w:val="147"/>
        </w:trPr>
        <w:tc>
          <w:tcPr>
            <w:tcW w:w="7200" w:type="dxa"/>
            <w:vAlign w:val="bottom"/>
          </w:tcPr>
          <w:p>
            <w:pPr>
              <w:ind w:left="120"/>
              <w:spacing w:after="0"/>
              <w:rPr>
                <w:sz w:val="20"/>
                <w:szCs w:val="20"/>
                <w:color w:val="auto"/>
              </w:rPr>
            </w:pPr>
            <w:r>
              <w:rPr>
                <w:rFonts w:ascii="Arial" w:cs="Arial" w:eastAsia="Arial" w:hAnsi="Arial"/>
                <w:sz w:val="12"/>
                <w:szCs w:val="12"/>
                <w:color w:val="auto"/>
              </w:rPr>
              <w:t>Purchases of property, plant and equipment</w:t>
            </w:r>
          </w:p>
        </w:tc>
        <w:tc>
          <w:tcPr>
            <w:tcW w:w="16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(39,410)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2"/>
                <w:szCs w:val="12"/>
                <w:color w:val="auto"/>
              </w:rPr>
              <w:t>(21,920)</w:t>
            </w:r>
          </w:p>
        </w:tc>
        <w:tc>
          <w:tcPr>
            <w:tcW w:w="14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(14,892)</w:t>
            </w:r>
          </w:p>
        </w:tc>
        <w:tc>
          <w:tcPr>
            <w:tcW w:w="0" w:type="dxa"/>
            <w:vAlign w:val="bottom"/>
          </w:tcPr>
          <w:p>
            <w:pPr>
              <w:spacing w:after="0"/>
              <w:rPr>
                <w:sz w:val="1"/>
                <w:szCs w:val="1"/>
                <w:color w:val="auto"/>
              </w:rPr>
            </w:pPr>
          </w:p>
        </w:tc>
      </w:tr>
      <w:tr>
        <w:trPr>
          <w:trHeight w:val="147"/>
        </w:trPr>
        <w:tc>
          <w:tcPr>
            <w:tcW w:w="7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settlement of foreign currency contract</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1,516</w:t>
            </w:r>
          </w:p>
        </w:tc>
        <w:tc>
          <w:tcPr>
            <w:tcW w:w="10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200" w:type="dxa"/>
            <w:vAlign w:val="bottom"/>
          </w:tcPr>
          <w:p>
            <w:pPr>
              <w:ind w:left="120"/>
              <w:spacing w:after="0"/>
              <w:rPr>
                <w:sz w:val="20"/>
                <w:szCs w:val="20"/>
                <w:color w:val="auto"/>
              </w:rPr>
            </w:pPr>
            <w:r>
              <w:rPr>
                <w:rFonts w:ascii="Arial" w:cs="Arial" w:eastAsia="Arial" w:hAnsi="Arial"/>
                <w:sz w:val="12"/>
                <w:szCs w:val="12"/>
                <w:color w:val="auto"/>
              </w:rPr>
              <w:t>Proceeds from sale of property, plant and equipment</w:t>
            </w: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546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rPr>
              <w:t>390</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448</w:t>
            </w:r>
          </w:p>
        </w:tc>
        <w:tc>
          <w:tcPr>
            <w:tcW w:w="0" w:type="dxa"/>
            <w:vAlign w:val="bottom"/>
          </w:tcPr>
          <w:p>
            <w:pPr>
              <w:spacing w:after="0"/>
              <w:rPr>
                <w:sz w:val="1"/>
                <w:szCs w:val="1"/>
                <w:color w:val="auto"/>
              </w:rPr>
            </w:pPr>
          </w:p>
        </w:tc>
      </w:tr>
      <w:tr>
        <w:trPr>
          <w:trHeight w:val="147"/>
        </w:trPr>
        <w:tc>
          <w:tcPr>
            <w:tcW w:w="7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(2,203)</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(1,686)</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(1,533)</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500"/>
              <w:spacing w:after="0"/>
              <w:rPr>
                <w:sz w:val="20"/>
                <w:szCs w:val="20"/>
                <w:color w:val="auto"/>
              </w:rPr>
            </w:pPr>
            <w:r>
              <w:rPr>
                <w:rFonts w:ascii="Arial" w:cs="Arial" w:eastAsia="Arial" w:hAnsi="Arial"/>
                <w:sz w:val="12"/>
                <w:szCs w:val="12"/>
                <w:color w:val="auto"/>
              </w:rPr>
              <w:t>Net cash used in investing activities</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2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(395,282)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2"/>
                <w:szCs w:val="12"/>
                <w:color w:val="auto"/>
              </w:rPr>
              <w:t>(105,092)</w:t>
            </w:r>
          </w:p>
        </w:tc>
        <w:tc>
          <w:tcPr>
            <w:tcW w:w="14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(240,505)</w:t>
            </w:r>
          </w:p>
        </w:tc>
        <w:tc>
          <w:tcPr>
            <w:tcW w:w="0" w:type="dxa"/>
            <w:vAlign w:val="bottom"/>
          </w:tcPr>
          <w:p>
            <w:pPr>
              <w:spacing w:after="0"/>
              <w:rPr>
                <w:sz w:val="1"/>
                <w:szCs w:val="1"/>
                <w:color w:val="auto"/>
              </w:rPr>
            </w:pPr>
          </w:p>
        </w:tc>
      </w:tr>
      <w:tr>
        <w:trPr>
          <w:trHeight w:val="147"/>
        </w:trPr>
        <w:tc>
          <w:tcPr>
            <w:tcW w:w="7200" w:type="dxa"/>
            <w:vAlign w:val="bottom"/>
            <w:shd w:val="clear" w:color="auto" w:fill="CCEEFF"/>
          </w:tcPr>
          <w:p>
            <w:pPr>
              <w:spacing w:after="0"/>
              <w:rPr>
                <w:sz w:val="20"/>
                <w:szCs w:val="20"/>
                <w:color w:val="auto"/>
              </w:rPr>
            </w:pPr>
            <w:r>
              <w:rPr>
                <w:rFonts w:ascii="Arial" w:cs="Arial" w:eastAsia="Arial" w:hAnsi="Arial"/>
                <w:sz w:val="12"/>
                <w:szCs w:val="12"/>
                <w:color w:val="auto"/>
              </w:rPr>
              <w:t>Financing activities:</w:t>
            </w:r>
          </w:p>
        </w:tc>
        <w:tc>
          <w:tcPr>
            <w:tcW w:w="1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200" w:type="dxa"/>
            <w:vAlign w:val="bottom"/>
          </w:tcPr>
          <w:p>
            <w:pPr>
              <w:ind w:left="120"/>
              <w:spacing w:after="0"/>
              <w:rPr>
                <w:sz w:val="20"/>
                <w:szCs w:val="20"/>
                <w:color w:val="auto"/>
              </w:rPr>
            </w:pPr>
            <w:r>
              <w:rPr>
                <w:rFonts w:ascii="Arial" w:cs="Arial" w:eastAsia="Arial" w:hAnsi="Arial"/>
                <w:sz w:val="12"/>
                <w:szCs w:val="12"/>
                <w:color w:val="auto"/>
              </w:rPr>
              <w:t>Payment of dividends</w:t>
            </w:r>
          </w:p>
        </w:tc>
        <w:tc>
          <w:tcPr>
            <w:tcW w:w="16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(26,064)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2"/>
                <w:szCs w:val="12"/>
                <w:color w:val="auto"/>
              </w:rPr>
              <w:t>(21,291)</w:t>
            </w:r>
          </w:p>
        </w:tc>
        <w:tc>
          <w:tcPr>
            <w:tcW w:w="14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(19,805)</w:t>
            </w:r>
          </w:p>
        </w:tc>
        <w:tc>
          <w:tcPr>
            <w:tcW w:w="0" w:type="dxa"/>
            <w:vAlign w:val="bottom"/>
          </w:tcPr>
          <w:p>
            <w:pPr>
              <w:spacing w:after="0"/>
              <w:rPr>
                <w:sz w:val="1"/>
                <w:szCs w:val="1"/>
                <w:color w:val="auto"/>
              </w:rPr>
            </w:pPr>
          </w:p>
        </w:tc>
      </w:tr>
      <w:tr>
        <w:trPr>
          <w:trHeight w:val="147"/>
        </w:trPr>
        <w:tc>
          <w:tcPr>
            <w:tcW w:w="7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Proceeds from issuance of common stock</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166,664</w:t>
            </w:r>
          </w:p>
        </w:tc>
        <w:tc>
          <w:tcPr>
            <w:tcW w:w="10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15,734</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19,422</w:t>
            </w:r>
          </w:p>
        </w:tc>
        <w:tc>
          <w:tcPr>
            <w:tcW w:w="0" w:type="dxa"/>
            <w:vAlign w:val="bottom"/>
          </w:tcPr>
          <w:p>
            <w:pPr>
              <w:spacing w:after="0"/>
              <w:rPr>
                <w:sz w:val="1"/>
                <w:szCs w:val="1"/>
                <w:color w:val="auto"/>
              </w:rPr>
            </w:pPr>
          </w:p>
        </w:tc>
      </w:tr>
      <w:tr>
        <w:trPr>
          <w:trHeight w:val="147"/>
        </w:trPr>
        <w:tc>
          <w:tcPr>
            <w:tcW w:w="7200" w:type="dxa"/>
            <w:vAlign w:val="bottom"/>
          </w:tcPr>
          <w:p>
            <w:pPr>
              <w:ind w:left="120"/>
              <w:spacing w:after="0"/>
              <w:rPr>
                <w:sz w:val="20"/>
                <w:szCs w:val="20"/>
                <w:color w:val="auto"/>
              </w:rPr>
            </w:pPr>
            <w:r>
              <w:rPr>
                <w:rFonts w:ascii="Arial" w:cs="Arial" w:eastAsia="Arial" w:hAnsi="Arial"/>
                <w:sz w:val="12"/>
                <w:szCs w:val="12"/>
                <w:color w:val="auto"/>
              </w:rPr>
              <w:t>Principal payments on debt</w:t>
            </w:r>
          </w:p>
        </w:tc>
        <w:tc>
          <w:tcPr>
            <w:tcW w:w="16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(417,601)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2"/>
                <w:szCs w:val="12"/>
                <w:color w:val="auto"/>
              </w:rPr>
              <w:t>(85,604)</w:t>
            </w:r>
          </w:p>
        </w:tc>
        <w:tc>
          <w:tcPr>
            <w:tcW w:w="14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(161,578)</w:t>
            </w:r>
          </w:p>
        </w:tc>
        <w:tc>
          <w:tcPr>
            <w:tcW w:w="0" w:type="dxa"/>
            <w:vAlign w:val="bottom"/>
          </w:tcPr>
          <w:p>
            <w:pPr>
              <w:spacing w:after="0"/>
              <w:rPr>
                <w:sz w:val="1"/>
                <w:szCs w:val="1"/>
                <w:color w:val="auto"/>
              </w:rPr>
            </w:pPr>
          </w:p>
        </w:tc>
      </w:tr>
      <w:tr>
        <w:trPr>
          <w:trHeight w:val="147"/>
        </w:trPr>
        <w:tc>
          <w:tcPr>
            <w:tcW w:w="7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Proceeds from issuance of debt</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615,730</w:t>
            </w:r>
          </w:p>
        </w:tc>
        <w:tc>
          <w:tcPr>
            <w:tcW w:w="10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83,000</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310,000</w:t>
            </w:r>
          </w:p>
        </w:tc>
        <w:tc>
          <w:tcPr>
            <w:tcW w:w="0" w:type="dxa"/>
            <w:vAlign w:val="bottom"/>
          </w:tcPr>
          <w:p>
            <w:pPr>
              <w:spacing w:after="0"/>
              <w:rPr>
                <w:sz w:val="1"/>
                <w:szCs w:val="1"/>
                <w:color w:val="auto"/>
              </w:rPr>
            </w:pPr>
          </w:p>
        </w:tc>
      </w:tr>
      <w:tr>
        <w:trPr>
          <w:trHeight w:val="147"/>
        </w:trPr>
        <w:tc>
          <w:tcPr>
            <w:tcW w:w="7200" w:type="dxa"/>
            <w:vAlign w:val="bottom"/>
          </w:tcPr>
          <w:p>
            <w:pPr>
              <w:ind w:left="120"/>
              <w:spacing w:after="0"/>
              <w:rPr>
                <w:sz w:val="20"/>
                <w:szCs w:val="20"/>
                <w:color w:val="auto"/>
              </w:rPr>
            </w:pPr>
            <w:r>
              <w:rPr>
                <w:rFonts w:ascii="Arial" w:cs="Arial" w:eastAsia="Arial" w:hAnsi="Arial"/>
                <w:sz w:val="12"/>
                <w:szCs w:val="12"/>
                <w:color w:val="auto"/>
              </w:rPr>
              <w:t>Purchase of treasury stock</w:t>
            </w:r>
          </w:p>
        </w:tc>
        <w:tc>
          <w:tcPr>
            <w:tcW w:w="16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(24,683)</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2"/>
                <w:szCs w:val="12"/>
                <w:color w:val="auto"/>
              </w:rPr>
              <w:t>(1,551)</w:t>
            </w:r>
          </w:p>
        </w:tc>
        <w:tc>
          <w:tcPr>
            <w:tcW w:w="14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(564)</w:t>
            </w:r>
          </w:p>
        </w:tc>
        <w:tc>
          <w:tcPr>
            <w:tcW w:w="0" w:type="dxa"/>
            <w:vAlign w:val="bottom"/>
          </w:tcPr>
          <w:p>
            <w:pPr>
              <w:spacing w:after="0"/>
              <w:rPr>
                <w:sz w:val="1"/>
                <w:szCs w:val="1"/>
                <w:color w:val="auto"/>
              </w:rPr>
            </w:pPr>
          </w:p>
        </w:tc>
      </w:tr>
      <w:tr>
        <w:trPr>
          <w:trHeight w:val="147"/>
        </w:trPr>
        <w:tc>
          <w:tcPr>
            <w:tcW w:w="7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Income tax benefit from the exercise of stock options</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4,912</w:t>
            </w:r>
          </w:p>
        </w:tc>
        <w:tc>
          <w:tcPr>
            <w:tcW w:w="10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200" w:type="dxa"/>
            <w:vAlign w:val="bottom"/>
          </w:tcPr>
          <w:p>
            <w:pPr>
              <w:ind w:left="120"/>
              <w:spacing w:after="0"/>
              <w:rPr>
                <w:sz w:val="20"/>
                <w:szCs w:val="20"/>
                <w:color w:val="auto"/>
              </w:rPr>
            </w:pPr>
            <w:r>
              <w:rPr>
                <w:rFonts w:ascii="Arial" w:cs="Arial" w:eastAsia="Arial" w:hAnsi="Arial"/>
                <w:sz w:val="12"/>
                <w:szCs w:val="12"/>
                <w:color w:val="auto"/>
              </w:rPr>
              <w:t>Debt issue costs</w:t>
            </w:r>
          </w:p>
        </w:tc>
        <w:tc>
          <w:tcPr>
            <w:tcW w:w="16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(1,372)</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200" w:type="dxa"/>
            <w:vAlign w:val="bottom"/>
            <w:shd w:val="clear" w:color="auto" w:fill="CCEEFF"/>
          </w:tcPr>
          <w:p>
            <w:pPr>
              <w:ind w:left="500"/>
              <w:spacing w:after="0"/>
              <w:rPr>
                <w:sz w:val="20"/>
                <w:szCs w:val="20"/>
                <w:color w:val="auto"/>
              </w:rPr>
            </w:pPr>
            <w:r>
              <w:rPr>
                <w:rFonts w:ascii="Arial" w:cs="Arial" w:eastAsia="Arial" w:hAnsi="Arial"/>
                <w:sz w:val="12"/>
                <w:szCs w:val="12"/>
                <w:color w:val="auto"/>
              </w:rPr>
              <w:t>Net cash provided by (used in) provided by financing activities</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318,958</w:t>
            </w:r>
          </w:p>
        </w:tc>
        <w:tc>
          <w:tcPr>
            <w:tcW w:w="10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(9,712)</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146,103</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2"/>
                <w:szCs w:val="12"/>
                <w:color w:val="auto"/>
              </w:rPr>
              <w:t>Effect of exchange rate changes on cash</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2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1,466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2"/>
                <w:szCs w:val="12"/>
                <w:color w:val="auto"/>
              </w:rPr>
              <w:t>(117)</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6,939</w:t>
            </w:r>
          </w:p>
        </w:tc>
        <w:tc>
          <w:tcPr>
            <w:tcW w:w="0" w:type="dxa"/>
            <w:vAlign w:val="bottom"/>
          </w:tcPr>
          <w:p>
            <w:pPr>
              <w:spacing w:after="0"/>
              <w:rPr>
                <w:sz w:val="1"/>
                <w:szCs w:val="1"/>
                <w:color w:val="auto"/>
              </w:rPr>
            </w:pPr>
          </w:p>
        </w:tc>
      </w:tr>
      <w:tr>
        <w:trPr>
          <w:trHeight w:val="22"/>
        </w:trPr>
        <w:tc>
          <w:tcPr>
            <w:tcW w:w="7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200" w:type="dxa"/>
            <w:vAlign w:val="bottom"/>
            <w:shd w:val="clear" w:color="auto" w:fill="CCEEFF"/>
          </w:tcPr>
          <w:p>
            <w:pPr>
              <w:spacing w:after="0"/>
              <w:rPr>
                <w:sz w:val="20"/>
                <w:szCs w:val="20"/>
                <w:color w:val="auto"/>
              </w:rPr>
            </w:pPr>
            <w:r>
              <w:rPr>
                <w:rFonts w:ascii="Arial" w:cs="Arial" w:eastAsia="Arial" w:hAnsi="Arial"/>
                <w:sz w:val="12"/>
                <w:szCs w:val="12"/>
                <w:color w:val="auto"/>
              </w:rPr>
              <w:t>Net increase in cash and cash equivalents</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40,038</w:t>
            </w:r>
          </w:p>
        </w:tc>
        <w:tc>
          <w:tcPr>
            <w:tcW w:w="10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4,182</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183</w:t>
            </w:r>
          </w:p>
        </w:tc>
        <w:tc>
          <w:tcPr>
            <w:tcW w:w="0" w:type="dxa"/>
            <w:vAlign w:val="bottom"/>
          </w:tcPr>
          <w:p>
            <w:pPr>
              <w:spacing w:after="0"/>
              <w:rPr>
                <w:sz w:val="1"/>
                <w:szCs w:val="1"/>
                <w:color w:val="auto"/>
              </w:rPr>
            </w:pPr>
          </w:p>
        </w:tc>
      </w:tr>
      <w:tr>
        <w:trPr>
          <w:trHeight w:val="147"/>
        </w:trPr>
        <w:tc>
          <w:tcPr>
            <w:tcW w:w="7200" w:type="dxa"/>
            <w:vAlign w:val="bottom"/>
          </w:tcPr>
          <w:p>
            <w:pPr>
              <w:spacing w:after="0"/>
              <w:rPr>
                <w:sz w:val="20"/>
                <w:szCs w:val="20"/>
                <w:color w:val="auto"/>
              </w:rPr>
            </w:pPr>
            <w:r>
              <w:rPr>
                <w:rFonts w:ascii="Arial" w:cs="Arial" w:eastAsia="Arial" w:hAnsi="Arial"/>
                <w:sz w:val="12"/>
                <w:szCs w:val="12"/>
                <w:color w:val="auto"/>
              </w:rPr>
              <w:t>Cash and cash equivalents, beginning of year</w:t>
            </w: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72,970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rPr>
              <w:t>68,788</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68,605</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20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 end of year</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113,008</w:t>
            </w:r>
          </w:p>
        </w:tc>
        <w:tc>
          <w:tcPr>
            <w:tcW w:w="100" w:type="dxa"/>
            <w:vAlign w:val="bottom"/>
            <w:tcBorders>
              <w:left w:val="single" w:sz="8" w:color="CCEEFF"/>
            </w:tcBorders>
            <w:shd w:val="clear" w:color="auto" w:fill="CCEEFF"/>
          </w:tcPr>
          <w:p>
            <w:pPr>
              <w:spacing w:after="0"/>
              <w:rPr>
                <w:sz w:val="13"/>
                <w:szCs w:val="13"/>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72,970</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68,788</w:t>
            </w:r>
          </w:p>
        </w:tc>
        <w:tc>
          <w:tcPr>
            <w:tcW w:w="0" w:type="dxa"/>
            <w:vAlign w:val="bottom"/>
          </w:tcPr>
          <w:p>
            <w:pPr>
              <w:spacing w:after="0"/>
              <w:rPr>
                <w:sz w:val="1"/>
                <w:szCs w:val="1"/>
                <w:color w:val="auto"/>
              </w:rPr>
            </w:pPr>
          </w:p>
        </w:tc>
      </w:tr>
      <w:tr>
        <w:trPr>
          <w:trHeight w:val="155"/>
        </w:trPr>
        <w:tc>
          <w:tcPr>
            <w:tcW w:w="7200" w:type="dxa"/>
            <w:vAlign w:val="bottom"/>
          </w:tcPr>
          <w:p>
            <w:pPr>
              <w:spacing w:after="0"/>
              <w:rPr>
                <w:sz w:val="20"/>
                <w:szCs w:val="20"/>
                <w:color w:val="auto"/>
              </w:rPr>
            </w:pPr>
            <w:r>
              <w:rPr>
                <w:rFonts w:ascii="Arial" w:cs="Arial" w:eastAsia="Arial" w:hAnsi="Arial"/>
                <w:sz w:val="12"/>
                <w:szCs w:val="12"/>
                <w:color w:val="auto"/>
              </w:rPr>
              <w:t>Supplemental disclosure of cash flow information:</w:t>
            </w: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paid during the year for:</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200" w:type="dxa"/>
            <w:vAlign w:val="bottom"/>
          </w:tcPr>
          <w:p>
            <w:pPr>
              <w:ind w:left="260"/>
              <w:spacing w:after="0"/>
              <w:rPr>
                <w:sz w:val="20"/>
                <w:szCs w:val="20"/>
                <w:color w:val="auto"/>
              </w:rPr>
            </w:pPr>
            <w:r>
              <w:rPr>
                <w:rFonts w:ascii="Arial" w:cs="Arial" w:eastAsia="Arial" w:hAnsi="Arial"/>
                <w:sz w:val="12"/>
                <w:szCs w:val="12"/>
                <w:color w:val="auto"/>
              </w:rPr>
              <w:t>Interest, net of capitalized interest</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8,991</w:t>
            </w:r>
          </w:p>
        </w:tc>
        <w:tc>
          <w:tcPr>
            <w:tcW w:w="100" w:type="dxa"/>
            <w:vAlign w:val="bottom"/>
          </w:tcPr>
          <w:p>
            <w:pPr>
              <w:spacing w:after="0"/>
              <w:rPr>
                <w:sz w:val="12"/>
                <w:szCs w:val="12"/>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rPr>
              <w:t>7,836</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506</w:t>
            </w:r>
          </w:p>
        </w:tc>
        <w:tc>
          <w:tcPr>
            <w:tcW w:w="0" w:type="dxa"/>
            <w:vAlign w:val="bottom"/>
          </w:tcPr>
          <w:p>
            <w:pPr>
              <w:spacing w:after="0"/>
              <w:rPr>
                <w:sz w:val="1"/>
                <w:szCs w:val="1"/>
                <w:color w:val="auto"/>
              </w:rPr>
            </w:pPr>
          </w:p>
        </w:tc>
      </w:tr>
      <w:tr>
        <w:trPr>
          <w:trHeight w:val="147"/>
        </w:trPr>
        <w:tc>
          <w:tcPr>
            <w:tcW w:w="72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Income taxes, net of refunds</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37,661</w:t>
            </w:r>
          </w:p>
        </w:tc>
        <w:tc>
          <w:tcPr>
            <w:tcW w:w="10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19,358</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10,977</w:t>
            </w:r>
          </w:p>
        </w:tc>
        <w:tc>
          <w:tcPr>
            <w:tcW w:w="0" w:type="dxa"/>
            <w:vAlign w:val="bottom"/>
          </w:tcPr>
          <w:p>
            <w:pPr>
              <w:spacing w:after="0"/>
              <w:rPr>
                <w:sz w:val="1"/>
                <w:szCs w:val="1"/>
                <w:color w:val="auto"/>
              </w:rPr>
            </w:pPr>
          </w:p>
        </w:tc>
      </w:tr>
      <w:tr>
        <w:trPr>
          <w:trHeight w:val="147"/>
        </w:trPr>
        <w:tc>
          <w:tcPr>
            <w:tcW w:w="7200" w:type="dxa"/>
            <w:vAlign w:val="bottom"/>
          </w:tcPr>
          <w:p>
            <w:pPr>
              <w:ind w:left="120"/>
              <w:spacing w:after="0"/>
              <w:rPr>
                <w:sz w:val="20"/>
                <w:szCs w:val="20"/>
                <w:color w:val="auto"/>
              </w:rPr>
            </w:pPr>
            <w:r>
              <w:rPr>
                <w:rFonts w:ascii="Arial" w:cs="Arial" w:eastAsia="Arial" w:hAnsi="Arial"/>
                <w:sz w:val="12"/>
                <w:szCs w:val="12"/>
                <w:color w:val="auto"/>
              </w:rPr>
              <w:t>Acquisitions:</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2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Fair value of assets acquired, net of cash</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167,900</w:t>
            </w:r>
          </w:p>
        </w:tc>
        <w:tc>
          <w:tcPr>
            <w:tcW w:w="100" w:type="dxa"/>
            <w:vAlign w:val="bottom"/>
            <w:tcBorders>
              <w:left w:val="single" w:sz="8" w:color="CCEEFF"/>
            </w:tcBorders>
            <w:shd w:val="clear" w:color="auto" w:fill="CCEEFF"/>
          </w:tcPr>
          <w:p>
            <w:pPr>
              <w:spacing w:after="0"/>
              <w:rPr>
                <w:sz w:val="12"/>
                <w:szCs w:val="12"/>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60,193</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96,656</w:t>
            </w:r>
          </w:p>
        </w:tc>
        <w:tc>
          <w:tcPr>
            <w:tcW w:w="0" w:type="dxa"/>
            <w:vAlign w:val="bottom"/>
          </w:tcPr>
          <w:p>
            <w:pPr>
              <w:spacing w:after="0"/>
              <w:rPr>
                <w:sz w:val="1"/>
                <w:szCs w:val="1"/>
                <w:color w:val="auto"/>
              </w:rPr>
            </w:pPr>
          </w:p>
        </w:tc>
      </w:tr>
      <w:tr>
        <w:trPr>
          <w:trHeight w:val="147"/>
        </w:trPr>
        <w:tc>
          <w:tcPr>
            <w:tcW w:w="7200" w:type="dxa"/>
            <w:vAlign w:val="bottom"/>
          </w:tcPr>
          <w:p>
            <w:pPr>
              <w:ind w:left="260"/>
              <w:spacing w:after="0"/>
              <w:rPr>
                <w:sz w:val="20"/>
                <w:szCs w:val="20"/>
                <w:color w:val="auto"/>
              </w:rPr>
            </w:pPr>
            <w:r>
              <w:rPr>
                <w:rFonts w:ascii="Arial" w:cs="Arial" w:eastAsia="Arial" w:hAnsi="Arial"/>
                <w:sz w:val="12"/>
                <w:szCs w:val="12"/>
                <w:color w:val="auto"/>
              </w:rPr>
              <w:t>Liabilities assumed</w:t>
            </w:r>
          </w:p>
        </w:tc>
        <w:tc>
          <w:tcPr>
            <w:tcW w:w="16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(63,667)</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2"/>
                <w:szCs w:val="12"/>
                <w:color w:val="auto"/>
              </w:rPr>
              <w:t>(35,113)</w:t>
            </w:r>
          </w:p>
        </w:tc>
        <w:tc>
          <w:tcPr>
            <w:tcW w:w="14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(8,674)</w:t>
            </w:r>
          </w:p>
        </w:tc>
        <w:tc>
          <w:tcPr>
            <w:tcW w:w="0" w:type="dxa"/>
            <w:vAlign w:val="bottom"/>
          </w:tcPr>
          <w:p>
            <w:pPr>
              <w:spacing w:after="0"/>
              <w:rPr>
                <w:sz w:val="1"/>
                <w:szCs w:val="1"/>
                <w:color w:val="auto"/>
              </w:rPr>
            </w:pPr>
          </w:p>
        </w:tc>
      </w:tr>
      <w:tr>
        <w:trPr>
          <w:trHeight w:val="147"/>
        </w:trPr>
        <w:tc>
          <w:tcPr>
            <w:tcW w:w="72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Goodwill</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247,098</w:t>
            </w:r>
          </w:p>
        </w:tc>
        <w:tc>
          <w:tcPr>
            <w:tcW w:w="100" w:type="dxa"/>
            <w:vAlign w:val="bottom"/>
            <w:tcBorders>
              <w:lef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54,846</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140,946</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260"/>
              <w:spacing w:after="0"/>
              <w:rPr>
                <w:sz w:val="20"/>
                <w:szCs w:val="20"/>
                <w:color w:val="auto"/>
              </w:rPr>
            </w:pPr>
            <w:r>
              <w:rPr>
                <w:rFonts w:ascii="Arial" w:cs="Arial" w:eastAsia="Arial" w:hAnsi="Arial"/>
                <w:sz w:val="12"/>
                <w:szCs w:val="12"/>
                <w:color w:val="auto"/>
              </w:rPr>
              <w:t>Net cash paid for acquisitions</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200" w:type="dxa"/>
            <w:vAlign w:val="bottom"/>
            <w:vMerge w:val="continue"/>
          </w:tcPr>
          <w:p>
            <w:pPr>
              <w:spacing w:after="0"/>
              <w:rPr>
                <w:sz w:val="12"/>
                <w:szCs w:val="12"/>
                <w:color w:val="auto"/>
              </w:rPr>
            </w:pP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351,331</w:t>
            </w:r>
          </w:p>
        </w:tc>
        <w:tc>
          <w:tcPr>
            <w:tcW w:w="100" w:type="dxa"/>
            <w:vAlign w:val="bottom"/>
          </w:tcPr>
          <w:p>
            <w:pPr>
              <w:spacing w:after="0"/>
              <w:rPr>
                <w:sz w:val="12"/>
                <w:szCs w:val="12"/>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rPr>
              <w:t>79,926</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228,928</w:t>
            </w:r>
          </w:p>
        </w:tc>
        <w:tc>
          <w:tcPr>
            <w:tcW w:w="0" w:type="dxa"/>
            <w:vAlign w:val="bottom"/>
          </w:tcPr>
          <w:p>
            <w:pPr>
              <w:spacing w:after="0"/>
              <w:rPr>
                <w:sz w:val="1"/>
                <w:szCs w:val="1"/>
                <w:color w:val="auto"/>
              </w:rPr>
            </w:pPr>
          </w:p>
        </w:tc>
      </w:tr>
      <w:tr>
        <w:trPr>
          <w:trHeight w:val="32"/>
        </w:trPr>
        <w:tc>
          <w:tcPr>
            <w:tcW w:w="7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See notes to consolidated financial statements.</w:t>
      </w:r>
    </w:p>
    <w:p>
      <w:pPr>
        <w:spacing w:after="0" w:line="30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300"/>
        <w:spacing w:after="0"/>
        <w:rPr>
          <w:sz w:val="20"/>
          <w:szCs w:val="20"/>
          <w:color w:val="auto"/>
        </w:rPr>
      </w:pPr>
      <w:r>
        <w:rPr>
          <w:rFonts w:ascii="Arial" w:cs="Arial" w:eastAsia="Arial" w:hAnsi="Arial"/>
          <w:sz w:val="13"/>
          <w:szCs w:val="13"/>
          <w:b w:val="1"/>
          <w:bCs w:val="1"/>
          <w:color w:val="auto"/>
        </w:rPr>
        <w:t>BRADY CORPORATION AND SUBSIDIARIES</w:t>
      </w:r>
    </w:p>
    <w:p>
      <w:pPr>
        <w:spacing w:after="0" w:line="96" w:lineRule="exact"/>
        <w:rPr>
          <w:sz w:val="20"/>
          <w:szCs w:val="20"/>
          <w:color w:val="auto"/>
        </w:rPr>
      </w:pPr>
    </w:p>
    <w:p>
      <w:pPr>
        <w:ind w:left="396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Years Ended July 31, 2006, 2005 and 2004</w:t>
      </w:r>
    </w:p>
    <w:p>
      <w:pPr>
        <w:spacing w:after="0" w:line="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163" w:lineRule="exact"/>
        <w:rPr>
          <w:sz w:val="20"/>
          <w:szCs w:val="20"/>
          <w:color w:val="auto"/>
        </w:rPr>
      </w:pPr>
    </w:p>
    <w:p>
      <w:pPr>
        <w:ind w:left="1000" w:hanging="313"/>
        <w:spacing w:after="0"/>
        <w:tabs>
          <w:tab w:leader="none" w:pos="1000" w:val="left"/>
        </w:tabs>
        <w:numPr>
          <w:ilvl w:val="0"/>
          <w:numId w:val="16"/>
        </w:numPr>
        <w:rPr>
          <w:rFonts w:ascii="Arial" w:cs="Arial" w:eastAsia="Arial" w:hAnsi="Arial"/>
          <w:sz w:val="13"/>
          <w:szCs w:val="13"/>
          <w:b w:val="1"/>
          <w:bCs w:val="1"/>
          <w:color w:val="auto"/>
        </w:rPr>
      </w:pPr>
      <w:r>
        <w:rPr>
          <w:rFonts w:ascii="Arial" w:cs="Arial" w:eastAsia="Arial" w:hAnsi="Arial"/>
          <w:sz w:val="13"/>
          <w:szCs w:val="13"/>
          <w:b w:val="1"/>
          <w:bCs w:val="1"/>
          <w:color w:val="auto"/>
        </w:rPr>
        <w:t>Summary of Significant Accounting Policies</w:t>
      </w:r>
    </w:p>
    <w:p>
      <w:pPr>
        <w:spacing w:after="0" w:line="100"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i w:val="1"/>
          <w:iCs w:val="1"/>
          <w:color w:val="auto"/>
        </w:rPr>
        <w:t xml:space="preserve">Nature of Operations </w:t>
      </w:r>
      <w:r>
        <w:rPr>
          <w:rFonts w:ascii="Arial" w:cs="Arial" w:eastAsia="Arial" w:hAnsi="Arial"/>
          <w:sz w:val="13"/>
          <w:szCs w:val="13"/>
          <w:color w:val="auto"/>
        </w:rPr>
        <w:t>— Brady Corporation (“Brady” or the “Company”) is an international manufacturer and marketer of identification solutions and specialty products which</w:t>
      </w:r>
      <w:r>
        <w:rPr>
          <w:rFonts w:ascii="Arial" w:cs="Arial" w:eastAsia="Arial" w:hAnsi="Arial"/>
          <w:sz w:val="13"/>
          <w:szCs w:val="13"/>
          <w:i w:val="1"/>
          <w:iCs w:val="1"/>
          <w:color w:val="auto"/>
        </w:rPr>
        <w:t xml:space="preserve"> </w:t>
      </w:r>
      <w:r>
        <w:rPr>
          <w:rFonts w:ascii="Arial" w:cs="Arial" w:eastAsia="Arial" w:hAnsi="Arial"/>
          <w:sz w:val="13"/>
          <w:szCs w:val="13"/>
          <w:color w:val="auto"/>
        </w:rPr>
        <w:t>identify and protect premises, products and people. Brady’s core capabilities in manufacturing, printing systems, precision engineering and materials expertise make it a leading supplier to the Maintenance, Repair and Operations (“MRO”) market and to the Original Equipment Manufacturing (“OEM”) market.</w:t>
      </w:r>
    </w:p>
    <w:p>
      <w:pPr>
        <w:spacing w:after="0" w:line="67"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i w:val="1"/>
          <w:iCs w:val="1"/>
          <w:color w:val="auto"/>
        </w:rPr>
        <w:t xml:space="preserve">Principles of Consolidation </w:t>
      </w:r>
      <w:r>
        <w:rPr>
          <w:rFonts w:ascii="Arial" w:cs="Arial" w:eastAsia="Arial" w:hAnsi="Arial"/>
          <w:sz w:val="13"/>
          <w:szCs w:val="13"/>
          <w:color w:val="auto"/>
        </w:rPr>
        <w:t>— The accompanying consolidated financial statements include the accounts of Brady Corporation and its subsidiaries (the “Company”), all of which are</w:t>
      </w:r>
      <w:r>
        <w:rPr>
          <w:rFonts w:ascii="Arial" w:cs="Arial" w:eastAsia="Arial" w:hAnsi="Arial"/>
          <w:sz w:val="13"/>
          <w:szCs w:val="13"/>
          <w:i w:val="1"/>
          <w:iCs w:val="1"/>
          <w:color w:val="auto"/>
        </w:rPr>
        <w:t xml:space="preserve"> </w:t>
      </w:r>
      <w:r>
        <w:rPr>
          <w:rFonts w:ascii="Arial" w:cs="Arial" w:eastAsia="Arial" w:hAnsi="Arial"/>
          <w:sz w:val="13"/>
          <w:szCs w:val="13"/>
          <w:color w:val="auto"/>
        </w:rPr>
        <w:t>wholly-owned, with the exception of one subsidiary where a third party retains an insignificant investment. All significant intercompany accounts and transactions have been eliminated in consolidation.</w:t>
      </w:r>
    </w:p>
    <w:p>
      <w:pPr>
        <w:spacing w:after="0" w:line="67" w:lineRule="exact"/>
        <w:rPr>
          <w:sz w:val="20"/>
          <w:szCs w:val="20"/>
          <w:color w:val="auto"/>
        </w:rPr>
      </w:pPr>
    </w:p>
    <w:p>
      <w:pPr>
        <w:jc w:val="both"/>
        <w:ind w:left="680" w:right="280" w:firstLine="399"/>
        <w:spacing w:after="0" w:line="264" w:lineRule="auto"/>
        <w:rPr>
          <w:sz w:val="20"/>
          <w:szCs w:val="20"/>
          <w:color w:val="auto"/>
        </w:rPr>
      </w:pPr>
      <w:r>
        <w:rPr>
          <w:rFonts w:ascii="Arial" w:cs="Arial" w:eastAsia="Arial" w:hAnsi="Arial"/>
          <w:sz w:val="13"/>
          <w:szCs w:val="13"/>
          <w:i w:val="1"/>
          <w:iCs w:val="1"/>
          <w:color w:val="auto"/>
        </w:rPr>
        <w:t xml:space="preserve">Use of Estimates </w:t>
      </w:r>
      <w:r>
        <w:rPr>
          <w:rFonts w:ascii="Arial" w:cs="Arial" w:eastAsia="Arial" w:hAnsi="Arial"/>
          <w:sz w:val="13"/>
          <w:szCs w:val="13"/>
          <w:color w:val="auto"/>
        </w:rPr>
        <w:t>— The preparation of financial statements in conformity with accounting principles generally accepted in the United States of America requires management to</w:t>
      </w:r>
      <w:r>
        <w:rPr>
          <w:rFonts w:ascii="Arial" w:cs="Arial" w:eastAsia="Arial" w:hAnsi="Arial"/>
          <w:sz w:val="13"/>
          <w:szCs w:val="13"/>
          <w:i w:val="1"/>
          <w:iCs w:val="1"/>
          <w:color w:val="auto"/>
        </w:rPr>
        <w:t xml:space="preserve"> </w:t>
      </w:r>
      <w:r>
        <w:rPr>
          <w:rFonts w:ascii="Arial" w:cs="Arial" w:eastAsia="Arial" w:hAnsi="Arial"/>
          <w:sz w:val="13"/>
          <w:szCs w:val="13"/>
          <w:color w:val="auto"/>
        </w:rPr>
        <w:t>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67"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i w:val="1"/>
          <w:iCs w:val="1"/>
          <w:color w:val="auto"/>
        </w:rPr>
        <w:t xml:space="preserve">Stock Dividend </w:t>
      </w:r>
      <w:r>
        <w:rPr>
          <w:rFonts w:ascii="Arial" w:cs="Arial" w:eastAsia="Arial" w:hAnsi="Arial"/>
          <w:sz w:val="13"/>
          <w:szCs w:val="13"/>
          <w:color w:val="auto"/>
        </w:rPr>
        <w:t>— All previously presented earnings per share, share amounts, and stock price data have been adjusted for a two-for-one stock split in the form of a 100% stock</w:t>
      </w:r>
      <w:r>
        <w:rPr>
          <w:rFonts w:ascii="Arial" w:cs="Arial" w:eastAsia="Arial" w:hAnsi="Arial"/>
          <w:sz w:val="13"/>
          <w:szCs w:val="13"/>
          <w:i w:val="1"/>
          <w:iCs w:val="1"/>
          <w:color w:val="auto"/>
        </w:rPr>
        <w:t xml:space="preserve"> </w:t>
      </w:r>
      <w:r>
        <w:rPr>
          <w:rFonts w:ascii="Arial" w:cs="Arial" w:eastAsia="Arial" w:hAnsi="Arial"/>
          <w:sz w:val="13"/>
          <w:szCs w:val="13"/>
          <w:color w:val="auto"/>
        </w:rPr>
        <w:t>dividend, effective December 31, 2004.</w:t>
      </w:r>
    </w:p>
    <w:p>
      <w:pPr>
        <w:spacing w:after="0" w:line="59"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i w:val="1"/>
          <w:iCs w:val="1"/>
          <w:color w:val="auto"/>
        </w:rPr>
        <w:t xml:space="preserve">Fair Value of Financial Instruments </w:t>
      </w:r>
      <w:r>
        <w:rPr>
          <w:rFonts w:ascii="Arial" w:cs="Arial" w:eastAsia="Arial" w:hAnsi="Arial"/>
          <w:sz w:val="13"/>
          <w:szCs w:val="13"/>
          <w:color w:val="auto"/>
        </w:rPr>
        <w:t>— The Company believes the carrying amount of its financial instruments (cash and cash equivalents, accounts receivable and accounts payable)</w:t>
      </w:r>
      <w:r>
        <w:rPr>
          <w:rFonts w:ascii="Arial" w:cs="Arial" w:eastAsia="Arial" w:hAnsi="Arial"/>
          <w:sz w:val="13"/>
          <w:szCs w:val="13"/>
          <w:i w:val="1"/>
          <w:iCs w:val="1"/>
          <w:color w:val="auto"/>
        </w:rPr>
        <w:t xml:space="preserve"> </w:t>
      </w:r>
      <w:r>
        <w:rPr>
          <w:rFonts w:ascii="Arial" w:cs="Arial" w:eastAsia="Arial" w:hAnsi="Arial"/>
          <w:sz w:val="13"/>
          <w:szCs w:val="13"/>
          <w:color w:val="auto"/>
        </w:rPr>
        <w:t>is a reasonable estimate of the fair value of these instruments due to their short-term nature.</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Cash Equivalents </w:t>
      </w:r>
      <w:r>
        <w:rPr>
          <w:rFonts w:ascii="Arial" w:cs="Arial" w:eastAsia="Arial" w:hAnsi="Arial"/>
          <w:sz w:val="12"/>
          <w:szCs w:val="12"/>
          <w:color w:val="auto"/>
        </w:rPr>
        <w:t>— The Company considers all highly liquid investments with maturities of three months or less when acquired to be cash equivalents, which are recorded at cost.</w:t>
      </w:r>
    </w:p>
    <w:p>
      <w:pPr>
        <w:spacing w:after="0" w:line="108" w:lineRule="exact"/>
        <w:rPr>
          <w:sz w:val="20"/>
          <w:szCs w:val="20"/>
          <w:color w:val="auto"/>
        </w:rPr>
      </w:pPr>
    </w:p>
    <w:p>
      <w:pPr>
        <w:ind w:left="680" w:right="300" w:firstLine="399"/>
        <w:spacing w:after="0" w:line="264" w:lineRule="auto"/>
        <w:rPr>
          <w:sz w:val="20"/>
          <w:szCs w:val="20"/>
          <w:color w:val="auto"/>
        </w:rPr>
      </w:pPr>
      <w:r>
        <w:rPr>
          <w:rFonts w:ascii="Arial" w:cs="Arial" w:eastAsia="Arial" w:hAnsi="Arial"/>
          <w:sz w:val="13"/>
          <w:szCs w:val="13"/>
          <w:i w:val="1"/>
          <w:iCs w:val="1"/>
          <w:color w:val="auto"/>
        </w:rPr>
        <w:t xml:space="preserve">Available-for-Sale Securities </w:t>
      </w:r>
      <w:r>
        <w:rPr>
          <w:rFonts w:ascii="Arial" w:cs="Arial" w:eastAsia="Arial" w:hAnsi="Arial"/>
          <w:sz w:val="13"/>
          <w:szCs w:val="13"/>
          <w:color w:val="auto"/>
        </w:rPr>
        <w:t>— The Company has invested in certain marketable securities that are categorized as available-for-sale. These investments consist of auction-rate</w:t>
      </w:r>
      <w:r>
        <w:rPr>
          <w:rFonts w:ascii="Arial" w:cs="Arial" w:eastAsia="Arial" w:hAnsi="Arial"/>
          <w:sz w:val="13"/>
          <w:szCs w:val="13"/>
          <w:i w:val="1"/>
          <w:iCs w:val="1"/>
          <w:color w:val="auto"/>
        </w:rPr>
        <w:t xml:space="preserve"> </w:t>
      </w:r>
      <w:r>
        <w:rPr>
          <w:rFonts w:ascii="Arial" w:cs="Arial" w:eastAsia="Arial" w:hAnsi="Arial"/>
          <w:sz w:val="13"/>
          <w:szCs w:val="13"/>
          <w:color w:val="auto"/>
        </w:rPr>
        <w:t>securities and have been classified as short-term investments available-for-sale for all periods presented. The amount of available-for-sale securities included in the consolidated balance sheets as of July 31, 2006 and July 31, 2005 was $11,500 and $7,100, respectively, and consists solely of auction rate securities.</w:t>
      </w:r>
    </w:p>
    <w:p>
      <w:pPr>
        <w:spacing w:after="0" w:line="67"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auction rate securities held by the Company are municipal bonds with either perpetual or intermediate to long-term maturities. The holding period of each bond is either 7, 28, 35, or 49 days and is determined when the security is issued. A Dutch auction takes place at the end of each holding period at which time the security can be sold or held. The lowest rate that sells all of the securities is the set rate for the subsequent holding period. If there are not sufficient orders to place all of the available securities, the auction is said to have “failed” and liquidity will be denied for the subsequent holding period.</w:t>
      </w:r>
    </w:p>
    <w:p>
      <w:pPr>
        <w:spacing w:after="0" w:line="70"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The carrying value of the available-for-sale securities approximates the aggregate fair value of the securities and there are no unrealized gains or losses on the available-for-sale securities. There were no gains or losses on available-for-sales securities during the periods presented.</w:t>
      </w:r>
    </w:p>
    <w:p>
      <w:pPr>
        <w:spacing w:after="0" w:line="59"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i w:val="1"/>
          <w:iCs w:val="1"/>
          <w:color w:val="auto"/>
        </w:rPr>
        <w:t xml:space="preserve">Inventories </w:t>
      </w:r>
      <w:r>
        <w:rPr>
          <w:rFonts w:ascii="Arial" w:cs="Arial" w:eastAsia="Arial" w:hAnsi="Arial"/>
          <w:sz w:val="13"/>
          <w:szCs w:val="13"/>
          <w:color w:val="auto"/>
        </w:rPr>
        <w:t>— Inventories are stated at the lower of cost or market. Cost has been determined using the last-in, first-out (“LIFO”) method for certain domestic inventories</w:t>
      </w:r>
      <w:r>
        <w:rPr>
          <w:rFonts w:ascii="Arial" w:cs="Arial" w:eastAsia="Arial" w:hAnsi="Arial"/>
          <w:sz w:val="13"/>
          <w:szCs w:val="13"/>
          <w:i w:val="1"/>
          <w:iCs w:val="1"/>
          <w:color w:val="auto"/>
        </w:rPr>
        <w:t xml:space="preserve"> </w:t>
      </w:r>
      <w:r>
        <w:rPr>
          <w:rFonts w:ascii="Arial" w:cs="Arial" w:eastAsia="Arial" w:hAnsi="Arial"/>
          <w:sz w:val="13"/>
          <w:szCs w:val="13"/>
          <w:color w:val="auto"/>
        </w:rPr>
        <w:t>(approximately 30% of total inventories at July 31, 2006 and approximately 37% of total inventories at July 31, 2005) and the first-in, first-out (“FIFO”) or average cost methods for other inventories. The carrying value of certain domestic inventories stated at FIFO cost exceeded the value of such inventories stated at LIFO cost by $8,863 and $8,499 at July 31, 2006 and 2005, respectively.</w:t>
      </w:r>
    </w:p>
    <w:p>
      <w:pPr>
        <w:spacing w:after="0" w:line="27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BRADY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i w:val="1"/>
          <w:iCs w:val="1"/>
          <w:color w:val="auto"/>
        </w:rPr>
        <w:t xml:space="preserve">Depreciation </w:t>
      </w:r>
      <w:r>
        <w:rPr>
          <w:rFonts w:ascii="Arial" w:cs="Arial" w:eastAsia="Arial" w:hAnsi="Arial"/>
          <w:sz w:val="13"/>
          <w:szCs w:val="13"/>
          <w:color w:val="auto"/>
        </w:rPr>
        <w:t>— The cost of buildings and improvements and machinery and equipment is being depreciated over their estimated useful lives using primarily the straight-line method</w:t>
      </w:r>
      <w:r>
        <w:rPr>
          <w:rFonts w:ascii="Arial" w:cs="Arial" w:eastAsia="Arial" w:hAnsi="Arial"/>
          <w:sz w:val="13"/>
          <w:szCs w:val="13"/>
          <w:i w:val="1"/>
          <w:iCs w:val="1"/>
          <w:color w:val="auto"/>
        </w:rPr>
        <w:t xml:space="preserve"> </w:t>
      </w:r>
      <w:r>
        <w:rPr>
          <w:rFonts w:ascii="Arial" w:cs="Arial" w:eastAsia="Arial" w:hAnsi="Arial"/>
          <w:sz w:val="13"/>
          <w:szCs w:val="13"/>
          <w:color w:val="auto"/>
        </w:rPr>
        <w:t>for financial reporting purposes. The estimated useful lives range from 3 to 33 years as shown below.</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3960" w:type="dxa"/>
            <w:vAlign w:val="bottom"/>
          </w:tcPr>
          <w:p>
            <w:pPr>
              <w:spacing w:after="0"/>
              <w:rPr>
                <w:sz w:val="11"/>
                <w:szCs w:val="11"/>
                <w:color w:val="auto"/>
              </w:rPr>
            </w:pPr>
          </w:p>
        </w:tc>
        <w:tc>
          <w:tcPr>
            <w:tcW w:w="4240" w:type="dxa"/>
            <w:vAlign w:val="bottom"/>
            <w:gridSpan w:val="2"/>
          </w:tcPr>
          <w:p>
            <w:pPr>
              <w:spacing w:after="0"/>
              <w:rPr>
                <w:sz w:val="20"/>
                <w:szCs w:val="20"/>
                <w:color w:val="auto"/>
              </w:rPr>
            </w:pPr>
            <w:r>
              <w:rPr>
                <w:rFonts w:ascii="Arial" w:cs="Arial" w:eastAsia="Arial" w:hAnsi="Arial"/>
                <w:sz w:val="10"/>
                <w:szCs w:val="10"/>
                <w:b w:val="1"/>
                <w:bCs w:val="1"/>
                <w:color w:val="auto"/>
              </w:rPr>
              <w:t>Asset Category</w:t>
            </w:r>
          </w:p>
        </w:tc>
        <w:tc>
          <w:tcPr>
            <w:tcW w:w="1780" w:type="dxa"/>
            <w:vAlign w:val="bottom"/>
          </w:tcPr>
          <w:p>
            <w:pPr>
              <w:jc w:val="right"/>
              <w:ind w:right="339"/>
              <w:spacing w:after="0"/>
              <w:rPr>
                <w:sz w:val="20"/>
                <w:szCs w:val="20"/>
                <w:color w:val="auto"/>
              </w:rPr>
            </w:pPr>
            <w:r>
              <w:rPr>
                <w:rFonts w:ascii="Arial" w:cs="Arial" w:eastAsia="Arial" w:hAnsi="Arial"/>
                <w:sz w:val="10"/>
                <w:szCs w:val="10"/>
                <w:b w:val="1"/>
                <w:bCs w:val="1"/>
                <w:color w:val="auto"/>
              </w:rPr>
              <w:t>Range of Useful Lives</w:t>
            </w:r>
          </w:p>
        </w:tc>
      </w:tr>
      <w:tr>
        <w:trPr>
          <w:trHeight w:val="178"/>
        </w:trPr>
        <w:tc>
          <w:tcPr>
            <w:tcW w:w="3960" w:type="dxa"/>
            <w:vAlign w:val="bottom"/>
          </w:tcPr>
          <w:p>
            <w:pPr>
              <w:spacing w:after="0"/>
              <w:rPr>
                <w:sz w:val="20"/>
                <w:szCs w:val="20"/>
                <w:color w:val="auto"/>
              </w:rPr>
            </w:pPr>
            <w:r>
              <w:rPr>
                <w:rFonts w:ascii="Arial" w:cs="Arial" w:eastAsia="Arial" w:hAnsi="Arial"/>
                <w:sz w:val="13"/>
                <w:szCs w:val="13"/>
                <w:color w:val="auto"/>
              </w:rPr>
              <w:t>Buildings and improvements</w:t>
            </w:r>
          </w:p>
        </w:tc>
        <w:tc>
          <w:tcPr>
            <w:tcW w:w="80" w:type="dxa"/>
            <w:vAlign w:val="bottom"/>
            <w:tcBorders>
              <w:top w:val="single" w:sz="8" w:color="auto"/>
            </w:tcBorders>
          </w:tcPr>
          <w:p>
            <w:pPr>
              <w:spacing w:after="0"/>
              <w:rPr>
                <w:sz w:val="15"/>
                <w:szCs w:val="15"/>
                <w:color w:val="auto"/>
              </w:rPr>
            </w:pPr>
          </w:p>
        </w:tc>
        <w:tc>
          <w:tcPr>
            <w:tcW w:w="4160" w:type="dxa"/>
            <w:vAlign w:val="bottom"/>
          </w:tcPr>
          <w:p>
            <w:pPr>
              <w:spacing w:after="0"/>
              <w:rPr>
                <w:sz w:val="15"/>
                <w:szCs w:val="15"/>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 to 33 Years</w:t>
            </w:r>
          </w:p>
        </w:tc>
      </w:tr>
      <w:tr>
        <w:trPr>
          <w:trHeight w:val="165"/>
        </w:trPr>
        <w:tc>
          <w:tcPr>
            <w:tcW w:w="8200" w:type="dxa"/>
            <w:vAlign w:val="bottom"/>
            <w:gridSpan w:val="3"/>
          </w:tcPr>
          <w:p>
            <w:pPr>
              <w:spacing w:after="0"/>
              <w:rPr>
                <w:sz w:val="20"/>
                <w:szCs w:val="20"/>
                <w:color w:val="auto"/>
              </w:rPr>
            </w:pPr>
            <w:r>
              <w:rPr>
                <w:rFonts w:ascii="Arial" w:cs="Arial" w:eastAsia="Arial" w:hAnsi="Arial"/>
                <w:sz w:val="13"/>
                <w:szCs w:val="13"/>
                <w:color w:val="auto"/>
              </w:rPr>
              <w:t>Machinery and equipment</w:t>
            </w:r>
          </w:p>
        </w:tc>
        <w:tc>
          <w:tcPr>
            <w:tcW w:w="1780" w:type="dxa"/>
            <w:vAlign w:val="bottom"/>
          </w:tcPr>
          <w:p>
            <w:pPr>
              <w:jc w:val="right"/>
              <w:spacing w:after="0"/>
              <w:rPr>
                <w:sz w:val="20"/>
                <w:szCs w:val="20"/>
                <w:color w:val="auto"/>
              </w:rPr>
            </w:pPr>
            <w:r>
              <w:rPr>
                <w:rFonts w:ascii="Arial" w:cs="Arial" w:eastAsia="Arial" w:hAnsi="Arial"/>
                <w:sz w:val="13"/>
                <w:szCs w:val="13"/>
                <w:color w:val="auto"/>
              </w:rPr>
              <w:t>3 to 10 Years</w:t>
            </w:r>
          </w:p>
        </w:tc>
      </w:tr>
      <w:tr>
        <w:trPr>
          <w:trHeight w:val="246"/>
        </w:trPr>
        <w:tc>
          <w:tcPr>
            <w:tcW w:w="8200" w:type="dxa"/>
            <w:vAlign w:val="bottom"/>
            <w:gridSpan w:val="3"/>
          </w:tcPr>
          <w:p>
            <w:pPr>
              <w:ind w:left="400"/>
              <w:spacing w:after="0"/>
              <w:rPr>
                <w:sz w:val="20"/>
                <w:szCs w:val="20"/>
                <w:color w:val="auto"/>
              </w:rPr>
            </w:pPr>
            <w:r>
              <w:rPr>
                <w:rFonts w:ascii="Arial" w:cs="Arial" w:eastAsia="Arial" w:hAnsi="Arial"/>
                <w:sz w:val="13"/>
                <w:szCs w:val="13"/>
                <w:color w:val="auto"/>
              </w:rPr>
              <w:t>Leasehold improvements are depreciated over the shorter of the lease term or the estimated useful life of the asset.</w:t>
            </w:r>
          </w:p>
        </w:tc>
        <w:tc>
          <w:tcPr>
            <w:tcW w:w="1780" w:type="dxa"/>
            <w:vAlign w:val="bottom"/>
          </w:tcPr>
          <w:p>
            <w:pPr>
              <w:spacing w:after="0"/>
              <w:rPr>
                <w:sz w:val="21"/>
                <w:szCs w:val="21"/>
                <w:color w:val="auto"/>
              </w:rPr>
            </w:pPr>
          </w:p>
        </w:tc>
      </w:tr>
    </w:tbl>
    <w:p>
      <w:pPr>
        <w:spacing w:after="0" w:line="81"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i w:val="1"/>
          <w:iCs w:val="1"/>
          <w:color w:val="auto"/>
        </w:rPr>
        <w:t xml:space="preserve">Goodwill and other Intangible Assets </w:t>
      </w:r>
      <w:r>
        <w:rPr>
          <w:rFonts w:ascii="Arial" w:cs="Arial" w:eastAsia="Arial" w:hAnsi="Arial"/>
          <w:sz w:val="13"/>
          <w:szCs w:val="13"/>
          <w:color w:val="auto"/>
        </w:rPr>
        <w:t>— The cost of intangible assets with determinable useful lives is amortized to reflect the pattern of economic benefits consumed, principally on</w:t>
      </w:r>
      <w:r>
        <w:rPr>
          <w:rFonts w:ascii="Arial" w:cs="Arial" w:eastAsia="Arial" w:hAnsi="Arial"/>
          <w:sz w:val="13"/>
          <w:szCs w:val="13"/>
          <w:i w:val="1"/>
          <w:iCs w:val="1"/>
          <w:color w:val="auto"/>
        </w:rPr>
        <w:t xml:space="preserve"> </w:t>
      </w:r>
      <w:r>
        <w:rPr>
          <w:rFonts w:ascii="Arial" w:cs="Arial" w:eastAsia="Arial" w:hAnsi="Arial"/>
          <w:sz w:val="13"/>
          <w:szCs w:val="13"/>
          <w:color w:val="auto"/>
        </w:rPr>
        <w:t>a straight-line basis, over the estimated periods benefited. Intangible assets with indefinite useful lives and goodwill are not subjected to amortization. These assets are assessed for impairment annually and when deemed necessary.</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Changes in the carrying amount of goodwill for the years ended July 31, 2006 and 2005, are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ind w:left="20"/>
              <w:spacing w:after="0"/>
              <w:rPr>
                <w:sz w:val="20"/>
                <w:szCs w:val="20"/>
                <w:color w:val="auto"/>
              </w:rPr>
            </w:pPr>
            <w:r>
              <w:rPr>
                <w:rFonts w:ascii="Arial" w:cs="Arial" w:eastAsia="Arial" w:hAnsi="Arial"/>
                <w:sz w:val="10"/>
                <w:szCs w:val="10"/>
                <w:b w:val="1"/>
                <w:bCs w:val="1"/>
                <w:color w:val="auto"/>
              </w:rPr>
              <w:t>Americas</w:t>
            </w:r>
          </w:p>
        </w:tc>
        <w:tc>
          <w:tcPr>
            <w:tcW w:w="140" w:type="dxa"/>
            <w:vAlign w:val="bottom"/>
          </w:tcPr>
          <w:p>
            <w:pPr>
              <w:spacing w:after="0"/>
              <w:rPr>
                <w:sz w:val="10"/>
                <w:szCs w:val="10"/>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Europe</w:t>
            </w:r>
          </w:p>
        </w:tc>
        <w:tc>
          <w:tcPr>
            <w:tcW w:w="100" w:type="dxa"/>
            <w:vAlign w:val="bottom"/>
          </w:tcPr>
          <w:p>
            <w:pPr>
              <w:spacing w:after="0"/>
              <w:rPr>
                <w:sz w:val="10"/>
                <w:szCs w:val="10"/>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w w:val="98"/>
              </w:rPr>
              <w:t>Asia-Pacific</w:t>
            </w:r>
          </w:p>
        </w:tc>
        <w:tc>
          <w:tcPr>
            <w:tcW w:w="140" w:type="dxa"/>
            <w:vAlign w:val="bottom"/>
          </w:tcPr>
          <w:p>
            <w:pPr>
              <w:spacing w:after="0"/>
              <w:rPr>
                <w:sz w:val="10"/>
                <w:szCs w:val="10"/>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9"/>
        </w:trPr>
        <w:tc>
          <w:tcPr>
            <w:tcW w:w="58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Balance as of July 31, 2004</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217,316</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55,848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2,733</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275,897</w:t>
            </w:r>
          </w:p>
        </w:tc>
        <w:tc>
          <w:tcPr>
            <w:tcW w:w="0" w:type="dxa"/>
            <w:vAlign w:val="bottom"/>
          </w:tcPr>
          <w:p>
            <w:pPr>
              <w:spacing w:after="0"/>
              <w:rPr>
                <w:sz w:val="1"/>
                <w:szCs w:val="1"/>
                <w:color w:val="auto"/>
              </w:rPr>
            </w:pPr>
          </w:p>
        </w:tc>
      </w:tr>
      <w:tr>
        <w:trPr>
          <w:trHeight w:val="157"/>
        </w:trPr>
        <w:tc>
          <w:tcPr>
            <w:tcW w:w="5800" w:type="dxa"/>
            <w:vAlign w:val="bottom"/>
          </w:tcPr>
          <w:p>
            <w:pPr>
              <w:ind w:left="140"/>
              <w:spacing w:after="0"/>
              <w:rPr>
                <w:sz w:val="20"/>
                <w:szCs w:val="20"/>
                <w:color w:val="auto"/>
              </w:rPr>
            </w:pPr>
            <w:r>
              <w:rPr>
                <w:rFonts w:ascii="Arial" w:cs="Arial" w:eastAsia="Arial" w:hAnsi="Arial"/>
                <w:sz w:val="13"/>
                <w:szCs w:val="13"/>
                <w:color w:val="auto"/>
              </w:rPr>
              <w:t>Goodwill acquired during the period</w:t>
            </w:r>
          </w:p>
        </w:tc>
        <w:tc>
          <w:tcPr>
            <w:tcW w:w="12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8,771</w:t>
            </w:r>
          </w:p>
        </w:tc>
        <w:tc>
          <w:tcPr>
            <w:tcW w:w="14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18,326</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28,176</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55,273</w:t>
            </w:r>
          </w:p>
        </w:tc>
        <w:tc>
          <w:tcPr>
            <w:tcW w:w="0" w:type="dxa"/>
            <w:vAlign w:val="bottom"/>
          </w:tcPr>
          <w:p>
            <w:pPr>
              <w:spacing w:after="0"/>
              <w:rPr>
                <w:sz w:val="1"/>
                <w:szCs w:val="1"/>
                <w:color w:val="auto"/>
              </w:rPr>
            </w:pPr>
          </w:p>
        </w:tc>
      </w:tr>
      <w:tr>
        <w:trPr>
          <w:trHeight w:val="157"/>
        </w:trPr>
        <w:tc>
          <w:tcPr>
            <w:tcW w:w="5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Translation adjustments and other</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756</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(630)</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1,073</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1,199</w:t>
            </w: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Arial" w:cs="Arial" w:eastAsia="Arial" w:hAnsi="Arial"/>
                <w:sz w:val="13"/>
                <w:szCs w:val="13"/>
                <w:color w:val="auto"/>
              </w:rPr>
              <w:t>Balance as of July 31, 2005</w:t>
            </w: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00" w:type="dxa"/>
            <w:vAlign w:val="bottom"/>
            <w:vMerge w:val="continue"/>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226,843</w:t>
            </w:r>
          </w:p>
        </w:tc>
        <w:tc>
          <w:tcPr>
            <w:tcW w:w="4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73,544</w:t>
            </w:r>
          </w:p>
        </w:tc>
        <w:tc>
          <w:tcPr>
            <w:tcW w:w="3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31,982</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332,369</w:t>
            </w:r>
          </w:p>
        </w:tc>
        <w:tc>
          <w:tcPr>
            <w:tcW w:w="0" w:type="dxa"/>
            <w:vAlign w:val="bottom"/>
          </w:tcPr>
          <w:p>
            <w:pPr>
              <w:spacing w:after="0"/>
              <w:rPr>
                <w:sz w:val="1"/>
                <w:szCs w:val="1"/>
                <w:color w:val="auto"/>
              </w:rPr>
            </w:pPr>
          </w:p>
        </w:tc>
      </w:tr>
      <w:tr>
        <w:trPr>
          <w:trHeight w:val="33"/>
        </w:trPr>
        <w:tc>
          <w:tcPr>
            <w:tcW w:w="5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5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Goodwill acquired during the period</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95,185</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33,892</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118,021</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247,098</w:t>
            </w:r>
          </w:p>
        </w:tc>
        <w:tc>
          <w:tcPr>
            <w:tcW w:w="0" w:type="dxa"/>
            <w:vAlign w:val="bottom"/>
          </w:tcPr>
          <w:p>
            <w:pPr>
              <w:spacing w:after="0"/>
              <w:rPr>
                <w:sz w:val="1"/>
                <w:szCs w:val="1"/>
                <w:color w:val="auto"/>
              </w:rPr>
            </w:pPr>
          </w:p>
        </w:tc>
      </w:tr>
      <w:tr>
        <w:trPr>
          <w:trHeight w:val="157"/>
        </w:trPr>
        <w:tc>
          <w:tcPr>
            <w:tcW w:w="5800" w:type="dxa"/>
            <w:vAlign w:val="bottom"/>
          </w:tcPr>
          <w:p>
            <w:pPr>
              <w:ind w:left="140"/>
              <w:spacing w:after="0"/>
              <w:rPr>
                <w:sz w:val="20"/>
                <w:szCs w:val="20"/>
                <w:color w:val="auto"/>
              </w:rPr>
            </w:pPr>
            <w:r>
              <w:rPr>
                <w:rFonts w:ascii="Arial" w:cs="Arial" w:eastAsia="Arial" w:hAnsi="Arial"/>
                <w:sz w:val="13"/>
                <w:szCs w:val="13"/>
                <w:color w:val="auto"/>
              </w:rPr>
              <w:t>Translation adjustments and other</w:t>
            </w: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731</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4,356</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3,088</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8,175</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Balance as of July 31, 2006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322,759</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111,792</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153,091</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587,642</w:t>
            </w:r>
          </w:p>
        </w:tc>
        <w:tc>
          <w:tcPr>
            <w:tcW w:w="0" w:type="dxa"/>
            <w:vAlign w:val="bottom"/>
          </w:tcPr>
          <w:p>
            <w:pPr>
              <w:spacing w:after="0"/>
              <w:rPr>
                <w:sz w:val="1"/>
                <w:szCs w:val="1"/>
                <w:color w:val="auto"/>
              </w:rPr>
            </w:pPr>
          </w:p>
        </w:tc>
      </w:tr>
      <w:tr>
        <w:trPr>
          <w:trHeight w:val="29"/>
        </w:trPr>
        <w:tc>
          <w:tcPr>
            <w:tcW w:w="5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Goodwill increased by $255,273 during the year ended July 31, 2006, including an increase of $8,175 attributable to the effects of foreign currency translation and adjustments to the preliminary allocation of the purchase price of Signs and Labels Ltd. (“Signs &amp; Labels”), in Europe which was acquired on June 24, 2005 and to Technology Print Supplies, Ltd. and its associate, Technology Supply Media Co., Ltd. (“TPS”) in Thailand, which were acquired on July 29, 2005.</w:t>
      </w:r>
    </w:p>
    <w:p>
      <w:pPr>
        <w:spacing w:after="0" w:line="27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BRADY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acquisitions completed in fiscal 2006 increased goodwill by the following amounts: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5560" w:type="dxa"/>
            <w:vAlign w:val="bottom"/>
          </w:tcPr>
          <w:p>
            <w:pPr>
              <w:spacing w:after="0"/>
              <w:rPr>
                <w:sz w:val="11"/>
                <w:szCs w:val="11"/>
                <w:color w:val="auto"/>
              </w:rPr>
            </w:pPr>
          </w:p>
        </w:tc>
        <w:tc>
          <w:tcPr>
            <w:tcW w:w="3420" w:type="dxa"/>
            <w:vAlign w:val="bottom"/>
          </w:tcPr>
          <w:p>
            <w:pPr>
              <w:ind w:left="1460"/>
              <w:spacing w:after="0"/>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egment</w:t>
            </w:r>
          </w:p>
        </w:tc>
        <w:tc>
          <w:tcPr>
            <w:tcW w:w="1000" w:type="dxa"/>
            <w:vAlign w:val="bottom"/>
            <w:tcBorders>
              <w:bottom w:val="single" w:sz="8" w:color="auto"/>
            </w:tcBorders>
          </w:tcPr>
          <w:p>
            <w:pPr>
              <w:jc w:val="right"/>
              <w:ind w:right="235"/>
              <w:spacing w:after="0"/>
              <w:rPr>
                <w:sz w:val="20"/>
                <w:szCs w:val="20"/>
                <w:color w:val="auto"/>
              </w:rPr>
            </w:pPr>
            <w:r>
              <w:rPr>
                <w:rFonts w:ascii="Arial" w:cs="Arial" w:eastAsia="Arial" w:hAnsi="Arial"/>
                <w:sz w:val="10"/>
                <w:szCs w:val="10"/>
                <w:b w:val="1"/>
                <w:bCs w:val="1"/>
                <w:color w:val="auto"/>
              </w:rPr>
              <w:t>Goodwill</w:t>
            </w:r>
          </w:p>
        </w:tc>
      </w:tr>
      <w:tr>
        <w:trPr>
          <w:trHeight w:val="29"/>
        </w:trPr>
        <w:tc>
          <w:tcPr>
            <w:tcW w:w="55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57"/>
        </w:trPr>
        <w:tc>
          <w:tcPr>
            <w:tcW w:w="5560" w:type="dxa"/>
            <w:vAlign w:val="bottom"/>
            <w:shd w:val="clear" w:color="auto" w:fill="CCEEFF"/>
          </w:tcPr>
          <w:p>
            <w:pPr>
              <w:spacing w:after="0"/>
              <w:rPr>
                <w:sz w:val="20"/>
                <w:szCs w:val="20"/>
                <w:color w:val="auto"/>
              </w:rPr>
            </w:pPr>
            <w:r>
              <w:rPr>
                <w:rFonts w:ascii="Arial" w:cs="Arial" w:eastAsia="Arial" w:hAnsi="Arial"/>
                <w:sz w:val="13"/>
                <w:szCs w:val="13"/>
                <w:color w:val="auto"/>
              </w:rPr>
              <w:t>STOPware, Inc. (“Stopware”)</w:t>
            </w:r>
          </w:p>
        </w:tc>
        <w:tc>
          <w:tcPr>
            <w:tcW w:w="3420" w:type="dxa"/>
            <w:vAlign w:val="bottom"/>
            <w:shd w:val="clear" w:color="auto" w:fill="CCEEFF"/>
          </w:tcPr>
          <w:p>
            <w:pPr>
              <w:jc w:val="center"/>
              <w:ind w:right="375"/>
              <w:spacing w:after="0"/>
              <w:rPr>
                <w:sz w:val="20"/>
                <w:szCs w:val="20"/>
                <w:color w:val="auto"/>
              </w:rPr>
            </w:pPr>
            <w:r>
              <w:rPr>
                <w:rFonts w:ascii="Arial" w:cs="Arial" w:eastAsia="Arial" w:hAnsi="Arial"/>
                <w:sz w:val="13"/>
                <w:szCs w:val="13"/>
                <w:color w:val="auto"/>
                <w:w w:val="92"/>
              </w:rPr>
              <w:t>Americas</w:t>
            </w:r>
          </w:p>
        </w:tc>
        <w:tc>
          <w:tcPr>
            <w:tcW w:w="1000" w:type="dxa"/>
            <w:vAlign w:val="bottom"/>
            <w:shd w:val="clear" w:color="auto" w:fill="CCEEFF"/>
          </w:tcPr>
          <w:p>
            <w:pPr>
              <w:jc w:val="right"/>
              <w:ind w:right="215"/>
              <w:spacing w:after="0"/>
              <w:rPr>
                <w:sz w:val="20"/>
                <w:szCs w:val="20"/>
                <w:color w:val="auto"/>
              </w:rPr>
            </w:pPr>
            <w:r>
              <w:rPr>
                <w:rFonts w:ascii="Arial" w:cs="Arial" w:eastAsia="Arial" w:hAnsi="Arial"/>
                <w:sz w:val="13"/>
                <w:szCs w:val="13"/>
                <w:color w:val="auto"/>
              </w:rPr>
              <w:t>$  2,506</w:t>
            </w:r>
          </w:p>
        </w:tc>
      </w:tr>
      <w:tr>
        <w:trPr>
          <w:trHeight w:val="157"/>
        </w:trPr>
        <w:tc>
          <w:tcPr>
            <w:tcW w:w="5560" w:type="dxa"/>
            <w:vAlign w:val="bottom"/>
          </w:tcPr>
          <w:p>
            <w:pPr>
              <w:spacing w:after="0"/>
              <w:rPr>
                <w:sz w:val="20"/>
                <w:szCs w:val="20"/>
                <w:color w:val="auto"/>
              </w:rPr>
            </w:pPr>
            <w:r>
              <w:rPr>
                <w:rFonts w:ascii="Arial" w:cs="Arial" w:eastAsia="Arial" w:hAnsi="Arial"/>
                <w:sz w:val="13"/>
                <w:szCs w:val="13"/>
                <w:color w:val="auto"/>
              </w:rPr>
              <w:t>TruMed Technologies, Inc. (“TruMed”)</w:t>
            </w:r>
          </w:p>
        </w:tc>
        <w:tc>
          <w:tcPr>
            <w:tcW w:w="3420" w:type="dxa"/>
            <w:vAlign w:val="bottom"/>
          </w:tcPr>
          <w:p>
            <w:pPr>
              <w:jc w:val="center"/>
              <w:ind w:right="375"/>
              <w:spacing w:after="0"/>
              <w:rPr>
                <w:sz w:val="20"/>
                <w:szCs w:val="20"/>
                <w:color w:val="auto"/>
              </w:rPr>
            </w:pPr>
            <w:r>
              <w:rPr>
                <w:rFonts w:ascii="Arial" w:cs="Arial" w:eastAsia="Arial" w:hAnsi="Arial"/>
                <w:sz w:val="13"/>
                <w:szCs w:val="13"/>
                <w:color w:val="auto"/>
                <w:w w:val="92"/>
              </w:rPr>
              <w:t>Americas</w:t>
            </w:r>
          </w:p>
        </w:tc>
        <w:tc>
          <w:tcPr>
            <w:tcW w:w="1000" w:type="dxa"/>
            <w:vAlign w:val="bottom"/>
          </w:tcPr>
          <w:p>
            <w:pPr>
              <w:jc w:val="right"/>
              <w:ind w:right="215"/>
              <w:spacing w:after="0"/>
              <w:rPr>
                <w:sz w:val="20"/>
                <w:szCs w:val="20"/>
                <w:color w:val="auto"/>
              </w:rPr>
            </w:pPr>
            <w:r>
              <w:rPr>
                <w:rFonts w:ascii="Arial" w:cs="Arial" w:eastAsia="Arial" w:hAnsi="Arial"/>
                <w:sz w:val="13"/>
                <w:szCs w:val="13"/>
                <w:color w:val="auto"/>
              </w:rPr>
              <w:t>4,134</w:t>
            </w:r>
          </w:p>
        </w:tc>
      </w:tr>
      <w:tr>
        <w:trPr>
          <w:trHeight w:val="157"/>
        </w:trPr>
        <w:tc>
          <w:tcPr>
            <w:tcW w:w="5560" w:type="dxa"/>
            <w:vAlign w:val="bottom"/>
            <w:shd w:val="clear" w:color="auto" w:fill="CCEEFF"/>
          </w:tcPr>
          <w:p>
            <w:pPr>
              <w:spacing w:after="0"/>
              <w:rPr>
                <w:sz w:val="20"/>
                <w:szCs w:val="20"/>
                <w:color w:val="auto"/>
              </w:rPr>
            </w:pPr>
            <w:r>
              <w:rPr>
                <w:rFonts w:ascii="Arial" w:cs="Arial" w:eastAsia="Arial" w:hAnsi="Arial"/>
                <w:sz w:val="13"/>
                <w:szCs w:val="13"/>
                <w:color w:val="auto"/>
              </w:rPr>
              <w:t>J.A.M. Plastics Inc. (“J.A.M.”)</w:t>
            </w:r>
          </w:p>
        </w:tc>
        <w:tc>
          <w:tcPr>
            <w:tcW w:w="3420" w:type="dxa"/>
            <w:vAlign w:val="bottom"/>
            <w:shd w:val="clear" w:color="auto" w:fill="CCEEFF"/>
          </w:tcPr>
          <w:p>
            <w:pPr>
              <w:jc w:val="center"/>
              <w:ind w:right="375"/>
              <w:spacing w:after="0"/>
              <w:rPr>
                <w:sz w:val="20"/>
                <w:szCs w:val="20"/>
                <w:color w:val="auto"/>
              </w:rPr>
            </w:pPr>
            <w:r>
              <w:rPr>
                <w:rFonts w:ascii="Arial" w:cs="Arial" w:eastAsia="Arial" w:hAnsi="Arial"/>
                <w:sz w:val="13"/>
                <w:szCs w:val="13"/>
                <w:color w:val="auto"/>
                <w:w w:val="92"/>
              </w:rPr>
              <w:t>Americas</w:t>
            </w:r>
          </w:p>
        </w:tc>
        <w:tc>
          <w:tcPr>
            <w:tcW w:w="1000" w:type="dxa"/>
            <w:vAlign w:val="bottom"/>
            <w:shd w:val="clear" w:color="auto" w:fill="CCEEFF"/>
          </w:tcPr>
          <w:p>
            <w:pPr>
              <w:jc w:val="right"/>
              <w:ind w:right="215"/>
              <w:spacing w:after="0"/>
              <w:rPr>
                <w:sz w:val="20"/>
                <w:szCs w:val="20"/>
                <w:color w:val="auto"/>
              </w:rPr>
            </w:pPr>
            <w:r>
              <w:rPr>
                <w:rFonts w:ascii="Arial" w:cs="Arial" w:eastAsia="Arial" w:hAnsi="Arial"/>
                <w:sz w:val="13"/>
                <w:szCs w:val="13"/>
                <w:color w:val="auto"/>
              </w:rPr>
              <w:t>9,116</w:t>
            </w:r>
          </w:p>
        </w:tc>
      </w:tr>
      <w:tr>
        <w:trPr>
          <w:trHeight w:val="157"/>
        </w:trPr>
        <w:tc>
          <w:tcPr>
            <w:tcW w:w="5560" w:type="dxa"/>
            <w:vAlign w:val="bottom"/>
          </w:tcPr>
          <w:p>
            <w:pPr>
              <w:spacing w:after="0"/>
              <w:rPr>
                <w:sz w:val="20"/>
                <w:szCs w:val="20"/>
                <w:color w:val="auto"/>
              </w:rPr>
            </w:pPr>
            <w:r>
              <w:rPr>
                <w:rFonts w:ascii="Arial" w:cs="Arial" w:eastAsia="Arial" w:hAnsi="Arial"/>
                <w:sz w:val="13"/>
                <w:szCs w:val="13"/>
                <w:color w:val="auto"/>
              </w:rPr>
              <w:t>Personnel Concepts</w:t>
            </w:r>
          </w:p>
        </w:tc>
        <w:tc>
          <w:tcPr>
            <w:tcW w:w="3420" w:type="dxa"/>
            <w:vAlign w:val="bottom"/>
          </w:tcPr>
          <w:p>
            <w:pPr>
              <w:jc w:val="center"/>
              <w:ind w:right="375"/>
              <w:spacing w:after="0"/>
              <w:rPr>
                <w:sz w:val="20"/>
                <w:szCs w:val="20"/>
                <w:color w:val="auto"/>
              </w:rPr>
            </w:pPr>
            <w:r>
              <w:rPr>
                <w:rFonts w:ascii="Arial" w:cs="Arial" w:eastAsia="Arial" w:hAnsi="Arial"/>
                <w:sz w:val="13"/>
                <w:szCs w:val="13"/>
                <w:color w:val="auto"/>
                <w:w w:val="92"/>
              </w:rPr>
              <w:t>Americas</w:t>
            </w:r>
          </w:p>
        </w:tc>
        <w:tc>
          <w:tcPr>
            <w:tcW w:w="1000" w:type="dxa"/>
            <w:vAlign w:val="bottom"/>
          </w:tcPr>
          <w:p>
            <w:pPr>
              <w:jc w:val="right"/>
              <w:ind w:right="215"/>
              <w:spacing w:after="0"/>
              <w:rPr>
                <w:sz w:val="20"/>
                <w:szCs w:val="20"/>
                <w:color w:val="auto"/>
              </w:rPr>
            </w:pPr>
            <w:r>
              <w:rPr>
                <w:rFonts w:ascii="Arial" w:cs="Arial" w:eastAsia="Arial" w:hAnsi="Arial"/>
                <w:sz w:val="13"/>
                <w:szCs w:val="13"/>
                <w:color w:val="auto"/>
              </w:rPr>
              <w:t>48,154</w:t>
            </w:r>
          </w:p>
        </w:tc>
      </w:tr>
      <w:tr>
        <w:trPr>
          <w:trHeight w:val="157"/>
        </w:trPr>
        <w:tc>
          <w:tcPr>
            <w:tcW w:w="5560" w:type="dxa"/>
            <w:vAlign w:val="bottom"/>
            <w:shd w:val="clear" w:color="auto" w:fill="CCEEFF"/>
          </w:tcPr>
          <w:p>
            <w:pPr>
              <w:spacing w:after="0"/>
              <w:rPr>
                <w:sz w:val="20"/>
                <w:szCs w:val="20"/>
                <w:color w:val="auto"/>
              </w:rPr>
            </w:pPr>
            <w:r>
              <w:rPr>
                <w:rFonts w:ascii="Arial" w:cs="Arial" w:eastAsia="Arial" w:hAnsi="Arial"/>
                <w:sz w:val="13"/>
                <w:szCs w:val="13"/>
                <w:color w:val="auto"/>
              </w:rPr>
              <w:t>IDenticard Systems, Inc. (“IDenticard”)</w:t>
            </w:r>
          </w:p>
        </w:tc>
        <w:tc>
          <w:tcPr>
            <w:tcW w:w="3420" w:type="dxa"/>
            <w:vAlign w:val="bottom"/>
            <w:shd w:val="clear" w:color="auto" w:fill="CCEEFF"/>
          </w:tcPr>
          <w:p>
            <w:pPr>
              <w:jc w:val="center"/>
              <w:ind w:right="375"/>
              <w:spacing w:after="0"/>
              <w:rPr>
                <w:sz w:val="20"/>
                <w:szCs w:val="20"/>
                <w:color w:val="auto"/>
              </w:rPr>
            </w:pPr>
            <w:r>
              <w:rPr>
                <w:rFonts w:ascii="Arial" w:cs="Arial" w:eastAsia="Arial" w:hAnsi="Arial"/>
                <w:sz w:val="13"/>
                <w:szCs w:val="13"/>
                <w:color w:val="auto"/>
                <w:w w:val="92"/>
              </w:rPr>
              <w:t>Americas</w:t>
            </w:r>
          </w:p>
        </w:tc>
        <w:tc>
          <w:tcPr>
            <w:tcW w:w="1000" w:type="dxa"/>
            <w:vAlign w:val="bottom"/>
            <w:shd w:val="clear" w:color="auto" w:fill="CCEEFF"/>
          </w:tcPr>
          <w:p>
            <w:pPr>
              <w:jc w:val="right"/>
              <w:ind w:right="215"/>
              <w:spacing w:after="0"/>
              <w:rPr>
                <w:sz w:val="20"/>
                <w:szCs w:val="20"/>
                <w:color w:val="auto"/>
              </w:rPr>
            </w:pPr>
            <w:r>
              <w:rPr>
                <w:rFonts w:ascii="Arial" w:cs="Arial" w:eastAsia="Arial" w:hAnsi="Arial"/>
                <w:sz w:val="13"/>
                <w:szCs w:val="13"/>
                <w:color w:val="auto"/>
              </w:rPr>
              <w:t>25,192</w:t>
            </w:r>
          </w:p>
        </w:tc>
      </w:tr>
      <w:tr>
        <w:trPr>
          <w:trHeight w:val="157"/>
        </w:trPr>
        <w:tc>
          <w:tcPr>
            <w:tcW w:w="5560" w:type="dxa"/>
            <w:vAlign w:val="bottom"/>
          </w:tcPr>
          <w:p>
            <w:pPr>
              <w:spacing w:after="0"/>
              <w:rPr>
                <w:sz w:val="20"/>
                <w:szCs w:val="20"/>
                <w:color w:val="auto"/>
              </w:rPr>
            </w:pPr>
            <w:r>
              <w:rPr>
                <w:rFonts w:ascii="Arial" w:cs="Arial" w:eastAsia="Arial" w:hAnsi="Arial"/>
                <w:sz w:val="13"/>
                <w:szCs w:val="13"/>
                <w:color w:val="auto"/>
              </w:rPr>
              <w:t>Identicam Systems (“Identicam”)</w:t>
            </w:r>
          </w:p>
        </w:tc>
        <w:tc>
          <w:tcPr>
            <w:tcW w:w="3420" w:type="dxa"/>
            <w:vAlign w:val="bottom"/>
          </w:tcPr>
          <w:p>
            <w:pPr>
              <w:jc w:val="center"/>
              <w:ind w:right="375"/>
              <w:spacing w:after="0"/>
              <w:rPr>
                <w:sz w:val="20"/>
                <w:szCs w:val="20"/>
                <w:color w:val="auto"/>
              </w:rPr>
            </w:pPr>
            <w:r>
              <w:rPr>
                <w:rFonts w:ascii="Arial" w:cs="Arial" w:eastAsia="Arial" w:hAnsi="Arial"/>
                <w:sz w:val="13"/>
                <w:szCs w:val="13"/>
                <w:color w:val="auto"/>
                <w:w w:val="92"/>
              </w:rPr>
              <w:t>Americas</w:t>
            </w:r>
          </w:p>
        </w:tc>
        <w:tc>
          <w:tcPr>
            <w:tcW w:w="1000" w:type="dxa"/>
            <w:vAlign w:val="bottom"/>
          </w:tcPr>
          <w:p>
            <w:pPr>
              <w:jc w:val="right"/>
              <w:ind w:right="215"/>
              <w:spacing w:after="0"/>
              <w:rPr>
                <w:sz w:val="20"/>
                <w:szCs w:val="20"/>
                <w:color w:val="auto"/>
              </w:rPr>
            </w:pPr>
            <w:r>
              <w:rPr>
                <w:rFonts w:ascii="Arial" w:cs="Arial" w:eastAsia="Arial" w:hAnsi="Arial"/>
                <w:sz w:val="13"/>
                <w:szCs w:val="13"/>
                <w:color w:val="auto"/>
              </w:rPr>
              <w:t>6,001</w:t>
            </w:r>
          </w:p>
        </w:tc>
      </w:tr>
      <w:tr>
        <w:trPr>
          <w:trHeight w:val="157"/>
        </w:trPr>
        <w:tc>
          <w:tcPr>
            <w:tcW w:w="5560" w:type="dxa"/>
            <w:vAlign w:val="bottom"/>
            <w:shd w:val="clear" w:color="auto" w:fill="CCEEFF"/>
          </w:tcPr>
          <w:p>
            <w:pPr>
              <w:spacing w:after="0"/>
              <w:rPr>
                <w:sz w:val="20"/>
                <w:szCs w:val="20"/>
                <w:color w:val="auto"/>
              </w:rPr>
            </w:pPr>
            <w:r>
              <w:rPr>
                <w:rFonts w:ascii="Arial" w:cs="Arial" w:eastAsia="Arial" w:hAnsi="Arial"/>
                <w:sz w:val="13"/>
                <w:szCs w:val="13"/>
                <w:color w:val="auto"/>
              </w:rPr>
              <w:t>Texit Danmark AS and Texit Norge AS (collectively “Texit”)</w:t>
            </w:r>
          </w:p>
        </w:tc>
        <w:tc>
          <w:tcPr>
            <w:tcW w:w="3420" w:type="dxa"/>
            <w:vAlign w:val="bottom"/>
            <w:shd w:val="clear" w:color="auto" w:fill="CCEEFF"/>
          </w:tcPr>
          <w:p>
            <w:pPr>
              <w:jc w:val="center"/>
              <w:ind w:right="375"/>
              <w:spacing w:after="0"/>
              <w:rPr>
                <w:sz w:val="20"/>
                <w:szCs w:val="20"/>
                <w:color w:val="auto"/>
              </w:rPr>
            </w:pPr>
            <w:r>
              <w:rPr>
                <w:rFonts w:ascii="Arial" w:cs="Arial" w:eastAsia="Arial" w:hAnsi="Arial"/>
                <w:sz w:val="13"/>
                <w:szCs w:val="13"/>
                <w:color w:val="auto"/>
                <w:w w:val="90"/>
              </w:rPr>
              <w:t>Europe</w:t>
            </w:r>
          </w:p>
        </w:tc>
        <w:tc>
          <w:tcPr>
            <w:tcW w:w="1000" w:type="dxa"/>
            <w:vAlign w:val="bottom"/>
            <w:shd w:val="clear" w:color="auto" w:fill="CCEEFF"/>
          </w:tcPr>
          <w:p>
            <w:pPr>
              <w:jc w:val="right"/>
              <w:ind w:right="215"/>
              <w:spacing w:after="0"/>
              <w:rPr>
                <w:sz w:val="20"/>
                <w:szCs w:val="20"/>
                <w:color w:val="auto"/>
              </w:rPr>
            </w:pPr>
            <w:r>
              <w:rPr>
                <w:rFonts w:ascii="Arial" w:cs="Arial" w:eastAsia="Arial" w:hAnsi="Arial"/>
                <w:sz w:val="13"/>
                <w:szCs w:val="13"/>
                <w:color w:val="auto"/>
              </w:rPr>
              <w:t>6,043</w:t>
            </w:r>
          </w:p>
        </w:tc>
      </w:tr>
      <w:tr>
        <w:trPr>
          <w:trHeight w:val="157"/>
        </w:trPr>
        <w:tc>
          <w:tcPr>
            <w:tcW w:w="5560" w:type="dxa"/>
            <w:vAlign w:val="bottom"/>
          </w:tcPr>
          <w:p>
            <w:pPr>
              <w:spacing w:after="0"/>
              <w:rPr>
                <w:sz w:val="20"/>
                <w:szCs w:val="20"/>
                <w:color w:val="auto"/>
              </w:rPr>
            </w:pPr>
            <w:r>
              <w:rPr>
                <w:rFonts w:ascii="Arial" w:cs="Arial" w:eastAsia="Arial" w:hAnsi="Arial"/>
                <w:sz w:val="13"/>
                <w:szCs w:val="13"/>
                <w:color w:val="auto"/>
              </w:rPr>
              <w:t>QDP Thailand Co., Ltd. (“QDPT”)</w:t>
            </w:r>
          </w:p>
        </w:tc>
        <w:tc>
          <w:tcPr>
            <w:tcW w:w="3420" w:type="dxa"/>
            <w:vAlign w:val="bottom"/>
          </w:tcPr>
          <w:p>
            <w:pPr>
              <w:jc w:val="center"/>
              <w:ind w:right="395"/>
              <w:spacing w:after="0"/>
              <w:rPr>
                <w:sz w:val="20"/>
                <w:szCs w:val="20"/>
                <w:color w:val="auto"/>
              </w:rPr>
            </w:pPr>
            <w:r>
              <w:rPr>
                <w:rFonts w:ascii="Arial" w:cs="Arial" w:eastAsia="Arial" w:hAnsi="Arial"/>
                <w:sz w:val="13"/>
                <w:szCs w:val="13"/>
                <w:color w:val="auto"/>
                <w:w w:val="94"/>
              </w:rPr>
              <w:t>Asia-Pacific</w:t>
            </w:r>
          </w:p>
        </w:tc>
        <w:tc>
          <w:tcPr>
            <w:tcW w:w="1000" w:type="dxa"/>
            <w:vAlign w:val="bottom"/>
          </w:tcPr>
          <w:p>
            <w:pPr>
              <w:jc w:val="right"/>
              <w:ind w:right="215"/>
              <w:spacing w:after="0"/>
              <w:rPr>
                <w:sz w:val="20"/>
                <w:szCs w:val="20"/>
                <w:color w:val="auto"/>
              </w:rPr>
            </w:pPr>
            <w:r>
              <w:rPr>
                <w:rFonts w:ascii="Arial" w:cs="Arial" w:eastAsia="Arial" w:hAnsi="Arial"/>
                <w:sz w:val="13"/>
                <w:szCs w:val="13"/>
                <w:color w:val="auto"/>
              </w:rPr>
              <w:t>2,298</w:t>
            </w:r>
          </w:p>
        </w:tc>
      </w:tr>
      <w:tr>
        <w:trPr>
          <w:trHeight w:val="157"/>
        </w:trPr>
        <w:tc>
          <w:tcPr>
            <w:tcW w:w="5560" w:type="dxa"/>
            <w:vAlign w:val="bottom"/>
            <w:shd w:val="clear" w:color="auto" w:fill="CCEEFF"/>
          </w:tcPr>
          <w:p>
            <w:pPr>
              <w:spacing w:after="0"/>
              <w:rPr>
                <w:sz w:val="20"/>
                <w:szCs w:val="20"/>
                <w:color w:val="auto"/>
              </w:rPr>
            </w:pPr>
            <w:r>
              <w:rPr>
                <w:rFonts w:ascii="Arial" w:cs="Arial" w:eastAsia="Arial" w:hAnsi="Arial"/>
                <w:sz w:val="13"/>
                <w:szCs w:val="13"/>
                <w:color w:val="auto"/>
              </w:rPr>
              <w:t>Daewon Industry Corporation (“Daewon”)</w:t>
            </w:r>
          </w:p>
        </w:tc>
        <w:tc>
          <w:tcPr>
            <w:tcW w:w="3420" w:type="dxa"/>
            <w:vAlign w:val="bottom"/>
            <w:shd w:val="clear" w:color="auto" w:fill="CCEEFF"/>
          </w:tcPr>
          <w:p>
            <w:pPr>
              <w:jc w:val="center"/>
              <w:ind w:right="395"/>
              <w:spacing w:after="0"/>
              <w:rPr>
                <w:sz w:val="20"/>
                <w:szCs w:val="20"/>
                <w:color w:val="auto"/>
              </w:rPr>
            </w:pPr>
            <w:r>
              <w:rPr>
                <w:rFonts w:ascii="Arial" w:cs="Arial" w:eastAsia="Arial" w:hAnsi="Arial"/>
                <w:sz w:val="13"/>
                <w:szCs w:val="13"/>
                <w:color w:val="auto"/>
                <w:w w:val="94"/>
              </w:rPr>
              <w:t>Asia-Pacific</w:t>
            </w:r>
          </w:p>
        </w:tc>
        <w:tc>
          <w:tcPr>
            <w:tcW w:w="1000" w:type="dxa"/>
            <w:vAlign w:val="bottom"/>
            <w:shd w:val="clear" w:color="auto" w:fill="CCEEFF"/>
          </w:tcPr>
          <w:p>
            <w:pPr>
              <w:jc w:val="right"/>
              <w:ind w:right="215"/>
              <w:spacing w:after="0"/>
              <w:rPr>
                <w:sz w:val="20"/>
                <w:szCs w:val="20"/>
                <w:color w:val="auto"/>
              </w:rPr>
            </w:pPr>
            <w:r>
              <w:rPr>
                <w:rFonts w:ascii="Arial" w:cs="Arial" w:eastAsia="Arial" w:hAnsi="Arial"/>
                <w:sz w:val="13"/>
                <w:szCs w:val="13"/>
                <w:color w:val="auto"/>
              </w:rPr>
              <w:t>18,005</w:t>
            </w:r>
          </w:p>
        </w:tc>
      </w:tr>
      <w:tr>
        <w:trPr>
          <w:trHeight w:val="148"/>
        </w:trPr>
        <w:tc>
          <w:tcPr>
            <w:tcW w:w="5560" w:type="dxa"/>
            <w:vAlign w:val="bottom"/>
          </w:tcPr>
          <w:p>
            <w:pPr>
              <w:spacing w:after="0" w:line="149" w:lineRule="exact"/>
              <w:rPr>
                <w:sz w:val="20"/>
                <w:szCs w:val="20"/>
                <w:color w:val="auto"/>
              </w:rPr>
            </w:pPr>
            <w:r>
              <w:rPr>
                <w:rFonts w:ascii="Arial" w:cs="Arial" w:eastAsia="Arial" w:hAnsi="Arial"/>
                <w:sz w:val="13"/>
                <w:szCs w:val="13"/>
                <w:color w:val="auto"/>
              </w:rPr>
              <w:t>Accidental Health &amp; Safety Pty. Ltd. and Trafalgar First Aid Pty. Ltd. (collectively “Accidental</w:t>
            </w:r>
          </w:p>
        </w:tc>
        <w:tc>
          <w:tcPr>
            <w:tcW w:w="34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65"/>
        </w:trPr>
        <w:tc>
          <w:tcPr>
            <w:tcW w:w="5560" w:type="dxa"/>
            <w:vAlign w:val="bottom"/>
          </w:tcPr>
          <w:p>
            <w:pPr>
              <w:ind w:left="140"/>
              <w:spacing w:after="0"/>
              <w:rPr>
                <w:sz w:val="20"/>
                <w:szCs w:val="20"/>
                <w:color w:val="auto"/>
              </w:rPr>
            </w:pPr>
            <w:r>
              <w:rPr>
                <w:rFonts w:ascii="Arial" w:cs="Arial" w:eastAsia="Arial" w:hAnsi="Arial"/>
                <w:sz w:val="13"/>
                <w:szCs w:val="13"/>
                <w:color w:val="auto"/>
              </w:rPr>
              <w:t>Health”)</w:t>
            </w:r>
          </w:p>
        </w:tc>
        <w:tc>
          <w:tcPr>
            <w:tcW w:w="3420" w:type="dxa"/>
            <w:vAlign w:val="bottom"/>
          </w:tcPr>
          <w:p>
            <w:pPr>
              <w:jc w:val="center"/>
              <w:ind w:right="395"/>
              <w:spacing w:after="0"/>
              <w:rPr>
                <w:sz w:val="20"/>
                <w:szCs w:val="20"/>
                <w:color w:val="auto"/>
              </w:rPr>
            </w:pPr>
            <w:r>
              <w:rPr>
                <w:rFonts w:ascii="Arial" w:cs="Arial" w:eastAsia="Arial" w:hAnsi="Arial"/>
                <w:sz w:val="13"/>
                <w:szCs w:val="13"/>
                <w:color w:val="auto"/>
                <w:w w:val="94"/>
              </w:rPr>
              <w:t>Asia-Pacific</w:t>
            </w:r>
          </w:p>
        </w:tc>
        <w:tc>
          <w:tcPr>
            <w:tcW w:w="1000" w:type="dxa"/>
            <w:vAlign w:val="bottom"/>
          </w:tcPr>
          <w:p>
            <w:pPr>
              <w:jc w:val="right"/>
              <w:ind w:right="215"/>
              <w:spacing w:after="0"/>
              <w:rPr>
                <w:sz w:val="20"/>
                <w:szCs w:val="20"/>
                <w:color w:val="auto"/>
              </w:rPr>
            </w:pPr>
            <w:r>
              <w:rPr>
                <w:rFonts w:ascii="Arial" w:cs="Arial" w:eastAsia="Arial" w:hAnsi="Arial"/>
                <w:sz w:val="13"/>
                <w:szCs w:val="13"/>
                <w:color w:val="auto"/>
              </w:rPr>
              <w:t>6,895</w:t>
            </w:r>
          </w:p>
        </w:tc>
      </w:tr>
      <w:tr>
        <w:trPr>
          <w:trHeight w:val="158"/>
        </w:trPr>
        <w:tc>
          <w:tcPr>
            <w:tcW w:w="5560" w:type="dxa"/>
            <w:vAlign w:val="bottom"/>
            <w:shd w:val="clear" w:color="auto" w:fill="CCEEFF"/>
          </w:tcPr>
          <w:p>
            <w:pPr>
              <w:spacing w:after="0"/>
              <w:rPr>
                <w:sz w:val="20"/>
                <w:szCs w:val="20"/>
                <w:color w:val="auto"/>
              </w:rPr>
            </w:pPr>
            <w:r>
              <w:rPr>
                <w:rFonts w:ascii="Arial" w:cs="Arial" w:eastAsia="Arial" w:hAnsi="Arial"/>
                <w:sz w:val="13"/>
                <w:szCs w:val="13"/>
                <w:color w:val="auto"/>
              </w:rPr>
              <w:t>Carroll Australasia Pty. Ltd. (“Carroll”)</w:t>
            </w:r>
          </w:p>
        </w:tc>
        <w:tc>
          <w:tcPr>
            <w:tcW w:w="3420" w:type="dxa"/>
            <w:vAlign w:val="bottom"/>
            <w:shd w:val="clear" w:color="auto" w:fill="CCEEFF"/>
          </w:tcPr>
          <w:p>
            <w:pPr>
              <w:jc w:val="center"/>
              <w:ind w:right="395"/>
              <w:spacing w:after="0"/>
              <w:rPr>
                <w:sz w:val="20"/>
                <w:szCs w:val="20"/>
                <w:color w:val="auto"/>
              </w:rPr>
            </w:pPr>
            <w:r>
              <w:rPr>
                <w:rFonts w:ascii="Arial" w:cs="Arial" w:eastAsia="Arial" w:hAnsi="Arial"/>
                <w:sz w:val="13"/>
                <w:szCs w:val="13"/>
                <w:color w:val="auto"/>
                <w:w w:val="94"/>
              </w:rPr>
              <w:t>Asia-Pacific</w:t>
            </w:r>
          </w:p>
        </w:tc>
        <w:tc>
          <w:tcPr>
            <w:tcW w:w="1000" w:type="dxa"/>
            <w:vAlign w:val="bottom"/>
            <w:shd w:val="clear" w:color="auto" w:fill="CCEEFF"/>
          </w:tcPr>
          <w:p>
            <w:pPr>
              <w:jc w:val="right"/>
              <w:ind w:right="215"/>
              <w:spacing w:after="0"/>
              <w:rPr>
                <w:sz w:val="20"/>
                <w:szCs w:val="20"/>
                <w:color w:val="auto"/>
              </w:rPr>
            </w:pPr>
            <w:r>
              <w:rPr>
                <w:rFonts w:ascii="Arial" w:cs="Arial" w:eastAsia="Arial" w:hAnsi="Arial"/>
                <w:sz w:val="13"/>
                <w:szCs w:val="13"/>
                <w:color w:val="auto"/>
              </w:rPr>
              <w:t>12,343</w:t>
            </w:r>
          </w:p>
        </w:tc>
      </w:tr>
      <w:tr>
        <w:trPr>
          <w:trHeight w:val="165"/>
        </w:trPr>
        <w:tc>
          <w:tcPr>
            <w:tcW w:w="5560" w:type="dxa"/>
            <w:vAlign w:val="bottom"/>
          </w:tcPr>
          <w:p>
            <w:pPr>
              <w:spacing w:after="0"/>
              <w:rPr>
                <w:sz w:val="20"/>
                <w:szCs w:val="20"/>
                <w:color w:val="auto"/>
              </w:rPr>
            </w:pPr>
            <w:r>
              <w:rPr>
                <w:rFonts w:ascii="Arial" w:cs="Arial" w:eastAsia="Arial" w:hAnsi="Arial"/>
                <w:sz w:val="13"/>
                <w:szCs w:val="13"/>
                <w:color w:val="auto"/>
              </w:rPr>
              <w:t>Tradex Converting AB (“Tradex”)</w:t>
            </w:r>
          </w:p>
        </w:tc>
        <w:tc>
          <w:tcPr>
            <w:tcW w:w="3420" w:type="dxa"/>
            <w:vAlign w:val="bottom"/>
          </w:tcPr>
          <w:p>
            <w:pPr>
              <w:jc w:val="center"/>
              <w:ind w:right="375"/>
              <w:spacing w:after="0"/>
              <w:rPr>
                <w:sz w:val="20"/>
                <w:szCs w:val="20"/>
                <w:color w:val="auto"/>
              </w:rPr>
            </w:pPr>
            <w:r>
              <w:rPr>
                <w:rFonts w:ascii="Arial" w:cs="Arial" w:eastAsia="Arial" w:hAnsi="Arial"/>
                <w:sz w:val="13"/>
                <w:szCs w:val="13"/>
                <w:color w:val="auto"/>
                <w:w w:val="92"/>
              </w:rPr>
              <w:t>Americas, Europe and Asia-Pacific</w:t>
            </w:r>
          </w:p>
        </w:tc>
        <w:tc>
          <w:tcPr>
            <w:tcW w:w="1000" w:type="dxa"/>
            <w:vAlign w:val="bottom"/>
          </w:tcPr>
          <w:p>
            <w:pPr>
              <w:jc w:val="right"/>
              <w:ind w:right="215"/>
              <w:spacing w:after="0"/>
              <w:rPr>
                <w:sz w:val="20"/>
                <w:szCs w:val="20"/>
                <w:color w:val="auto"/>
              </w:rPr>
            </w:pPr>
            <w:r>
              <w:rPr>
                <w:rFonts w:ascii="Arial" w:cs="Arial" w:eastAsia="Arial" w:hAnsi="Arial"/>
                <w:sz w:val="13"/>
                <w:szCs w:val="13"/>
                <w:color w:val="auto"/>
              </w:rPr>
              <w:t>106,411</w:t>
            </w:r>
          </w:p>
        </w:tc>
      </w:tr>
    </w:tbl>
    <w:p>
      <w:pPr>
        <w:spacing w:after="0" w:line="72"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Goodwill increased by $56,472 during the year ended July 31, 2005, including an increase of $1,199 attributable to the effects of foreign currency translation and other. The acquisitions of Emed Co, Inc. (“EMED”) and Electromark in the Americas, ID Technologies, Inc. and TPS in Asia-Pacific, and Signs &amp; Labels in Europe resulted in $427, $8,344, $25,926, $2,250 and $18,326 of additional goodwill, respectively.</w:t>
      </w:r>
    </w:p>
    <w:p>
      <w:pPr>
        <w:spacing w:after="0" w:line="67"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Other intangible assets include patents, trademarks, non-compete agreements and other intangible assets with finite lives being amortized in accordance with Statement of Financial Accounting Standards (“SFAS”) No. 142, “Goodwill and Other Intangible Assets.” The net book value of these assets was as follows:</w:t>
      </w:r>
    </w:p>
    <w:p>
      <w:pPr>
        <w:spacing w:after="0" w:line="65"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330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9"/>
                <w:szCs w:val="9"/>
                <w:b w:val="1"/>
                <w:bCs w:val="1"/>
                <w:color w:val="auto"/>
              </w:rPr>
              <w:t>July 31, 2006</w:t>
            </w:r>
          </w:p>
        </w:tc>
        <w:tc>
          <w:tcPr>
            <w:tcW w:w="6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gridSpan w:val="5"/>
          </w:tcPr>
          <w:p>
            <w:pPr>
              <w:jc w:val="right"/>
              <w:ind w:right="780"/>
              <w:spacing w:after="0"/>
              <w:rPr>
                <w:sz w:val="20"/>
                <w:szCs w:val="20"/>
                <w:color w:val="auto"/>
              </w:rPr>
            </w:pPr>
            <w:r>
              <w:rPr>
                <w:rFonts w:ascii="Arial" w:cs="Arial" w:eastAsia="Arial" w:hAnsi="Arial"/>
                <w:sz w:val="9"/>
                <w:szCs w:val="9"/>
                <w:b w:val="1"/>
                <w:bCs w:val="1"/>
                <w:color w:val="auto"/>
              </w:rPr>
              <w:t>July 31, 2005</w:t>
            </w: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75"/>
        </w:trPr>
        <w:tc>
          <w:tcPr>
            <w:tcW w:w="3300" w:type="dxa"/>
            <w:vAlign w:val="bottom"/>
          </w:tcPr>
          <w:p>
            <w:pPr>
              <w:spacing w:after="0"/>
              <w:rPr>
                <w:sz w:val="6"/>
                <w:szCs w:val="6"/>
                <w:color w:val="auto"/>
              </w:rPr>
            </w:pPr>
          </w:p>
        </w:tc>
        <w:tc>
          <w:tcPr>
            <w:tcW w:w="1040" w:type="dxa"/>
            <w:vAlign w:val="bottom"/>
            <w:gridSpan w:val="2"/>
          </w:tcPr>
          <w:p>
            <w:pPr>
              <w:jc w:val="center"/>
              <w:ind w:right="200"/>
              <w:spacing w:after="0" w:line="75" w:lineRule="exact"/>
              <w:rPr>
                <w:sz w:val="20"/>
                <w:szCs w:val="20"/>
                <w:color w:val="auto"/>
              </w:rPr>
            </w:pPr>
            <w:r>
              <w:rPr>
                <w:rFonts w:ascii="Arial" w:cs="Arial" w:eastAsia="Arial" w:hAnsi="Arial"/>
                <w:sz w:val="8"/>
                <w:szCs w:val="8"/>
                <w:b w:val="1"/>
                <w:bCs w:val="1"/>
                <w:color w:val="auto"/>
                <w:w w:val="99"/>
              </w:rPr>
              <w:t>Weighted</w:t>
            </w: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gridSpan w:val="2"/>
          </w:tcPr>
          <w:p>
            <w:pPr>
              <w:jc w:val="center"/>
              <w:ind w:right="180"/>
              <w:spacing w:after="0" w:line="75" w:lineRule="exact"/>
              <w:rPr>
                <w:sz w:val="20"/>
                <w:szCs w:val="20"/>
                <w:color w:val="auto"/>
              </w:rPr>
            </w:pPr>
            <w:r>
              <w:rPr>
                <w:rFonts w:ascii="Arial" w:cs="Arial" w:eastAsia="Arial" w:hAnsi="Arial"/>
                <w:sz w:val="8"/>
                <w:szCs w:val="8"/>
                <w:b w:val="1"/>
                <w:bCs w:val="1"/>
                <w:color w:val="auto"/>
              </w:rPr>
              <w:t>Weighted</w:t>
            </w: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98"/>
        </w:trPr>
        <w:tc>
          <w:tcPr>
            <w:tcW w:w="3300" w:type="dxa"/>
            <w:vAlign w:val="bottom"/>
          </w:tcPr>
          <w:p>
            <w:pPr>
              <w:spacing w:after="0"/>
              <w:rPr>
                <w:sz w:val="8"/>
                <w:szCs w:val="8"/>
                <w:color w:val="auto"/>
              </w:rPr>
            </w:pPr>
          </w:p>
        </w:tc>
        <w:tc>
          <w:tcPr>
            <w:tcW w:w="1040" w:type="dxa"/>
            <w:vAlign w:val="bottom"/>
            <w:gridSpan w:val="2"/>
          </w:tcPr>
          <w:p>
            <w:pPr>
              <w:jc w:val="center"/>
              <w:ind w:right="200"/>
              <w:spacing w:after="0" w:line="98" w:lineRule="exact"/>
              <w:rPr>
                <w:sz w:val="20"/>
                <w:szCs w:val="20"/>
                <w:color w:val="auto"/>
              </w:rPr>
            </w:pPr>
            <w:r>
              <w:rPr>
                <w:rFonts w:ascii="Arial" w:cs="Arial" w:eastAsia="Arial" w:hAnsi="Arial"/>
                <w:sz w:val="9"/>
                <w:szCs w:val="9"/>
                <w:b w:val="1"/>
                <w:bCs w:val="1"/>
                <w:color w:val="auto"/>
                <w:w w:val="89"/>
              </w:rPr>
              <w:t>Average</w:t>
            </w:r>
          </w:p>
        </w:tc>
        <w:tc>
          <w:tcPr>
            <w:tcW w:w="100" w:type="dxa"/>
            <w:vAlign w:val="bottom"/>
          </w:tcPr>
          <w:p>
            <w:pPr>
              <w:spacing w:after="0"/>
              <w:rPr>
                <w:sz w:val="8"/>
                <w:szCs w:val="8"/>
                <w:color w:val="auto"/>
              </w:rPr>
            </w:pPr>
          </w:p>
        </w:tc>
        <w:tc>
          <w:tcPr>
            <w:tcW w:w="720" w:type="dxa"/>
            <w:vAlign w:val="bottom"/>
            <w:gridSpan w:val="2"/>
          </w:tcPr>
          <w:p>
            <w:pPr>
              <w:jc w:val="center"/>
              <w:ind w:right="300"/>
              <w:spacing w:after="0" w:line="98" w:lineRule="exact"/>
              <w:rPr>
                <w:sz w:val="20"/>
                <w:szCs w:val="20"/>
                <w:color w:val="auto"/>
              </w:rPr>
            </w:pPr>
            <w:r>
              <w:rPr>
                <w:rFonts w:ascii="Arial" w:cs="Arial" w:eastAsia="Arial" w:hAnsi="Arial"/>
                <w:sz w:val="9"/>
                <w:szCs w:val="9"/>
                <w:b w:val="1"/>
                <w:bCs w:val="1"/>
                <w:color w:val="auto"/>
                <w:w w:val="84"/>
              </w:rPr>
              <w:t>Gross</w:t>
            </w: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gridSpan w:val="2"/>
          </w:tcPr>
          <w:p>
            <w:pPr>
              <w:jc w:val="center"/>
              <w:ind w:right="200"/>
              <w:spacing w:after="0" w:line="98" w:lineRule="exact"/>
              <w:rPr>
                <w:sz w:val="20"/>
                <w:szCs w:val="20"/>
                <w:color w:val="auto"/>
              </w:rPr>
            </w:pPr>
            <w:r>
              <w:rPr>
                <w:rFonts w:ascii="Arial" w:cs="Arial" w:eastAsia="Arial" w:hAnsi="Arial"/>
                <w:sz w:val="9"/>
                <w:szCs w:val="9"/>
                <w:b w:val="1"/>
                <w:bCs w:val="1"/>
                <w:color w:val="auto"/>
                <w:w w:val="89"/>
              </w:rPr>
              <w:t>Average</w:t>
            </w:r>
          </w:p>
        </w:tc>
        <w:tc>
          <w:tcPr>
            <w:tcW w:w="60" w:type="dxa"/>
            <w:vAlign w:val="bottom"/>
          </w:tcPr>
          <w:p>
            <w:pPr>
              <w:spacing w:after="0"/>
              <w:rPr>
                <w:sz w:val="8"/>
                <w:szCs w:val="8"/>
                <w:color w:val="auto"/>
              </w:rPr>
            </w:pPr>
          </w:p>
        </w:tc>
        <w:tc>
          <w:tcPr>
            <w:tcW w:w="620" w:type="dxa"/>
            <w:vAlign w:val="bottom"/>
            <w:gridSpan w:val="2"/>
          </w:tcPr>
          <w:p>
            <w:pPr>
              <w:jc w:val="center"/>
              <w:ind w:right="240"/>
              <w:spacing w:after="0" w:line="98" w:lineRule="exact"/>
              <w:rPr>
                <w:sz w:val="20"/>
                <w:szCs w:val="20"/>
                <w:color w:val="auto"/>
              </w:rPr>
            </w:pPr>
            <w:r>
              <w:rPr>
                <w:rFonts w:ascii="Arial" w:cs="Arial" w:eastAsia="Arial" w:hAnsi="Arial"/>
                <w:sz w:val="9"/>
                <w:szCs w:val="9"/>
                <w:b w:val="1"/>
                <w:bCs w:val="1"/>
                <w:color w:val="auto"/>
                <w:w w:val="84"/>
              </w:rPr>
              <w:t>Gross</w:t>
            </w: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3300" w:type="dxa"/>
            <w:vAlign w:val="bottom"/>
          </w:tcPr>
          <w:p>
            <w:pPr>
              <w:spacing w:after="0"/>
              <w:rPr>
                <w:sz w:val="8"/>
                <w:szCs w:val="8"/>
                <w:color w:val="auto"/>
              </w:rPr>
            </w:pPr>
          </w:p>
        </w:tc>
        <w:tc>
          <w:tcPr>
            <w:tcW w:w="1040" w:type="dxa"/>
            <w:vAlign w:val="bottom"/>
            <w:gridSpan w:val="2"/>
          </w:tcPr>
          <w:p>
            <w:pPr>
              <w:jc w:val="center"/>
              <w:ind w:right="200"/>
              <w:spacing w:after="0" w:line="98" w:lineRule="exact"/>
              <w:rPr>
                <w:sz w:val="20"/>
                <w:szCs w:val="20"/>
                <w:color w:val="auto"/>
              </w:rPr>
            </w:pPr>
            <w:r>
              <w:rPr>
                <w:rFonts w:ascii="Arial" w:cs="Arial" w:eastAsia="Arial" w:hAnsi="Arial"/>
                <w:sz w:val="9"/>
                <w:szCs w:val="9"/>
                <w:b w:val="1"/>
                <w:bCs w:val="1"/>
                <w:color w:val="auto"/>
                <w:w w:val="94"/>
              </w:rPr>
              <w:t>Amortization</w:t>
            </w:r>
          </w:p>
        </w:tc>
        <w:tc>
          <w:tcPr>
            <w:tcW w:w="100" w:type="dxa"/>
            <w:vAlign w:val="bottom"/>
          </w:tcPr>
          <w:p>
            <w:pPr>
              <w:spacing w:after="0"/>
              <w:rPr>
                <w:sz w:val="8"/>
                <w:szCs w:val="8"/>
                <w:color w:val="auto"/>
              </w:rPr>
            </w:pPr>
          </w:p>
        </w:tc>
        <w:tc>
          <w:tcPr>
            <w:tcW w:w="720" w:type="dxa"/>
            <w:vAlign w:val="bottom"/>
            <w:gridSpan w:val="2"/>
          </w:tcPr>
          <w:p>
            <w:pPr>
              <w:jc w:val="center"/>
              <w:ind w:right="320"/>
              <w:spacing w:after="0" w:line="98" w:lineRule="exact"/>
              <w:rPr>
                <w:sz w:val="20"/>
                <w:szCs w:val="20"/>
                <w:color w:val="auto"/>
              </w:rPr>
            </w:pPr>
            <w:r>
              <w:rPr>
                <w:rFonts w:ascii="Arial" w:cs="Arial" w:eastAsia="Arial" w:hAnsi="Arial"/>
                <w:sz w:val="9"/>
                <w:szCs w:val="9"/>
                <w:b w:val="1"/>
                <w:bCs w:val="1"/>
                <w:color w:val="auto"/>
                <w:w w:val="97"/>
              </w:rPr>
              <w:t>Carrying</w:t>
            </w:r>
          </w:p>
        </w:tc>
        <w:tc>
          <w:tcPr>
            <w:tcW w:w="80" w:type="dxa"/>
            <w:vAlign w:val="bottom"/>
          </w:tcPr>
          <w:p>
            <w:pPr>
              <w:spacing w:after="0"/>
              <w:rPr>
                <w:sz w:val="8"/>
                <w:szCs w:val="8"/>
                <w:color w:val="auto"/>
              </w:rPr>
            </w:pPr>
          </w:p>
        </w:tc>
        <w:tc>
          <w:tcPr>
            <w:tcW w:w="800" w:type="dxa"/>
            <w:vAlign w:val="bottom"/>
            <w:gridSpan w:val="2"/>
          </w:tcPr>
          <w:p>
            <w:pPr>
              <w:jc w:val="right"/>
              <w:ind w:right="280"/>
              <w:spacing w:after="0" w:line="98" w:lineRule="exact"/>
              <w:rPr>
                <w:sz w:val="20"/>
                <w:szCs w:val="20"/>
                <w:color w:val="auto"/>
              </w:rPr>
            </w:pPr>
            <w:r>
              <w:rPr>
                <w:rFonts w:ascii="Arial" w:cs="Arial" w:eastAsia="Arial" w:hAnsi="Arial"/>
                <w:sz w:val="9"/>
                <w:szCs w:val="9"/>
                <w:b w:val="1"/>
                <w:bCs w:val="1"/>
                <w:color w:val="auto"/>
                <w:w w:val="88"/>
              </w:rPr>
              <w:t>Accumulated</w:t>
            </w:r>
          </w:p>
        </w:tc>
        <w:tc>
          <w:tcPr>
            <w:tcW w:w="80" w:type="dxa"/>
            <w:vAlign w:val="bottom"/>
          </w:tcPr>
          <w:p>
            <w:pPr>
              <w:spacing w:after="0"/>
              <w:rPr>
                <w:sz w:val="8"/>
                <w:szCs w:val="8"/>
                <w:color w:val="auto"/>
              </w:rPr>
            </w:pPr>
          </w:p>
        </w:tc>
        <w:tc>
          <w:tcPr>
            <w:tcW w:w="700" w:type="dxa"/>
            <w:vAlign w:val="bottom"/>
            <w:gridSpan w:val="2"/>
          </w:tcPr>
          <w:p>
            <w:pPr>
              <w:jc w:val="center"/>
              <w:ind w:right="260"/>
              <w:spacing w:after="0" w:line="98" w:lineRule="exact"/>
              <w:rPr>
                <w:sz w:val="20"/>
                <w:szCs w:val="20"/>
                <w:color w:val="auto"/>
              </w:rPr>
            </w:pPr>
            <w:r>
              <w:rPr>
                <w:rFonts w:ascii="Arial" w:cs="Arial" w:eastAsia="Arial" w:hAnsi="Arial"/>
                <w:sz w:val="9"/>
                <w:szCs w:val="9"/>
                <w:b w:val="1"/>
                <w:bCs w:val="1"/>
                <w:color w:val="auto"/>
                <w:w w:val="91"/>
              </w:rPr>
              <w:t>Net Book</w:t>
            </w:r>
          </w:p>
        </w:tc>
        <w:tc>
          <w:tcPr>
            <w:tcW w:w="1000" w:type="dxa"/>
            <w:vAlign w:val="bottom"/>
            <w:gridSpan w:val="2"/>
          </w:tcPr>
          <w:p>
            <w:pPr>
              <w:jc w:val="center"/>
              <w:ind w:right="180"/>
              <w:spacing w:after="0" w:line="98" w:lineRule="exact"/>
              <w:rPr>
                <w:sz w:val="20"/>
                <w:szCs w:val="20"/>
                <w:color w:val="auto"/>
              </w:rPr>
            </w:pPr>
            <w:r>
              <w:rPr>
                <w:rFonts w:ascii="Arial" w:cs="Arial" w:eastAsia="Arial" w:hAnsi="Arial"/>
                <w:sz w:val="9"/>
                <w:szCs w:val="9"/>
                <w:b w:val="1"/>
                <w:bCs w:val="1"/>
                <w:color w:val="auto"/>
                <w:w w:val="98"/>
              </w:rPr>
              <w:t>Amortization</w:t>
            </w:r>
          </w:p>
        </w:tc>
        <w:tc>
          <w:tcPr>
            <w:tcW w:w="60" w:type="dxa"/>
            <w:vAlign w:val="bottom"/>
          </w:tcPr>
          <w:p>
            <w:pPr>
              <w:spacing w:after="0"/>
              <w:rPr>
                <w:sz w:val="8"/>
                <w:szCs w:val="8"/>
                <w:color w:val="auto"/>
              </w:rPr>
            </w:pPr>
          </w:p>
        </w:tc>
        <w:tc>
          <w:tcPr>
            <w:tcW w:w="620" w:type="dxa"/>
            <w:vAlign w:val="bottom"/>
            <w:gridSpan w:val="2"/>
          </w:tcPr>
          <w:p>
            <w:pPr>
              <w:jc w:val="center"/>
              <w:ind w:right="260"/>
              <w:spacing w:after="0" w:line="98" w:lineRule="exact"/>
              <w:rPr>
                <w:sz w:val="20"/>
                <w:szCs w:val="20"/>
                <w:color w:val="auto"/>
              </w:rPr>
            </w:pPr>
            <w:r>
              <w:rPr>
                <w:rFonts w:ascii="Arial" w:cs="Arial" w:eastAsia="Arial" w:hAnsi="Arial"/>
                <w:sz w:val="9"/>
                <w:szCs w:val="9"/>
                <w:b w:val="1"/>
                <w:bCs w:val="1"/>
                <w:color w:val="auto"/>
                <w:w w:val="97"/>
              </w:rPr>
              <w:t>Carrying</w:t>
            </w:r>
          </w:p>
        </w:tc>
        <w:tc>
          <w:tcPr>
            <w:tcW w:w="80" w:type="dxa"/>
            <w:vAlign w:val="bottom"/>
          </w:tcPr>
          <w:p>
            <w:pPr>
              <w:spacing w:after="0"/>
              <w:rPr>
                <w:sz w:val="8"/>
                <w:szCs w:val="8"/>
                <w:color w:val="auto"/>
              </w:rPr>
            </w:pPr>
          </w:p>
        </w:tc>
        <w:tc>
          <w:tcPr>
            <w:tcW w:w="820" w:type="dxa"/>
            <w:vAlign w:val="bottom"/>
            <w:gridSpan w:val="2"/>
          </w:tcPr>
          <w:p>
            <w:pPr>
              <w:jc w:val="right"/>
              <w:ind w:right="280"/>
              <w:spacing w:after="0" w:line="98" w:lineRule="exact"/>
              <w:rPr>
                <w:sz w:val="20"/>
                <w:szCs w:val="20"/>
                <w:color w:val="auto"/>
              </w:rPr>
            </w:pPr>
            <w:r>
              <w:rPr>
                <w:rFonts w:ascii="Arial" w:cs="Arial" w:eastAsia="Arial" w:hAnsi="Arial"/>
                <w:sz w:val="9"/>
                <w:szCs w:val="9"/>
                <w:b w:val="1"/>
                <w:bCs w:val="1"/>
                <w:color w:val="auto"/>
                <w:w w:val="91"/>
              </w:rPr>
              <w:t>Accumulated</w:t>
            </w:r>
          </w:p>
        </w:tc>
        <w:tc>
          <w:tcPr>
            <w:tcW w:w="60" w:type="dxa"/>
            <w:vAlign w:val="bottom"/>
          </w:tcPr>
          <w:p>
            <w:pPr>
              <w:spacing w:after="0"/>
              <w:rPr>
                <w:sz w:val="8"/>
                <w:szCs w:val="8"/>
                <w:color w:val="auto"/>
              </w:rPr>
            </w:pPr>
          </w:p>
        </w:tc>
        <w:tc>
          <w:tcPr>
            <w:tcW w:w="520" w:type="dxa"/>
            <w:vAlign w:val="bottom"/>
            <w:gridSpan w:val="2"/>
          </w:tcPr>
          <w:p>
            <w:pPr>
              <w:jc w:val="right"/>
              <w:ind w:right="160"/>
              <w:spacing w:after="0" w:line="98" w:lineRule="exact"/>
              <w:rPr>
                <w:sz w:val="20"/>
                <w:szCs w:val="20"/>
                <w:color w:val="auto"/>
              </w:rPr>
            </w:pPr>
            <w:r>
              <w:rPr>
                <w:rFonts w:ascii="Arial" w:cs="Arial" w:eastAsia="Arial" w:hAnsi="Arial"/>
                <w:sz w:val="9"/>
                <w:szCs w:val="9"/>
                <w:b w:val="1"/>
                <w:bCs w:val="1"/>
                <w:color w:val="auto"/>
                <w:w w:val="85"/>
              </w:rPr>
              <w:t>Net Book</w:t>
            </w:r>
          </w:p>
        </w:tc>
      </w:tr>
      <w:tr>
        <w:trPr>
          <w:trHeight w:val="111"/>
        </w:trPr>
        <w:tc>
          <w:tcPr>
            <w:tcW w:w="3300" w:type="dxa"/>
            <w:vAlign w:val="bottom"/>
          </w:tcPr>
          <w:p>
            <w:pPr>
              <w:spacing w:after="0"/>
              <w:rPr>
                <w:sz w:val="9"/>
                <w:szCs w:val="9"/>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1"/>
              </w:rPr>
              <w:t>Period (Years)</w:t>
            </w:r>
          </w:p>
        </w:tc>
        <w:tc>
          <w:tcPr>
            <w:tcW w:w="100" w:type="dxa"/>
            <w:vAlign w:val="bottom"/>
          </w:tcPr>
          <w:p>
            <w:pPr>
              <w:spacing w:after="0"/>
              <w:rPr>
                <w:sz w:val="9"/>
                <w:szCs w:val="9"/>
                <w:color w:val="auto"/>
              </w:rPr>
            </w:pPr>
          </w:p>
        </w:tc>
        <w:tc>
          <w:tcPr>
            <w:tcW w:w="720" w:type="dxa"/>
            <w:vAlign w:val="bottom"/>
            <w:gridSpan w:val="2"/>
          </w:tcPr>
          <w:p>
            <w:pPr>
              <w:jc w:val="center"/>
              <w:ind w:right="320"/>
              <w:spacing w:after="0"/>
              <w:rPr>
                <w:sz w:val="20"/>
                <w:szCs w:val="20"/>
                <w:color w:val="auto"/>
              </w:rPr>
            </w:pPr>
            <w:r>
              <w:rPr>
                <w:rFonts w:ascii="Arial" w:cs="Arial" w:eastAsia="Arial" w:hAnsi="Arial"/>
                <w:sz w:val="9"/>
                <w:szCs w:val="9"/>
                <w:b w:val="1"/>
                <w:bCs w:val="1"/>
                <w:color w:val="auto"/>
                <w:w w:val="93"/>
              </w:rPr>
              <w:t>Amount</w:t>
            </w:r>
          </w:p>
        </w:tc>
        <w:tc>
          <w:tcPr>
            <w:tcW w:w="80" w:type="dxa"/>
            <w:vAlign w:val="bottom"/>
          </w:tcPr>
          <w:p>
            <w:pPr>
              <w:spacing w:after="0"/>
              <w:rPr>
                <w:sz w:val="9"/>
                <w:szCs w:val="9"/>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9"/>
                <w:szCs w:val="9"/>
                <w:b w:val="1"/>
                <w:bCs w:val="1"/>
                <w:color w:val="auto"/>
                <w:w w:val="90"/>
              </w:rPr>
              <w:t>Amortization</w:t>
            </w:r>
          </w:p>
        </w:tc>
        <w:tc>
          <w:tcPr>
            <w:tcW w:w="80" w:type="dxa"/>
            <w:vAlign w:val="bottom"/>
          </w:tcPr>
          <w:p>
            <w:pPr>
              <w:spacing w:after="0"/>
              <w:rPr>
                <w:sz w:val="9"/>
                <w:szCs w:val="9"/>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1"/>
              </w:rPr>
              <w:t>Value</w:t>
            </w:r>
          </w:p>
        </w:tc>
        <w:tc>
          <w:tcPr>
            <w:tcW w:w="100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1"/>
              </w:rPr>
              <w:t>Period (Years)</w:t>
            </w:r>
          </w:p>
        </w:tc>
        <w:tc>
          <w:tcPr>
            <w:tcW w:w="60" w:type="dxa"/>
            <w:vAlign w:val="bottom"/>
          </w:tcPr>
          <w:p>
            <w:pPr>
              <w:spacing w:after="0"/>
              <w:rPr>
                <w:sz w:val="9"/>
                <w:szCs w:val="9"/>
                <w:color w:val="auto"/>
              </w:rPr>
            </w:pPr>
          </w:p>
        </w:tc>
        <w:tc>
          <w:tcPr>
            <w:tcW w:w="62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3"/>
              </w:rPr>
              <w:t>Amount</w:t>
            </w:r>
          </w:p>
        </w:tc>
        <w:tc>
          <w:tcPr>
            <w:tcW w:w="80" w:type="dxa"/>
            <w:vAlign w:val="bottom"/>
          </w:tcPr>
          <w:p>
            <w:pPr>
              <w:spacing w:after="0"/>
              <w:rPr>
                <w:sz w:val="9"/>
                <w:szCs w:val="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9"/>
                <w:szCs w:val="9"/>
                <w:b w:val="1"/>
                <w:bCs w:val="1"/>
                <w:color w:val="auto"/>
                <w:w w:val="94"/>
              </w:rPr>
              <w:t>Amortization</w:t>
            </w:r>
          </w:p>
        </w:tc>
        <w:tc>
          <w:tcPr>
            <w:tcW w:w="60" w:type="dxa"/>
            <w:vAlign w:val="bottom"/>
          </w:tcPr>
          <w:p>
            <w:pPr>
              <w:spacing w:after="0"/>
              <w:rPr>
                <w:sz w:val="9"/>
                <w:szCs w:val="9"/>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9"/>
                <w:szCs w:val="9"/>
                <w:b w:val="1"/>
                <w:bCs w:val="1"/>
                <w:color w:val="auto"/>
              </w:rPr>
              <w:t>Value</w:t>
            </w:r>
          </w:p>
        </w:tc>
      </w:tr>
      <w:tr>
        <w:trPr>
          <w:trHeight w:val="29"/>
        </w:trPr>
        <w:tc>
          <w:tcPr>
            <w:tcW w:w="330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47"/>
        </w:trPr>
        <w:tc>
          <w:tcPr>
            <w:tcW w:w="3300" w:type="dxa"/>
            <w:vAlign w:val="bottom"/>
            <w:shd w:val="clear" w:color="auto" w:fill="CCEEFF"/>
          </w:tcPr>
          <w:p>
            <w:pPr>
              <w:spacing w:after="0"/>
              <w:rPr>
                <w:sz w:val="20"/>
                <w:szCs w:val="20"/>
                <w:color w:val="auto"/>
              </w:rPr>
            </w:pPr>
            <w:r>
              <w:rPr>
                <w:rFonts w:ascii="Arial" w:cs="Arial" w:eastAsia="Arial" w:hAnsi="Arial"/>
                <w:sz w:val="12"/>
                <w:szCs w:val="12"/>
                <w:color w:val="auto"/>
              </w:rPr>
              <w:t>Amortized other intangible assets:</w:t>
            </w: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7"/>
        </w:trPr>
        <w:tc>
          <w:tcPr>
            <w:tcW w:w="3300" w:type="dxa"/>
            <w:vAlign w:val="bottom"/>
          </w:tcPr>
          <w:p>
            <w:pPr>
              <w:ind w:left="120"/>
              <w:spacing w:after="0"/>
              <w:rPr>
                <w:sz w:val="20"/>
                <w:szCs w:val="20"/>
                <w:color w:val="auto"/>
              </w:rPr>
            </w:pPr>
            <w:r>
              <w:rPr>
                <w:rFonts w:ascii="Arial" w:cs="Arial" w:eastAsia="Arial" w:hAnsi="Arial"/>
                <w:sz w:val="12"/>
                <w:szCs w:val="12"/>
                <w:color w:val="auto"/>
              </w:rPr>
              <w:t>Patents</w:t>
            </w: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15</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7,885</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(5,134)</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2,751</w:t>
            </w: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16</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tcPr>
          <w:p>
            <w:pPr>
              <w:jc w:val="right"/>
              <w:ind w:right="180"/>
              <w:spacing w:after="0"/>
              <w:rPr>
                <w:sz w:val="20"/>
                <w:szCs w:val="20"/>
                <w:color w:val="auto"/>
              </w:rPr>
            </w:pPr>
            <w:r>
              <w:rPr>
                <w:rFonts w:ascii="Arial" w:cs="Arial" w:eastAsia="Arial" w:hAnsi="Arial"/>
                <w:sz w:val="12"/>
                <w:szCs w:val="12"/>
                <w:color w:val="auto"/>
              </w:rPr>
              <w:t>6,830</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(4,525)</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2,305</w:t>
            </w:r>
          </w:p>
        </w:tc>
      </w:tr>
      <w:tr>
        <w:trPr>
          <w:trHeight w:val="147"/>
        </w:trPr>
        <w:tc>
          <w:tcPr>
            <w:tcW w:w="3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Trademarks and other</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3,328</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(2,106)</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1,222</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1,370</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(1,134)</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236</w:t>
            </w:r>
          </w:p>
        </w:tc>
      </w:tr>
      <w:tr>
        <w:trPr>
          <w:trHeight w:val="147"/>
        </w:trPr>
        <w:tc>
          <w:tcPr>
            <w:tcW w:w="3300" w:type="dxa"/>
            <w:vAlign w:val="bottom"/>
          </w:tcPr>
          <w:p>
            <w:pPr>
              <w:ind w:left="120"/>
              <w:spacing w:after="0"/>
              <w:rPr>
                <w:sz w:val="20"/>
                <w:szCs w:val="20"/>
                <w:color w:val="auto"/>
              </w:rPr>
            </w:pPr>
            <w:r>
              <w:rPr>
                <w:rFonts w:ascii="Arial" w:cs="Arial" w:eastAsia="Arial" w:hAnsi="Arial"/>
                <w:sz w:val="12"/>
                <w:szCs w:val="12"/>
                <w:color w:val="auto"/>
              </w:rPr>
              <w:t>Customer relationships</w:t>
            </w: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109,955</w:t>
            </w:r>
          </w:p>
        </w:tc>
        <w:tc>
          <w:tcPr>
            <w:tcW w:w="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(17,693)</w:t>
            </w:r>
          </w:p>
        </w:tc>
        <w:tc>
          <w:tcPr>
            <w:tcW w:w="8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92,262</w:t>
            </w: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8</w:t>
            </w:r>
          </w:p>
        </w:tc>
        <w:tc>
          <w:tcPr>
            <w:tcW w:w="60" w:type="dxa"/>
            <w:vAlign w:val="bottom"/>
          </w:tcPr>
          <w:p>
            <w:pPr>
              <w:spacing w:after="0"/>
              <w:rPr>
                <w:sz w:val="12"/>
                <w:szCs w:val="12"/>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2"/>
                <w:szCs w:val="12"/>
                <w:color w:val="auto"/>
              </w:rPr>
              <w:t>51,211</w:t>
            </w:r>
          </w:p>
        </w:tc>
        <w:tc>
          <w:tcPr>
            <w:tcW w:w="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(7,244)</w:t>
            </w:r>
          </w:p>
        </w:tc>
        <w:tc>
          <w:tcPr>
            <w:tcW w:w="6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43,967</w:t>
            </w:r>
          </w:p>
        </w:tc>
      </w:tr>
      <w:tr>
        <w:trPr>
          <w:trHeight w:val="147"/>
        </w:trPr>
        <w:tc>
          <w:tcPr>
            <w:tcW w:w="3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Purchased software</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3,288</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(1,887)</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1,401</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3,148</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(1,353)</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1,795</w:t>
            </w:r>
          </w:p>
        </w:tc>
      </w:tr>
      <w:tr>
        <w:trPr>
          <w:trHeight w:val="147"/>
        </w:trPr>
        <w:tc>
          <w:tcPr>
            <w:tcW w:w="3300" w:type="dxa"/>
            <w:vAlign w:val="bottom"/>
          </w:tcPr>
          <w:p>
            <w:pPr>
              <w:ind w:left="120"/>
              <w:spacing w:after="0"/>
              <w:rPr>
                <w:sz w:val="20"/>
                <w:szCs w:val="20"/>
                <w:color w:val="auto"/>
              </w:rPr>
            </w:pPr>
            <w:r>
              <w:rPr>
                <w:rFonts w:ascii="Arial" w:cs="Arial" w:eastAsia="Arial" w:hAnsi="Arial"/>
                <w:sz w:val="12"/>
                <w:szCs w:val="12"/>
                <w:color w:val="auto"/>
              </w:rPr>
              <w:t>Non-compete agreements</w:t>
            </w: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2"/>
                <w:szCs w:val="12"/>
                <w:color w:val="auto"/>
              </w:rPr>
              <w:t>9,757</w:t>
            </w:r>
          </w:p>
        </w:tc>
        <w:tc>
          <w:tcPr>
            <w:tcW w:w="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(4,448)</w:t>
            </w:r>
          </w:p>
        </w:tc>
        <w:tc>
          <w:tcPr>
            <w:tcW w:w="8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5,309</w:t>
            </w: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4</w:t>
            </w:r>
          </w:p>
        </w:tc>
        <w:tc>
          <w:tcPr>
            <w:tcW w:w="60" w:type="dxa"/>
            <w:vAlign w:val="bottom"/>
          </w:tcPr>
          <w:p>
            <w:pPr>
              <w:spacing w:after="0"/>
              <w:rPr>
                <w:sz w:val="12"/>
                <w:szCs w:val="12"/>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2"/>
                <w:szCs w:val="12"/>
                <w:color w:val="auto"/>
              </w:rPr>
              <w:t>6,216</w:t>
            </w:r>
          </w:p>
        </w:tc>
        <w:tc>
          <w:tcPr>
            <w:tcW w:w="8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(3,212)</w:t>
            </w:r>
          </w:p>
        </w:tc>
        <w:tc>
          <w:tcPr>
            <w:tcW w:w="6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3,004</w:t>
            </w:r>
          </w:p>
        </w:tc>
      </w:tr>
      <w:tr>
        <w:trPr>
          <w:trHeight w:val="147"/>
        </w:trPr>
        <w:tc>
          <w:tcPr>
            <w:tcW w:w="3300" w:type="dxa"/>
            <w:vAlign w:val="bottom"/>
            <w:shd w:val="clear" w:color="auto" w:fill="CCEEFF"/>
          </w:tcPr>
          <w:p>
            <w:pPr>
              <w:spacing w:after="0"/>
              <w:rPr>
                <w:sz w:val="20"/>
                <w:szCs w:val="20"/>
                <w:color w:val="auto"/>
              </w:rPr>
            </w:pPr>
            <w:r>
              <w:rPr>
                <w:rFonts w:ascii="Arial" w:cs="Arial" w:eastAsia="Arial" w:hAnsi="Arial"/>
                <w:sz w:val="12"/>
                <w:szCs w:val="12"/>
                <w:color w:val="auto"/>
              </w:rPr>
              <w:t>Unamortized other intangible assets:</w:t>
            </w: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7"/>
        </w:trPr>
        <w:tc>
          <w:tcPr>
            <w:tcW w:w="3300" w:type="dxa"/>
            <w:vAlign w:val="bottom"/>
          </w:tcPr>
          <w:p>
            <w:pPr>
              <w:ind w:left="120"/>
              <w:spacing w:after="0"/>
              <w:rPr>
                <w:sz w:val="20"/>
                <w:szCs w:val="20"/>
                <w:color w:val="auto"/>
              </w:rPr>
            </w:pPr>
            <w:r>
              <w:rPr>
                <w:rFonts w:ascii="Arial" w:cs="Arial" w:eastAsia="Arial" w:hAnsi="Arial"/>
                <w:sz w:val="12"/>
                <w:szCs w:val="12"/>
                <w:color w:val="auto"/>
              </w:rPr>
              <w:t>Trademarks</w:t>
            </w: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N/A</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31,166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31,166</w:t>
            </w: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N/A</w:t>
            </w:r>
          </w:p>
        </w:tc>
        <w:tc>
          <w:tcPr>
            <w:tcW w:w="60" w:type="dxa"/>
            <w:vAlign w:val="bottom"/>
          </w:tcPr>
          <w:p>
            <w:pPr>
              <w:spacing w:after="0"/>
              <w:rPr>
                <w:sz w:val="12"/>
                <w:szCs w:val="12"/>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2"/>
                <w:szCs w:val="12"/>
                <w:color w:val="auto"/>
              </w:rPr>
              <w:t>20,340</w:t>
            </w:r>
          </w:p>
        </w:tc>
        <w:tc>
          <w:tcPr>
            <w:tcW w:w="8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20,340</w:t>
            </w:r>
          </w:p>
        </w:tc>
      </w:tr>
      <w:tr>
        <w:trPr>
          <w:trHeight w:val="20"/>
        </w:trPr>
        <w:tc>
          <w:tcPr>
            <w:tcW w:w="3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3300" w:type="dxa"/>
            <w:vAlign w:val="bottom"/>
            <w:shd w:val="clear" w:color="auto" w:fill="CCEEFF"/>
          </w:tcPr>
          <w:p>
            <w:pPr>
              <w:spacing w:after="0"/>
              <w:rPr>
                <w:sz w:val="20"/>
                <w:szCs w:val="20"/>
                <w:color w:val="auto"/>
              </w:rPr>
            </w:pPr>
            <w:r>
              <w:rPr>
                <w:rFonts w:ascii="Arial" w:cs="Arial" w:eastAsia="Arial" w:hAnsi="Arial"/>
                <w:sz w:val="12"/>
                <w:szCs w:val="12"/>
                <w:color w:val="auto"/>
              </w:rPr>
              <w:t>Total</w:t>
            </w: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165,379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(31,268)</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134,111</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89,115</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(17,468)</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71,647</w:t>
            </w:r>
          </w:p>
        </w:tc>
      </w:tr>
      <w:tr>
        <w:trPr>
          <w:trHeight w:val="29"/>
        </w:trPr>
        <w:tc>
          <w:tcPr>
            <w:tcW w:w="3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acquisitions completed in fiscal 2006 (see Note 2 for more information) attributed to the increases in each of the categories of other intangible assets listed above. The largest</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components of the increase in customer relationships relates to the acquisitions of Tradex, Personnel Concepts, Daewon, IDenticard, and Carroll which added $25,076, $6,000, $5,300,</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$5,210, and $4,512, respectively. These assets will be amortized over a weight average amortization period of six years. The increase in non-compete agreements is primarily attributable to</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w:t>
      </w:r>
    </w:p>
    <w:p>
      <w:pPr>
        <w:spacing w:after="0" w:line="29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BRADY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ind w:left="680" w:right="360"/>
        <w:spacing w:after="0" w:line="276" w:lineRule="auto"/>
        <w:rPr>
          <w:sz w:val="20"/>
          <w:szCs w:val="20"/>
          <w:color w:val="auto"/>
        </w:rPr>
      </w:pPr>
      <w:r>
        <w:rPr>
          <w:rFonts w:ascii="Arial" w:cs="Arial" w:eastAsia="Arial" w:hAnsi="Arial"/>
          <w:sz w:val="13"/>
          <w:szCs w:val="13"/>
          <w:color w:val="auto"/>
        </w:rPr>
        <w:t>Carroll acquisition, which added $1,594. It will be amortized over a five year life. The increase in unamortized trademarks relates mainly to the acquisitions of Personnel Concepts and IDenticard, adding $7,900 and $1,680, respectively.</w:t>
      </w:r>
    </w:p>
    <w:p>
      <w:pPr>
        <w:spacing w:after="0" w:line="59" w:lineRule="exact"/>
        <w:rPr>
          <w:sz w:val="20"/>
          <w:szCs w:val="20"/>
          <w:color w:val="auto"/>
        </w:rPr>
      </w:pPr>
    </w:p>
    <w:p>
      <w:pPr>
        <w:ind w:left="680" w:right="120" w:firstLine="399"/>
        <w:spacing w:after="0" w:line="320" w:lineRule="auto"/>
        <w:rPr>
          <w:sz w:val="20"/>
          <w:szCs w:val="20"/>
          <w:color w:val="auto"/>
        </w:rPr>
      </w:pPr>
      <w:r>
        <w:rPr>
          <w:rFonts w:ascii="Arial" w:cs="Arial" w:eastAsia="Arial" w:hAnsi="Arial"/>
          <w:sz w:val="12"/>
          <w:szCs w:val="12"/>
          <w:color w:val="auto"/>
        </w:rPr>
        <w:t>The value of goodwill and other intangible assets in the consolidated balance sheet at July 31, 2006 differs from the value assigned to them in the allocation of purchase price due to the effect of fluctuations in the exchange rates used to translate financial statements into the United States Dollar between the date of acquisition and July 31, 2006.</w:t>
      </w:r>
    </w:p>
    <w:p>
      <w:pPr>
        <w:spacing w:after="0" w:line="35"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Amortization expense of intangible assets during fiscal 2006, 2005, and 2004 was $13,633, $7,935, and $2,965, respectively. The amortization over each of the next five fiscal years is projected to be $19,370, $18,662, $18,098, $17,046 and $13,638 for the years ending July 31, 2007, 2008, 2009, 2010 and 2011, respectively.</w:t>
      </w:r>
    </w:p>
    <w:p>
      <w:pPr>
        <w:spacing w:after="0" w:line="59"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i w:val="1"/>
          <w:iCs w:val="1"/>
          <w:color w:val="auto"/>
        </w:rPr>
        <w:t xml:space="preserve">Impairment of Long-Lived and Other Intangible Assets </w:t>
      </w:r>
      <w:r>
        <w:rPr>
          <w:rFonts w:ascii="Arial" w:cs="Arial" w:eastAsia="Arial" w:hAnsi="Arial"/>
          <w:sz w:val="13"/>
          <w:szCs w:val="13"/>
          <w:color w:val="auto"/>
        </w:rPr>
        <w:t>— The Company evaluates whether events and circumstances have occurred that indicate the remaining estimated useful life</w:t>
      </w:r>
      <w:r>
        <w:rPr>
          <w:rFonts w:ascii="Arial" w:cs="Arial" w:eastAsia="Arial" w:hAnsi="Arial"/>
          <w:sz w:val="13"/>
          <w:szCs w:val="13"/>
          <w:i w:val="1"/>
          <w:iCs w:val="1"/>
          <w:color w:val="auto"/>
        </w:rPr>
        <w:t xml:space="preserve"> </w:t>
      </w:r>
      <w:r>
        <w:rPr>
          <w:rFonts w:ascii="Arial" w:cs="Arial" w:eastAsia="Arial" w:hAnsi="Arial"/>
          <w:sz w:val="13"/>
          <w:szCs w:val="13"/>
          <w:color w:val="auto"/>
        </w:rPr>
        <w:t>of long-lived and other finite- lived intangible assets may warrant revision or that the remaining balance of an asset may not be recoverable. The measurement of possible impairment is based on fair value of the assets generally estimated by the ability to recover the balance of assets from expected future operating cash flows on an undiscounted basis. If an impairment is determined to exist, any related impairment loss is calculated based on the fair value of the asset. Based on the assessments completed in fiscal 2006, there have been no indications of impairment in the Company’s long-lived and other intangible assets.</w:t>
      </w:r>
    </w:p>
    <w:p>
      <w:pPr>
        <w:spacing w:after="0" w:line="71"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i w:val="1"/>
          <w:iCs w:val="1"/>
          <w:color w:val="auto"/>
        </w:rPr>
        <w:t xml:space="preserve">Impairment of Goodwill </w:t>
      </w:r>
      <w:r>
        <w:rPr>
          <w:rFonts w:ascii="Arial" w:cs="Arial" w:eastAsia="Arial" w:hAnsi="Arial"/>
          <w:sz w:val="13"/>
          <w:szCs w:val="13"/>
          <w:color w:val="auto"/>
        </w:rPr>
        <w:t>— The Company evaluates goodwill under SFAS No. 142, which addresses the financial accounting and reporting standards for the acquisition of intangible</w:t>
      </w:r>
      <w:r>
        <w:rPr>
          <w:rFonts w:ascii="Arial" w:cs="Arial" w:eastAsia="Arial" w:hAnsi="Arial"/>
          <w:sz w:val="13"/>
          <w:szCs w:val="13"/>
          <w:i w:val="1"/>
          <w:iCs w:val="1"/>
          <w:color w:val="auto"/>
        </w:rPr>
        <w:t xml:space="preserve"> </w:t>
      </w:r>
      <w:r>
        <w:rPr>
          <w:rFonts w:ascii="Arial" w:cs="Arial" w:eastAsia="Arial" w:hAnsi="Arial"/>
          <w:sz w:val="13"/>
          <w:szCs w:val="13"/>
          <w:color w:val="auto"/>
        </w:rPr>
        <w:t>assets outside of a business combination and for goodwill and other intangible assets subsequent to their acquisition. This accounting standard requires that goodwill not be amortized, but instead be tested for impairment on at least an annual basis.</w:t>
      </w:r>
    </w:p>
    <w:p>
      <w:pPr>
        <w:spacing w:after="0" w:line="67"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The Company performed its annual assessments in the fourth quarter of the fiscal year. The assessments included comparing the carrying amount of net assets, including goodwill, of each reporting unit to its respective fair value as of the date of the assessment. Fair value was estimated based upon discounted cash flow analyses. Because the estimated fair value of each of the Company’s reporting units exceeded its carrying amount, management believes that no impairment existed as of the date of the latest assessment. No indications of impairment have been identified between the date of the latest assessment and July 31, 2006.</w:t>
      </w:r>
    </w:p>
    <w:p>
      <w:pPr>
        <w:spacing w:after="0" w:line="70"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i w:val="1"/>
          <w:iCs w:val="1"/>
          <w:color w:val="auto"/>
        </w:rPr>
        <w:t xml:space="preserve">Catalog Costs </w:t>
      </w:r>
      <w:r>
        <w:rPr>
          <w:rFonts w:ascii="Arial" w:cs="Arial" w:eastAsia="Arial" w:hAnsi="Arial"/>
          <w:sz w:val="13"/>
          <w:szCs w:val="13"/>
          <w:color w:val="auto"/>
        </w:rPr>
        <w:t>— Direct response catalog costs are primarily capitalized and amortized over the estimated useful lives of the publications (generally less than one year). Non-direct</w:t>
      </w:r>
      <w:r>
        <w:rPr>
          <w:rFonts w:ascii="Arial" w:cs="Arial" w:eastAsia="Arial" w:hAnsi="Arial"/>
          <w:sz w:val="13"/>
          <w:szCs w:val="13"/>
          <w:i w:val="1"/>
          <w:iCs w:val="1"/>
          <w:color w:val="auto"/>
        </w:rPr>
        <w:t xml:space="preserve"> </w:t>
      </w:r>
      <w:r>
        <w:rPr>
          <w:rFonts w:ascii="Arial" w:cs="Arial" w:eastAsia="Arial" w:hAnsi="Arial"/>
          <w:sz w:val="13"/>
          <w:szCs w:val="13"/>
          <w:color w:val="auto"/>
        </w:rPr>
        <w:t>response catalog costs are recorded as prepaid supplies and recorded as advertising expense as they are consumed (less than one year). At July 31, 2006 and 2005, $14,331 and $13,887, respectively of prepaid catalog costs were included in prepaid expenses and other current assets.</w:t>
      </w:r>
    </w:p>
    <w:p>
      <w:pPr>
        <w:spacing w:after="0" w:line="67" w:lineRule="exact"/>
        <w:rPr>
          <w:sz w:val="20"/>
          <w:szCs w:val="20"/>
          <w:color w:val="auto"/>
        </w:rPr>
      </w:pPr>
    </w:p>
    <w:p>
      <w:pPr>
        <w:ind w:left="680" w:right="100" w:firstLine="399"/>
        <w:spacing w:after="0" w:line="257" w:lineRule="auto"/>
        <w:rPr>
          <w:sz w:val="20"/>
          <w:szCs w:val="20"/>
          <w:color w:val="auto"/>
        </w:rPr>
      </w:pPr>
      <w:r>
        <w:rPr>
          <w:rFonts w:ascii="Arial" w:cs="Arial" w:eastAsia="Arial" w:hAnsi="Arial"/>
          <w:sz w:val="13"/>
          <w:szCs w:val="13"/>
          <w:i w:val="1"/>
          <w:iCs w:val="1"/>
          <w:color w:val="auto"/>
        </w:rPr>
        <w:t xml:space="preserve">Revenue Recognition </w:t>
      </w:r>
      <w:r>
        <w:rPr>
          <w:rFonts w:ascii="Arial" w:cs="Arial" w:eastAsia="Arial" w:hAnsi="Arial"/>
          <w:sz w:val="13"/>
          <w:szCs w:val="13"/>
          <w:color w:val="auto"/>
        </w:rPr>
        <w:t>— Revenue is recognized when it is both earned and realized or realizable. The Company’s policy is to recognize revenue when title to the product, ownership</w:t>
      </w:r>
      <w:r>
        <w:rPr>
          <w:rFonts w:ascii="Arial" w:cs="Arial" w:eastAsia="Arial" w:hAnsi="Arial"/>
          <w:sz w:val="13"/>
          <w:szCs w:val="13"/>
          <w:i w:val="1"/>
          <w:iCs w:val="1"/>
          <w:color w:val="auto"/>
        </w:rPr>
        <w:t xml:space="preserve"> </w:t>
      </w:r>
      <w:r>
        <w:rPr>
          <w:rFonts w:ascii="Arial" w:cs="Arial" w:eastAsia="Arial" w:hAnsi="Arial"/>
          <w:sz w:val="13"/>
          <w:szCs w:val="13"/>
          <w:color w:val="auto"/>
        </w:rPr>
        <w:t>and risk of loss have transferred to the customer, persuasive evidence of an arrangement exits and collection of the sales proceeds is reasonably assured, all of which generally occur upon shipment of goods to customers. The vast majority of the Company’s revenue relates to the sale of inventory to customers, and revenue is recognized when title and the risks and rewards of ownership pass to the customer. Given the nature of the Company’s business and the applicable rules guiding revenue recognition, the Company’s revenue recognition practices do not contain estimates that materially affect the results of operations, with the exception of estimated returns. The Company provides for an allowance for estimated product returns, which is recognized as a deduction from sales at the time of the sale.</w:t>
      </w:r>
    </w:p>
    <w:p>
      <w:pPr>
        <w:spacing w:after="0" w:line="72"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i w:val="1"/>
          <w:iCs w:val="1"/>
          <w:color w:val="auto"/>
        </w:rPr>
        <w:t xml:space="preserve">Sales Incentives </w:t>
      </w:r>
      <w:r>
        <w:rPr>
          <w:rFonts w:ascii="Arial" w:cs="Arial" w:eastAsia="Arial" w:hAnsi="Arial"/>
          <w:sz w:val="13"/>
          <w:szCs w:val="13"/>
          <w:color w:val="auto"/>
        </w:rPr>
        <w:t>— In accordance with the Financial Accounting Standard Board’s Emerging Issues Task Force Issue (“EITF”) No. 01-9, “Accounting for Consideration Given by a</w:t>
      </w:r>
      <w:r>
        <w:rPr>
          <w:rFonts w:ascii="Arial" w:cs="Arial" w:eastAsia="Arial" w:hAnsi="Arial"/>
          <w:sz w:val="13"/>
          <w:szCs w:val="13"/>
          <w:i w:val="1"/>
          <w:iCs w:val="1"/>
          <w:color w:val="auto"/>
        </w:rPr>
        <w:t xml:space="preserve"> </w:t>
      </w:r>
      <w:r>
        <w:rPr>
          <w:rFonts w:ascii="Arial" w:cs="Arial" w:eastAsia="Arial" w:hAnsi="Arial"/>
          <w:sz w:val="13"/>
          <w:szCs w:val="13"/>
          <w:color w:val="auto"/>
        </w:rPr>
        <w:t>Vendor to a Customer or a Reseller of the</w:t>
      </w:r>
    </w:p>
    <w:p>
      <w:pPr>
        <w:spacing w:after="0" w:line="26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BRADY CORPORATION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ind w:left="680" w:right="1100"/>
        <w:spacing w:after="0" w:line="276" w:lineRule="auto"/>
        <w:rPr>
          <w:sz w:val="20"/>
          <w:szCs w:val="20"/>
          <w:color w:val="auto"/>
        </w:rPr>
      </w:pPr>
      <w:r>
        <w:rPr>
          <w:rFonts w:ascii="Arial" w:cs="Arial" w:eastAsia="Arial" w:hAnsi="Arial"/>
          <w:sz w:val="13"/>
          <w:szCs w:val="13"/>
          <w:color w:val="auto"/>
        </w:rPr>
        <w:t>Vendor’s Product,” the Company accounts for cash consideration (such as sales incentives and cash discounts) given to its customers or resellers as a reduction of revenue rather than an operating expense.</w:t>
      </w:r>
    </w:p>
    <w:p>
      <w:pPr>
        <w:spacing w:after="0" w:line="59" w:lineRule="exact"/>
        <w:rPr>
          <w:sz w:val="20"/>
          <w:szCs w:val="20"/>
          <w:color w:val="auto"/>
        </w:rPr>
      </w:pPr>
    </w:p>
    <w:p>
      <w:pPr>
        <w:ind w:left="680" w:right="900" w:firstLine="399"/>
        <w:spacing w:after="0" w:line="264" w:lineRule="auto"/>
        <w:rPr>
          <w:sz w:val="20"/>
          <w:szCs w:val="20"/>
          <w:color w:val="auto"/>
        </w:rPr>
      </w:pPr>
      <w:r>
        <w:rPr>
          <w:rFonts w:ascii="Arial" w:cs="Arial" w:eastAsia="Arial" w:hAnsi="Arial"/>
          <w:sz w:val="13"/>
          <w:szCs w:val="13"/>
          <w:i w:val="1"/>
          <w:iCs w:val="1"/>
          <w:color w:val="auto"/>
        </w:rPr>
        <w:t xml:space="preserve">Shipping and Handling Fees and Costs </w:t>
      </w:r>
      <w:r>
        <w:rPr>
          <w:rFonts w:ascii="Arial" w:cs="Arial" w:eastAsia="Arial" w:hAnsi="Arial"/>
          <w:sz w:val="13"/>
          <w:szCs w:val="13"/>
          <w:color w:val="auto"/>
        </w:rPr>
        <w:t>— The Company accounts for shipping and handling fees and costs in accordance with EITF Issue No. 00-10, “Accounting for Shipping and</w:t>
      </w:r>
      <w:r>
        <w:rPr>
          <w:rFonts w:ascii="Arial" w:cs="Arial" w:eastAsia="Arial" w:hAnsi="Arial"/>
          <w:sz w:val="13"/>
          <w:szCs w:val="13"/>
          <w:i w:val="1"/>
          <w:iCs w:val="1"/>
          <w:color w:val="auto"/>
        </w:rPr>
        <w:t xml:space="preserve"> </w:t>
      </w:r>
      <w:r>
        <w:rPr>
          <w:rFonts w:ascii="Arial" w:cs="Arial" w:eastAsia="Arial" w:hAnsi="Arial"/>
          <w:sz w:val="13"/>
          <w:szCs w:val="13"/>
          <w:color w:val="auto"/>
        </w:rPr>
        <w:t>Handling Fees and Costs.” Under EITF No. 00-10 amounts billed to a customer in a sale transaction related to shipping costs are reported as net sales and the related costs incurred for shipping are reported as cost of goods sold.</w:t>
      </w:r>
    </w:p>
    <w:p>
      <w:pPr>
        <w:spacing w:after="0" w:line="67" w:lineRule="exact"/>
        <w:rPr>
          <w:sz w:val="20"/>
          <w:szCs w:val="20"/>
          <w:color w:val="auto"/>
        </w:rPr>
      </w:pPr>
    </w:p>
    <w:p>
      <w:pPr>
        <w:ind w:left="680" w:right="900" w:firstLine="399"/>
        <w:spacing w:after="0" w:line="276" w:lineRule="auto"/>
        <w:rPr>
          <w:sz w:val="20"/>
          <w:szCs w:val="20"/>
          <w:color w:val="auto"/>
        </w:rPr>
      </w:pPr>
      <w:r>
        <w:rPr>
          <w:rFonts w:ascii="Arial" w:cs="Arial" w:eastAsia="Arial" w:hAnsi="Arial"/>
          <w:sz w:val="13"/>
          <w:szCs w:val="13"/>
          <w:i w:val="1"/>
          <w:iCs w:val="1"/>
          <w:color w:val="auto"/>
        </w:rPr>
        <w:t xml:space="preserve">Advertising Costs </w:t>
      </w:r>
      <w:r>
        <w:rPr>
          <w:rFonts w:ascii="Arial" w:cs="Arial" w:eastAsia="Arial" w:hAnsi="Arial"/>
          <w:sz w:val="13"/>
          <w:szCs w:val="13"/>
          <w:color w:val="auto"/>
        </w:rPr>
        <w:t>— Advertising costs are expensed as incurred, except catalog costs as outlined above. Advertising expense for the years ended July 31, 2006, 2005 and 2004 were</w:t>
      </w:r>
      <w:r>
        <w:rPr>
          <w:rFonts w:ascii="Arial" w:cs="Arial" w:eastAsia="Arial" w:hAnsi="Arial"/>
          <w:sz w:val="13"/>
          <w:szCs w:val="13"/>
          <w:i w:val="1"/>
          <w:iCs w:val="1"/>
          <w:color w:val="auto"/>
        </w:rPr>
        <w:t xml:space="preserve"> </w:t>
      </w:r>
      <w:r>
        <w:rPr>
          <w:rFonts w:ascii="Arial" w:cs="Arial" w:eastAsia="Arial" w:hAnsi="Arial"/>
          <w:sz w:val="13"/>
          <w:szCs w:val="13"/>
          <w:color w:val="auto"/>
        </w:rPr>
        <w:t>$57,253, $50,405 and $46,143, respectively.</w:t>
      </w:r>
    </w:p>
    <w:p>
      <w:pPr>
        <w:spacing w:after="0" w:line="59" w:lineRule="exact"/>
        <w:rPr>
          <w:sz w:val="20"/>
          <w:szCs w:val="20"/>
          <w:color w:val="auto"/>
        </w:rPr>
      </w:pPr>
    </w:p>
    <w:p>
      <w:pPr>
        <w:ind w:left="680" w:right="820" w:firstLine="399"/>
        <w:spacing w:after="0" w:line="258" w:lineRule="auto"/>
        <w:rPr>
          <w:sz w:val="20"/>
          <w:szCs w:val="20"/>
          <w:color w:val="auto"/>
        </w:rPr>
      </w:pPr>
      <w:r>
        <w:rPr>
          <w:rFonts w:ascii="Arial" w:cs="Arial" w:eastAsia="Arial" w:hAnsi="Arial"/>
          <w:sz w:val="13"/>
          <w:szCs w:val="13"/>
          <w:i w:val="1"/>
          <w:iCs w:val="1"/>
          <w:color w:val="auto"/>
        </w:rPr>
        <w:t xml:space="preserve">Stock Based Compensation </w:t>
      </w:r>
      <w:r>
        <w:rPr>
          <w:rFonts w:ascii="Arial" w:cs="Arial" w:eastAsia="Arial" w:hAnsi="Arial"/>
          <w:sz w:val="13"/>
          <w:szCs w:val="13"/>
          <w:color w:val="auto"/>
        </w:rPr>
        <w:t>— Effective August 1, 2005, the Company adopted SFAS No. 123(R), “Shared Based Payment.” In accordance with this standard, the Company</w:t>
      </w:r>
      <w:r>
        <w:rPr>
          <w:rFonts w:ascii="Arial" w:cs="Arial" w:eastAsia="Arial" w:hAnsi="Arial"/>
          <w:sz w:val="13"/>
          <w:szCs w:val="13"/>
          <w:i w:val="1"/>
          <w:iCs w:val="1"/>
          <w:color w:val="auto"/>
        </w:rPr>
        <w:t xml:space="preserve"> </w:t>
      </w:r>
      <w:r>
        <w:rPr>
          <w:rFonts w:ascii="Arial" w:cs="Arial" w:eastAsia="Arial" w:hAnsi="Arial"/>
          <w:sz w:val="13"/>
          <w:szCs w:val="13"/>
          <w:color w:val="auto"/>
        </w:rPr>
        <w:t>recognizes the compensation cost of all share-based awards using the grant-date fair value of those awards (the “fair-value-based” method). The expense is recognized on a straight-line basis over the vesting period of the award. Total stock compensation expense recognized by the Company during the year ended July 31, 2006 was $5,568 ($3,396 net of taxes). As of July 31, 2006, total unrecognized compensation cost related to share-based compensation awards was approximately $9,507, net of estimated forfeitures, which the Company expects to recognize over a weighted-average period of approximately 2.0 years.</w:t>
      </w:r>
    </w:p>
    <w:p>
      <w:pPr>
        <w:spacing w:after="0" w:line="71" w:lineRule="exact"/>
        <w:rPr>
          <w:sz w:val="20"/>
          <w:szCs w:val="20"/>
          <w:color w:val="auto"/>
        </w:rPr>
      </w:pPr>
    </w:p>
    <w:p>
      <w:pPr>
        <w:ind w:left="680" w:right="840" w:firstLine="399"/>
        <w:spacing w:after="0" w:line="289" w:lineRule="auto"/>
        <w:rPr>
          <w:sz w:val="20"/>
          <w:szCs w:val="20"/>
          <w:color w:val="auto"/>
        </w:rPr>
      </w:pPr>
      <w:r>
        <w:rPr>
          <w:rFonts w:ascii="Arial" w:cs="Arial" w:eastAsia="Arial" w:hAnsi="Arial"/>
          <w:sz w:val="12"/>
          <w:szCs w:val="12"/>
          <w:color w:val="auto"/>
        </w:rPr>
        <w:t>The Company adopted the fair value recognition provisions of SFAS No. 123(R) using the modified-prospective-transition method. Under that transition method, compensation cost recognized during fiscal 2006 includes: (a) compensation costs for all share-based payments granted prior to, but not yet vested as of August 1, 2005, based on the grant date fair value estimated in accordance with the original provisions of SFAS No. 123, and (b) compensation cost for all share-based payments granted subsequent to August 1, 2005, based on the grant date fair value estimated in accordance with the provisions of SFAS No. 123(R). Prior periods are not restated under this method of adoption.</w:t>
      </w:r>
    </w:p>
    <w:p>
      <w:pPr>
        <w:spacing w:after="0" w:line="53" w:lineRule="exact"/>
        <w:rPr>
          <w:sz w:val="20"/>
          <w:szCs w:val="20"/>
          <w:color w:val="auto"/>
        </w:rPr>
      </w:pPr>
    </w:p>
    <w:p>
      <w:pPr>
        <w:ind w:left="680" w:right="840" w:firstLine="399"/>
        <w:spacing w:after="0" w:line="289" w:lineRule="auto"/>
        <w:rPr>
          <w:sz w:val="20"/>
          <w:szCs w:val="20"/>
          <w:color w:val="auto"/>
        </w:rPr>
      </w:pPr>
      <w:r>
        <w:rPr>
          <w:rFonts w:ascii="Arial" w:cs="Arial" w:eastAsia="Arial" w:hAnsi="Arial"/>
          <w:sz w:val="12"/>
          <w:szCs w:val="12"/>
          <w:color w:val="auto"/>
        </w:rPr>
        <w:t>Prior to August 1, 2005, the Company accounted for employee stock-based compensation under the intrinsic value method prescribed by Accounting Principles Board Opinion (“APB”) No. 25, “Accounting for Stock Issued to Employees.” Under APB No. 25, no employee stock option based compensation expense was recorded in the income statement prior to August 1, 2005 for the service-based options. For performance-based options, the Company recorded compensation expense for changes in the market value of the underlying common stock under APB No. 25. The compensation costs for the fiscal years ended July 31, 2005 and 2004 included expense for both performance stock options and restricted stock.</w:t>
      </w:r>
    </w:p>
    <w:p>
      <w:pPr>
        <w:spacing w:after="0" w:line="53" w:lineRule="exact"/>
        <w:rPr>
          <w:sz w:val="20"/>
          <w:szCs w:val="20"/>
          <w:color w:val="auto"/>
        </w:rPr>
      </w:pPr>
    </w:p>
    <w:p>
      <w:pPr>
        <w:ind w:left="680" w:right="1160" w:firstLine="399"/>
        <w:spacing w:after="0" w:line="320" w:lineRule="auto"/>
        <w:rPr>
          <w:sz w:val="20"/>
          <w:szCs w:val="20"/>
          <w:color w:val="auto"/>
        </w:rPr>
      </w:pPr>
      <w:r>
        <w:rPr>
          <w:rFonts w:ascii="Arial" w:cs="Arial" w:eastAsia="Arial" w:hAnsi="Arial"/>
          <w:sz w:val="12"/>
          <w:szCs w:val="12"/>
          <w:color w:val="auto"/>
        </w:rPr>
        <w:t>If the Company had elected to recognize compensation cost for the stock option plans based on the fair value at the grant dates for awards under those plans, consistent with the method prescribed by SFAS No. 123(R), net income and net income per common share would have been changed to the pro forma amounts indicated below:</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37"/>
              <w:spacing w:after="0"/>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7"/>
              <w:spacing w:after="0"/>
              <w:rPr>
                <w:sz w:val="20"/>
                <w:szCs w:val="20"/>
                <w:color w:val="auto"/>
              </w:rPr>
            </w:pPr>
            <w:r>
              <w:rPr>
                <w:rFonts w:ascii="Arial" w:cs="Arial" w:eastAsia="Arial" w:hAnsi="Arial"/>
                <w:sz w:val="10"/>
                <w:szCs w:val="10"/>
                <w:b w:val="1"/>
                <w:bCs w:val="1"/>
                <w:color w:val="auto"/>
              </w:rPr>
              <w:t>2004</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29"/>
        </w:trPr>
        <w:tc>
          <w:tcPr>
            <w:tcW w:w="6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4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120" w:type="dxa"/>
            <w:vAlign w:val="bottom"/>
          </w:tcPr>
          <w:p>
            <w:pPr>
              <w:ind w:left="140"/>
              <w:spacing w:after="0"/>
              <w:rPr>
                <w:sz w:val="20"/>
                <w:szCs w:val="20"/>
                <w:color w:val="auto"/>
              </w:rPr>
            </w:pPr>
            <w:r>
              <w:rPr>
                <w:rFonts w:ascii="Arial" w:cs="Arial" w:eastAsia="Arial" w:hAnsi="Arial"/>
                <w:sz w:val="13"/>
                <w:szCs w:val="13"/>
                <w:color w:val="auto"/>
              </w:rPr>
              <w:t>As reported</w:t>
            </w:r>
          </w:p>
        </w:tc>
        <w:tc>
          <w:tcPr>
            <w:tcW w:w="4320" w:type="dxa"/>
            <w:vAlign w:val="bottom"/>
            <w:gridSpan w:val="2"/>
          </w:tcPr>
          <w:p>
            <w:pPr>
              <w:jc w:val="right"/>
              <w:ind w:right="31"/>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81,947</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50,871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1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Stock-based compensation expense recorded, net of tax effect</w:t>
            </w:r>
          </w:p>
        </w:tc>
        <w:tc>
          <w:tcPr>
            <w:tcW w:w="4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3,350</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1,133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120" w:type="dxa"/>
            <w:vAlign w:val="bottom"/>
          </w:tcPr>
          <w:p>
            <w:pPr>
              <w:ind w:left="140"/>
              <w:spacing w:after="0"/>
              <w:rPr>
                <w:sz w:val="20"/>
                <w:szCs w:val="20"/>
                <w:color w:val="auto"/>
              </w:rPr>
            </w:pPr>
            <w:r>
              <w:rPr>
                <w:rFonts w:ascii="Arial" w:cs="Arial" w:eastAsia="Arial" w:hAnsi="Arial"/>
                <w:sz w:val="13"/>
                <w:szCs w:val="13"/>
                <w:color w:val="auto"/>
              </w:rPr>
              <w:t>Pro-forma expense, net of tax effect</w:t>
            </w:r>
          </w:p>
        </w:tc>
        <w:tc>
          <w:tcPr>
            <w:tcW w:w="4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(3,344)</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(2,377)</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1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Pro-forma net income, net of tax effect</w:t>
            </w:r>
          </w:p>
        </w:tc>
        <w:tc>
          <w:tcPr>
            <w:tcW w:w="41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81,953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49,627</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180" w:type="dxa"/>
            <w:vAlign w:val="bottom"/>
          </w:tcPr>
          <w:p>
            <w:pPr>
              <w:ind w:left="740"/>
              <w:spacing w:after="0"/>
              <w:rPr>
                <w:sz w:val="20"/>
                <w:szCs w:val="20"/>
                <w:color w:val="auto"/>
              </w:rPr>
            </w:pPr>
            <w:r>
              <w:rPr>
                <w:rFonts w:ascii="Arial" w:cs="Arial" w:eastAsia="Arial" w:hAnsi="Arial"/>
                <w:sz w:val="13"/>
                <w:szCs w:val="13"/>
                <w:color w:val="auto"/>
              </w:rPr>
              <w:t>II-24</w:t>
            </w: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120" w:type="dxa"/>
            <w:vAlign w:val="bottom"/>
            <w:tcBorders>
              <w:bottom w:val="single" w:sz="8" w:color="808080"/>
            </w:tcBorders>
          </w:tcPr>
          <w:p>
            <w:pPr>
              <w:spacing w:after="0"/>
              <w:rPr>
                <w:sz w:val="14"/>
                <w:szCs w:val="14"/>
                <w:color w:val="auto"/>
              </w:rPr>
            </w:pPr>
          </w:p>
        </w:tc>
        <w:tc>
          <w:tcPr>
            <w:tcW w:w="41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BRADY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35"/>
              <w:spacing w:after="0"/>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5"/>
              <w:spacing w:after="0"/>
              <w:rPr>
                <w:sz w:val="20"/>
                <w:szCs w:val="20"/>
                <w:color w:val="auto"/>
              </w:rPr>
            </w:pPr>
            <w:r>
              <w:rPr>
                <w:rFonts w:ascii="Arial" w:cs="Arial" w:eastAsia="Arial" w:hAnsi="Arial"/>
                <w:sz w:val="10"/>
                <w:szCs w:val="10"/>
                <w:b w:val="1"/>
                <w:bCs w:val="1"/>
                <w:color w:val="auto"/>
              </w:rPr>
              <w:t>2004</w:t>
            </w:r>
          </w:p>
        </w:tc>
        <w:tc>
          <w:tcPr>
            <w:tcW w:w="100" w:type="dxa"/>
            <w:vAlign w:val="bottom"/>
          </w:tcPr>
          <w:p>
            <w:pPr>
              <w:spacing w:after="0"/>
              <w:rPr>
                <w:sz w:val="10"/>
                <w:szCs w:val="10"/>
                <w:color w:val="auto"/>
              </w:rPr>
            </w:pPr>
          </w:p>
        </w:tc>
      </w:tr>
      <w:tr>
        <w:trPr>
          <w:trHeight w:val="29"/>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Net income per Class A Common Share:</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Basic:</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As reported</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1.08</w:t>
            </w: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Pro-forma adjustments</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(0.03)</w:t>
            </w: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Pro-forma net income per share</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1.67</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1.05</w:t>
            </w: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Diluted:</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As reported</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1.07</w:t>
            </w: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Pro-forma adjustments</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(0.03)</w:t>
            </w: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Pro-forma net income per share</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1.64</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1.04</w:t>
            </w: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Net income per Class B Common Share:</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Basic:</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As reported</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1.66</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1.06</w:t>
            </w: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Pro-forma adjustments</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(0.03)</w:t>
            </w: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Pro-forma net income per share</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1.66</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1.03</w:t>
            </w: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Diluted:</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As reported</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1.63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1.05</w:t>
            </w: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Pro-forma adjustments</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(0.03)</w:t>
            </w:r>
          </w:p>
        </w:tc>
      </w:tr>
      <w:tr>
        <w:trPr>
          <w:trHeight w:val="165"/>
        </w:trPr>
        <w:tc>
          <w:tcPr>
            <w:tcW w:w="8300" w:type="dxa"/>
            <w:vAlign w:val="bottom"/>
          </w:tcPr>
          <w:p>
            <w:pPr>
              <w:ind w:left="140"/>
              <w:spacing w:after="0"/>
              <w:rPr>
                <w:sz w:val="20"/>
                <w:szCs w:val="20"/>
                <w:color w:val="auto"/>
              </w:rPr>
            </w:pPr>
            <w:r>
              <w:rPr>
                <w:rFonts w:ascii="Arial" w:cs="Arial" w:eastAsia="Arial" w:hAnsi="Arial"/>
                <w:sz w:val="13"/>
                <w:szCs w:val="13"/>
                <w:color w:val="auto"/>
              </w:rPr>
              <w:t>Pro-forma net income per share</w:t>
            </w:r>
          </w:p>
        </w:tc>
        <w:tc>
          <w:tcPr>
            <w:tcW w:w="14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1.63</w:t>
            </w:r>
          </w:p>
        </w:tc>
        <w:tc>
          <w:tcPr>
            <w:tcW w:w="12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1.02</w:t>
            </w:r>
          </w:p>
        </w:tc>
      </w:tr>
    </w:tbl>
    <w:p>
      <w:pPr>
        <w:spacing w:after="0" w:line="151"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fair value of stock options used to compute pro-forma net income and net income per common share disclosure is the estimated present value at grant date using the Black-</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Scholes option-pricing model with weighted average assumptions and the resulting estimated fair value for fiscal years 2005 and 2004 as follows:</w:t>
      </w:r>
    </w:p>
    <w:p>
      <w:pPr>
        <w:spacing w:after="0" w:line="90"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8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37"/>
              <w:spacing w:after="0"/>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217"/>
              <w:spacing w:after="0"/>
              <w:rPr>
                <w:sz w:val="20"/>
                <w:szCs w:val="20"/>
                <w:color w:val="auto"/>
              </w:rPr>
            </w:pPr>
            <w:r>
              <w:rPr>
                <w:rFonts w:ascii="Arial" w:cs="Arial" w:eastAsia="Arial" w:hAnsi="Arial"/>
                <w:sz w:val="10"/>
                <w:szCs w:val="10"/>
                <w:b w:val="1"/>
                <w:bCs w:val="1"/>
                <w:color w:val="auto"/>
              </w:rPr>
              <w:t>2004</w:t>
            </w:r>
          </w:p>
        </w:tc>
        <w:tc>
          <w:tcPr>
            <w:tcW w:w="120" w:type="dxa"/>
            <w:vAlign w:val="bottom"/>
          </w:tcPr>
          <w:p>
            <w:pPr>
              <w:spacing w:after="0"/>
              <w:rPr>
                <w:sz w:val="10"/>
                <w:szCs w:val="10"/>
                <w:color w:val="auto"/>
              </w:rPr>
            </w:pPr>
          </w:p>
        </w:tc>
      </w:tr>
      <w:tr>
        <w:trPr>
          <w:trHeight w:val="29"/>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7860" w:type="dxa"/>
            <w:vAlign w:val="bottom"/>
            <w:shd w:val="clear" w:color="auto" w:fill="CCEEFF"/>
          </w:tcPr>
          <w:p>
            <w:pPr>
              <w:spacing w:after="0"/>
              <w:rPr>
                <w:sz w:val="20"/>
                <w:szCs w:val="20"/>
                <w:color w:val="auto"/>
              </w:rPr>
            </w:pPr>
            <w:r>
              <w:rPr>
                <w:rFonts w:ascii="Arial" w:cs="Arial" w:eastAsia="Arial" w:hAnsi="Arial"/>
                <w:sz w:val="13"/>
                <w:szCs w:val="13"/>
                <w:color w:val="auto"/>
              </w:rPr>
              <w:t>Risk-free interest rate</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3.1%</w:t>
            </w:r>
          </w:p>
        </w:tc>
        <w:tc>
          <w:tcPr>
            <w:tcW w:w="2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2.6%</w:t>
            </w:r>
          </w:p>
        </w:tc>
      </w:tr>
      <w:tr>
        <w:trPr>
          <w:trHeight w:val="157"/>
        </w:trPr>
        <w:tc>
          <w:tcPr>
            <w:tcW w:w="7860" w:type="dxa"/>
            <w:vAlign w:val="bottom"/>
          </w:tcPr>
          <w:p>
            <w:pPr>
              <w:spacing w:after="0"/>
              <w:rPr>
                <w:sz w:val="20"/>
                <w:szCs w:val="20"/>
                <w:color w:val="auto"/>
              </w:rPr>
            </w:pPr>
            <w:r>
              <w:rPr>
                <w:rFonts w:ascii="Arial" w:cs="Arial" w:eastAsia="Arial" w:hAnsi="Arial"/>
                <w:sz w:val="13"/>
                <w:szCs w:val="13"/>
                <w:color w:val="auto"/>
              </w:rPr>
              <w:t>Expected volatility</w:t>
            </w:r>
          </w:p>
        </w:tc>
        <w:tc>
          <w:tcPr>
            <w:tcW w:w="1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31.1%</w:t>
            </w:r>
          </w:p>
        </w:tc>
        <w:tc>
          <w:tcPr>
            <w:tcW w:w="20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36.5%</w:t>
            </w:r>
          </w:p>
        </w:tc>
      </w:tr>
      <w:tr>
        <w:trPr>
          <w:trHeight w:val="157"/>
        </w:trPr>
        <w:tc>
          <w:tcPr>
            <w:tcW w:w="7860" w:type="dxa"/>
            <w:vAlign w:val="bottom"/>
            <w:shd w:val="clear" w:color="auto" w:fill="CCEEFF"/>
          </w:tcPr>
          <w:p>
            <w:pPr>
              <w:spacing w:after="0"/>
              <w:rPr>
                <w:sz w:val="20"/>
                <w:szCs w:val="20"/>
                <w:color w:val="auto"/>
              </w:rPr>
            </w:pPr>
            <w:r>
              <w:rPr>
                <w:rFonts w:ascii="Arial" w:cs="Arial" w:eastAsia="Arial" w:hAnsi="Arial"/>
                <w:sz w:val="13"/>
                <w:szCs w:val="13"/>
                <w:color w:val="auto"/>
              </w:rPr>
              <w:t>Dividend yield</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1.9%</w:t>
            </w:r>
          </w:p>
        </w:tc>
        <w:tc>
          <w:tcPr>
            <w:tcW w:w="2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w:t>
            </w:r>
          </w:p>
        </w:tc>
      </w:tr>
      <w:tr>
        <w:trPr>
          <w:trHeight w:val="157"/>
        </w:trPr>
        <w:tc>
          <w:tcPr>
            <w:tcW w:w="7860" w:type="dxa"/>
            <w:vAlign w:val="bottom"/>
          </w:tcPr>
          <w:p>
            <w:pPr>
              <w:spacing w:after="0"/>
              <w:rPr>
                <w:sz w:val="20"/>
                <w:szCs w:val="20"/>
                <w:color w:val="auto"/>
              </w:rPr>
            </w:pPr>
            <w:r>
              <w:rPr>
                <w:rFonts w:ascii="Arial" w:cs="Arial" w:eastAsia="Arial" w:hAnsi="Arial"/>
                <w:sz w:val="13"/>
                <w:szCs w:val="13"/>
                <w:color w:val="auto"/>
              </w:rPr>
              <w:t>Expected option life</w:t>
            </w:r>
          </w:p>
        </w:tc>
        <w:tc>
          <w:tcPr>
            <w:tcW w:w="1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4.5 years</w:t>
            </w:r>
          </w:p>
        </w:tc>
        <w:tc>
          <w:tcPr>
            <w:tcW w:w="20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4.0 years</w:t>
            </w:r>
          </w:p>
        </w:tc>
      </w:tr>
      <w:tr>
        <w:trPr>
          <w:trHeight w:val="157"/>
        </w:trPr>
        <w:tc>
          <w:tcPr>
            <w:tcW w:w="786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estimated fair value at grant date</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7.04</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8.81</w:t>
            </w:r>
          </w:p>
        </w:tc>
      </w:tr>
    </w:tbl>
    <w:p>
      <w:pPr>
        <w:spacing w:after="0" w:line="8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The Company has estimated the fair value of its performance-based option awards granted after August 1, 2005 using the Black-Scholes option-pricing model. The weighted-average assumptions used in the Black-Scholes valuation model for fiscal year 2006 are reflected in the following table:</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72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Black-Scholes Option Valuation Assumptions</w:t>
            </w:r>
          </w:p>
        </w:tc>
        <w:tc>
          <w:tcPr>
            <w:tcW w:w="120" w:type="dxa"/>
            <w:vAlign w:val="bottom"/>
          </w:tcPr>
          <w:p>
            <w:pPr>
              <w:spacing w:after="0"/>
              <w:rPr>
                <w:sz w:val="10"/>
                <w:szCs w:val="10"/>
                <w:color w:val="auto"/>
              </w:rPr>
            </w:pPr>
          </w:p>
        </w:tc>
        <w:tc>
          <w:tcPr>
            <w:tcW w:w="15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w w:val="99"/>
              </w:rPr>
              <w:t>Performance-Based</w:t>
            </w:r>
          </w:p>
        </w:tc>
        <w:tc>
          <w:tcPr>
            <w:tcW w:w="100" w:type="dxa"/>
            <w:vAlign w:val="bottom"/>
          </w:tcPr>
          <w:p>
            <w:pPr>
              <w:spacing w:after="0"/>
              <w:rPr>
                <w:sz w:val="10"/>
                <w:szCs w:val="1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w w:val="92"/>
              </w:rPr>
              <w:t>Service-Based</w:t>
            </w:r>
          </w:p>
        </w:tc>
        <w:tc>
          <w:tcPr>
            <w:tcW w:w="0" w:type="dxa"/>
            <w:vAlign w:val="bottom"/>
          </w:tcPr>
          <w:p>
            <w:pPr>
              <w:spacing w:after="0"/>
              <w:rPr>
                <w:sz w:val="1"/>
                <w:szCs w:val="1"/>
                <w:color w:val="auto"/>
              </w:rPr>
            </w:pPr>
          </w:p>
        </w:tc>
      </w:tr>
      <w:tr>
        <w:trPr>
          <w:trHeight w:val="125"/>
        </w:trPr>
        <w:tc>
          <w:tcPr>
            <w:tcW w:w="72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gridSpan w:val="2"/>
          </w:tcPr>
          <w:p>
            <w:pPr>
              <w:jc w:val="right"/>
              <w:ind w:right="880"/>
              <w:spacing w:after="0"/>
              <w:rPr>
                <w:sz w:val="20"/>
                <w:szCs w:val="20"/>
                <w:color w:val="auto"/>
              </w:rPr>
            </w:pPr>
            <w:r>
              <w:rPr>
                <w:rFonts w:ascii="Arial" w:cs="Arial" w:eastAsia="Arial" w:hAnsi="Arial"/>
                <w:sz w:val="10"/>
                <w:szCs w:val="10"/>
                <w:b w:val="1"/>
                <w:bCs w:val="1"/>
                <w:color w:val="auto"/>
              </w:rPr>
              <w:t>Options</w:t>
            </w:r>
          </w:p>
        </w:tc>
        <w:tc>
          <w:tcPr>
            <w:tcW w:w="100" w:type="dxa"/>
            <w:vAlign w:val="bottom"/>
          </w:tcPr>
          <w:p>
            <w:pPr>
              <w:spacing w:after="0"/>
              <w:rPr>
                <w:sz w:val="10"/>
                <w:szCs w:val="10"/>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auto"/>
              </w:rPr>
              <w:t>Options</w:t>
            </w:r>
          </w:p>
        </w:tc>
        <w:tc>
          <w:tcPr>
            <w:tcW w:w="0" w:type="dxa"/>
            <w:vAlign w:val="bottom"/>
          </w:tcPr>
          <w:p>
            <w:pPr>
              <w:spacing w:after="0"/>
              <w:rPr>
                <w:sz w:val="1"/>
                <w:szCs w:val="1"/>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7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Expected term (in years)</w:t>
            </w:r>
          </w:p>
        </w:tc>
        <w:tc>
          <w:tcPr>
            <w:tcW w:w="12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3.39</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5.72</w:t>
            </w:r>
          </w:p>
        </w:tc>
        <w:tc>
          <w:tcPr>
            <w:tcW w:w="0" w:type="dxa"/>
            <w:vAlign w:val="bottom"/>
          </w:tcPr>
          <w:p>
            <w:pPr>
              <w:spacing w:after="0"/>
              <w:rPr>
                <w:sz w:val="1"/>
                <w:szCs w:val="1"/>
                <w:color w:val="auto"/>
              </w:rPr>
            </w:pPr>
          </w:p>
        </w:tc>
      </w:tr>
      <w:tr>
        <w:trPr>
          <w:trHeight w:val="157"/>
        </w:trPr>
        <w:tc>
          <w:tcPr>
            <w:tcW w:w="7280" w:type="dxa"/>
            <w:vAlign w:val="bottom"/>
            <w:gridSpan w:val="2"/>
          </w:tcPr>
          <w:p>
            <w:pPr>
              <w:spacing w:after="0"/>
              <w:rPr>
                <w:sz w:val="20"/>
                <w:szCs w:val="20"/>
                <w:color w:val="auto"/>
              </w:rPr>
            </w:pPr>
            <w:r>
              <w:rPr>
                <w:rFonts w:ascii="Arial" w:cs="Arial" w:eastAsia="Arial" w:hAnsi="Arial"/>
                <w:sz w:val="13"/>
                <w:szCs w:val="13"/>
                <w:color w:val="auto"/>
              </w:rPr>
              <w:t>Expected volatility</w:t>
            </w:r>
          </w:p>
        </w:tc>
        <w:tc>
          <w:tcPr>
            <w:tcW w:w="120" w:type="dxa"/>
            <w:vAlign w:val="bottom"/>
          </w:tcPr>
          <w:p>
            <w:pPr>
              <w:spacing w:after="0"/>
              <w:rPr>
                <w:sz w:val="13"/>
                <w:szCs w:val="13"/>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3"/>
                <w:szCs w:val="13"/>
                <w:color w:val="auto"/>
              </w:rPr>
              <w:t>31.10%</w:t>
            </w:r>
          </w:p>
        </w:tc>
        <w:tc>
          <w:tcPr>
            <w:tcW w:w="10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34.54%</w:t>
            </w:r>
          </w:p>
        </w:tc>
        <w:tc>
          <w:tcPr>
            <w:tcW w:w="0" w:type="dxa"/>
            <w:vAlign w:val="bottom"/>
          </w:tcPr>
          <w:p>
            <w:pPr>
              <w:spacing w:after="0"/>
              <w:rPr>
                <w:sz w:val="1"/>
                <w:szCs w:val="1"/>
                <w:color w:val="auto"/>
              </w:rPr>
            </w:pPr>
          </w:p>
        </w:tc>
      </w:tr>
      <w:tr>
        <w:trPr>
          <w:trHeight w:val="157"/>
        </w:trPr>
        <w:tc>
          <w:tcPr>
            <w:tcW w:w="7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Expected dividend yield</w:t>
            </w:r>
          </w:p>
        </w:tc>
        <w:tc>
          <w:tcPr>
            <w:tcW w:w="12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1.50%</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1.52%</w:t>
            </w:r>
          </w:p>
        </w:tc>
        <w:tc>
          <w:tcPr>
            <w:tcW w:w="0" w:type="dxa"/>
            <w:vAlign w:val="bottom"/>
          </w:tcPr>
          <w:p>
            <w:pPr>
              <w:spacing w:after="0"/>
              <w:rPr>
                <w:sz w:val="1"/>
                <w:szCs w:val="1"/>
                <w:color w:val="auto"/>
              </w:rPr>
            </w:pPr>
          </w:p>
        </w:tc>
      </w:tr>
      <w:tr>
        <w:trPr>
          <w:trHeight w:val="157"/>
        </w:trPr>
        <w:tc>
          <w:tcPr>
            <w:tcW w:w="7280" w:type="dxa"/>
            <w:vAlign w:val="bottom"/>
            <w:gridSpan w:val="2"/>
          </w:tcPr>
          <w:p>
            <w:pPr>
              <w:spacing w:after="0"/>
              <w:rPr>
                <w:sz w:val="20"/>
                <w:szCs w:val="20"/>
                <w:color w:val="auto"/>
              </w:rPr>
            </w:pPr>
            <w:r>
              <w:rPr>
                <w:rFonts w:ascii="Arial" w:cs="Arial" w:eastAsia="Arial" w:hAnsi="Arial"/>
                <w:sz w:val="13"/>
                <w:szCs w:val="13"/>
                <w:color w:val="auto"/>
              </w:rPr>
              <w:t>Risk-free interest rate</w:t>
            </w:r>
          </w:p>
        </w:tc>
        <w:tc>
          <w:tcPr>
            <w:tcW w:w="120" w:type="dxa"/>
            <w:vAlign w:val="bottom"/>
          </w:tcPr>
          <w:p>
            <w:pPr>
              <w:spacing w:after="0"/>
              <w:rPr>
                <w:sz w:val="13"/>
                <w:szCs w:val="13"/>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3"/>
                <w:szCs w:val="13"/>
                <w:color w:val="auto"/>
              </w:rPr>
              <w:t>4.09%</w:t>
            </w:r>
          </w:p>
        </w:tc>
        <w:tc>
          <w:tcPr>
            <w:tcW w:w="10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4.53%</w:t>
            </w:r>
          </w:p>
        </w:tc>
        <w:tc>
          <w:tcPr>
            <w:tcW w:w="0" w:type="dxa"/>
            <w:vAlign w:val="bottom"/>
          </w:tcPr>
          <w:p>
            <w:pPr>
              <w:spacing w:after="0"/>
              <w:rPr>
                <w:sz w:val="1"/>
                <w:szCs w:val="1"/>
                <w:color w:val="auto"/>
              </w:rPr>
            </w:pPr>
          </w:p>
        </w:tc>
      </w:tr>
      <w:tr>
        <w:trPr>
          <w:trHeight w:val="157"/>
        </w:trPr>
        <w:tc>
          <w:tcPr>
            <w:tcW w:w="7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Weighted-average market value of underlying stock at grant date</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5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33.89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37.62</w:t>
            </w:r>
          </w:p>
        </w:tc>
        <w:tc>
          <w:tcPr>
            <w:tcW w:w="0" w:type="dxa"/>
            <w:vAlign w:val="bottom"/>
          </w:tcPr>
          <w:p>
            <w:pPr>
              <w:spacing w:after="0"/>
              <w:rPr>
                <w:sz w:val="1"/>
                <w:szCs w:val="1"/>
                <w:color w:val="auto"/>
              </w:rPr>
            </w:pPr>
          </w:p>
        </w:tc>
      </w:tr>
      <w:tr>
        <w:trPr>
          <w:trHeight w:val="157"/>
        </w:trPr>
        <w:tc>
          <w:tcPr>
            <w:tcW w:w="7280" w:type="dxa"/>
            <w:vAlign w:val="bottom"/>
            <w:gridSpan w:val="2"/>
          </w:tcPr>
          <w:p>
            <w:pPr>
              <w:spacing w:after="0"/>
              <w:rPr>
                <w:sz w:val="20"/>
                <w:szCs w:val="20"/>
                <w:color w:val="auto"/>
              </w:rPr>
            </w:pPr>
            <w:r>
              <w:rPr>
                <w:rFonts w:ascii="Arial" w:cs="Arial" w:eastAsia="Arial" w:hAnsi="Arial"/>
                <w:sz w:val="13"/>
                <w:szCs w:val="13"/>
                <w:color w:val="auto"/>
              </w:rPr>
              <w:t>Weighted-average exercise price</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580" w:type="dxa"/>
            <w:vAlign w:val="bottom"/>
            <w:gridSpan w:val="2"/>
          </w:tcPr>
          <w:p>
            <w:pPr>
              <w:jc w:val="right"/>
              <w:ind w:right="420"/>
              <w:spacing w:after="0"/>
              <w:rPr>
                <w:sz w:val="20"/>
                <w:szCs w:val="20"/>
                <w:color w:val="auto"/>
              </w:rPr>
            </w:pPr>
            <w:r>
              <w:rPr>
                <w:rFonts w:ascii="Arial" w:cs="Arial" w:eastAsia="Arial" w:hAnsi="Arial"/>
                <w:sz w:val="13"/>
                <w:szCs w:val="13"/>
                <w:color w:val="auto"/>
              </w:rPr>
              <w:t>33.89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37.62</w:t>
            </w:r>
          </w:p>
        </w:tc>
        <w:tc>
          <w:tcPr>
            <w:tcW w:w="0" w:type="dxa"/>
            <w:vAlign w:val="bottom"/>
          </w:tcPr>
          <w:p>
            <w:pPr>
              <w:spacing w:after="0"/>
              <w:rPr>
                <w:sz w:val="1"/>
                <w:szCs w:val="1"/>
                <w:color w:val="auto"/>
              </w:rPr>
            </w:pPr>
          </w:p>
        </w:tc>
      </w:tr>
      <w:tr>
        <w:trPr>
          <w:trHeight w:val="157"/>
        </w:trPr>
        <w:tc>
          <w:tcPr>
            <w:tcW w:w="7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Weighted-average fair value of options granted</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5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8.34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13.11</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The Company uses historical data regarding stock option exercise behaviors to estimate the expected term of options granted based on the period of time that options granted are expected to be outstanding. Expected</w:t>
      </w:r>
    </w:p>
    <w:p>
      <w:pPr>
        <w:spacing w:after="0" w:line="10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BRADY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ind w:left="680" w:right="100"/>
        <w:spacing w:after="0" w:line="264" w:lineRule="auto"/>
        <w:rPr>
          <w:sz w:val="20"/>
          <w:szCs w:val="20"/>
          <w:color w:val="auto"/>
        </w:rPr>
      </w:pPr>
      <w:r>
        <w:rPr>
          <w:rFonts w:ascii="Arial" w:cs="Arial" w:eastAsia="Arial" w:hAnsi="Arial"/>
          <w:sz w:val="13"/>
          <w:szCs w:val="13"/>
          <w:color w:val="auto"/>
        </w:rPr>
        <w:t>volatilities are based on the historical volatility of the Company’s stock. The expected dividend yield is based on the Company’s historical dividend payments. The risk-free interest rate is based on the U.S. Treasury yield curve in effect on the grant date for the length of time corresponding to the expected term of the option. The market value is obtained by taking the average of the high and the low stock price on the date of grant.</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Research and Development </w:t>
      </w:r>
      <w:r>
        <w:rPr>
          <w:rFonts w:ascii="Arial" w:cs="Arial" w:eastAsia="Arial" w:hAnsi="Arial"/>
          <w:sz w:val="13"/>
          <w:szCs w:val="13"/>
          <w:color w:val="auto"/>
        </w:rPr>
        <w:t>— Amounts expended for research and development are expensed as incurred.</w:t>
      </w:r>
    </w:p>
    <w:p>
      <w:pPr>
        <w:spacing w:after="0" w:line="96"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i w:val="1"/>
          <w:iCs w:val="1"/>
          <w:color w:val="auto"/>
        </w:rPr>
        <w:t xml:space="preserve">Other comprehensive income </w:t>
      </w:r>
      <w:r>
        <w:rPr>
          <w:rFonts w:ascii="Arial" w:cs="Arial" w:eastAsia="Arial" w:hAnsi="Arial"/>
          <w:sz w:val="13"/>
          <w:szCs w:val="13"/>
          <w:color w:val="auto"/>
        </w:rPr>
        <w:t>— Other comprehensive income consists of foreign currency translation adjustments, net unrealized gains and losses from cash flow hedges and other</w:t>
      </w:r>
      <w:r>
        <w:rPr>
          <w:rFonts w:ascii="Arial" w:cs="Arial" w:eastAsia="Arial" w:hAnsi="Arial"/>
          <w:sz w:val="13"/>
          <w:szCs w:val="13"/>
          <w:i w:val="1"/>
          <w:iCs w:val="1"/>
          <w:color w:val="auto"/>
        </w:rPr>
        <w:t xml:space="preserve"> </w:t>
      </w:r>
      <w:r>
        <w:rPr>
          <w:rFonts w:ascii="Arial" w:cs="Arial" w:eastAsia="Arial" w:hAnsi="Arial"/>
          <w:sz w:val="13"/>
          <w:szCs w:val="13"/>
          <w:color w:val="auto"/>
        </w:rPr>
        <w:t>investments, and their related tax effects. The components of accumulated other comprehensive income were as follows: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w w:val="97"/>
              </w:rPr>
              <w:t>July 31, 2006</w:t>
            </w:r>
          </w:p>
        </w:tc>
        <w:tc>
          <w:tcPr>
            <w:tcW w:w="100" w:type="dxa"/>
            <w:vAlign w:val="bottom"/>
          </w:tcPr>
          <w:p>
            <w:pPr>
              <w:spacing w:after="0"/>
              <w:rPr>
                <w:sz w:val="10"/>
                <w:szCs w:val="1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93"/>
              </w:rPr>
              <w:t>July 31, 2005</w:t>
            </w:r>
          </w:p>
        </w:tc>
        <w:tc>
          <w:tcPr>
            <w:tcW w:w="0" w:type="dxa"/>
            <w:vAlign w:val="bottom"/>
          </w:tcPr>
          <w:p>
            <w:pPr>
              <w:spacing w:after="0"/>
              <w:rPr>
                <w:sz w:val="1"/>
                <w:szCs w:val="1"/>
                <w:color w:val="auto"/>
              </w:rPr>
            </w:pPr>
          </w:p>
        </w:tc>
      </w:tr>
      <w:tr>
        <w:trPr>
          <w:trHeight w:val="29"/>
        </w:trPr>
        <w:tc>
          <w:tcPr>
            <w:tcW w:w="79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Unrealized (loss) gain on cash flow hedges and securities in deferred compensation plans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(90)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779</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Deferred tax on cash flow hedges and securities in deferred compensation plans</w:t>
            </w: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35</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(304)</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Cumulative translation adjustments</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35,751</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17,022</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3"/>
                <w:szCs w:val="13"/>
                <w:color w:val="auto"/>
              </w:rPr>
              <w:t>Accumulated other comprehensive income</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90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35,696</w:t>
            </w:r>
          </w:p>
        </w:tc>
        <w:tc>
          <w:tcPr>
            <w:tcW w:w="3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17,497</w:t>
            </w:r>
          </w:p>
        </w:tc>
        <w:tc>
          <w:tcPr>
            <w:tcW w:w="0" w:type="dxa"/>
            <w:vAlign w:val="bottom"/>
          </w:tcPr>
          <w:p>
            <w:pPr>
              <w:spacing w:after="0"/>
              <w:rPr>
                <w:sz w:val="1"/>
                <w:szCs w:val="1"/>
                <w:color w:val="auto"/>
              </w:rPr>
            </w:pPr>
          </w:p>
        </w:tc>
      </w:tr>
      <w:tr>
        <w:trPr>
          <w:trHeight w:val="30"/>
        </w:trPr>
        <w:tc>
          <w:tcPr>
            <w:tcW w:w="7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i w:val="1"/>
          <w:iCs w:val="1"/>
          <w:color w:val="auto"/>
        </w:rPr>
        <w:t xml:space="preserve">Foreign Currency Translation </w:t>
      </w:r>
      <w:r>
        <w:rPr>
          <w:rFonts w:ascii="Arial" w:cs="Arial" w:eastAsia="Arial" w:hAnsi="Arial"/>
          <w:sz w:val="13"/>
          <w:szCs w:val="13"/>
          <w:color w:val="auto"/>
        </w:rPr>
        <w:t>— Foreign currency assets and liabilities are translated into United States dollars at end of period rates of exchange, and income and expense accounts</w:t>
      </w:r>
      <w:r>
        <w:rPr>
          <w:rFonts w:ascii="Arial" w:cs="Arial" w:eastAsia="Arial" w:hAnsi="Arial"/>
          <w:sz w:val="13"/>
          <w:szCs w:val="13"/>
          <w:i w:val="1"/>
          <w:iCs w:val="1"/>
          <w:color w:val="auto"/>
        </w:rPr>
        <w:t xml:space="preserve"> </w:t>
      </w:r>
      <w:r>
        <w:rPr>
          <w:rFonts w:ascii="Arial" w:cs="Arial" w:eastAsia="Arial" w:hAnsi="Arial"/>
          <w:sz w:val="13"/>
          <w:szCs w:val="13"/>
          <w:color w:val="auto"/>
        </w:rPr>
        <w:t>are translated at the weighted average rates of exchange for the period. Resulting translation adjustments are included in other comprehensive income.</w:t>
      </w:r>
    </w:p>
    <w:p>
      <w:pPr>
        <w:spacing w:after="0" w:line="59"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i w:val="1"/>
          <w:iCs w:val="1"/>
          <w:color w:val="auto"/>
        </w:rPr>
        <w:t xml:space="preserve">Income Taxes </w:t>
      </w:r>
      <w:r>
        <w:rPr>
          <w:rFonts w:ascii="Arial" w:cs="Arial" w:eastAsia="Arial" w:hAnsi="Arial"/>
          <w:sz w:val="13"/>
          <w:szCs w:val="13"/>
          <w:color w:val="auto"/>
        </w:rPr>
        <w:t>— The Company accounts for income taxes in accordance with SFAS No. 109, “Accounting for Income Taxes,” which requires an asset and liability approach to</w:t>
      </w:r>
      <w:r>
        <w:rPr>
          <w:rFonts w:ascii="Arial" w:cs="Arial" w:eastAsia="Arial" w:hAnsi="Arial"/>
          <w:sz w:val="13"/>
          <w:szCs w:val="13"/>
          <w:i w:val="1"/>
          <w:iCs w:val="1"/>
          <w:color w:val="auto"/>
        </w:rPr>
        <w:t xml:space="preserve"> </w:t>
      </w:r>
      <w:r>
        <w:rPr>
          <w:rFonts w:ascii="Arial" w:cs="Arial" w:eastAsia="Arial" w:hAnsi="Arial"/>
          <w:sz w:val="13"/>
          <w:szCs w:val="13"/>
          <w:color w:val="auto"/>
        </w:rPr>
        <w:t>financial accounting and reporting for income taxes. Deferred income tax assets and liabilities are computed annually for differences between the financial statement and tax basis of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expected to be realized. Income tax expense is the tax payable or refundable for the period plus or minus the change during the period in deferred tax assets and liabilities.</w:t>
      </w:r>
    </w:p>
    <w:p>
      <w:pPr>
        <w:spacing w:after="0" w:line="71"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i w:val="1"/>
          <w:iCs w:val="1"/>
          <w:color w:val="auto"/>
        </w:rPr>
        <w:t xml:space="preserve">Risk Management Activities </w:t>
      </w:r>
      <w:r>
        <w:rPr>
          <w:rFonts w:ascii="Arial" w:cs="Arial" w:eastAsia="Arial" w:hAnsi="Arial"/>
          <w:sz w:val="13"/>
          <w:szCs w:val="13"/>
          <w:color w:val="auto"/>
        </w:rPr>
        <w:t>— The Company is exposed to market risk, such as changes in interest rates and currency exchange rates. The Company does not hold or issue derivative</w:t>
      </w:r>
      <w:r>
        <w:rPr>
          <w:rFonts w:ascii="Arial" w:cs="Arial" w:eastAsia="Arial" w:hAnsi="Arial"/>
          <w:sz w:val="13"/>
          <w:szCs w:val="13"/>
          <w:i w:val="1"/>
          <w:iCs w:val="1"/>
          <w:color w:val="auto"/>
        </w:rPr>
        <w:t xml:space="preserve"> </w:t>
      </w:r>
      <w:r>
        <w:rPr>
          <w:rFonts w:ascii="Arial" w:cs="Arial" w:eastAsia="Arial" w:hAnsi="Arial"/>
          <w:sz w:val="13"/>
          <w:szCs w:val="13"/>
          <w:color w:val="auto"/>
        </w:rPr>
        <w:t>financial instruments for trading purposes.</w:t>
      </w:r>
    </w:p>
    <w:p>
      <w:pPr>
        <w:spacing w:after="0" w:line="59" w:lineRule="exact"/>
        <w:rPr>
          <w:sz w:val="20"/>
          <w:szCs w:val="20"/>
          <w:color w:val="auto"/>
        </w:rPr>
      </w:pPr>
    </w:p>
    <w:p>
      <w:pPr>
        <w:ind w:left="680" w:right="60" w:firstLine="399"/>
        <w:spacing w:after="0" w:line="316" w:lineRule="auto"/>
        <w:rPr>
          <w:sz w:val="20"/>
          <w:szCs w:val="20"/>
          <w:color w:val="auto"/>
        </w:rPr>
      </w:pPr>
      <w:r>
        <w:rPr>
          <w:rFonts w:ascii="Arial" w:cs="Arial" w:eastAsia="Arial" w:hAnsi="Arial"/>
          <w:sz w:val="11"/>
          <w:szCs w:val="11"/>
          <w:i w:val="1"/>
          <w:iCs w:val="1"/>
          <w:color w:val="auto"/>
        </w:rPr>
        <w:t xml:space="preserve">Currency Rate Hedging </w:t>
      </w:r>
      <w:r>
        <w:rPr>
          <w:rFonts w:ascii="Arial" w:cs="Arial" w:eastAsia="Arial" w:hAnsi="Arial"/>
          <w:sz w:val="11"/>
          <w:szCs w:val="11"/>
          <w:color w:val="auto"/>
        </w:rPr>
        <w:t>— The primary objectives of the foreign exchange risk management activities are to understand and mitigate the impact of potential foreign exchange</w:t>
      </w:r>
      <w:r>
        <w:rPr>
          <w:rFonts w:ascii="Arial" w:cs="Arial" w:eastAsia="Arial" w:hAnsi="Arial"/>
          <w:sz w:val="11"/>
          <w:szCs w:val="11"/>
          <w:i w:val="1"/>
          <w:iCs w:val="1"/>
          <w:color w:val="auto"/>
        </w:rPr>
        <w:t xml:space="preserve"> </w:t>
      </w:r>
      <w:r>
        <w:rPr>
          <w:rFonts w:ascii="Arial" w:cs="Arial" w:eastAsia="Arial" w:hAnsi="Arial"/>
          <w:sz w:val="11"/>
          <w:szCs w:val="11"/>
          <w:color w:val="auto"/>
        </w:rPr>
        <w:t>fluctuations on the Company’s financial results and its economic well-being. While the Company’s risk management objectives and strategies will be driven from an economic perspective, the Company will attempt, where possible and practical, to ensure that the hedging strategies it engages in can be treated as “hedges” from an accounting perspective or otherwise result in accounting treatment where the earnings effect of the hedging instrument provides substantial offset (in the same period) to the earnings effect of the hedged item. Generally, these risk management transactions will involve the use of foreign currency derivatives to protect against exposure resulting from intercompany sales and identified inventory or other asset purchases.</w:t>
      </w:r>
    </w:p>
    <w:p>
      <w:pPr>
        <w:spacing w:after="0" w:line="42" w:lineRule="exact"/>
        <w:rPr>
          <w:sz w:val="20"/>
          <w:szCs w:val="20"/>
          <w:color w:val="auto"/>
        </w:rPr>
      </w:pPr>
    </w:p>
    <w:p>
      <w:pPr>
        <w:ind w:left="680" w:right="340" w:firstLine="399"/>
        <w:spacing w:after="0" w:line="264" w:lineRule="auto"/>
        <w:rPr>
          <w:sz w:val="20"/>
          <w:szCs w:val="20"/>
          <w:color w:val="auto"/>
        </w:rPr>
      </w:pPr>
      <w:r>
        <w:rPr>
          <w:rFonts w:ascii="Arial" w:cs="Arial" w:eastAsia="Arial" w:hAnsi="Arial"/>
          <w:sz w:val="13"/>
          <w:szCs w:val="13"/>
          <w:color w:val="auto"/>
        </w:rPr>
        <w:t>The Company primarily utilizes forward exchange contracts with maturities of less than 12 months, which qualify as cash flow hedges. These are intended to offset the effect of exchange rate fluctuations on forecasted sales, inventory purchases and intercompany charges. The fair value of these instruments at July 31, 2006 and 2005 was $(355) and $618, respectively.</w:t>
      </w:r>
    </w:p>
    <w:p>
      <w:pPr>
        <w:spacing w:after="0" w:line="67"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Hedge effectiveness is determined by how closely the changes in the fair value of the hedging instrument offset the changes in the fair value or cash flows of the hedged item. Hedge accounting is permitted only if the hedging relationship is expected to be highly effective at the inception of the hedge and on an on-going basis. Any ineffective portions are to be recognized in earnings immediately as a component of investment and other income.</w:t>
      </w:r>
    </w:p>
    <w:p>
      <w:pPr>
        <w:spacing w:after="0" w:line="27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BRADY CORPORATION AND SUBSIDIARIES</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i w:val="1"/>
          <w:iCs w:val="1"/>
          <w:color w:val="auto"/>
        </w:rPr>
        <w:t xml:space="preserve">New Accounting Standards </w:t>
      </w:r>
      <w:r>
        <w:rPr>
          <w:rFonts w:ascii="Arial" w:cs="Arial" w:eastAsia="Arial" w:hAnsi="Arial"/>
          <w:sz w:val="12"/>
          <w:szCs w:val="12"/>
          <w:color w:val="auto"/>
        </w:rPr>
        <w:t>— In June 2006, the Financial Accounting Standards Board (“FASB”) issued FIN 48, “Accounting for Uncertainty in Income Taxes.” This interpretation</w:t>
      </w:r>
      <w:r>
        <w:rPr>
          <w:rFonts w:ascii="Arial" w:cs="Arial" w:eastAsia="Arial" w:hAnsi="Arial"/>
          <w:sz w:val="12"/>
          <w:szCs w:val="12"/>
          <w:i w:val="1"/>
          <w:iCs w:val="1"/>
          <w:color w:val="auto"/>
        </w:rPr>
        <w:t xml:space="preserve"> </w:t>
      </w:r>
      <w:r>
        <w:rPr>
          <w:rFonts w:ascii="Arial" w:cs="Arial" w:eastAsia="Arial" w:hAnsi="Arial"/>
          <w:sz w:val="12"/>
          <w:szCs w:val="12"/>
          <w:color w:val="auto"/>
        </w:rPr>
        <w:t>clarifies the accounting for uncertainty in income taxes recognized in an enterprise’s financial statements in accordance with FASB Statement No. 109, “Accounting for Income Taxes.” This interpretation establishes a threshold condition that a tax position must meet for any part of the benefit of that position to be recognized in the financial statements. This Interpretation also provides guidance on de-recognition, classification, interest and penalties, accounting in interim periods, disclosure and transition. This interpretation is effective for fiscal years beginning after December 15, 2006. The Company has not yet completed the process of evaluating the impact that will result from adopting FIN 48 and therefore is unable to disclose the impact that adopting FIN 48 will have on its financial position and results of operations when such statement is adopted.</w:t>
      </w:r>
    </w:p>
    <w:p>
      <w:pPr>
        <w:spacing w:after="0" w:line="59"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i w:val="1"/>
          <w:iCs w:val="1"/>
          <w:color w:val="auto"/>
        </w:rPr>
        <w:t xml:space="preserve">Reclassifications </w:t>
      </w:r>
      <w:r>
        <w:rPr>
          <w:rFonts w:ascii="Arial" w:cs="Arial" w:eastAsia="Arial" w:hAnsi="Arial"/>
          <w:sz w:val="13"/>
          <w:szCs w:val="13"/>
          <w:color w:val="auto"/>
        </w:rPr>
        <w:t>— Certain prior year amounts have been reclassified to conform to the current year presentation. The reclassifications did not impact the Company’s net income or</w:t>
      </w:r>
      <w:r>
        <w:rPr>
          <w:rFonts w:ascii="Arial" w:cs="Arial" w:eastAsia="Arial" w:hAnsi="Arial"/>
          <w:sz w:val="13"/>
          <w:szCs w:val="13"/>
          <w:i w:val="1"/>
          <w:iCs w:val="1"/>
          <w:color w:val="auto"/>
        </w:rPr>
        <w:t xml:space="preserve"> </w:t>
      </w:r>
      <w:r>
        <w:rPr>
          <w:rFonts w:ascii="Arial" w:cs="Arial" w:eastAsia="Arial" w:hAnsi="Arial"/>
          <w:sz w:val="13"/>
          <w:szCs w:val="13"/>
          <w:color w:val="auto"/>
        </w:rPr>
        <w:t>net income per share.</w:t>
      </w:r>
    </w:p>
    <w:p>
      <w:pPr>
        <w:spacing w:after="0" w:line="134" w:lineRule="exact"/>
        <w:rPr>
          <w:sz w:val="20"/>
          <w:szCs w:val="20"/>
          <w:color w:val="auto"/>
        </w:rPr>
      </w:pPr>
    </w:p>
    <w:p>
      <w:pPr>
        <w:ind w:left="1000" w:hanging="313"/>
        <w:spacing w:after="0"/>
        <w:tabs>
          <w:tab w:leader="none" w:pos="1000" w:val="left"/>
        </w:tabs>
        <w:numPr>
          <w:ilvl w:val="0"/>
          <w:numId w:val="17"/>
        </w:numPr>
        <w:rPr>
          <w:rFonts w:ascii="Arial" w:cs="Arial" w:eastAsia="Arial" w:hAnsi="Arial"/>
          <w:sz w:val="13"/>
          <w:szCs w:val="13"/>
          <w:b w:val="1"/>
          <w:bCs w:val="1"/>
          <w:color w:val="auto"/>
        </w:rPr>
      </w:pPr>
      <w:r>
        <w:rPr>
          <w:rFonts w:ascii="Arial" w:cs="Arial" w:eastAsia="Arial" w:hAnsi="Arial"/>
          <w:sz w:val="13"/>
          <w:szCs w:val="13"/>
          <w:b w:val="1"/>
          <w:bCs w:val="1"/>
          <w:color w:val="auto"/>
        </w:rPr>
        <w:t>Acquisitions of Businesses</w:t>
      </w:r>
    </w:p>
    <w:p>
      <w:pPr>
        <w:spacing w:after="0" w:line="100"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The Company completed eleven business acquisitions during the fiscal year ended July 31, 2006 and four acquisitions during each of the fiscal years ended July 31, 2005 and 2004. All of these transactions were accounted for using the purchase method of accounting; therefore, the results of operations are included in the accompanying consolidated financial statements only since their acquisition dates. The Company is continuing to evaluate the initial purchase price allocations for the acquisitions completed during the fiscal year ended July 31, 2006, and will adjust the allocations as additional information relative to the fair values of assets and liabilities of the acquired businesses become known.</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2006</w:t>
      </w:r>
    </w:p>
    <w:p>
      <w:pPr>
        <w:spacing w:after="0" w:line="9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The Company acquired the following companies in fiscal 2006 for a total combined purchase price, net of cash acquired, of $351,331. A brief description of each company acquired during the year is included below:</w:t>
      </w:r>
    </w:p>
    <w:p>
      <w:pPr>
        <w:spacing w:after="0" w:line="59" w:lineRule="exact"/>
        <w:rPr>
          <w:sz w:val="20"/>
          <w:szCs w:val="20"/>
          <w:color w:val="auto"/>
        </w:rPr>
      </w:pPr>
    </w:p>
    <w:p>
      <w:pPr>
        <w:ind w:left="1180" w:right="360" w:hanging="90"/>
        <w:spacing w:after="0" w:line="276" w:lineRule="auto"/>
        <w:tabs>
          <w:tab w:leader="none" w:pos="11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Stopware is located in San Jose, California and is a manufacturer of visitor-badging and lobby-security software used to identify and track visitors. Stopware was acquired in August 2005.</w:t>
      </w:r>
    </w:p>
    <w:p>
      <w:pPr>
        <w:spacing w:after="0" w:line="49" w:lineRule="exact"/>
        <w:rPr>
          <w:rFonts w:ascii="Arial" w:cs="Arial" w:eastAsia="Arial" w:hAnsi="Arial"/>
          <w:sz w:val="13"/>
          <w:szCs w:val="13"/>
          <w:color w:val="auto"/>
        </w:rPr>
      </w:pPr>
    </w:p>
    <w:p>
      <w:pPr>
        <w:ind w:left="1180" w:right="420" w:hanging="90"/>
        <w:spacing w:after="0" w:line="276" w:lineRule="auto"/>
        <w:tabs>
          <w:tab w:leader="none" w:pos="11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Texit is a manufacturer and distributor of wire markers and cable-management products headquartered in Odense, Denmark, with operations in Alesund, Norway. Texit was acquired in September 2005.</w:t>
      </w:r>
    </w:p>
    <w:p>
      <w:pPr>
        <w:spacing w:after="0" w:line="49" w:lineRule="exact"/>
        <w:rPr>
          <w:rFonts w:ascii="Arial" w:cs="Arial" w:eastAsia="Arial" w:hAnsi="Arial"/>
          <w:sz w:val="13"/>
          <w:szCs w:val="13"/>
          <w:color w:val="auto"/>
        </w:rPr>
      </w:pPr>
    </w:p>
    <w:p>
      <w:pPr>
        <w:ind w:left="1180" w:hanging="90"/>
        <w:spacing w:after="0" w:line="276" w:lineRule="auto"/>
        <w:tabs>
          <w:tab w:leader="none" w:pos="11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TruMed is a converter of disposable products and components for manufacturers in the medical device, diagnostic, personal care and industrial markets and is located in Burnsville, Minnesota. TruMed was acquired in October 2005.</w:t>
      </w:r>
    </w:p>
    <w:p>
      <w:pPr>
        <w:spacing w:after="0" w:line="49" w:lineRule="exact"/>
        <w:rPr>
          <w:rFonts w:ascii="Arial" w:cs="Arial" w:eastAsia="Arial" w:hAnsi="Arial"/>
          <w:sz w:val="13"/>
          <w:szCs w:val="13"/>
          <w:color w:val="auto"/>
        </w:rPr>
      </w:pPr>
    </w:p>
    <w:p>
      <w:pPr>
        <w:ind w:left="1180" w:right="100" w:hanging="90"/>
        <w:spacing w:after="0" w:line="276" w:lineRule="auto"/>
        <w:tabs>
          <w:tab w:leader="none" w:pos="11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QDPT is located in Wangnoi, Ayutthaya, Thailand and designs and manufactures high-precision components for the electronic, medical and automotive industries, specializing in precision laminating, stamping and contract assembly. QDPT was acquired in October 2005.</w:t>
      </w:r>
    </w:p>
    <w:p>
      <w:pPr>
        <w:spacing w:after="0" w:line="49" w:lineRule="exact"/>
        <w:rPr>
          <w:rFonts w:ascii="Arial" w:cs="Arial" w:eastAsia="Arial" w:hAnsi="Arial"/>
          <w:sz w:val="13"/>
          <w:szCs w:val="13"/>
          <w:color w:val="auto"/>
        </w:rPr>
      </w:pPr>
    </w:p>
    <w:p>
      <w:pPr>
        <w:ind w:left="1180" w:right="480" w:hanging="90"/>
        <w:spacing w:after="0" w:line="276" w:lineRule="auto"/>
        <w:tabs>
          <w:tab w:leader="none" w:pos="11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J.A.M. is located in Anaheim, California and specializes in the sale and manufacture of security-related accessory products including patented badge holders, lanyards and retractable badge reels. J.A.M. was acquired in December 2005.</w:t>
      </w:r>
    </w:p>
    <w:p>
      <w:pPr>
        <w:spacing w:after="0" w:line="49" w:lineRule="exact"/>
        <w:rPr>
          <w:rFonts w:ascii="Arial" w:cs="Arial" w:eastAsia="Arial" w:hAnsi="Arial"/>
          <w:sz w:val="13"/>
          <w:szCs w:val="13"/>
          <w:color w:val="auto"/>
        </w:rPr>
      </w:pPr>
    </w:p>
    <w:p>
      <w:pPr>
        <w:ind w:left="1180" w:right="180" w:hanging="90"/>
        <w:spacing w:after="0" w:line="264" w:lineRule="auto"/>
        <w:tabs>
          <w:tab w:leader="none" w:pos="11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Personnel Concepts is located in Pomona, California and is a direct marketer of labor-law compliance posters and related products. Personnel Concepts also offers consultative expertise on required communication of federal and state minimum wages, HIPAA privacy regulations, and EEO compliance, among other regulatory areas. Personnel Concepts was acquired in January 2006.</w:t>
      </w:r>
    </w:p>
    <w:p>
      <w:pPr>
        <w:spacing w:after="0" w:line="27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BRADY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ind w:left="1180" w:right="300" w:hanging="90"/>
        <w:spacing w:after="0" w:line="276" w:lineRule="auto"/>
        <w:tabs>
          <w:tab w:leader="none" w:pos="11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IDenticard is located in Lancaster, Pennsylvania and its affiliate Identicam is located in Markham, Ontario. The companies are market leaders in personal identification, access control and consumable identification badges. IDenticard and Identicam were acquired in February 2006.</w:t>
      </w:r>
    </w:p>
    <w:p>
      <w:pPr>
        <w:spacing w:after="0" w:line="49" w:lineRule="exact"/>
        <w:rPr>
          <w:rFonts w:ascii="Arial" w:cs="Arial" w:eastAsia="Arial" w:hAnsi="Arial"/>
          <w:sz w:val="13"/>
          <w:szCs w:val="13"/>
          <w:color w:val="auto"/>
        </w:rPr>
      </w:pPr>
    </w:p>
    <w:p>
      <w:pPr>
        <w:ind w:left="1180" w:right="380" w:hanging="90"/>
        <w:spacing w:after="0" w:line="276" w:lineRule="auto"/>
        <w:tabs>
          <w:tab w:leader="none" w:pos="11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Accidental Health is located in Glendenning, New South Wales, Australia and is a supplier and distributor of customized first-aid kits, related safety products and signage for commercial enterprises. Accidental Health was acquired in March 2006.</w:t>
      </w:r>
    </w:p>
    <w:p>
      <w:pPr>
        <w:spacing w:after="0" w:line="49" w:lineRule="exact"/>
        <w:rPr>
          <w:rFonts w:ascii="Arial" w:cs="Arial" w:eastAsia="Arial" w:hAnsi="Arial"/>
          <w:sz w:val="13"/>
          <w:szCs w:val="13"/>
          <w:color w:val="auto"/>
        </w:rPr>
      </w:pPr>
    </w:p>
    <w:p>
      <w:pPr>
        <w:ind w:left="1180" w:right="40" w:hanging="90"/>
        <w:spacing w:after="0" w:line="276" w:lineRule="auto"/>
        <w:tabs>
          <w:tab w:leader="none" w:pos="11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Tradex is headquarterd in Kungalv, Sweden with operations in Sweden, China, Korea, Mexico, the United States, Brazil, and Taiwan. Tradex is a leading manufacturer and supplier of pressure sensitive, die-cut adhesive components for the mobile handset and electronics industries. Tradex was acquired in May 2006.</w:t>
      </w:r>
    </w:p>
    <w:p>
      <w:pPr>
        <w:spacing w:after="0" w:line="49" w:lineRule="exact"/>
        <w:rPr>
          <w:rFonts w:ascii="Arial" w:cs="Arial" w:eastAsia="Arial" w:hAnsi="Arial"/>
          <w:sz w:val="13"/>
          <w:szCs w:val="13"/>
          <w:color w:val="auto"/>
        </w:rPr>
      </w:pPr>
    </w:p>
    <w:p>
      <w:pPr>
        <w:ind w:left="1180" w:right="100" w:hanging="90"/>
        <w:spacing w:after="0" w:line="264" w:lineRule="auto"/>
        <w:tabs>
          <w:tab w:leader="none" w:pos="11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Carroll is located in Sydney, New South Wales, Australia and is a supplier and distributor of identification products for the electrical industry, with a complete line of wiring accessory products including prepared wire and cable markers, termination and connection supplies, wire-bundling materials and electrical circuit protection products. Carroll also markets to the automotive and marine markets. Carroll was acquired in June 2006.</w:t>
      </w:r>
    </w:p>
    <w:p>
      <w:pPr>
        <w:spacing w:after="0" w:line="57" w:lineRule="exact"/>
        <w:rPr>
          <w:rFonts w:ascii="Arial" w:cs="Arial" w:eastAsia="Arial" w:hAnsi="Arial"/>
          <w:sz w:val="13"/>
          <w:szCs w:val="13"/>
          <w:color w:val="auto"/>
        </w:rPr>
      </w:pPr>
    </w:p>
    <w:p>
      <w:pPr>
        <w:ind w:left="1180" w:right="60" w:hanging="90"/>
        <w:spacing w:after="0" w:line="276" w:lineRule="auto"/>
        <w:tabs>
          <w:tab w:leader="none" w:pos="11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Daewon is based in Seoul, South Korea with additional operations in Suzhou, China. Daewon is a manufacturer and supplier of pressure sensitive, die-cut adhesive components for the mobile handset and electronics industry and was acquired in July 2006.</w:t>
      </w:r>
    </w:p>
    <w:p>
      <w:pPr>
        <w:spacing w:after="0" w:line="59"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9200" w:type="dxa"/>
            <w:vAlign w:val="bottom"/>
          </w:tcPr>
          <w:p>
            <w:pPr>
              <w:ind w:left="400"/>
              <w:spacing w:after="0"/>
              <w:rPr>
                <w:sz w:val="20"/>
                <w:szCs w:val="20"/>
                <w:color w:val="auto"/>
              </w:rPr>
            </w:pPr>
            <w:r>
              <w:rPr>
                <w:rFonts w:ascii="Arial" w:cs="Arial" w:eastAsia="Arial" w:hAnsi="Arial"/>
                <w:sz w:val="13"/>
                <w:szCs w:val="13"/>
                <w:color w:val="auto"/>
              </w:rPr>
              <w:t>The following table summarizes the combined estimated fair values of the assets acquired and liabilities assumed at the date of the acquisitions.</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00"/>
        </w:trPr>
        <w:tc>
          <w:tcPr>
            <w:tcW w:w="9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57"/>
        </w:trPr>
        <w:tc>
          <w:tcPr>
            <w:tcW w:w="9200" w:type="dxa"/>
            <w:vAlign w:val="bottom"/>
            <w:shd w:val="clear" w:color="auto" w:fill="CCEEFF"/>
          </w:tcPr>
          <w:p>
            <w:pPr>
              <w:spacing w:after="0"/>
              <w:rPr>
                <w:sz w:val="20"/>
                <w:szCs w:val="20"/>
                <w:color w:val="auto"/>
              </w:rPr>
            </w:pPr>
            <w:r>
              <w:rPr>
                <w:rFonts w:ascii="Arial" w:cs="Arial" w:eastAsia="Arial" w:hAnsi="Arial"/>
                <w:sz w:val="13"/>
                <w:szCs w:val="13"/>
                <w:color w:val="auto"/>
              </w:rPr>
              <w:t>Current assets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72,882</w:t>
            </w:r>
          </w:p>
        </w:tc>
      </w:tr>
      <w:tr>
        <w:trPr>
          <w:trHeight w:val="157"/>
        </w:trPr>
        <w:tc>
          <w:tcPr>
            <w:tcW w:w="9200" w:type="dxa"/>
            <w:vAlign w:val="bottom"/>
          </w:tcPr>
          <w:p>
            <w:pPr>
              <w:spacing w:after="0"/>
              <w:rPr>
                <w:sz w:val="20"/>
                <w:szCs w:val="20"/>
                <w:color w:val="auto"/>
              </w:rPr>
            </w:pPr>
            <w:r>
              <w:rPr>
                <w:rFonts w:ascii="Arial" w:cs="Arial" w:eastAsia="Arial" w:hAnsi="Arial"/>
                <w:sz w:val="13"/>
                <w:szCs w:val="13"/>
                <w:color w:val="auto"/>
              </w:rPr>
              <w:t>Property, plant &amp; equipment</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22,159</w:t>
            </w:r>
          </w:p>
        </w:tc>
      </w:tr>
      <w:tr>
        <w:trPr>
          <w:trHeight w:val="157"/>
        </w:trPr>
        <w:tc>
          <w:tcPr>
            <w:tcW w:w="920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247,098</w:t>
            </w:r>
          </w:p>
        </w:tc>
        <w:tc>
          <w:tcPr>
            <w:tcW w:w="100" w:type="dxa"/>
            <w:vAlign w:val="bottom"/>
            <w:shd w:val="clear" w:color="auto" w:fill="CCEEFF"/>
          </w:tcPr>
          <w:p>
            <w:pPr>
              <w:spacing w:after="0"/>
              <w:rPr>
                <w:sz w:val="13"/>
                <w:szCs w:val="13"/>
                <w:color w:val="auto"/>
              </w:rPr>
            </w:pPr>
          </w:p>
        </w:tc>
      </w:tr>
      <w:tr>
        <w:trPr>
          <w:trHeight w:val="157"/>
        </w:trPr>
        <w:tc>
          <w:tcPr>
            <w:tcW w:w="9200" w:type="dxa"/>
            <w:vAlign w:val="bottom"/>
          </w:tcPr>
          <w:p>
            <w:pPr>
              <w:spacing w:after="0"/>
              <w:rPr>
                <w:sz w:val="20"/>
                <w:szCs w:val="20"/>
                <w:color w:val="auto"/>
              </w:rPr>
            </w:pPr>
            <w:r>
              <w:rPr>
                <w:rFonts w:ascii="Arial" w:cs="Arial" w:eastAsia="Arial" w:hAnsi="Arial"/>
                <w:sz w:val="13"/>
                <w:szCs w:val="13"/>
                <w:color w:val="auto"/>
              </w:rPr>
              <w:t>Customer relationships</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56,538</w:t>
            </w:r>
          </w:p>
        </w:tc>
      </w:tr>
      <w:tr>
        <w:trPr>
          <w:trHeight w:val="157"/>
        </w:trPr>
        <w:tc>
          <w:tcPr>
            <w:tcW w:w="9200" w:type="dxa"/>
            <w:vAlign w:val="bottom"/>
            <w:shd w:val="clear" w:color="auto" w:fill="CCEEFF"/>
          </w:tcPr>
          <w:p>
            <w:pPr>
              <w:spacing w:after="0"/>
              <w:rPr>
                <w:sz w:val="20"/>
                <w:szCs w:val="20"/>
                <w:color w:val="auto"/>
              </w:rPr>
            </w:pPr>
            <w:r>
              <w:rPr>
                <w:rFonts w:ascii="Arial" w:cs="Arial" w:eastAsia="Arial" w:hAnsi="Arial"/>
                <w:sz w:val="13"/>
                <w:szCs w:val="13"/>
                <w:color w:val="auto"/>
              </w:rPr>
              <w:t>Trademarks</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10,619</w:t>
            </w:r>
          </w:p>
        </w:tc>
      </w:tr>
      <w:tr>
        <w:trPr>
          <w:trHeight w:val="157"/>
        </w:trPr>
        <w:tc>
          <w:tcPr>
            <w:tcW w:w="9200" w:type="dxa"/>
            <w:vAlign w:val="bottom"/>
          </w:tcPr>
          <w:p>
            <w:pPr>
              <w:spacing w:after="0"/>
              <w:rPr>
                <w:sz w:val="20"/>
                <w:szCs w:val="20"/>
                <w:color w:val="auto"/>
              </w:rPr>
            </w:pPr>
            <w:r>
              <w:rPr>
                <w:rFonts w:ascii="Arial" w:cs="Arial" w:eastAsia="Arial" w:hAnsi="Arial"/>
                <w:sz w:val="13"/>
                <w:szCs w:val="13"/>
                <w:color w:val="auto"/>
              </w:rPr>
              <w:t>Non-compete agreements</w:t>
            </w: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3,206</w:t>
            </w:r>
          </w:p>
        </w:tc>
        <w:tc>
          <w:tcPr>
            <w:tcW w:w="100" w:type="dxa"/>
            <w:vAlign w:val="bottom"/>
          </w:tcPr>
          <w:p>
            <w:pPr>
              <w:spacing w:after="0"/>
              <w:rPr>
                <w:sz w:val="13"/>
                <w:szCs w:val="13"/>
                <w:color w:val="auto"/>
              </w:rPr>
            </w:pPr>
          </w:p>
        </w:tc>
      </w:tr>
      <w:tr>
        <w:trPr>
          <w:trHeight w:val="157"/>
        </w:trPr>
        <w:tc>
          <w:tcPr>
            <w:tcW w:w="9200" w:type="dxa"/>
            <w:vAlign w:val="bottom"/>
            <w:shd w:val="clear" w:color="auto" w:fill="CCEEFF"/>
          </w:tcPr>
          <w:p>
            <w:pPr>
              <w:spacing w:after="0"/>
              <w:rPr>
                <w:sz w:val="20"/>
                <w:szCs w:val="20"/>
                <w:color w:val="auto"/>
              </w:rPr>
            </w:pPr>
            <w:r>
              <w:rPr>
                <w:rFonts w:ascii="Arial" w:cs="Arial" w:eastAsia="Arial" w:hAnsi="Arial"/>
                <w:sz w:val="13"/>
                <w:szCs w:val="13"/>
                <w:color w:val="auto"/>
              </w:rPr>
              <w:t>Purchased software</w:t>
            </w: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w:t>
            </w:r>
          </w:p>
        </w:tc>
        <w:tc>
          <w:tcPr>
            <w:tcW w:w="100" w:type="dxa"/>
            <w:vAlign w:val="bottom"/>
            <w:shd w:val="clear" w:color="auto" w:fill="CCEEFF"/>
          </w:tcPr>
          <w:p>
            <w:pPr>
              <w:spacing w:after="0"/>
              <w:rPr>
                <w:sz w:val="13"/>
                <w:szCs w:val="13"/>
                <w:color w:val="auto"/>
              </w:rPr>
            </w:pPr>
          </w:p>
        </w:tc>
      </w:tr>
      <w:tr>
        <w:trPr>
          <w:trHeight w:val="157"/>
        </w:trPr>
        <w:tc>
          <w:tcPr>
            <w:tcW w:w="9200" w:type="dxa"/>
            <w:vAlign w:val="bottom"/>
          </w:tcPr>
          <w:p>
            <w:pPr>
              <w:spacing w:after="0"/>
              <w:rPr>
                <w:sz w:val="20"/>
                <w:szCs w:val="20"/>
                <w:color w:val="auto"/>
              </w:rPr>
            </w:pPr>
            <w:r>
              <w:rPr>
                <w:rFonts w:ascii="Arial" w:cs="Arial" w:eastAsia="Arial" w:hAnsi="Arial"/>
                <w:sz w:val="13"/>
                <w:szCs w:val="13"/>
                <w:color w:val="auto"/>
              </w:rPr>
              <w:t>Patents</w:t>
            </w: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610</w:t>
            </w:r>
          </w:p>
        </w:tc>
        <w:tc>
          <w:tcPr>
            <w:tcW w:w="100" w:type="dxa"/>
            <w:vAlign w:val="bottom"/>
          </w:tcPr>
          <w:p>
            <w:pPr>
              <w:spacing w:after="0"/>
              <w:rPr>
                <w:sz w:val="13"/>
                <w:szCs w:val="13"/>
                <w:color w:val="auto"/>
              </w:rPr>
            </w:pPr>
          </w:p>
        </w:tc>
      </w:tr>
      <w:tr>
        <w:trPr>
          <w:trHeight w:val="157"/>
        </w:trPr>
        <w:tc>
          <w:tcPr>
            <w:tcW w:w="9200" w:type="dxa"/>
            <w:vAlign w:val="bottom"/>
            <w:shd w:val="clear" w:color="auto" w:fill="CCEEFF"/>
          </w:tcPr>
          <w:p>
            <w:pPr>
              <w:spacing w:after="0"/>
              <w:rPr>
                <w:sz w:val="20"/>
                <w:szCs w:val="20"/>
                <w:color w:val="auto"/>
              </w:rPr>
            </w:pPr>
            <w:r>
              <w:rPr>
                <w:rFonts w:ascii="Arial" w:cs="Arial" w:eastAsia="Arial" w:hAnsi="Arial"/>
                <w:sz w:val="13"/>
                <w:szCs w:val="13"/>
                <w:color w:val="auto"/>
              </w:rPr>
              <w:t>Other intangible assets</w:t>
            </w:r>
          </w:p>
        </w:tc>
        <w:tc>
          <w:tcPr>
            <w:tcW w:w="16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1,508</w:t>
            </w:r>
          </w:p>
        </w:tc>
        <w:tc>
          <w:tcPr>
            <w:tcW w:w="100" w:type="dxa"/>
            <w:vAlign w:val="bottom"/>
            <w:shd w:val="clear" w:color="auto" w:fill="CCEEFF"/>
          </w:tcPr>
          <w:p>
            <w:pPr>
              <w:spacing w:after="0"/>
              <w:rPr>
                <w:sz w:val="13"/>
                <w:szCs w:val="13"/>
                <w:color w:val="auto"/>
              </w:rPr>
            </w:pPr>
          </w:p>
        </w:tc>
      </w:tr>
      <w:tr>
        <w:trPr>
          <w:trHeight w:val="156"/>
        </w:trPr>
        <w:tc>
          <w:tcPr>
            <w:tcW w:w="9200" w:type="dxa"/>
            <w:vAlign w:val="bottom"/>
          </w:tcPr>
          <w:p>
            <w:pPr>
              <w:ind w:left="140"/>
              <w:spacing w:after="0"/>
              <w:rPr>
                <w:sz w:val="20"/>
                <w:szCs w:val="20"/>
                <w:color w:val="auto"/>
              </w:rPr>
            </w:pPr>
            <w:r>
              <w:rPr>
                <w:rFonts w:ascii="Arial" w:cs="Arial" w:eastAsia="Arial" w:hAnsi="Arial"/>
                <w:sz w:val="13"/>
                <w:szCs w:val="13"/>
                <w:color w:val="auto"/>
              </w:rPr>
              <w:t>Total assets acquired</w:t>
            </w: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414,998</w:t>
            </w:r>
          </w:p>
        </w:tc>
        <w:tc>
          <w:tcPr>
            <w:tcW w:w="100" w:type="dxa"/>
            <w:vAlign w:val="bottom"/>
          </w:tcPr>
          <w:p>
            <w:pPr>
              <w:spacing w:after="0"/>
              <w:rPr>
                <w:sz w:val="13"/>
                <w:szCs w:val="13"/>
                <w:color w:val="auto"/>
              </w:rPr>
            </w:pPr>
          </w:p>
        </w:tc>
      </w:tr>
      <w:tr>
        <w:trPr>
          <w:trHeight w:val="158"/>
        </w:trPr>
        <w:tc>
          <w:tcPr>
            <w:tcW w:w="9200" w:type="dxa"/>
            <w:vAlign w:val="bottom"/>
            <w:shd w:val="clear" w:color="auto" w:fill="CCEEFF"/>
          </w:tcPr>
          <w:p>
            <w:pPr>
              <w:spacing w:after="0"/>
              <w:rPr>
                <w:sz w:val="20"/>
                <w:szCs w:val="20"/>
                <w:color w:val="auto"/>
              </w:rPr>
            </w:pPr>
            <w:r>
              <w:rPr>
                <w:rFonts w:ascii="Arial" w:cs="Arial" w:eastAsia="Arial" w:hAnsi="Arial"/>
                <w:sz w:val="13"/>
                <w:szCs w:val="13"/>
                <w:color w:val="auto"/>
              </w:rPr>
              <w:t>Liabilities assumed</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63,667</w:t>
            </w:r>
          </w:p>
        </w:tc>
      </w:tr>
      <w:tr>
        <w:trPr>
          <w:trHeight w:val="166"/>
        </w:trPr>
        <w:tc>
          <w:tcPr>
            <w:tcW w:w="9200" w:type="dxa"/>
            <w:vAlign w:val="bottom"/>
          </w:tcPr>
          <w:p>
            <w:pPr>
              <w:ind w:left="140"/>
              <w:spacing w:after="0"/>
              <w:rPr>
                <w:sz w:val="20"/>
                <w:szCs w:val="20"/>
                <w:color w:val="auto"/>
              </w:rPr>
            </w:pPr>
            <w:r>
              <w:rPr>
                <w:rFonts w:ascii="Arial" w:cs="Arial" w:eastAsia="Arial" w:hAnsi="Arial"/>
                <w:sz w:val="13"/>
                <w:szCs w:val="13"/>
                <w:color w:val="auto"/>
              </w:rPr>
              <w:t>Net assets acquired</w:t>
            </w: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351,331</w:t>
            </w:r>
          </w:p>
        </w:tc>
        <w:tc>
          <w:tcPr>
            <w:tcW w:w="100" w:type="dxa"/>
            <w:vAlign w:val="bottom"/>
          </w:tcPr>
          <w:p>
            <w:pPr>
              <w:spacing w:after="0"/>
              <w:rPr>
                <w:sz w:val="14"/>
                <w:szCs w:val="14"/>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Of the $247,098 allocated to goodwill, $28,113 associated with TruMed, J.A.M. and IDenticard is expected to be deductible for tax purposes based on preliminary analysis.</w:t>
      </w:r>
    </w:p>
    <w:p>
      <w:pPr>
        <w:spacing w:after="0" w:line="108"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The purchase agreements for Texit, QDPT, and Stopware each include provisions for contingent payments based upon meeting certain performance conditions over a period of time subsequent to the acquisition. As of July 31, 2006, $1,000 has been recorded as a liability on the accompanying consolidated financial statements as a portion of the performance conditions for Stopware has been met. The liability was paid in September 2006. The remaining total contingent payments of between $2,200 and $4,050 have not been accrued as liabilities in the accompanying consolidated financial statements based on the accounting guidance in SFAS No. 141 “Business Combinations.” The purchase agreements for QDPT, Stopware and Daewon include holdback provisions of $310, $200 and $4,350, respectively, that have been recorded as liabilities in the accompanying consolidated financial statements.</w:t>
      </w:r>
    </w:p>
    <w:p>
      <w:pPr>
        <w:spacing w:after="0" w:line="262"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BRADY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following unaudited pro forma results of operations of the Company for the fiscal years ended July 31, 2006 and 2005, respectively, give effect to all acquisitions completed since August 1, 2005 as listed above as though the transactions had occurred on August 1, 2004.</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80" w:type="dxa"/>
            <w:vAlign w:val="bottom"/>
            <w:gridSpan w:val="5"/>
          </w:tcPr>
          <w:p>
            <w:pPr>
              <w:jc w:val="right"/>
              <w:ind w:right="580"/>
              <w:spacing w:after="0"/>
              <w:rPr>
                <w:sz w:val="20"/>
                <w:szCs w:val="20"/>
                <w:color w:val="auto"/>
              </w:rPr>
            </w:pPr>
            <w:r>
              <w:rPr>
                <w:rFonts w:ascii="Arial" w:cs="Arial" w:eastAsia="Arial" w:hAnsi="Arial"/>
                <w:sz w:val="10"/>
                <w:szCs w:val="10"/>
                <w:b w:val="1"/>
                <w:bCs w:val="1"/>
                <w:color w:val="auto"/>
              </w:rPr>
              <w:t>Fiscal Year Ended July 31,</w:t>
            </w:r>
          </w:p>
        </w:tc>
      </w:tr>
      <w:tr>
        <w:trPr>
          <w:trHeight w:val="98"/>
        </w:trPr>
        <w:tc>
          <w:tcPr>
            <w:tcW w:w="7700" w:type="dxa"/>
            <w:vAlign w:val="bottom"/>
          </w:tcPr>
          <w:p>
            <w:pPr>
              <w:spacing w:after="0"/>
              <w:rPr>
                <w:sz w:val="8"/>
                <w:szCs w:val="8"/>
                <w:color w:val="auto"/>
              </w:rPr>
            </w:pPr>
          </w:p>
        </w:tc>
        <w:tc>
          <w:tcPr>
            <w:tcW w:w="200" w:type="dxa"/>
            <w:vAlign w:val="bottom"/>
            <w:tcBorders>
              <w:top w:val="single" w:sz="8" w:color="auto"/>
              <w:bottom w:val="single" w:sz="8" w:color="auto"/>
            </w:tcBorders>
          </w:tcPr>
          <w:p>
            <w:pPr>
              <w:spacing w:after="0"/>
              <w:rPr>
                <w:sz w:val="8"/>
                <w:szCs w:val="8"/>
                <w:color w:val="auto"/>
              </w:rPr>
            </w:pPr>
          </w:p>
        </w:tc>
        <w:tc>
          <w:tcPr>
            <w:tcW w:w="700" w:type="dxa"/>
            <w:vAlign w:val="bottom"/>
            <w:tcBorders>
              <w:top w:val="single" w:sz="8" w:color="auto"/>
              <w:bottom w:val="single" w:sz="8" w:color="auto"/>
            </w:tcBorders>
          </w:tcPr>
          <w:p>
            <w:pPr>
              <w:jc w:val="right"/>
              <w:ind w:right="276"/>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Borders>
              <w:top w:val="single" w:sz="8" w:color="auto"/>
            </w:tcBorders>
          </w:tcPr>
          <w:p>
            <w:pPr>
              <w:spacing w:after="0"/>
              <w:rPr>
                <w:sz w:val="8"/>
                <w:szCs w:val="8"/>
                <w:color w:val="auto"/>
              </w:rPr>
            </w:pPr>
          </w:p>
        </w:tc>
        <w:tc>
          <w:tcPr>
            <w:tcW w:w="200" w:type="dxa"/>
            <w:vAlign w:val="bottom"/>
            <w:tcBorders>
              <w:top w:val="single" w:sz="8" w:color="auto"/>
              <w:bottom w:val="single" w:sz="8" w:color="auto"/>
            </w:tcBorders>
          </w:tcPr>
          <w:p>
            <w:pPr>
              <w:spacing w:after="0"/>
              <w:rPr>
                <w:sz w:val="8"/>
                <w:szCs w:val="8"/>
                <w:color w:val="auto"/>
              </w:rPr>
            </w:pPr>
          </w:p>
        </w:tc>
        <w:tc>
          <w:tcPr>
            <w:tcW w:w="680" w:type="dxa"/>
            <w:vAlign w:val="bottom"/>
            <w:tcBorders>
              <w:top w:val="single" w:sz="8" w:color="auto"/>
              <w:bottom w:val="single" w:sz="8" w:color="auto"/>
            </w:tcBorders>
          </w:tcPr>
          <w:p>
            <w:pPr>
              <w:jc w:val="right"/>
              <w:ind w:right="275"/>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8"/>
                <w:szCs w:val="8"/>
                <w:color w:val="auto"/>
              </w:rPr>
            </w:pPr>
          </w:p>
        </w:tc>
      </w:tr>
      <w:tr>
        <w:trPr>
          <w:trHeight w:val="29"/>
        </w:trPr>
        <w:tc>
          <w:tcPr>
            <w:tcW w:w="7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Net sales</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7700" w:type="dxa"/>
            <w:vAlign w:val="bottom"/>
          </w:tcPr>
          <w:p>
            <w:pPr>
              <w:ind w:left="280"/>
              <w:spacing w:after="0"/>
              <w:rPr>
                <w:sz w:val="20"/>
                <w:szCs w:val="20"/>
                <w:color w:val="auto"/>
              </w:rPr>
            </w:pPr>
            <w:r>
              <w:rPr>
                <w:rFonts w:ascii="Arial" w:cs="Arial" w:eastAsia="Arial" w:hAnsi="Arial"/>
                <w:sz w:val="13"/>
                <w:szCs w:val="13"/>
                <w:color w:val="auto"/>
              </w:rPr>
              <w:t>As reported</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1,018,436</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816,447</w:t>
            </w:r>
          </w:p>
        </w:tc>
      </w:tr>
      <w:tr>
        <w:trPr>
          <w:trHeight w:val="157"/>
        </w:trPr>
        <w:tc>
          <w:tcPr>
            <w:tcW w:w="7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Pro forma</w:t>
            </w: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1,189,545</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1,040,327</w:t>
            </w: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Net income</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7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As reported</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104,175</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81,947</w:t>
            </w:r>
          </w:p>
        </w:tc>
      </w:tr>
      <w:tr>
        <w:trPr>
          <w:trHeight w:val="157"/>
        </w:trPr>
        <w:tc>
          <w:tcPr>
            <w:tcW w:w="7700" w:type="dxa"/>
            <w:vAlign w:val="bottom"/>
          </w:tcPr>
          <w:p>
            <w:pPr>
              <w:ind w:left="280"/>
              <w:spacing w:after="0"/>
              <w:rPr>
                <w:sz w:val="20"/>
                <w:szCs w:val="20"/>
                <w:color w:val="auto"/>
              </w:rPr>
            </w:pPr>
            <w:r>
              <w:rPr>
                <w:rFonts w:ascii="Arial" w:cs="Arial" w:eastAsia="Arial" w:hAnsi="Arial"/>
                <w:sz w:val="13"/>
                <w:szCs w:val="13"/>
                <w:color w:val="auto"/>
              </w:rPr>
              <w:t>Pro forma</w:t>
            </w: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105,883</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84,171</w:t>
            </w: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Per Class A Nonvoting Common Share:</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7700" w:type="dxa"/>
            <w:vAlign w:val="bottom"/>
          </w:tcPr>
          <w:p>
            <w:pPr>
              <w:ind w:left="140"/>
              <w:spacing w:after="0"/>
              <w:rPr>
                <w:sz w:val="20"/>
                <w:szCs w:val="20"/>
                <w:color w:val="auto"/>
              </w:rPr>
            </w:pPr>
            <w:r>
              <w:rPr>
                <w:rFonts w:ascii="Arial" w:cs="Arial" w:eastAsia="Arial" w:hAnsi="Arial"/>
                <w:sz w:val="13"/>
                <w:szCs w:val="13"/>
                <w:color w:val="auto"/>
              </w:rPr>
              <w:t>Basic earnings per share</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7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As reported</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2.10</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1.67</w:t>
            </w:r>
          </w:p>
        </w:tc>
      </w:tr>
      <w:tr>
        <w:trPr>
          <w:trHeight w:val="157"/>
        </w:trPr>
        <w:tc>
          <w:tcPr>
            <w:tcW w:w="7700" w:type="dxa"/>
            <w:vAlign w:val="bottom"/>
          </w:tcPr>
          <w:p>
            <w:pPr>
              <w:ind w:left="280"/>
              <w:spacing w:after="0"/>
              <w:rPr>
                <w:sz w:val="20"/>
                <w:szCs w:val="20"/>
                <w:color w:val="auto"/>
              </w:rPr>
            </w:pPr>
            <w:r>
              <w:rPr>
                <w:rFonts w:ascii="Arial" w:cs="Arial" w:eastAsia="Arial" w:hAnsi="Arial"/>
                <w:sz w:val="13"/>
                <w:szCs w:val="13"/>
                <w:color w:val="auto"/>
              </w:rPr>
              <w:t>Pro forma</w:t>
            </w:r>
          </w:p>
        </w:tc>
        <w:tc>
          <w:tcPr>
            <w:tcW w:w="2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2.14</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1.72</w:t>
            </w:r>
          </w:p>
        </w:tc>
      </w:tr>
      <w:tr>
        <w:trPr>
          <w:trHeight w:val="157"/>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 earnings per share</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7700" w:type="dxa"/>
            <w:vAlign w:val="bottom"/>
          </w:tcPr>
          <w:p>
            <w:pPr>
              <w:ind w:left="280"/>
              <w:spacing w:after="0"/>
              <w:rPr>
                <w:sz w:val="20"/>
                <w:szCs w:val="20"/>
                <w:color w:val="auto"/>
              </w:rPr>
            </w:pPr>
            <w:r>
              <w:rPr>
                <w:rFonts w:ascii="Arial" w:cs="Arial" w:eastAsia="Arial" w:hAnsi="Arial"/>
                <w:sz w:val="13"/>
                <w:szCs w:val="13"/>
                <w:color w:val="auto"/>
              </w:rPr>
              <w:t>As reported</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2.07</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1.64</w:t>
            </w:r>
          </w:p>
        </w:tc>
      </w:tr>
      <w:tr>
        <w:trPr>
          <w:trHeight w:val="157"/>
        </w:trPr>
        <w:tc>
          <w:tcPr>
            <w:tcW w:w="7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Pro forma</w:t>
            </w: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2.10</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1.69</w:t>
            </w: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Per Class B Voting Common Share:</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 earnings per share</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7700" w:type="dxa"/>
            <w:vAlign w:val="bottom"/>
          </w:tcPr>
          <w:p>
            <w:pPr>
              <w:ind w:left="280"/>
              <w:spacing w:after="0"/>
              <w:rPr>
                <w:sz w:val="20"/>
                <w:szCs w:val="20"/>
                <w:color w:val="auto"/>
              </w:rPr>
            </w:pPr>
            <w:r>
              <w:rPr>
                <w:rFonts w:ascii="Arial" w:cs="Arial" w:eastAsia="Arial" w:hAnsi="Arial"/>
                <w:sz w:val="13"/>
                <w:szCs w:val="13"/>
                <w:color w:val="auto"/>
              </w:rPr>
              <w:t>As reported</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2.09</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1.66</w:t>
            </w:r>
          </w:p>
        </w:tc>
      </w:tr>
      <w:tr>
        <w:trPr>
          <w:trHeight w:val="157"/>
        </w:trPr>
        <w:tc>
          <w:tcPr>
            <w:tcW w:w="7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Pro forma</w:t>
            </w: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2.12</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1.70</w:t>
            </w:r>
          </w:p>
        </w:tc>
      </w:tr>
      <w:tr>
        <w:trPr>
          <w:trHeight w:val="157"/>
        </w:trPr>
        <w:tc>
          <w:tcPr>
            <w:tcW w:w="7700" w:type="dxa"/>
            <w:vAlign w:val="bottom"/>
          </w:tcPr>
          <w:p>
            <w:pPr>
              <w:ind w:left="140"/>
              <w:spacing w:after="0"/>
              <w:rPr>
                <w:sz w:val="20"/>
                <w:szCs w:val="20"/>
                <w:color w:val="auto"/>
              </w:rPr>
            </w:pPr>
            <w:r>
              <w:rPr>
                <w:rFonts w:ascii="Arial" w:cs="Arial" w:eastAsia="Arial" w:hAnsi="Arial"/>
                <w:sz w:val="13"/>
                <w:szCs w:val="13"/>
                <w:color w:val="auto"/>
              </w:rPr>
              <w:t>Diluted earnings per share</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7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As reported</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2.05</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1.63</w:t>
            </w:r>
          </w:p>
        </w:tc>
      </w:tr>
      <w:tr>
        <w:trPr>
          <w:trHeight w:val="165"/>
        </w:trPr>
        <w:tc>
          <w:tcPr>
            <w:tcW w:w="7700" w:type="dxa"/>
            <w:vAlign w:val="bottom"/>
          </w:tcPr>
          <w:p>
            <w:pPr>
              <w:ind w:left="280"/>
              <w:spacing w:after="0"/>
              <w:rPr>
                <w:sz w:val="20"/>
                <w:szCs w:val="20"/>
                <w:color w:val="auto"/>
              </w:rPr>
            </w:pPr>
            <w:r>
              <w:rPr>
                <w:rFonts w:ascii="Arial" w:cs="Arial" w:eastAsia="Arial" w:hAnsi="Arial"/>
                <w:sz w:val="13"/>
                <w:szCs w:val="13"/>
                <w:color w:val="auto"/>
              </w:rPr>
              <w:t>Pro forma</w:t>
            </w:r>
          </w:p>
        </w:tc>
        <w:tc>
          <w:tcPr>
            <w:tcW w:w="2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2.09</w:t>
            </w:r>
          </w:p>
        </w:tc>
        <w:tc>
          <w:tcPr>
            <w:tcW w:w="20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1.67</w:t>
            </w:r>
          </w:p>
        </w:tc>
      </w:tr>
    </w:tbl>
    <w:p>
      <w:pPr>
        <w:spacing w:after="0" w:line="72"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These unaudited pro forma results have been prepared for comparative purposes only and primarily include adjustments for amortization arising from the valuation of intangible assets, interest expense on debt issued in connection with the acquisitions, and the related income tax adjustments. The pro forma information is not necessarily indicative of the results that would have occurred had the acquisitions occurred at the beginning of the periods presented, nor is it necessarily indicative of future results.</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2005</w:t>
      </w:r>
    </w:p>
    <w:p>
      <w:pPr>
        <w:spacing w:after="0" w:line="96" w:lineRule="exact"/>
        <w:rPr>
          <w:sz w:val="20"/>
          <w:szCs w:val="20"/>
          <w:color w:val="auto"/>
        </w:rPr>
      </w:pPr>
    </w:p>
    <w:p>
      <w:pPr>
        <w:ind w:left="680" w:right="80" w:firstLine="399"/>
        <w:spacing w:after="0" w:line="281" w:lineRule="auto"/>
        <w:rPr>
          <w:sz w:val="20"/>
          <w:szCs w:val="20"/>
          <w:color w:val="auto"/>
        </w:rPr>
      </w:pPr>
      <w:r>
        <w:rPr>
          <w:rFonts w:ascii="Arial" w:cs="Arial" w:eastAsia="Arial" w:hAnsi="Arial"/>
          <w:sz w:val="12"/>
          <w:szCs w:val="12"/>
          <w:color w:val="auto"/>
        </w:rPr>
        <w:t>In August 2004, the Company acquired ID Technologies, a Singapore based manufacturer and supplier of pressure sensitive die-cut components and labeling products. The purchase price was approximately $42,800 in cash and included a holdback amount of $6,500, which was paid in August 2006. The holdback is recorded in other liabilities in the accompanying consolidated balance sheets at July 31, 2006 and 2005. Interest is imputed on the holdback at a rate of 4.9% per year. The agreement also provided for a contingent payment of no more than $2,500 if ID Technologies met certain financial targets for the fiscal year ended July 31, 2005. As of July 31, 2005, the financial targets had been met and the corresponding liability was reflected in the consolidated financial statements at the maximum payment amount and was paid to the sellers in fiscal 2006. Of the purchase price, $25,926 was assigned to goodwill and $16,017 was assigned to other intangible assets in the purchase price allocation. The allocation of these intangible assets included approximately $13,500 for customer relationships, $2,300 for non-compete agreements, and $217 of other intangible assets. There is no remaining goodwill expected to be deductible for tax purposes.</w:t>
      </w:r>
    </w:p>
    <w:p>
      <w:pPr>
        <w:spacing w:after="0" w:line="26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BRADY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In February 2005, the Company acquired Electromark, a manufacturer and supplier of safety and facility identification products to the utility industry, headquartered in Wolcott, New York. The purchase price was approximately $15,100 in cash. Of the purchase price, a total of $3,509 was assigned to intangible assets other than goodwill and $8,344 was assigned to goodwill in the purchase price allocation. The intangible assets consist of approximately $1,300 of customer relationships, $1,600 of trademarks, and $609 of other intangible assets at the time of acquisition. Remaining tax goodwill of $50 is expected to be deductible for tax purposes.</w:t>
      </w:r>
    </w:p>
    <w:p>
      <w:pPr>
        <w:spacing w:after="0" w:line="70"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In June 2005, the Company acquired Signs &amp; Labels, a provider of stock and custom signage, custom safety signs, architectural signs and modular signage systems for business offices, schools and hospitals in the United Kingdom. The purchase price was approximately $24,000 in cash. Of the purchase price, a total of $10,955 was assigned to intangible assets other than goodwill and $18,039 was assigned to goodwill in the allocation of the purchase price. The intangible assets identified in the allocation of the purchase price consist of approximately $6,109 of customer relationships, $4,554 of trademarks, and $292 of non-compete and other. Immediately following the acquisition, all outstanding debt of Signs &amp; Labels, approximately $2,500, was repaid with cash. There is no remaining goodwill expected to be deductible for tax purposes.</w:t>
      </w:r>
    </w:p>
    <w:p>
      <w:pPr>
        <w:spacing w:after="0" w:line="55"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In July 2005, the Company acquired TPS, a manufacturer and supplier of pressure sensitive labels, nameplates and tags in Thailand. The purchase price was approximately $5,250 in cash. Of the purchase price, a total of $2,755 was assigned to intangible assets other than goodwill and $2,090 was assigned to goodwill in the allocation of the purchase price. Of the cash purchase price, a portion is being withheld until legal ownership of the facility owned by TPS is transferred to Brady Corporation. The intangible assets identified in the allocation of the purchase price include approximately $1,975 of customer relationships and $780 of non-compete agreements and other. Remaining tax goodwill of $1,956 is expected to be deductible for tax purposes based on the allocation of the purchase price.</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2004</w:t>
      </w:r>
    </w:p>
    <w:p>
      <w:pPr>
        <w:spacing w:after="0" w:line="96" w:lineRule="exact"/>
        <w:rPr>
          <w:sz w:val="20"/>
          <w:szCs w:val="20"/>
          <w:color w:val="auto"/>
        </w:rPr>
      </w:pPr>
    </w:p>
    <w:p>
      <w:pPr>
        <w:ind w:left="680" w:right="60" w:firstLine="399"/>
        <w:spacing w:after="0" w:line="255" w:lineRule="auto"/>
        <w:rPr>
          <w:sz w:val="20"/>
          <w:szCs w:val="20"/>
          <w:color w:val="auto"/>
        </w:rPr>
      </w:pPr>
      <w:r>
        <w:rPr>
          <w:rFonts w:ascii="Arial" w:cs="Arial" w:eastAsia="Arial" w:hAnsi="Arial"/>
          <w:sz w:val="13"/>
          <w:szCs w:val="13"/>
          <w:color w:val="auto"/>
        </w:rPr>
        <w:t>In September 2003, the Company acquired Brandon International, Inc. (“Brandon”) headquartered in Baldwin Park, California, with international operations in Mexico and Singapore. Brandon is a manufacturer of die-cut products. In October 2003, the Company acquired Prinzing Enterprises, Inc. (“Prinzing”) located in Warrenville, Illinois. Prinzing is a manufacturer of lockout/tagout products, signs and other safety devices. In November 2003, the Company acquired B.I.G, headquartered in the United Kingdom, a provider of badging and business card solutions. The combined purchase price for these acquisitions was approximately $31,700 in cash (including $1,000 paid in February 2005). The Prinzing acquisition agreement included provisions for contingent payments up to a maximum $1,500 based on certain performance criteria during fiscal year 2004. As of May 2004, these criteria were met and the entire amount was paid to the sellers. The allocation of the purchase price resulted in the allocation to intangible assets as follows: $27,000 to goodwill, $500 to trademarks, $300 to patents, $200 to non-compete agreements and $2,900 to customer lists. Remaining combined tax goodwill of $20,400 is expected to be deductible for tax purposes based on the allocation of the purchase price.</w:t>
      </w:r>
    </w:p>
    <w:p>
      <w:pPr>
        <w:spacing w:after="0" w:line="76" w:lineRule="exact"/>
        <w:rPr>
          <w:sz w:val="20"/>
          <w:szCs w:val="20"/>
          <w:color w:val="auto"/>
        </w:rPr>
      </w:pPr>
    </w:p>
    <w:p>
      <w:pPr>
        <w:jc w:val="both"/>
        <w:ind w:left="680" w:right="140" w:firstLine="399"/>
        <w:spacing w:after="0" w:line="264" w:lineRule="auto"/>
        <w:rPr>
          <w:sz w:val="20"/>
          <w:szCs w:val="20"/>
          <w:color w:val="auto"/>
        </w:rPr>
      </w:pPr>
      <w:r>
        <w:rPr>
          <w:rFonts w:ascii="Arial" w:cs="Arial" w:eastAsia="Arial" w:hAnsi="Arial"/>
          <w:sz w:val="13"/>
          <w:szCs w:val="13"/>
          <w:color w:val="auto"/>
        </w:rPr>
        <w:t>In May 2004, the Company acquired EMED for cash with a purchase price of $191,800, net of cash acquired. EMED is a direct marketer and manufacturer of identification, safety and facility management products headquartered in Buffalo, New York. The funds used to finance the purchase price came from borrowings on the Company’s revolving credit facility and from working capital.</w:t>
      </w:r>
    </w:p>
    <w:p>
      <w:pPr>
        <w:spacing w:after="0" w:line="27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BRADY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The following table summarizes the estimated fair values of the assets acquired and liabilities assumed at the date of the EMED acquisition. The difference between the purchase price of $191,800 and the net assets acquired value of $193,800 relates to transaction costs.</w:t>
      </w:r>
    </w:p>
    <w:p>
      <w:pPr>
        <w:spacing w:after="0" w:line="78"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9200" w:type="dxa"/>
            <w:vAlign w:val="bottom"/>
            <w:shd w:val="clear" w:color="auto" w:fill="CCEEFF"/>
          </w:tcPr>
          <w:p>
            <w:pPr>
              <w:spacing w:after="0"/>
              <w:rPr>
                <w:sz w:val="20"/>
                <w:szCs w:val="20"/>
                <w:color w:val="auto"/>
              </w:rPr>
            </w:pPr>
            <w:r>
              <w:rPr>
                <w:rFonts w:ascii="Arial" w:cs="Arial" w:eastAsia="Arial" w:hAnsi="Arial"/>
                <w:sz w:val="13"/>
                <w:szCs w:val="13"/>
                <w:color w:val="auto"/>
              </w:rPr>
              <w:t>Current assets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40,036</w:t>
            </w:r>
          </w:p>
        </w:tc>
      </w:tr>
      <w:tr>
        <w:trPr>
          <w:trHeight w:val="157"/>
        </w:trPr>
        <w:tc>
          <w:tcPr>
            <w:tcW w:w="9200" w:type="dxa"/>
            <w:vAlign w:val="bottom"/>
          </w:tcPr>
          <w:p>
            <w:pPr>
              <w:spacing w:after="0"/>
              <w:rPr>
                <w:sz w:val="20"/>
                <w:szCs w:val="20"/>
                <w:color w:val="auto"/>
              </w:rPr>
            </w:pPr>
            <w:r>
              <w:rPr>
                <w:rFonts w:ascii="Arial" w:cs="Arial" w:eastAsia="Arial" w:hAnsi="Arial"/>
                <w:sz w:val="13"/>
                <w:szCs w:val="13"/>
                <w:color w:val="auto"/>
              </w:rPr>
              <w:t>Property, plant &amp; equipment</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6,800</w:t>
            </w:r>
          </w:p>
        </w:tc>
      </w:tr>
      <w:tr>
        <w:trPr>
          <w:trHeight w:val="157"/>
        </w:trPr>
        <w:tc>
          <w:tcPr>
            <w:tcW w:w="9200" w:type="dxa"/>
            <w:vAlign w:val="bottom"/>
            <w:shd w:val="clear" w:color="auto" w:fill="CCEEFF"/>
          </w:tcPr>
          <w:p>
            <w:pPr>
              <w:spacing w:after="0"/>
              <w:rPr>
                <w:sz w:val="20"/>
                <w:szCs w:val="20"/>
                <w:color w:val="auto"/>
              </w:rPr>
            </w:pPr>
            <w:r>
              <w:rPr>
                <w:rFonts w:ascii="Arial" w:cs="Arial" w:eastAsia="Arial" w:hAnsi="Arial"/>
                <w:sz w:val="13"/>
                <w:szCs w:val="13"/>
                <w:color w:val="auto"/>
              </w:rPr>
              <w:t>Other intangible assets</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35,300</w:t>
            </w:r>
          </w:p>
        </w:tc>
      </w:tr>
      <w:tr>
        <w:trPr>
          <w:trHeight w:val="157"/>
        </w:trPr>
        <w:tc>
          <w:tcPr>
            <w:tcW w:w="9200" w:type="dxa"/>
            <w:vAlign w:val="bottom"/>
          </w:tcPr>
          <w:p>
            <w:pPr>
              <w:spacing w:after="0"/>
              <w:rPr>
                <w:sz w:val="20"/>
                <w:szCs w:val="20"/>
                <w:color w:val="auto"/>
              </w:rPr>
            </w:pPr>
            <w:r>
              <w:rPr>
                <w:rFonts w:ascii="Arial" w:cs="Arial" w:eastAsia="Arial" w:hAnsi="Arial"/>
                <w:sz w:val="13"/>
                <w:szCs w:val="13"/>
                <w:color w:val="auto"/>
              </w:rPr>
              <w:t>Goodwill</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114,331</w:t>
            </w:r>
          </w:p>
        </w:tc>
      </w:tr>
      <w:tr>
        <w:trPr>
          <w:trHeight w:val="20"/>
        </w:trPr>
        <w:tc>
          <w:tcPr>
            <w:tcW w:w="9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9200" w:type="dxa"/>
            <w:vAlign w:val="bottom"/>
            <w:shd w:val="clear" w:color="auto" w:fill="CCEEFF"/>
          </w:tcPr>
          <w:p>
            <w:pPr>
              <w:spacing w:after="0"/>
              <w:rPr>
                <w:sz w:val="20"/>
                <w:szCs w:val="20"/>
                <w:color w:val="auto"/>
              </w:rPr>
            </w:pPr>
            <w:r>
              <w:rPr>
                <w:rFonts w:ascii="Arial" w:cs="Arial" w:eastAsia="Arial" w:hAnsi="Arial"/>
                <w:sz w:val="13"/>
                <w:szCs w:val="13"/>
                <w:color w:val="auto"/>
              </w:rPr>
              <w:t>Total assets acquired</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196,467</w:t>
            </w:r>
          </w:p>
        </w:tc>
      </w:tr>
      <w:tr>
        <w:trPr>
          <w:trHeight w:val="157"/>
        </w:trPr>
        <w:tc>
          <w:tcPr>
            <w:tcW w:w="9200" w:type="dxa"/>
            <w:vAlign w:val="bottom"/>
          </w:tcPr>
          <w:p>
            <w:pPr>
              <w:spacing w:after="0"/>
              <w:rPr>
                <w:sz w:val="20"/>
                <w:szCs w:val="20"/>
                <w:color w:val="auto"/>
              </w:rPr>
            </w:pPr>
            <w:r>
              <w:rPr>
                <w:rFonts w:ascii="Arial" w:cs="Arial" w:eastAsia="Arial" w:hAnsi="Arial"/>
                <w:sz w:val="13"/>
                <w:szCs w:val="13"/>
                <w:color w:val="auto"/>
              </w:rPr>
              <w:t>Liabilities assumed</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2,667</w:t>
            </w:r>
          </w:p>
        </w:tc>
      </w:tr>
      <w:tr>
        <w:trPr>
          <w:trHeight w:val="20"/>
        </w:trPr>
        <w:tc>
          <w:tcPr>
            <w:tcW w:w="9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9200" w:type="dxa"/>
            <w:vAlign w:val="bottom"/>
            <w:shd w:val="clear" w:color="auto" w:fill="CCEEFF"/>
          </w:tcPr>
          <w:p>
            <w:pPr>
              <w:spacing w:after="0"/>
              <w:rPr>
                <w:sz w:val="20"/>
                <w:szCs w:val="20"/>
                <w:color w:val="auto"/>
              </w:rPr>
            </w:pPr>
            <w:r>
              <w:rPr>
                <w:rFonts w:ascii="Arial" w:cs="Arial" w:eastAsia="Arial" w:hAnsi="Arial"/>
                <w:sz w:val="13"/>
                <w:szCs w:val="13"/>
                <w:color w:val="auto"/>
              </w:rPr>
              <w:t>Net assets acquired</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193,800</w:t>
            </w:r>
          </w:p>
        </w:tc>
      </w:tr>
      <w:tr>
        <w:trPr>
          <w:trHeight w:val="29"/>
        </w:trPr>
        <w:tc>
          <w:tcPr>
            <w:tcW w:w="9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jc w:val="both"/>
        <w:ind w:left="680" w:right="120" w:firstLine="399"/>
        <w:spacing w:after="0" w:line="320" w:lineRule="auto"/>
        <w:rPr>
          <w:sz w:val="20"/>
          <w:szCs w:val="20"/>
          <w:color w:val="auto"/>
        </w:rPr>
      </w:pPr>
      <w:r>
        <w:rPr>
          <w:rFonts w:ascii="Arial" w:cs="Arial" w:eastAsia="Arial" w:hAnsi="Arial"/>
          <w:sz w:val="12"/>
          <w:szCs w:val="12"/>
          <w:color w:val="auto"/>
        </w:rPr>
        <w:t>The following unaudited pro-forma combined information, assuming the EMED acquisition was completed on August 1, 2003, is provided for comparative purposes only and is not necessarily indicative of the results that would have occurred had the acquisition occurred at the beginning of the periods presented, nor is it necessarily indicative of future results.</w:t>
      </w:r>
    </w:p>
    <w:p>
      <w:pPr>
        <w:spacing w:after="0" w:line="30"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auto"/>
              </w:rPr>
              <w:t>Fiscal Year Ended</w:t>
            </w:r>
          </w:p>
        </w:tc>
      </w:tr>
      <w:tr>
        <w:trPr>
          <w:trHeight w:val="125"/>
        </w:trPr>
        <w:tc>
          <w:tcPr>
            <w:tcW w:w="8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rPr>
              <w:t>July 31, 2004</w:t>
            </w:r>
          </w:p>
        </w:tc>
      </w:tr>
      <w:tr>
        <w:trPr>
          <w:trHeight w:val="29"/>
        </w:trPr>
        <w:tc>
          <w:tcPr>
            <w:tcW w:w="85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Net sales</w:t>
            </w: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500" w:type="dxa"/>
            <w:vAlign w:val="bottom"/>
          </w:tcPr>
          <w:p>
            <w:pPr>
              <w:ind w:left="280"/>
              <w:spacing w:after="0"/>
              <w:rPr>
                <w:sz w:val="20"/>
                <w:szCs w:val="20"/>
                <w:color w:val="auto"/>
              </w:rPr>
            </w:pPr>
            <w:r>
              <w:rPr>
                <w:rFonts w:ascii="Arial" w:cs="Arial" w:eastAsia="Arial" w:hAnsi="Arial"/>
                <w:sz w:val="13"/>
                <w:szCs w:val="13"/>
                <w:color w:val="auto"/>
              </w:rPr>
              <w:t>As reported</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100"/>
              <w:spacing w:after="0"/>
              <w:rPr>
                <w:sz w:val="20"/>
                <w:szCs w:val="20"/>
                <w:color w:val="auto"/>
              </w:rPr>
            </w:pPr>
            <w:r>
              <w:rPr>
                <w:rFonts w:ascii="Arial" w:cs="Arial" w:eastAsia="Arial" w:hAnsi="Arial"/>
                <w:sz w:val="13"/>
                <w:szCs w:val="13"/>
                <w:color w:val="auto"/>
              </w:rPr>
              <w:t>671,219</w:t>
            </w:r>
          </w:p>
        </w:tc>
      </w:tr>
      <w:tr>
        <w:trPr>
          <w:trHeight w:val="157"/>
        </w:trPr>
        <w:tc>
          <w:tcPr>
            <w:tcW w:w="85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Pro forma</w:t>
            </w:r>
          </w:p>
        </w:tc>
        <w:tc>
          <w:tcPr>
            <w:tcW w:w="1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714,848</w:t>
            </w: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Net income</w:t>
            </w: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5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As reported</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50,871</w:t>
            </w:r>
          </w:p>
        </w:tc>
      </w:tr>
      <w:tr>
        <w:trPr>
          <w:trHeight w:val="157"/>
        </w:trPr>
        <w:tc>
          <w:tcPr>
            <w:tcW w:w="8500" w:type="dxa"/>
            <w:vAlign w:val="bottom"/>
          </w:tcPr>
          <w:p>
            <w:pPr>
              <w:ind w:left="280"/>
              <w:spacing w:after="0"/>
              <w:rPr>
                <w:sz w:val="20"/>
                <w:szCs w:val="20"/>
                <w:color w:val="auto"/>
              </w:rPr>
            </w:pPr>
            <w:r>
              <w:rPr>
                <w:rFonts w:ascii="Arial" w:cs="Arial" w:eastAsia="Arial" w:hAnsi="Arial"/>
                <w:sz w:val="13"/>
                <w:szCs w:val="13"/>
                <w:color w:val="auto"/>
              </w:rPr>
              <w:t>Pro forma</w:t>
            </w:r>
          </w:p>
        </w:tc>
        <w:tc>
          <w:tcPr>
            <w:tcW w:w="180" w:type="dxa"/>
            <w:vAlign w:val="bottom"/>
          </w:tcPr>
          <w:p>
            <w:pPr>
              <w:spacing w:after="0"/>
              <w:rPr>
                <w:sz w:val="13"/>
                <w:szCs w:val="13"/>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3"/>
                <w:szCs w:val="13"/>
                <w:color w:val="auto"/>
              </w:rPr>
              <w:t>57,091</w:t>
            </w: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Per Class A Nonvoting Common Share:</w:t>
            </w: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Basic earnings per share</w:t>
            </w: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5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As reported</w:t>
            </w:r>
          </w:p>
        </w:tc>
        <w:tc>
          <w:tcPr>
            <w:tcW w:w="1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1.08</w:t>
            </w:r>
          </w:p>
        </w:tc>
      </w:tr>
      <w:tr>
        <w:trPr>
          <w:trHeight w:val="157"/>
        </w:trPr>
        <w:tc>
          <w:tcPr>
            <w:tcW w:w="8500" w:type="dxa"/>
            <w:vAlign w:val="bottom"/>
          </w:tcPr>
          <w:p>
            <w:pPr>
              <w:ind w:left="280"/>
              <w:spacing w:after="0"/>
              <w:rPr>
                <w:sz w:val="20"/>
                <w:szCs w:val="20"/>
                <w:color w:val="auto"/>
              </w:rPr>
            </w:pPr>
            <w:r>
              <w:rPr>
                <w:rFonts w:ascii="Arial" w:cs="Arial" w:eastAsia="Arial" w:hAnsi="Arial"/>
                <w:sz w:val="13"/>
                <w:szCs w:val="13"/>
                <w:color w:val="auto"/>
              </w:rPr>
              <w:t>Pro forma</w:t>
            </w:r>
          </w:p>
        </w:tc>
        <w:tc>
          <w:tcPr>
            <w:tcW w:w="180" w:type="dxa"/>
            <w:vAlign w:val="bottom"/>
          </w:tcPr>
          <w:p>
            <w:pPr>
              <w:spacing w:after="0"/>
              <w:rPr>
                <w:sz w:val="13"/>
                <w:szCs w:val="13"/>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3"/>
                <w:szCs w:val="13"/>
                <w:color w:val="auto"/>
              </w:rPr>
              <w:t>1.21</w:t>
            </w: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 earnings per share</w:t>
            </w: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500" w:type="dxa"/>
            <w:vAlign w:val="bottom"/>
          </w:tcPr>
          <w:p>
            <w:pPr>
              <w:ind w:left="280"/>
              <w:spacing w:after="0"/>
              <w:rPr>
                <w:sz w:val="20"/>
                <w:szCs w:val="20"/>
                <w:color w:val="auto"/>
              </w:rPr>
            </w:pPr>
            <w:r>
              <w:rPr>
                <w:rFonts w:ascii="Arial" w:cs="Arial" w:eastAsia="Arial" w:hAnsi="Arial"/>
                <w:sz w:val="13"/>
                <w:szCs w:val="13"/>
                <w:color w:val="auto"/>
              </w:rPr>
              <w:t>As reported</w:t>
            </w:r>
          </w:p>
        </w:tc>
        <w:tc>
          <w:tcPr>
            <w:tcW w:w="180" w:type="dxa"/>
            <w:vAlign w:val="bottom"/>
          </w:tcPr>
          <w:p>
            <w:pPr>
              <w:spacing w:after="0"/>
              <w:rPr>
                <w:sz w:val="13"/>
                <w:szCs w:val="13"/>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3"/>
                <w:szCs w:val="13"/>
                <w:color w:val="auto"/>
              </w:rPr>
              <w:t>1.07</w:t>
            </w:r>
          </w:p>
        </w:tc>
      </w:tr>
      <w:tr>
        <w:trPr>
          <w:trHeight w:val="157"/>
        </w:trPr>
        <w:tc>
          <w:tcPr>
            <w:tcW w:w="85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Pro forma</w:t>
            </w:r>
          </w:p>
        </w:tc>
        <w:tc>
          <w:tcPr>
            <w:tcW w:w="1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1.20</w:t>
            </w: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Per Class B Voting Common Share:</w:t>
            </w: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 earnings per share</w:t>
            </w: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500" w:type="dxa"/>
            <w:vAlign w:val="bottom"/>
          </w:tcPr>
          <w:p>
            <w:pPr>
              <w:ind w:left="280"/>
              <w:spacing w:after="0"/>
              <w:rPr>
                <w:sz w:val="20"/>
                <w:szCs w:val="20"/>
                <w:color w:val="auto"/>
              </w:rPr>
            </w:pPr>
            <w:r>
              <w:rPr>
                <w:rFonts w:ascii="Arial" w:cs="Arial" w:eastAsia="Arial" w:hAnsi="Arial"/>
                <w:sz w:val="13"/>
                <w:szCs w:val="13"/>
                <w:color w:val="auto"/>
              </w:rPr>
              <w:t>As reported</w:t>
            </w:r>
          </w:p>
        </w:tc>
        <w:tc>
          <w:tcPr>
            <w:tcW w:w="180" w:type="dxa"/>
            <w:vAlign w:val="bottom"/>
          </w:tcPr>
          <w:p>
            <w:pPr>
              <w:spacing w:after="0"/>
              <w:rPr>
                <w:sz w:val="13"/>
                <w:szCs w:val="13"/>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3"/>
                <w:szCs w:val="13"/>
                <w:color w:val="auto"/>
              </w:rPr>
              <w:t>1.06</w:t>
            </w:r>
          </w:p>
        </w:tc>
      </w:tr>
      <w:tr>
        <w:trPr>
          <w:trHeight w:val="157"/>
        </w:trPr>
        <w:tc>
          <w:tcPr>
            <w:tcW w:w="85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Pro forma</w:t>
            </w:r>
          </w:p>
        </w:tc>
        <w:tc>
          <w:tcPr>
            <w:tcW w:w="1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1.19</w:t>
            </w: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Diluted earnings per share</w:t>
            </w: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5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As reported</w:t>
            </w:r>
          </w:p>
        </w:tc>
        <w:tc>
          <w:tcPr>
            <w:tcW w:w="1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1.05</w:t>
            </w:r>
          </w:p>
        </w:tc>
      </w:tr>
      <w:tr>
        <w:trPr>
          <w:trHeight w:val="165"/>
        </w:trPr>
        <w:tc>
          <w:tcPr>
            <w:tcW w:w="8500" w:type="dxa"/>
            <w:vAlign w:val="bottom"/>
          </w:tcPr>
          <w:p>
            <w:pPr>
              <w:ind w:left="280"/>
              <w:spacing w:after="0"/>
              <w:rPr>
                <w:sz w:val="20"/>
                <w:szCs w:val="20"/>
                <w:color w:val="auto"/>
              </w:rPr>
            </w:pPr>
            <w:r>
              <w:rPr>
                <w:rFonts w:ascii="Arial" w:cs="Arial" w:eastAsia="Arial" w:hAnsi="Arial"/>
                <w:sz w:val="13"/>
                <w:szCs w:val="13"/>
                <w:color w:val="auto"/>
              </w:rPr>
              <w:t>Pro forma</w:t>
            </w:r>
          </w:p>
        </w:tc>
        <w:tc>
          <w:tcPr>
            <w:tcW w:w="180" w:type="dxa"/>
            <w:vAlign w:val="bottom"/>
          </w:tcPr>
          <w:p>
            <w:pPr>
              <w:spacing w:after="0"/>
              <w:rPr>
                <w:sz w:val="14"/>
                <w:szCs w:val="14"/>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3"/>
                <w:szCs w:val="13"/>
                <w:color w:val="auto"/>
              </w:rPr>
              <w:t>1.18</w:t>
            </w:r>
          </w:p>
        </w:tc>
      </w:tr>
    </w:tbl>
    <w:p>
      <w:pPr>
        <w:spacing w:after="0" w:line="72" w:lineRule="exact"/>
        <w:rPr>
          <w:sz w:val="20"/>
          <w:szCs w:val="20"/>
          <w:color w:val="auto"/>
        </w:rPr>
      </w:pPr>
    </w:p>
    <w:p>
      <w:pPr>
        <w:ind w:left="680" w:right="220" w:firstLine="399"/>
        <w:spacing w:after="0" w:line="264" w:lineRule="auto"/>
        <w:rPr>
          <w:sz w:val="20"/>
          <w:szCs w:val="20"/>
          <w:color w:val="auto"/>
        </w:rPr>
      </w:pPr>
      <w:r>
        <w:rPr>
          <w:rFonts w:ascii="Arial" w:cs="Arial" w:eastAsia="Arial" w:hAnsi="Arial"/>
          <w:sz w:val="13"/>
          <w:szCs w:val="13"/>
          <w:color w:val="auto"/>
        </w:rPr>
        <w:t>Of the $35,300 of acquired intangible assets, $13,900 was assigned to trademarks that are not subject to amortization, $21,100 was assigned to customer relationships and is being amortized over 7 years and $300 was assigned to non-compete agreements, which are amortized over 2 years. Remaining tax goodwill of $83,523 is expected to be deductible for tax purposes over the next eight years.</w:t>
      </w:r>
    </w:p>
    <w:p>
      <w:pPr>
        <w:spacing w:after="0" w:line="27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BRADY CORPORATION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Subsequent Event</w:t>
      </w:r>
    </w:p>
    <w:p>
      <w:pPr>
        <w:spacing w:after="0" w:line="96" w:lineRule="exact"/>
        <w:rPr>
          <w:sz w:val="20"/>
          <w:szCs w:val="20"/>
          <w:color w:val="auto"/>
        </w:rPr>
      </w:pPr>
    </w:p>
    <w:p>
      <w:pPr>
        <w:jc w:val="both"/>
        <w:ind w:left="680" w:right="860" w:firstLine="399"/>
        <w:spacing w:after="0" w:line="334" w:lineRule="auto"/>
        <w:rPr>
          <w:sz w:val="20"/>
          <w:szCs w:val="20"/>
          <w:color w:val="auto"/>
        </w:rPr>
      </w:pPr>
      <w:r>
        <w:rPr>
          <w:rFonts w:ascii="Arial" w:cs="Arial" w:eastAsia="Arial" w:hAnsi="Arial"/>
          <w:sz w:val="11"/>
          <w:szCs w:val="11"/>
          <w:color w:val="auto"/>
        </w:rPr>
        <w:t>On August 15, 2006, the Company completed the acquisition of Comprehensive Identification Products, Inc. (“CIPI”), headquartered in Burlington, Massachusetts. CIPI is a market leader in badging accessories used to identify and track employees and visitors in a variety of settings including businesses, healthcare facilities and government buildings. Founded in 1966, CIPI had sales of approximately $31.0 million in fiscal 2005 and currently employs approximately 900 people at operations in the United States, the Netherlands, Hong Kong and China.</w:t>
      </w:r>
    </w:p>
    <w:p>
      <w:pPr>
        <w:spacing w:after="0" w:line="107" w:lineRule="exact"/>
        <w:rPr>
          <w:sz w:val="20"/>
          <w:szCs w:val="20"/>
          <w:color w:val="auto"/>
        </w:rPr>
      </w:pPr>
    </w:p>
    <w:p>
      <w:pPr>
        <w:ind w:left="1000" w:hanging="313"/>
        <w:spacing w:after="0"/>
        <w:tabs>
          <w:tab w:leader="none" w:pos="1000" w:val="left"/>
        </w:tabs>
        <w:numPr>
          <w:ilvl w:val="0"/>
          <w:numId w:val="20"/>
        </w:numPr>
        <w:rPr>
          <w:rFonts w:ascii="Arial" w:cs="Arial" w:eastAsia="Arial" w:hAnsi="Arial"/>
          <w:sz w:val="13"/>
          <w:szCs w:val="13"/>
          <w:b w:val="1"/>
          <w:bCs w:val="1"/>
          <w:color w:val="auto"/>
        </w:rPr>
      </w:pPr>
      <w:r>
        <w:rPr>
          <w:rFonts w:ascii="Arial" w:cs="Arial" w:eastAsia="Arial" w:hAnsi="Arial"/>
          <w:sz w:val="13"/>
          <w:szCs w:val="13"/>
          <w:b w:val="1"/>
          <w:bCs w:val="1"/>
          <w:color w:val="auto"/>
        </w:rPr>
        <w:t>Employee Benefit Plans</w:t>
      </w:r>
    </w:p>
    <w:p>
      <w:pPr>
        <w:spacing w:after="0" w:line="100" w:lineRule="exact"/>
        <w:rPr>
          <w:sz w:val="20"/>
          <w:szCs w:val="20"/>
          <w:color w:val="auto"/>
        </w:rPr>
      </w:pPr>
    </w:p>
    <w:p>
      <w:pPr>
        <w:ind w:left="680" w:right="840" w:firstLine="399"/>
        <w:spacing w:after="0" w:line="260" w:lineRule="auto"/>
        <w:rPr>
          <w:sz w:val="20"/>
          <w:szCs w:val="20"/>
          <w:color w:val="auto"/>
        </w:rPr>
      </w:pPr>
      <w:r>
        <w:rPr>
          <w:rFonts w:ascii="Arial" w:cs="Arial" w:eastAsia="Arial" w:hAnsi="Arial"/>
          <w:sz w:val="13"/>
          <w:szCs w:val="13"/>
          <w:color w:val="auto"/>
        </w:rPr>
        <w:t>The Company provides postretirement medical, dental and vision benefits (the “Plan”) for all regular full and part-time domestic employees (including spouses) who retire on or after attainment of age 55 with 15 years of credited service. Credited service begins accruing at the later of age 40 or date of hire. All active employees first eligible to retire after July 31, 1992, are covered by an unfunded, contributory postretirement healthcare plan where employer contributions will not exceed a defined dollar benefit amount, regardless of the cost of the program. Employer contributions to the plan are based on the employee’s age and service at retirement.</w:t>
      </w:r>
    </w:p>
    <w:p>
      <w:pPr>
        <w:spacing w:after="0" w:line="70" w:lineRule="exact"/>
        <w:rPr>
          <w:sz w:val="20"/>
          <w:szCs w:val="20"/>
          <w:color w:val="auto"/>
        </w:rPr>
      </w:pPr>
    </w:p>
    <w:p>
      <w:pPr>
        <w:ind w:left="680" w:right="840" w:firstLine="399"/>
        <w:spacing w:after="0" w:line="276" w:lineRule="auto"/>
        <w:rPr>
          <w:sz w:val="20"/>
          <w:szCs w:val="20"/>
          <w:color w:val="auto"/>
        </w:rPr>
      </w:pPr>
      <w:r>
        <w:rPr>
          <w:rFonts w:ascii="Arial" w:cs="Arial" w:eastAsia="Arial" w:hAnsi="Arial"/>
          <w:sz w:val="13"/>
          <w:szCs w:val="13"/>
          <w:color w:val="auto"/>
        </w:rPr>
        <w:t>The Company accounts for postretirement benefits other than pensions in accordance with SFAS No. 106, “Employers’ Accounting for Postretirement Benefits Other than Pensions.” The Company funds benefit costs on a pay-as-you-go basis.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provides a reconciliation of the changes in the Plan’s accumulated benefit obligations during the years ended July 31:</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36"/>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6"/>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0"/>
                <w:szCs w:val="10"/>
                <w:color w:val="auto"/>
              </w:rPr>
            </w:pPr>
          </w:p>
        </w:tc>
      </w:tr>
      <w:tr>
        <w:trPr>
          <w:trHeight w:val="29"/>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Obligation at beginning of year</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10,909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12,606</w:t>
            </w: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Service cost</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1,049</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895</w:t>
            </w: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Interest cost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675</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689</w:t>
            </w: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Actuarial (gain) loss</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723</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(373)</w:t>
            </w: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Other events (Medicare Part D)</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(2,227)</w:t>
            </w: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Benefit payments</w:t>
            </w:r>
          </w:p>
        </w:tc>
        <w:tc>
          <w:tcPr>
            <w:tcW w:w="14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(706)</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(681)</w:t>
            </w:r>
          </w:p>
        </w:tc>
      </w:tr>
      <w:tr>
        <w:trPr>
          <w:trHeight w:val="20"/>
        </w:trPr>
        <w:tc>
          <w:tcPr>
            <w:tcW w:w="8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Obligation at end of fiscal year</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12,650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10,909</w:t>
            </w:r>
          </w:p>
        </w:tc>
      </w:tr>
      <w:tr>
        <w:trPr>
          <w:trHeight w:val="29"/>
        </w:trPr>
        <w:tc>
          <w:tcPr>
            <w:tcW w:w="8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outlines the unfunded status of the Plan recorded as a long-term liability in the accompanying consolidated balance sheets as of July 31, 2006 and 2005:</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37"/>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7"/>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Unfunded status at July 31</w:t>
            </w:r>
          </w:p>
        </w:tc>
        <w:tc>
          <w:tcPr>
            <w:tcW w:w="4260" w:type="dxa"/>
            <w:vAlign w:val="bottom"/>
            <w:gridSpan w:val="2"/>
            <w:shd w:val="clear" w:color="auto" w:fill="CCEEFF"/>
          </w:tcPr>
          <w:p>
            <w:pPr>
              <w:jc w:val="right"/>
              <w:ind w:right="31"/>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12,650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10,909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80" w:type="dxa"/>
            <w:vAlign w:val="bottom"/>
          </w:tcPr>
          <w:p>
            <w:pPr>
              <w:spacing w:after="0"/>
              <w:rPr>
                <w:sz w:val="20"/>
                <w:szCs w:val="20"/>
                <w:color w:val="auto"/>
              </w:rPr>
            </w:pPr>
            <w:r>
              <w:rPr>
                <w:rFonts w:ascii="Arial" w:cs="Arial" w:eastAsia="Arial" w:hAnsi="Arial"/>
                <w:sz w:val="13"/>
                <w:szCs w:val="13"/>
                <w:color w:val="auto"/>
              </w:rPr>
              <w:t>Unrecognized net actuarial gain</w:t>
            </w:r>
          </w:p>
        </w:tc>
        <w:tc>
          <w:tcPr>
            <w:tcW w:w="4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2,720</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3,470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Unrecognized prior service gain</w:t>
            </w:r>
          </w:p>
        </w:tc>
        <w:tc>
          <w:tcPr>
            <w:tcW w:w="4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310</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180" w:type="dxa"/>
            <w:vAlign w:val="bottom"/>
            <w:vMerge w:val="restart"/>
          </w:tcPr>
          <w:p>
            <w:pPr>
              <w:spacing w:after="0"/>
              <w:rPr>
                <w:sz w:val="20"/>
                <w:szCs w:val="20"/>
                <w:color w:val="auto"/>
              </w:rPr>
            </w:pPr>
            <w:r>
              <w:rPr>
                <w:rFonts w:ascii="Arial" w:cs="Arial" w:eastAsia="Arial" w:hAnsi="Arial"/>
                <w:sz w:val="13"/>
                <w:szCs w:val="13"/>
                <w:color w:val="auto"/>
              </w:rPr>
              <w:t>Accumulated postretirement benefit obligation (“APBO”) liability</w:t>
            </w:r>
          </w:p>
        </w:tc>
        <w:tc>
          <w:tcPr>
            <w:tcW w:w="4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4180" w:type="dxa"/>
            <w:vAlign w:val="bottom"/>
            <w:vMerge w:val="continue"/>
          </w:tcPr>
          <w:p>
            <w:pPr>
              <w:spacing w:after="0"/>
              <w:rPr>
                <w:sz w:val="15"/>
                <w:szCs w:val="15"/>
                <w:color w:val="auto"/>
              </w:rPr>
            </w:pPr>
          </w:p>
        </w:tc>
        <w:tc>
          <w:tcPr>
            <w:tcW w:w="4120" w:type="dxa"/>
            <w:vAlign w:val="bottom"/>
          </w:tcPr>
          <w:p>
            <w:pPr>
              <w:spacing w:after="0"/>
              <w:rPr>
                <w:sz w:val="15"/>
                <w:szCs w:val="15"/>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15,680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14,722</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0"/>
        </w:trPr>
        <w:tc>
          <w:tcPr>
            <w:tcW w:w="6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4120" w:type="dxa"/>
            <w:vAlign w:val="bottom"/>
          </w:tcPr>
          <w:p>
            <w:pPr>
              <w:ind w:left="680"/>
              <w:spacing w:after="0"/>
              <w:rPr>
                <w:sz w:val="20"/>
                <w:szCs w:val="20"/>
                <w:color w:val="auto"/>
              </w:rPr>
            </w:pPr>
            <w:r>
              <w:rPr>
                <w:rFonts w:ascii="Arial" w:cs="Arial" w:eastAsia="Arial" w:hAnsi="Arial"/>
                <w:sz w:val="13"/>
                <w:szCs w:val="13"/>
                <w:color w:val="auto"/>
              </w:rPr>
              <w:t>II-32</w:t>
            </w: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180" w:type="dxa"/>
            <w:vAlign w:val="bottom"/>
            <w:tcBorders>
              <w:bottom w:val="single" w:sz="8" w:color="808080"/>
            </w:tcBorders>
          </w:tcPr>
          <w:p>
            <w:pPr>
              <w:spacing w:after="0"/>
              <w:rPr>
                <w:sz w:val="14"/>
                <w:szCs w:val="14"/>
                <w:color w:val="auto"/>
              </w:rPr>
            </w:pPr>
          </w:p>
        </w:tc>
        <w:tc>
          <w:tcPr>
            <w:tcW w:w="41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BRADY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Net periodic benefit cost for the Plan for fiscal years 2006, 2005 and 2004 includes the following components: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6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0"/>
                <w:szCs w:val="10"/>
                <w:b w:val="1"/>
                <w:bCs w:val="1"/>
                <w:color w:val="auto"/>
                <w:w w:val="93"/>
              </w:rPr>
              <w:t>Years Ended July 31,</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jc w:val="right"/>
              <w:ind w:right="160"/>
              <w:spacing w:after="0" w:line="98" w:lineRule="exact"/>
              <w:rPr>
                <w:sz w:val="20"/>
                <w:szCs w:val="20"/>
                <w:color w:val="auto"/>
              </w:rPr>
            </w:pPr>
            <w:r>
              <w:rPr>
                <w:rFonts w:ascii="Arial" w:cs="Arial" w:eastAsia="Arial" w:hAnsi="Arial"/>
                <w:sz w:val="10"/>
                <w:szCs w:val="10"/>
                <w:b w:val="1"/>
                <w:bCs w:val="1"/>
                <w:color w:val="auto"/>
                <w:w w:val="98"/>
              </w:rPr>
              <w:t>2006</w:t>
            </w: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2"/>
          </w:tcPr>
          <w:p>
            <w:pPr>
              <w:jc w:val="right"/>
              <w:ind w:right="140"/>
              <w:spacing w:after="0" w:line="98" w:lineRule="exact"/>
              <w:rPr>
                <w:sz w:val="20"/>
                <w:szCs w:val="20"/>
                <w:color w:val="auto"/>
              </w:rPr>
            </w:pPr>
            <w:r>
              <w:rPr>
                <w:rFonts w:ascii="Arial" w:cs="Arial" w:eastAsia="Arial" w:hAnsi="Arial"/>
                <w:sz w:val="10"/>
                <w:szCs w:val="10"/>
                <w:b w:val="1"/>
                <w:bCs w:val="1"/>
                <w:color w:val="auto"/>
                <w:w w:val="98"/>
              </w:rPr>
              <w:t>2005</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w w:val="98"/>
              </w:rPr>
              <w:t>2004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Net periodic postretirement benefit cost included the following components:</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600" w:type="dxa"/>
            <w:vAlign w:val="bottom"/>
          </w:tcPr>
          <w:p>
            <w:pPr>
              <w:ind w:left="140"/>
              <w:spacing w:after="0"/>
              <w:rPr>
                <w:sz w:val="20"/>
                <w:szCs w:val="20"/>
                <w:color w:val="auto"/>
              </w:rPr>
            </w:pPr>
            <w:r>
              <w:rPr>
                <w:rFonts w:ascii="Arial" w:cs="Arial" w:eastAsia="Arial" w:hAnsi="Arial"/>
                <w:sz w:val="13"/>
                <w:szCs w:val="13"/>
                <w:color w:val="auto"/>
              </w:rPr>
              <w:t>Service cost — benefits attributed to service during the period</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3"/>
          </w:tcPr>
          <w:p>
            <w:pPr>
              <w:jc w:val="right"/>
              <w:ind w:right="148"/>
              <w:spacing w:after="0"/>
              <w:rPr>
                <w:sz w:val="20"/>
                <w:szCs w:val="20"/>
                <w:color w:val="auto"/>
              </w:rPr>
            </w:pPr>
            <w:r>
              <w:rPr>
                <w:rFonts w:ascii="Arial" w:cs="Arial" w:eastAsia="Arial" w:hAnsi="Arial"/>
                <w:sz w:val="13"/>
                <w:szCs w:val="13"/>
                <w:color w:val="auto"/>
              </w:rPr>
              <w:t>1,049</w:t>
            </w:r>
          </w:p>
        </w:tc>
        <w:tc>
          <w:tcPr>
            <w:tcW w:w="1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gridSpan w:val="3"/>
          </w:tcPr>
          <w:p>
            <w:pPr>
              <w:jc w:val="right"/>
              <w:ind w:right="80"/>
              <w:spacing w:after="0"/>
              <w:rPr>
                <w:sz w:val="20"/>
                <w:szCs w:val="20"/>
                <w:color w:val="auto"/>
              </w:rPr>
            </w:pPr>
            <w:r>
              <w:rPr>
                <w:rFonts w:ascii="Arial" w:cs="Arial" w:eastAsia="Arial" w:hAnsi="Arial"/>
                <w:sz w:val="13"/>
                <w:szCs w:val="13"/>
                <w:color w:val="auto"/>
              </w:rPr>
              <w:t>895</w:t>
            </w:r>
          </w:p>
        </w:tc>
        <w:tc>
          <w:tcPr>
            <w:tcW w:w="3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866</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Prior service cost</w:t>
            </w:r>
          </w:p>
        </w:tc>
        <w:tc>
          <w:tcPr>
            <w:tcW w:w="12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108"/>
              <w:spacing w:after="0"/>
              <w:rPr>
                <w:sz w:val="20"/>
                <w:szCs w:val="20"/>
                <w:color w:val="auto"/>
              </w:rPr>
            </w:pPr>
            <w:r>
              <w:rPr>
                <w:rFonts w:ascii="Arial" w:cs="Arial" w:eastAsia="Arial" w:hAnsi="Arial"/>
                <w:sz w:val="13"/>
                <w:szCs w:val="13"/>
                <w:color w:val="auto"/>
              </w:rPr>
              <w:t>(33)</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(33)</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57"/>
        </w:trPr>
        <w:tc>
          <w:tcPr>
            <w:tcW w:w="7600" w:type="dxa"/>
            <w:vAlign w:val="bottom"/>
          </w:tcPr>
          <w:p>
            <w:pPr>
              <w:ind w:left="140"/>
              <w:spacing w:after="0"/>
              <w:rPr>
                <w:sz w:val="20"/>
                <w:szCs w:val="20"/>
                <w:color w:val="auto"/>
              </w:rPr>
            </w:pPr>
            <w:r>
              <w:rPr>
                <w:rFonts w:ascii="Arial" w:cs="Arial" w:eastAsia="Arial" w:hAnsi="Arial"/>
                <w:sz w:val="13"/>
                <w:szCs w:val="13"/>
                <w:color w:val="auto"/>
              </w:rPr>
              <w:t>Interest cost on accumulated postretirement benefit obligation</w:t>
            </w:r>
          </w:p>
        </w:tc>
        <w:tc>
          <w:tcPr>
            <w:tcW w:w="120" w:type="dxa"/>
            <w:vAlign w:val="bottom"/>
          </w:tcPr>
          <w:p>
            <w:pPr>
              <w:spacing w:after="0"/>
              <w:rPr>
                <w:sz w:val="13"/>
                <w:szCs w:val="13"/>
                <w:color w:val="auto"/>
              </w:rPr>
            </w:pPr>
          </w:p>
        </w:tc>
        <w:tc>
          <w:tcPr>
            <w:tcW w:w="600" w:type="dxa"/>
            <w:vAlign w:val="bottom"/>
            <w:gridSpan w:val="3"/>
          </w:tcPr>
          <w:p>
            <w:pPr>
              <w:jc w:val="right"/>
              <w:ind w:right="148"/>
              <w:spacing w:after="0"/>
              <w:rPr>
                <w:sz w:val="20"/>
                <w:szCs w:val="20"/>
                <w:color w:val="auto"/>
              </w:rPr>
            </w:pPr>
            <w:r>
              <w:rPr>
                <w:rFonts w:ascii="Arial" w:cs="Arial" w:eastAsia="Arial" w:hAnsi="Arial"/>
                <w:sz w:val="13"/>
                <w:szCs w:val="13"/>
                <w:color w:val="auto"/>
              </w:rPr>
              <w:t>675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13"/>
                <w:szCs w:val="13"/>
                <w:color w:val="auto"/>
              </w:rPr>
              <w:t>689</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719</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Amortization of unrecognized gain</w:t>
            </w:r>
          </w:p>
        </w:tc>
        <w:tc>
          <w:tcPr>
            <w:tcW w:w="12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108"/>
              <w:spacing w:after="0"/>
              <w:rPr>
                <w:sz w:val="20"/>
                <w:szCs w:val="20"/>
                <w:color w:val="auto"/>
              </w:rPr>
            </w:pPr>
            <w:r>
              <w:rPr>
                <w:rFonts w:ascii="Arial" w:cs="Arial" w:eastAsia="Arial" w:hAnsi="Arial"/>
                <w:sz w:val="13"/>
                <w:szCs w:val="13"/>
                <w:color w:val="auto"/>
              </w:rPr>
              <w:t>(27)</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(127)</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3"/>
                <w:szCs w:val="13"/>
                <w:color w:val="auto"/>
              </w:rPr>
              <w:t>Periodic postretirement benefit cost</w:t>
            </w: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600" w:type="dxa"/>
            <w:vAlign w:val="bottom"/>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1,664</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gridSpan w:val="3"/>
          </w:tcPr>
          <w:p>
            <w:pPr>
              <w:jc w:val="right"/>
              <w:ind w:right="80"/>
              <w:spacing w:after="0"/>
              <w:rPr>
                <w:sz w:val="20"/>
                <w:szCs w:val="20"/>
                <w:color w:val="auto"/>
              </w:rPr>
            </w:pPr>
            <w:r>
              <w:rPr>
                <w:rFonts w:ascii="Arial" w:cs="Arial" w:eastAsia="Arial" w:hAnsi="Arial"/>
                <w:sz w:val="13"/>
                <w:szCs w:val="13"/>
                <w:color w:val="auto"/>
              </w:rPr>
              <w:t>1,424</w:t>
            </w:r>
          </w:p>
        </w:tc>
        <w:tc>
          <w:tcPr>
            <w:tcW w:w="3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1,553</w:t>
            </w:r>
          </w:p>
        </w:tc>
        <w:tc>
          <w:tcPr>
            <w:tcW w:w="0" w:type="dxa"/>
            <w:vAlign w:val="bottom"/>
          </w:tcPr>
          <w:p>
            <w:pPr>
              <w:spacing w:after="0"/>
              <w:rPr>
                <w:sz w:val="1"/>
                <w:szCs w:val="1"/>
                <w:color w:val="auto"/>
              </w:rPr>
            </w:pPr>
          </w:p>
        </w:tc>
      </w:tr>
      <w:tr>
        <w:trPr>
          <w:trHeight w:val="254"/>
        </w:trPr>
        <w:tc>
          <w:tcPr>
            <w:tcW w:w="7600" w:type="dxa"/>
            <w:vAlign w:val="bottom"/>
          </w:tcPr>
          <w:p>
            <w:pPr>
              <w:ind w:left="400"/>
              <w:spacing w:after="0"/>
              <w:rPr>
                <w:sz w:val="20"/>
                <w:szCs w:val="20"/>
                <w:color w:val="auto"/>
              </w:rPr>
            </w:pPr>
            <w:r>
              <w:rPr>
                <w:rFonts w:ascii="Arial" w:cs="Arial" w:eastAsia="Arial" w:hAnsi="Arial"/>
                <w:sz w:val="13"/>
                <w:szCs w:val="13"/>
                <w:color w:val="auto"/>
              </w:rPr>
              <w:t>The following assumptions were used in accounting for the plan:</w:t>
            </w:r>
          </w:p>
        </w:tc>
        <w:tc>
          <w:tcPr>
            <w:tcW w:w="1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7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ind w:right="28"/>
              <w:spacing w:after="0"/>
              <w:rPr>
                <w:sz w:val="20"/>
                <w:szCs w:val="20"/>
                <w:color w:val="auto"/>
              </w:rPr>
            </w:pPr>
            <w:r>
              <w:rPr>
                <w:rFonts w:ascii="Arial" w:cs="Arial" w:eastAsia="Arial" w:hAnsi="Arial"/>
                <w:sz w:val="10"/>
                <w:szCs w:val="10"/>
                <w:b w:val="1"/>
                <w:bCs w:val="1"/>
                <w:color w:val="auto"/>
              </w:rPr>
              <w:t>2006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10"/>
                <w:szCs w:val="10"/>
                <w:b w:val="1"/>
                <w:bCs w:val="1"/>
                <w:color w:val="auto"/>
              </w:rPr>
              <w:t>2005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ind w:right="37"/>
              <w:spacing w:after="0"/>
              <w:rPr>
                <w:sz w:val="20"/>
                <w:szCs w:val="20"/>
                <w:color w:val="auto"/>
              </w:rPr>
            </w:pPr>
            <w:r>
              <w:rPr>
                <w:rFonts w:ascii="Arial" w:cs="Arial" w:eastAsia="Arial" w:hAnsi="Arial"/>
                <w:sz w:val="10"/>
                <w:szCs w:val="10"/>
                <w:b w:val="1"/>
                <w:bCs w:val="1"/>
                <w:color w:val="auto"/>
              </w:rPr>
              <w:t>2004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7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discount rate used in determining accumulated postretirement benefit obligation liability</w:t>
            </w:r>
          </w:p>
        </w:tc>
        <w:tc>
          <w:tcPr>
            <w:tcW w:w="120" w:type="dxa"/>
            <w:vAlign w:val="bottom"/>
            <w:shd w:val="clear" w:color="auto" w:fill="CCEEFF"/>
          </w:tcPr>
          <w:p>
            <w:pPr>
              <w:spacing w:after="0"/>
              <w:rPr>
                <w:sz w:val="13"/>
                <w:szCs w:val="13"/>
                <w:color w:val="auto"/>
              </w:rPr>
            </w:pPr>
          </w:p>
        </w:tc>
        <w:tc>
          <w:tcPr>
            <w:tcW w:w="780" w:type="dxa"/>
            <w:vAlign w:val="bottom"/>
            <w:gridSpan w:val="4"/>
            <w:shd w:val="clear" w:color="auto" w:fill="CCEEFF"/>
          </w:tcPr>
          <w:p>
            <w:pPr>
              <w:jc w:val="right"/>
              <w:ind w:right="80"/>
              <w:spacing w:after="0"/>
              <w:rPr>
                <w:sz w:val="20"/>
                <w:szCs w:val="20"/>
                <w:color w:val="auto"/>
              </w:rPr>
            </w:pPr>
            <w:r>
              <w:rPr>
                <w:rFonts w:ascii="Arial" w:cs="Arial" w:eastAsia="Arial" w:hAnsi="Arial"/>
                <w:sz w:val="13"/>
                <w:szCs w:val="13"/>
                <w:color w:val="auto"/>
              </w:rPr>
              <w:t>6.0%</w:t>
            </w:r>
          </w:p>
        </w:tc>
        <w:tc>
          <w:tcPr>
            <w:tcW w:w="120" w:type="dxa"/>
            <w:vAlign w:val="bottom"/>
            <w:shd w:val="clear" w:color="auto" w:fill="CCEEFF"/>
          </w:tcPr>
          <w:p>
            <w:pPr>
              <w:spacing w:after="0"/>
              <w:rPr>
                <w:sz w:val="13"/>
                <w:szCs w:val="13"/>
                <w:color w:val="auto"/>
              </w:rPr>
            </w:pPr>
          </w:p>
        </w:tc>
        <w:tc>
          <w:tcPr>
            <w:tcW w:w="78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Weighted average discount rate used in determining net periodic benefit cost</w:t>
            </w:r>
          </w:p>
        </w:tc>
        <w:tc>
          <w:tcPr>
            <w:tcW w:w="120" w:type="dxa"/>
            <w:vAlign w:val="bottom"/>
          </w:tcPr>
          <w:p>
            <w:pPr>
              <w:spacing w:after="0"/>
              <w:rPr>
                <w:sz w:val="13"/>
                <w:szCs w:val="13"/>
                <w:color w:val="auto"/>
              </w:rPr>
            </w:pPr>
          </w:p>
        </w:tc>
        <w:tc>
          <w:tcPr>
            <w:tcW w:w="780" w:type="dxa"/>
            <w:vAlign w:val="bottom"/>
            <w:gridSpan w:val="4"/>
          </w:tcPr>
          <w:p>
            <w:pPr>
              <w:jc w:val="right"/>
              <w:ind w:right="80"/>
              <w:spacing w:after="0"/>
              <w:rPr>
                <w:sz w:val="20"/>
                <w:szCs w:val="20"/>
                <w:color w:val="auto"/>
              </w:rPr>
            </w:pPr>
            <w:r>
              <w:rPr>
                <w:rFonts w:ascii="Arial" w:cs="Arial" w:eastAsia="Arial" w:hAnsi="Arial"/>
                <w:sz w:val="13"/>
                <w:szCs w:val="13"/>
                <w:color w:val="auto"/>
              </w:rPr>
              <w:t>5.0%</w:t>
            </w:r>
          </w:p>
        </w:tc>
        <w:tc>
          <w:tcPr>
            <w:tcW w:w="120" w:type="dxa"/>
            <w:vAlign w:val="bottom"/>
          </w:tcPr>
          <w:p>
            <w:pPr>
              <w:spacing w:after="0"/>
              <w:rPr>
                <w:sz w:val="13"/>
                <w:szCs w:val="13"/>
                <w:color w:val="auto"/>
              </w:rPr>
            </w:pPr>
          </w:p>
        </w:tc>
        <w:tc>
          <w:tcPr>
            <w:tcW w:w="780" w:type="dxa"/>
            <w:vAlign w:val="bottom"/>
            <w:gridSpan w:val="4"/>
          </w:tcPr>
          <w:p>
            <w:pPr>
              <w:jc w:val="right"/>
              <w:ind w:right="200"/>
              <w:spacing w:after="0"/>
              <w:rPr>
                <w:sz w:val="20"/>
                <w:szCs w:val="20"/>
                <w:color w:val="auto"/>
              </w:rPr>
            </w:pPr>
            <w:r>
              <w:rPr>
                <w:rFonts w:ascii="Arial" w:cs="Arial" w:eastAsia="Arial" w:hAnsi="Arial"/>
                <w:sz w:val="13"/>
                <w:szCs w:val="13"/>
                <w:color w:val="auto"/>
              </w:rPr>
              <w:t>6.0%</w:t>
            </w:r>
          </w:p>
        </w:tc>
        <w:tc>
          <w:tcPr>
            <w:tcW w:w="10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Assumed health care trend rate used to measure APBO at July 31</w:t>
            </w:r>
          </w:p>
        </w:tc>
        <w:tc>
          <w:tcPr>
            <w:tcW w:w="120" w:type="dxa"/>
            <w:vAlign w:val="bottom"/>
            <w:shd w:val="clear" w:color="auto" w:fill="CCEEFF"/>
          </w:tcPr>
          <w:p>
            <w:pPr>
              <w:spacing w:after="0"/>
              <w:rPr>
                <w:sz w:val="13"/>
                <w:szCs w:val="13"/>
                <w:color w:val="auto"/>
              </w:rPr>
            </w:pPr>
          </w:p>
        </w:tc>
        <w:tc>
          <w:tcPr>
            <w:tcW w:w="780" w:type="dxa"/>
            <w:vAlign w:val="bottom"/>
            <w:gridSpan w:val="4"/>
            <w:shd w:val="clear" w:color="auto" w:fill="CCEEFF"/>
          </w:tcPr>
          <w:p>
            <w:pPr>
              <w:jc w:val="right"/>
              <w:ind w:right="80"/>
              <w:spacing w:after="0"/>
              <w:rPr>
                <w:sz w:val="20"/>
                <w:szCs w:val="20"/>
                <w:color w:val="auto"/>
              </w:rPr>
            </w:pPr>
            <w:r>
              <w:rPr>
                <w:rFonts w:ascii="Arial" w:cs="Arial" w:eastAsia="Arial" w:hAnsi="Arial"/>
                <w:sz w:val="13"/>
                <w:szCs w:val="13"/>
                <w:color w:val="auto"/>
              </w:rPr>
              <w:t>10.0%</w:t>
            </w:r>
          </w:p>
        </w:tc>
        <w:tc>
          <w:tcPr>
            <w:tcW w:w="120" w:type="dxa"/>
            <w:vAlign w:val="bottom"/>
            <w:shd w:val="clear" w:color="auto" w:fill="CCEEFF"/>
          </w:tcPr>
          <w:p>
            <w:pPr>
              <w:spacing w:after="0"/>
              <w:rPr>
                <w:sz w:val="13"/>
                <w:szCs w:val="13"/>
                <w:color w:val="auto"/>
              </w:rPr>
            </w:pPr>
          </w:p>
        </w:tc>
        <w:tc>
          <w:tcPr>
            <w:tcW w:w="78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11.0%</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0" w:type="dxa"/>
            <w:vAlign w:val="bottom"/>
          </w:tcPr>
          <w:p>
            <w:pPr>
              <w:spacing w:after="0"/>
              <w:rPr>
                <w:sz w:val="1"/>
                <w:szCs w:val="1"/>
                <w:color w:val="auto"/>
              </w:rPr>
            </w:pP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Rate to which cost trend rate is assumed to decline (the ultimate trend rate)</w:t>
            </w:r>
          </w:p>
        </w:tc>
        <w:tc>
          <w:tcPr>
            <w:tcW w:w="120" w:type="dxa"/>
            <w:vAlign w:val="bottom"/>
          </w:tcPr>
          <w:p>
            <w:pPr>
              <w:spacing w:after="0"/>
              <w:rPr>
                <w:sz w:val="13"/>
                <w:szCs w:val="13"/>
                <w:color w:val="auto"/>
              </w:rPr>
            </w:pPr>
          </w:p>
        </w:tc>
        <w:tc>
          <w:tcPr>
            <w:tcW w:w="780" w:type="dxa"/>
            <w:vAlign w:val="bottom"/>
            <w:gridSpan w:val="4"/>
          </w:tcPr>
          <w:p>
            <w:pPr>
              <w:jc w:val="right"/>
              <w:ind w:right="80"/>
              <w:spacing w:after="0"/>
              <w:rPr>
                <w:sz w:val="20"/>
                <w:szCs w:val="20"/>
                <w:color w:val="auto"/>
              </w:rPr>
            </w:pPr>
            <w:r>
              <w:rPr>
                <w:rFonts w:ascii="Arial" w:cs="Arial" w:eastAsia="Arial" w:hAnsi="Arial"/>
                <w:sz w:val="13"/>
                <w:szCs w:val="13"/>
                <w:color w:val="auto"/>
              </w:rPr>
              <w:t>5.5%</w:t>
            </w:r>
          </w:p>
        </w:tc>
        <w:tc>
          <w:tcPr>
            <w:tcW w:w="120" w:type="dxa"/>
            <w:vAlign w:val="bottom"/>
          </w:tcPr>
          <w:p>
            <w:pPr>
              <w:spacing w:after="0"/>
              <w:rPr>
                <w:sz w:val="13"/>
                <w:szCs w:val="13"/>
                <w:color w:val="auto"/>
              </w:rPr>
            </w:pPr>
          </w:p>
        </w:tc>
        <w:tc>
          <w:tcPr>
            <w:tcW w:w="780" w:type="dxa"/>
            <w:vAlign w:val="bottom"/>
            <w:gridSpan w:val="4"/>
          </w:tcPr>
          <w:p>
            <w:pPr>
              <w:jc w:val="right"/>
              <w:ind w:right="200"/>
              <w:spacing w:after="0"/>
              <w:rPr>
                <w:sz w:val="20"/>
                <w:szCs w:val="20"/>
                <w:color w:val="auto"/>
              </w:rPr>
            </w:pPr>
            <w:r>
              <w:rPr>
                <w:rFonts w:ascii="Arial" w:cs="Arial" w:eastAsia="Arial" w:hAnsi="Arial"/>
                <w:sz w:val="13"/>
                <w:szCs w:val="13"/>
                <w:color w:val="auto"/>
              </w:rPr>
              <w:t>5.5%</w:t>
            </w:r>
          </w:p>
        </w:tc>
        <w:tc>
          <w:tcPr>
            <w:tcW w:w="10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Fiscal year the ultimate trend rate is reached</w:t>
            </w:r>
          </w:p>
        </w:tc>
        <w:tc>
          <w:tcPr>
            <w:tcW w:w="120" w:type="dxa"/>
            <w:vAlign w:val="bottom"/>
            <w:shd w:val="clear" w:color="auto" w:fill="CCEEFF"/>
          </w:tcPr>
          <w:p>
            <w:pPr>
              <w:spacing w:after="0"/>
              <w:rPr>
                <w:sz w:val="13"/>
                <w:szCs w:val="13"/>
                <w:color w:val="auto"/>
              </w:rPr>
            </w:pPr>
          </w:p>
        </w:tc>
        <w:tc>
          <w:tcPr>
            <w:tcW w:w="78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2011</w:t>
            </w:r>
          </w:p>
        </w:tc>
        <w:tc>
          <w:tcPr>
            <w:tcW w:w="120" w:type="dxa"/>
            <w:vAlign w:val="bottom"/>
            <w:shd w:val="clear" w:color="auto" w:fill="CCEEFF"/>
          </w:tcPr>
          <w:p>
            <w:pPr>
              <w:spacing w:after="0"/>
              <w:rPr>
                <w:sz w:val="13"/>
                <w:szCs w:val="13"/>
                <w:color w:val="auto"/>
              </w:rPr>
            </w:pPr>
          </w:p>
        </w:tc>
        <w:tc>
          <w:tcPr>
            <w:tcW w:w="780" w:type="dxa"/>
            <w:vAlign w:val="bottom"/>
            <w:gridSpan w:val="4"/>
            <w:shd w:val="clear" w:color="auto" w:fill="CCEEFF"/>
          </w:tcPr>
          <w:p>
            <w:pPr>
              <w:jc w:val="right"/>
              <w:ind w:right="300"/>
              <w:spacing w:after="0"/>
              <w:rPr>
                <w:sz w:val="20"/>
                <w:szCs w:val="20"/>
                <w:color w:val="auto"/>
              </w:rPr>
            </w:pPr>
            <w:r>
              <w:rPr>
                <w:rFonts w:ascii="Arial" w:cs="Arial" w:eastAsia="Arial" w:hAnsi="Arial"/>
                <w:sz w:val="13"/>
                <w:szCs w:val="13"/>
                <w:color w:val="auto"/>
              </w:rPr>
              <w:t>2011</w:t>
            </w:r>
          </w:p>
        </w:tc>
        <w:tc>
          <w:tcPr>
            <w:tcW w:w="100" w:type="dxa"/>
            <w:vAlign w:val="bottom"/>
            <w:shd w:val="clear" w:color="auto" w:fill="CCEEFF"/>
          </w:tcPr>
          <w:p>
            <w:pPr>
              <w:spacing w:after="0"/>
              <w:rPr>
                <w:sz w:val="13"/>
                <w:szCs w:val="13"/>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2011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The assumed health care cost trend rate has a significant effect on the amounts reported for the Plan. A one-percentage point change in assumed health care cost trend rates would have the following effects: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100" w:type="dxa"/>
            <w:vAlign w:val="bottom"/>
          </w:tcPr>
          <w:p>
            <w:pPr>
              <w:spacing w:after="0"/>
              <w:rPr>
                <w:sz w:val="10"/>
                <w:szCs w:val="10"/>
                <w:color w:val="auto"/>
              </w:rPr>
            </w:pPr>
          </w:p>
        </w:tc>
        <w:tc>
          <w:tcPr>
            <w:tcW w:w="980" w:type="dxa"/>
            <w:vAlign w:val="bottom"/>
          </w:tcPr>
          <w:p>
            <w:pPr>
              <w:jc w:val="center"/>
              <w:ind w:left="163"/>
              <w:spacing w:after="0"/>
              <w:rPr>
                <w:sz w:val="20"/>
                <w:szCs w:val="20"/>
                <w:color w:val="auto"/>
              </w:rPr>
            </w:pPr>
            <w:r>
              <w:rPr>
                <w:rFonts w:ascii="Arial" w:cs="Arial" w:eastAsia="Arial" w:hAnsi="Arial"/>
                <w:sz w:val="10"/>
                <w:szCs w:val="10"/>
                <w:b w:val="1"/>
                <w:bCs w:val="1"/>
                <w:color w:val="auto"/>
                <w:w w:val="93"/>
              </w:rPr>
              <w:t>One-Percentage</w:t>
            </w: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rPr>
              <w:t>One-Percentage</w:t>
            </w:r>
          </w:p>
        </w:tc>
      </w:tr>
      <w:tr>
        <w:trPr>
          <w:trHeight w:val="125"/>
        </w:trPr>
        <w:tc>
          <w:tcPr>
            <w:tcW w:w="7100" w:type="dxa"/>
            <w:vAlign w:val="bottom"/>
          </w:tcPr>
          <w:p>
            <w:pPr>
              <w:spacing w:after="0"/>
              <w:rPr>
                <w:sz w:val="10"/>
                <w:szCs w:val="10"/>
                <w:color w:val="auto"/>
              </w:rPr>
            </w:pPr>
          </w:p>
        </w:tc>
        <w:tc>
          <w:tcPr>
            <w:tcW w:w="980" w:type="dxa"/>
            <w:vAlign w:val="bottom"/>
          </w:tcPr>
          <w:p>
            <w:pPr>
              <w:jc w:val="center"/>
              <w:ind w:left="163"/>
              <w:spacing w:after="0"/>
              <w:rPr>
                <w:sz w:val="20"/>
                <w:szCs w:val="20"/>
                <w:color w:val="auto"/>
              </w:rPr>
            </w:pPr>
            <w:r>
              <w:rPr>
                <w:rFonts w:ascii="Arial" w:cs="Arial" w:eastAsia="Arial" w:hAnsi="Arial"/>
                <w:sz w:val="10"/>
                <w:szCs w:val="10"/>
                <w:b w:val="1"/>
                <w:bCs w:val="1"/>
                <w:color w:val="auto"/>
                <w:w w:val="93"/>
              </w:rPr>
              <w:t>Point Increase</w:t>
            </w: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rPr>
              <w:t>Point Decrease</w:t>
            </w:r>
          </w:p>
        </w:tc>
      </w:tr>
      <w:tr>
        <w:trPr>
          <w:trHeight w:val="29"/>
        </w:trPr>
        <w:tc>
          <w:tcPr>
            <w:tcW w:w="710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Effect on future service and interest cost</w:t>
            </w:r>
          </w:p>
        </w:tc>
        <w:tc>
          <w:tcPr>
            <w:tcW w:w="980" w:type="dxa"/>
            <w:vAlign w:val="bottom"/>
            <w:shd w:val="clear" w:color="auto" w:fill="CCEEFF"/>
          </w:tcPr>
          <w:p>
            <w:pPr>
              <w:jc w:val="right"/>
              <w:ind w:right="843"/>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141</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(124)</w:t>
            </w:r>
          </w:p>
        </w:tc>
      </w:tr>
      <w:tr>
        <w:trPr>
          <w:trHeight w:val="165"/>
        </w:trPr>
        <w:tc>
          <w:tcPr>
            <w:tcW w:w="7100" w:type="dxa"/>
            <w:vAlign w:val="bottom"/>
          </w:tcPr>
          <w:p>
            <w:pPr>
              <w:spacing w:after="0"/>
              <w:rPr>
                <w:sz w:val="20"/>
                <w:szCs w:val="20"/>
                <w:color w:val="auto"/>
              </w:rPr>
            </w:pPr>
            <w:r>
              <w:rPr>
                <w:rFonts w:ascii="Arial" w:cs="Arial" w:eastAsia="Arial" w:hAnsi="Arial"/>
                <w:sz w:val="13"/>
                <w:szCs w:val="13"/>
                <w:color w:val="auto"/>
              </w:rPr>
              <w:t>Effect on accumulated postretirement benefit obligation at July 31, 2006</w:t>
            </w:r>
          </w:p>
        </w:tc>
        <w:tc>
          <w:tcPr>
            <w:tcW w:w="980" w:type="dxa"/>
            <w:vAlign w:val="bottom"/>
          </w:tcPr>
          <w:p>
            <w:pPr>
              <w:spacing w:after="0"/>
              <w:rPr>
                <w:sz w:val="14"/>
                <w:szCs w:val="14"/>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826</w:t>
            </w:r>
          </w:p>
        </w:tc>
        <w:tc>
          <w:tcPr>
            <w:tcW w:w="140" w:type="dxa"/>
            <w:vAlign w:val="bottom"/>
          </w:tcPr>
          <w:p>
            <w:pPr>
              <w:spacing w:after="0"/>
              <w:rPr>
                <w:sz w:val="14"/>
                <w:szCs w:val="14"/>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3"/>
                <w:szCs w:val="13"/>
                <w:color w:val="auto"/>
              </w:rPr>
              <w:t>(732)</w:t>
            </w:r>
          </w:p>
        </w:tc>
      </w:tr>
    </w:tbl>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benefit payments, which reflect expected future service, as appropriate, are expected to be paid during the years ending July 31:</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40" w:type="dxa"/>
            <w:vAlign w:val="bottom"/>
            <w:gridSpan w:val="2"/>
          </w:tcPr>
          <w:p>
            <w:pPr>
              <w:jc w:val="center"/>
              <w:ind w:right="580"/>
              <w:spacing w:after="0"/>
              <w:rPr>
                <w:sz w:val="20"/>
                <w:szCs w:val="20"/>
                <w:color w:val="auto"/>
              </w:rPr>
            </w:pPr>
            <w:r>
              <w:rPr>
                <w:rFonts w:ascii="Arial" w:cs="Arial" w:eastAsia="Arial" w:hAnsi="Arial"/>
                <w:sz w:val="10"/>
                <w:szCs w:val="10"/>
                <w:b w:val="1"/>
                <w:bCs w:val="1"/>
                <w:color w:val="auto"/>
              </w:rPr>
              <w:t>Prior to</w:t>
            </w:r>
          </w:p>
        </w:tc>
        <w:tc>
          <w:tcPr>
            <w:tcW w:w="160" w:type="dxa"/>
            <w:vAlign w:val="bottom"/>
          </w:tcPr>
          <w:p>
            <w:pPr>
              <w:spacing w:after="0"/>
              <w:rPr>
                <w:sz w:val="10"/>
                <w:szCs w:val="10"/>
                <w:color w:val="auto"/>
              </w:rPr>
            </w:pPr>
          </w:p>
        </w:tc>
        <w:tc>
          <w:tcPr>
            <w:tcW w:w="1520" w:type="dxa"/>
            <w:vAlign w:val="bottom"/>
            <w:gridSpan w:val="2"/>
          </w:tcPr>
          <w:p>
            <w:pPr>
              <w:jc w:val="right"/>
              <w:ind w:right="920"/>
              <w:spacing w:after="0"/>
              <w:rPr>
                <w:sz w:val="20"/>
                <w:szCs w:val="20"/>
                <w:color w:val="auto"/>
              </w:rPr>
            </w:pPr>
            <w:r>
              <w:rPr>
                <w:rFonts w:ascii="Arial" w:cs="Arial" w:eastAsia="Arial" w:hAnsi="Arial"/>
                <w:sz w:val="10"/>
                <w:szCs w:val="10"/>
                <w:b w:val="1"/>
                <w:bCs w:val="1"/>
                <w:color w:val="auto"/>
              </w:rPr>
              <w:t>After</w:t>
            </w:r>
          </w:p>
        </w:tc>
        <w:tc>
          <w:tcPr>
            <w:tcW w:w="160" w:type="dxa"/>
            <w:vAlign w:val="bottom"/>
          </w:tcPr>
          <w:p>
            <w:pPr>
              <w:spacing w:after="0"/>
              <w:rPr>
                <w:sz w:val="10"/>
                <w:szCs w:val="10"/>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rPr>
              <w:t>Impact of</w:t>
            </w:r>
          </w:p>
        </w:tc>
      </w:tr>
      <w:tr>
        <w:trPr>
          <w:trHeight w:val="125"/>
        </w:trPr>
        <w:tc>
          <w:tcPr>
            <w:tcW w:w="5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40" w:type="dxa"/>
            <w:vAlign w:val="bottom"/>
            <w:gridSpan w:val="2"/>
          </w:tcPr>
          <w:p>
            <w:pPr>
              <w:jc w:val="center"/>
              <w:ind w:right="580"/>
              <w:spacing w:after="0"/>
              <w:rPr>
                <w:sz w:val="20"/>
                <w:szCs w:val="20"/>
                <w:color w:val="auto"/>
              </w:rPr>
            </w:pPr>
            <w:r>
              <w:rPr>
                <w:rFonts w:ascii="Arial" w:cs="Arial" w:eastAsia="Arial" w:hAnsi="Arial"/>
                <w:sz w:val="10"/>
                <w:szCs w:val="10"/>
                <w:b w:val="1"/>
                <w:bCs w:val="1"/>
                <w:color w:val="auto"/>
              </w:rPr>
              <w:t>Medicare Part D</w:t>
            </w:r>
          </w:p>
        </w:tc>
        <w:tc>
          <w:tcPr>
            <w:tcW w:w="160" w:type="dxa"/>
            <w:vAlign w:val="bottom"/>
          </w:tcPr>
          <w:p>
            <w:pPr>
              <w:spacing w:after="0"/>
              <w:rPr>
                <w:sz w:val="10"/>
                <w:szCs w:val="10"/>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0"/>
                <w:szCs w:val="10"/>
                <w:b w:val="1"/>
                <w:bCs w:val="1"/>
                <w:color w:val="auto"/>
              </w:rPr>
              <w:t>Medicare Part D</w:t>
            </w:r>
          </w:p>
        </w:tc>
        <w:tc>
          <w:tcPr>
            <w:tcW w:w="160" w:type="dxa"/>
            <w:vAlign w:val="bottom"/>
          </w:tcPr>
          <w:p>
            <w:pPr>
              <w:spacing w:after="0"/>
              <w:rPr>
                <w:sz w:val="10"/>
                <w:szCs w:val="10"/>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rPr>
              <w:t>Medicare Part D</w:t>
            </w:r>
          </w:p>
        </w:tc>
      </w:tr>
      <w:tr>
        <w:trPr>
          <w:trHeight w:val="29"/>
        </w:trPr>
        <w:tc>
          <w:tcPr>
            <w:tcW w:w="52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2007</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750</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628</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(122)</w:t>
            </w:r>
          </w:p>
        </w:tc>
      </w:tr>
      <w:tr>
        <w:trPr>
          <w:trHeight w:val="157"/>
        </w:trPr>
        <w:tc>
          <w:tcPr>
            <w:tcW w:w="5200" w:type="dxa"/>
            <w:vAlign w:val="bottom"/>
          </w:tcPr>
          <w:p>
            <w:pPr>
              <w:spacing w:after="0"/>
              <w:rPr>
                <w:sz w:val="20"/>
                <w:szCs w:val="20"/>
                <w:color w:val="auto"/>
              </w:rPr>
            </w:pPr>
            <w:r>
              <w:rPr>
                <w:rFonts w:ascii="Arial" w:cs="Arial" w:eastAsia="Arial" w:hAnsi="Arial"/>
                <w:sz w:val="13"/>
                <w:szCs w:val="13"/>
                <w:color w:val="auto"/>
              </w:rPr>
              <w:t>2008</w:t>
            </w:r>
          </w:p>
        </w:tc>
        <w:tc>
          <w:tcPr>
            <w:tcW w:w="180" w:type="dxa"/>
            <w:vAlign w:val="bottom"/>
          </w:tcPr>
          <w:p>
            <w:pPr>
              <w:spacing w:after="0"/>
              <w:rPr>
                <w:sz w:val="13"/>
                <w:szCs w:val="13"/>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3"/>
                <w:szCs w:val="13"/>
                <w:color w:val="auto"/>
              </w:rPr>
              <w:t>798</w:t>
            </w:r>
          </w:p>
        </w:tc>
        <w:tc>
          <w:tcPr>
            <w:tcW w:w="160" w:type="dxa"/>
            <w:vAlign w:val="bottom"/>
          </w:tcPr>
          <w:p>
            <w:pPr>
              <w:spacing w:after="0"/>
              <w:rPr>
                <w:sz w:val="13"/>
                <w:szCs w:val="13"/>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3"/>
                <w:szCs w:val="13"/>
                <w:color w:val="auto"/>
              </w:rPr>
              <w:t>663</w:t>
            </w:r>
          </w:p>
        </w:tc>
        <w:tc>
          <w:tcPr>
            <w:tcW w:w="160" w:type="dxa"/>
            <w:vAlign w:val="bottom"/>
          </w:tcPr>
          <w:p>
            <w:pPr>
              <w:spacing w:after="0"/>
              <w:rPr>
                <w:sz w:val="13"/>
                <w:szCs w:val="13"/>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3"/>
                <w:szCs w:val="13"/>
                <w:color w:val="auto"/>
              </w:rPr>
              <w:t>(135)</w:t>
            </w:r>
          </w:p>
        </w:tc>
      </w:tr>
      <w:tr>
        <w:trPr>
          <w:trHeight w:val="157"/>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2009</w:t>
            </w:r>
          </w:p>
        </w:tc>
        <w:tc>
          <w:tcPr>
            <w:tcW w:w="18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854</w:t>
            </w: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707</w:t>
            </w:r>
          </w:p>
        </w:tc>
        <w:tc>
          <w:tcPr>
            <w:tcW w:w="1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(147)</w:t>
            </w:r>
          </w:p>
        </w:tc>
      </w:tr>
      <w:tr>
        <w:trPr>
          <w:trHeight w:val="157"/>
        </w:trPr>
        <w:tc>
          <w:tcPr>
            <w:tcW w:w="5200" w:type="dxa"/>
            <w:vAlign w:val="bottom"/>
          </w:tcPr>
          <w:p>
            <w:pPr>
              <w:spacing w:after="0"/>
              <w:rPr>
                <w:sz w:val="20"/>
                <w:szCs w:val="20"/>
                <w:color w:val="auto"/>
              </w:rPr>
            </w:pPr>
            <w:r>
              <w:rPr>
                <w:rFonts w:ascii="Arial" w:cs="Arial" w:eastAsia="Arial" w:hAnsi="Arial"/>
                <w:sz w:val="13"/>
                <w:szCs w:val="13"/>
                <w:color w:val="auto"/>
              </w:rPr>
              <w:t>2010</w:t>
            </w:r>
          </w:p>
        </w:tc>
        <w:tc>
          <w:tcPr>
            <w:tcW w:w="180" w:type="dxa"/>
            <w:vAlign w:val="bottom"/>
          </w:tcPr>
          <w:p>
            <w:pPr>
              <w:spacing w:after="0"/>
              <w:rPr>
                <w:sz w:val="13"/>
                <w:szCs w:val="13"/>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3"/>
                <w:szCs w:val="13"/>
                <w:color w:val="auto"/>
              </w:rPr>
              <w:t>905</w:t>
            </w:r>
          </w:p>
        </w:tc>
        <w:tc>
          <w:tcPr>
            <w:tcW w:w="160" w:type="dxa"/>
            <w:vAlign w:val="bottom"/>
          </w:tcPr>
          <w:p>
            <w:pPr>
              <w:spacing w:after="0"/>
              <w:rPr>
                <w:sz w:val="13"/>
                <w:szCs w:val="13"/>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3"/>
                <w:szCs w:val="13"/>
                <w:color w:val="auto"/>
              </w:rPr>
              <w:t>743</w:t>
            </w:r>
          </w:p>
        </w:tc>
        <w:tc>
          <w:tcPr>
            <w:tcW w:w="160" w:type="dxa"/>
            <w:vAlign w:val="bottom"/>
          </w:tcPr>
          <w:p>
            <w:pPr>
              <w:spacing w:after="0"/>
              <w:rPr>
                <w:sz w:val="13"/>
                <w:szCs w:val="13"/>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3"/>
                <w:szCs w:val="13"/>
                <w:color w:val="auto"/>
              </w:rPr>
              <w:t>(162)</w:t>
            </w:r>
          </w:p>
        </w:tc>
      </w:tr>
      <w:tr>
        <w:trPr>
          <w:trHeight w:val="157"/>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2011</w:t>
            </w:r>
          </w:p>
        </w:tc>
        <w:tc>
          <w:tcPr>
            <w:tcW w:w="18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951</w:t>
            </w: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778</w:t>
            </w:r>
          </w:p>
        </w:tc>
        <w:tc>
          <w:tcPr>
            <w:tcW w:w="1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(173)</w:t>
            </w:r>
          </w:p>
        </w:tc>
      </w:tr>
      <w:tr>
        <w:trPr>
          <w:trHeight w:val="165"/>
        </w:trPr>
        <w:tc>
          <w:tcPr>
            <w:tcW w:w="5200" w:type="dxa"/>
            <w:vAlign w:val="bottom"/>
          </w:tcPr>
          <w:p>
            <w:pPr>
              <w:spacing w:after="0"/>
              <w:rPr>
                <w:sz w:val="20"/>
                <w:szCs w:val="20"/>
                <w:color w:val="auto"/>
              </w:rPr>
            </w:pPr>
            <w:r>
              <w:rPr>
                <w:rFonts w:ascii="Arial" w:cs="Arial" w:eastAsia="Arial" w:hAnsi="Arial"/>
                <w:sz w:val="13"/>
                <w:szCs w:val="13"/>
                <w:color w:val="auto"/>
              </w:rPr>
              <w:t>2012 through 2016</w:t>
            </w:r>
          </w:p>
        </w:tc>
        <w:tc>
          <w:tcPr>
            <w:tcW w:w="180" w:type="dxa"/>
            <w:vAlign w:val="bottom"/>
          </w:tcPr>
          <w:p>
            <w:pPr>
              <w:spacing w:after="0"/>
              <w:rPr>
                <w:sz w:val="14"/>
                <w:szCs w:val="14"/>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3"/>
                <w:szCs w:val="13"/>
                <w:color w:val="auto"/>
              </w:rPr>
              <w:t>4,908</w:t>
            </w:r>
          </w:p>
        </w:tc>
        <w:tc>
          <w:tcPr>
            <w:tcW w:w="160" w:type="dxa"/>
            <w:vAlign w:val="bottom"/>
          </w:tcPr>
          <w:p>
            <w:pPr>
              <w:spacing w:after="0"/>
              <w:rPr>
                <w:sz w:val="14"/>
                <w:szCs w:val="14"/>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3"/>
                <w:szCs w:val="13"/>
                <w:color w:val="auto"/>
              </w:rPr>
              <w:t>3,971</w:t>
            </w:r>
          </w:p>
        </w:tc>
        <w:tc>
          <w:tcPr>
            <w:tcW w:w="160" w:type="dxa"/>
            <w:vAlign w:val="bottom"/>
          </w:tcPr>
          <w:p>
            <w:pPr>
              <w:spacing w:after="0"/>
              <w:rPr>
                <w:sz w:val="14"/>
                <w:szCs w:val="14"/>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3"/>
                <w:szCs w:val="13"/>
                <w:color w:val="auto"/>
              </w:rPr>
              <w:t>(937)</w:t>
            </w:r>
          </w:p>
        </w:tc>
      </w:tr>
    </w:tbl>
    <w:p>
      <w:pPr>
        <w:spacing w:after="0" w:line="72"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In December 2003, the United States enacted into law the Medicare Prescription Drug, Improvement and Modernization Act of 2003 (the “Act”). The Act establishes a prescription drug benefit under Medicare (Medicare Part D) as well as a federal subsidy to sponsors of retiree health care benefit plans that provide a benefit that is at least actuarially equivalent to Medicare Part D.</w:t>
      </w:r>
    </w:p>
    <w:p>
      <w:pPr>
        <w:spacing w:after="0" w:line="67"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In May 2004, the Financial Accounting Standards Board issued FSP 106-2, “Accounting and Disclosure Requirements Related to the Medicare Prescription Drug, Improvement and Modernization Act of 2003”. FSP 106-</w:t>
      </w:r>
    </w:p>
    <w:p>
      <w:pPr>
        <w:spacing w:after="0" w:line="26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BRADY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ind w:left="680" w:right="240"/>
        <w:spacing w:after="0" w:line="276" w:lineRule="auto"/>
        <w:rPr>
          <w:sz w:val="20"/>
          <w:szCs w:val="20"/>
          <w:color w:val="auto"/>
        </w:rPr>
      </w:pPr>
      <w:r>
        <w:rPr>
          <w:rFonts w:ascii="Arial" w:cs="Arial" w:eastAsia="Arial" w:hAnsi="Arial"/>
          <w:sz w:val="13"/>
          <w:szCs w:val="13"/>
          <w:color w:val="auto"/>
        </w:rPr>
        <w:t>2 requires companies to account for the effect of the subsidy on benefits attributable to past service as an actuarial experience gain and as a reduction of the service cost component of net postretirement health care costs for amounts attributable to current service, if the benefit provided is at least actuarially equivalent to Medicare Part D.</w:t>
      </w:r>
    </w:p>
    <w:p>
      <w:pPr>
        <w:spacing w:after="0" w:line="59"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The Company adopted FSP 106-2 effective with the fiscal year beginning August 1, 2004. The Company determined that benefits provided to certain participants are expected to be at least actuarially equivalent to Medicare Part D, and, accordingly, the Company will be entitled to a subsidy. The expected subsidy reduced the accumulated postretirement benefit obligation at August 1, 2004 by approximately $2,200 and net periodic cost for the year ended July 31, 2006 and 2005 by $409 and $463, respectively, as compared with the amount calculated without considering the effects of the subsidy.</w:t>
      </w:r>
    </w:p>
    <w:p>
      <w:pPr>
        <w:spacing w:after="0" w:line="70"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Assumptions used to develop these reductions include those used in the determination of the annual expense under SFAS No. 106, “Employers’ Accounting for Postretirement Benefits other than Pensions,” and also include expectations of how the federal program would ultimately operate.</w:t>
      </w:r>
    </w:p>
    <w:p>
      <w:pPr>
        <w:spacing w:after="0" w:line="59" w:lineRule="exact"/>
        <w:rPr>
          <w:sz w:val="20"/>
          <w:szCs w:val="20"/>
          <w:color w:val="auto"/>
        </w:rPr>
      </w:pPr>
    </w:p>
    <w:p>
      <w:pPr>
        <w:ind w:left="680" w:right="240" w:firstLine="399"/>
        <w:spacing w:after="0" w:line="296" w:lineRule="auto"/>
        <w:rPr>
          <w:sz w:val="20"/>
          <w:szCs w:val="20"/>
          <w:color w:val="auto"/>
        </w:rPr>
      </w:pPr>
      <w:r>
        <w:rPr>
          <w:rFonts w:ascii="Arial" w:cs="Arial" w:eastAsia="Arial" w:hAnsi="Arial"/>
          <w:sz w:val="12"/>
          <w:szCs w:val="12"/>
          <w:color w:val="auto"/>
        </w:rPr>
        <w:t>The Company has retirement and profit-sharing plans covering substantially all full-time domestic employees and certain of its foreign subsidiaries. Contributions to the plans are determined annually or quarterly, according to the respective plans, based on earnings of the respective companies and employee contributions. At July 31, 2006 and 2005, $5,928 and $5,048, respectively, of accrued profit-sharing contributions were included in other current liabilities in the accompanying consolidated balance sheets.</w:t>
      </w:r>
    </w:p>
    <w:p>
      <w:pPr>
        <w:spacing w:after="0" w:line="5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The Company also has deferred compensation plans for directors, officers and key executives which are discussed below. At July 31, 2006 and 2005, $7,853 and $7,999, respectively, of deferred compensation was included in current and other long-term liabilities on the accompanying consolidated balance sheets.</w:t>
      </w:r>
    </w:p>
    <w:p>
      <w:pPr>
        <w:spacing w:after="0" w:line="59" w:lineRule="exact"/>
        <w:rPr>
          <w:sz w:val="20"/>
          <w:szCs w:val="20"/>
          <w:color w:val="auto"/>
        </w:rPr>
      </w:pPr>
    </w:p>
    <w:p>
      <w:pPr>
        <w:ind w:left="680" w:right="240" w:firstLine="399"/>
        <w:spacing w:after="0" w:line="289" w:lineRule="auto"/>
        <w:rPr>
          <w:sz w:val="20"/>
          <w:szCs w:val="20"/>
          <w:color w:val="auto"/>
        </w:rPr>
      </w:pPr>
      <w:r>
        <w:rPr>
          <w:rFonts w:ascii="Arial" w:cs="Arial" w:eastAsia="Arial" w:hAnsi="Arial"/>
          <w:sz w:val="12"/>
          <w:szCs w:val="12"/>
          <w:color w:val="auto"/>
        </w:rPr>
        <w:t>During fiscal 1998, the Company adopted a new deferred compensation plan that invests solely in shares of the Company’s Class A Nonvoting Common Stock. Participants in a predecessor phantom stock plan were allowed to convert their balances in the old plan to this new plan. The new plan was funded initially by the issuance of shares of Class A Nonvoting Common Stock to a Rabbi Trust. All deferrals into the new plan result in purchases of Class A Nonvoting Common Stock by the Rabbi Trust. No deferrals are allowed into a predecessor plan. Shares held by the Rabbi Trust are distributed to participants upon separation from the Company as defined in the plan agreement.</w:t>
      </w:r>
    </w:p>
    <w:p>
      <w:pPr>
        <w:spacing w:after="0" w:line="53"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During fiscal 2002, the Company adopted a new deferred compensation plan that allows future contributions to be invested in shares of the Company’s Class A Nonvoting Common Stock or in certain other investment vehicles. Prior deferred compensation deferrals must remain in the Company’s Class A Nonvoting Common Stock. All participant deferrals into the new plan result in purchases of Class A Nonvoting Common Stock or certain other investment vehicles by the Rabbi Trust. Balances held by the Rabbi Trust are distributed to participants upon separation from the Company as defined in the plan agreement. On May 1, 2006, the plan was amended to require that deferrals into Brady stock must remain in Brady stock and be distributed in shares of Brady stock.</w:t>
      </w:r>
    </w:p>
    <w:p>
      <w:pPr>
        <w:spacing w:after="0" w:line="71"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amounts charged to expense for the retirement, profit sharing and deferred compensation plans described above were $9,862, $10,980, and $9,373 during the years ended July 31, 2006, 2005 and 2004, respectively.</w:t>
      </w:r>
    </w:p>
    <w:p>
      <w:pPr>
        <w:spacing w:after="0" w:line="26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BRADY CORPORATION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5"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120" w:type="dxa"/>
            <w:vAlign w:val="bottom"/>
          </w:tcPr>
          <w:p>
            <w:pPr>
              <w:spacing w:after="0"/>
              <w:rPr>
                <w:sz w:val="20"/>
                <w:szCs w:val="20"/>
                <w:color w:val="auto"/>
              </w:rPr>
            </w:pPr>
            <w:r>
              <w:rPr>
                <w:rFonts w:ascii="Arial" w:cs="Arial" w:eastAsia="Arial" w:hAnsi="Arial"/>
                <w:sz w:val="13"/>
                <w:szCs w:val="13"/>
                <w:b w:val="1"/>
                <w:bCs w:val="1"/>
                <w:color w:val="auto"/>
                <w:w w:val="91"/>
              </w:rPr>
              <w:t>4.</w:t>
            </w:r>
          </w:p>
        </w:tc>
        <w:tc>
          <w:tcPr>
            <w:tcW w:w="7180" w:type="dxa"/>
            <w:vAlign w:val="bottom"/>
          </w:tcPr>
          <w:p>
            <w:pPr>
              <w:ind w:left="200"/>
              <w:spacing w:after="0"/>
              <w:rPr>
                <w:sz w:val="20"/>
                <w:szCs w:val="20"/>
                <w:color w:val="auto"/>
              </w:rPr>
            </w:pPr>
            <w:r>
              <w:rPr>
                <w:rFonts w:ascii="Arial" w:cs="Arial" w:eastAsia="Arial" w:hAnsi="Arial"/>
                <w:sz w:val="13"/>
                <w:szCs w:val="13"/>
                <w:b w:val="1"/>
                <w:bCs w:val="1"/>
                <w:color w:val="auto"/>
              </w:rPr>
              <w:t>Income Taxes</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6"/>
        </w:trPr>
        <w:tc>
          <w:tcPr>
            <w:tcW w:w="120" w:type="dxa"/>
            <w:vAlign w:val="bottom"/>
          </w:tcPr>
          <w:p>
            <w:pPr>
              <w:spacing w:after="0"/>
              <w:rPr>
                <w:sz w:val="21"/>
                <w:szCs w:val="21"/>
                <w:color w:val="auto"/>
              </w:rPr>
            </w:pPr>
          </w:p>
        </w:tc>
        <w:tc>
          <w:tcPr>
            <w:tcW w:w="7180" w:type="dxa"/>
            <w:vAlign w:val="bottom"/>
          </w:tcPr>
          <w:p>
            <w:pPr>
              <w:ind w:left="80"/>
              <w:spacing w:after="0"/>
              <w:rPr>
                <w:sz w:val="20"/>
                <w:szCs w:val="20"/>
                <w:color w:val="auto"/>
              </w:rPr>
            </w:pPr>
            <w:r>
              <w:rPr>
                <w:rFonts w:ascii="Arial" w:cs="Arial" w:eastAsia="Arial" w:hAnsi="Arial"/>
                <w:sz w:val="13"/>
                <w:szCs w:val="13"/>
                <w:b w:val="1"/>
                <w:bCs w:val="1"/>
                <w:i w:val="1"/>
                <w:iCs w:val="1"/>
                <w:color w:val="auto"/>
              </w:rPr>
              <w:t>Income taxes consist of the following:</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8"/>
        </w:trPr>
        <w:tc>
          <w:tcPr>
            <w:tcW w:w="1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0"/>
                <w:szCs w:val="10"/>
                <w:b w:val="1"/>
                <w:bCs w:val="1"/>
                <w:color w:val="auto"/>
                <w:w w:val="93"/>
              </w:rPr>
              <w:t>Years Ended July 31,</w:t>
            </w: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98"/>
        </w:trPr>
        <w:tc>
          <w:tcPr>
            <w:tcW w:w="120" w:type="dxa"/>
            <w:vAlign w:val="bottom"/>
          </w:tcPr>
          <w:p>
            <w:pPr>
              <w:spacing w:after="0"/>
              <w:rPr>
                <w:sz w:val="8"/>
                <w:szCs w:val="8"/>
                <w:color w:val="auto"/>
              </w:rPr>
            </w:pPr>
          </w:p>
        </w:tc>
        <w:tc>
          <w:tcPr>
            <w:tcW w:w="7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2006</w:t>
            </w: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2004</w:t>
            </w:r>
          </w:p>
        </w:tc>
        <w:tc>
          <w:tcPr>
            <w:tcW w:w="100" w:type="dxa"/>
            <w:vAlign w:val="bottom"/>
          </w:tcPr>
          <w:p>
            <w:pPr>
              <w:spacing w:after="0"/>
              <w:rPr>
                <w:sz w:val="8"/>
                <w:szCs w:val="8"/>
                <w:color w:val="auto"/>
              </w:rPr>
            </w:pPr>
          </w:p>
        </w:tc>
      </w:tr>
      <w:tr>
        <w:trPr>
          <w:trHeight w:val="29"/>
        </w:trPr>
        <w:tc>
          <w:tcPr>
            <w:tcW w:w="120" w:type="dxa"/>
            <w:vAlign w:val="bottom"/>
          </w:tcPr>
          <w:p>
            <w:pPr>
              <w:spacing w:after="0"/>
              <w:rPr>
                <w:sz w:val="2"/>
                <w:szCs w:val="2"/>
                <w:color w:val="auto"/>
              </w:rPr>
            </w:pPr>
          </w:p>
        </w:tc>
        <w:tc>
          <w:tcPr>
            <w:tcW w:w="7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Currently payable:</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120" w:type="dxa"/>
            <w:vAlign w:val="bottom"/>
          </w:tcPr>
          <w:p>
            <w:pPr>
              <w:spacing w:after="0"/>
              <w:rPr>
                <w:sz w:val="13"/>
                <w:szCs w:val="13"/>
                <w:color w:val="auto"/>
              </w:rPr>
            </w:pPr>
          </w:p>
        </w:tc>
        <w:tc>
          <w:tcPr>
            <w:tcW w:w="7180" w:type="dxa"/>
            <w:vAlign w:val="bottom"/>
          </w:tcPr>
          <w:p>
            <w:pPr>
              <w:ind w:left="20"/>
              <w:spacing w:after="0"/>
              <w:rPr>
                <w:sz w:val="20"/>
                <w:szCs w:val="20"/>
                <w:color w:val="auto"/>
              </w:rPr>
            </w:pPr>
            <w:r>
              <w:rPr>
                <w:rFonts w:ascii="Arial" w:cs="Arial" w:eastAsia="Arial" w:hAnsi="Arial"/>
                <w:sz w:val="13"/>
                <w:szCs w:val="13"/>
                <w:color w:val="auto"/>
              </w:rPr>
              <w:t>Federal</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14,201</w:t>
            </w:r>
          </w:p>
        </w:tc>
        <w:tc>
          <w:tcPr>
            <w:tcW w:w="4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10,002</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2,645</w:t>
            </w:r>
          </w:p>
        </w:tc>
      </w:tr>
      <w:tr>
        <w:trPr>
          <w:trHeight w:val="157"/>
        </w:trPr>
        <w:tc>
          <w:tcPr>
            <w:tcW w:w="120" w:type="dxa"/>
            <w:vAlign w:val="bottom"/>
            <w:shd w:val="clear" w:color="auto" w:fill="CCEEFF"/>
          </w:tcPr>
          <w:p>
            <w:pPr>
              <w:spacing w:after="0"/>
              <w:rPr>
                <w:sz w:val="13"/>
                <w:szCs w:val="13"/>
                <w:color w:val="auto"/>
              </w:rPr>
            </w:pPr>
          </w:p>
        </w:tc>
        <w:tc>
          <w:tcPr>
            <w:tcW w:w="7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Foreign</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26,143</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24,286</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10,903</w:t>
            </w:r>
          </w:p>
        </w:tc>
      </w:tr>
      <w:tr>
        <w:trPr>
          <w:trHeight w:val="157"/>
        </w:trPr>
        <w:tc>
          <w:tcPr>
            <w:tcW w:w="120" w:type="dxa"/>
            <w:vAlign w:val="bottom"/>
          </w:tcPr>
          <w:p>
            <w:pPr>
              <w:spacing w:after="0"/>
              <w:rPr>
                <w:sz w:val="13"/>
                <w:szCs w:val="13"/>
                <w:color w:val="auto"/>
              </w:rPr>
            </w:pPr>
          </w:p>
        </w:tc>
        <w:tc>
          <w:tcPr>
            <w:tcW w:w="7180" w:type="dxa"/>
            <w:vAlign w:val="bottom"/>
          </w:tcPr>
          <w:p>
            <w:pPr>
              <w:ind w:left="20"/>
              <w:spacing w:after="0"/>
              <w:rPr>
                <w:sz w:val="20"/>
                <w:szCs w:val="20"/>
                <w:color w:val="auto"/>
              </w:rPr>
            </w:pPr>
            <w:r>
              <w:rPr>
                <w:rFonts w:ascii="Arial" w:cs="Arial" w:eastAsia="Arial" w:hAnsi="Arial"/>
                <w:sz w:val="13"/>
                <w:szCs w:val="13"/>
                <w:color w:val="auto"/>
              </w:rPr>
              <w:t>State</w:t>
            </w:r>
          </w:p>
        </w:tc>
        <w:tc>
          <w:tcPr>
            <w:tcW w:w="14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2,012</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1,836</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736</w:t>
            </w:r>
          </w:p>
        </w:tc>
      </w:tr>
      <w:tr>
        <w:trPr>
          <w:trHeight w:val="20"/>
        </w:trPr>
        <w:tc>
          <w:tcPr>
            <w:tcW w:w="1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120" w:type="dxa"/>
            <w:vAlign w:val="bottom"/>
            <w:shd w:val="clear" w:color="auto" w:fill="CCEEFF"/>
          </w:tcPr>
          <w:p>
            <w:pPr>
              <w:spacing w:after="0"/>
              <w:rPr>
                <w:sz w:val="13"/>
                <w:szCs w:val="13"/>
                <w:color w:val="auto"/>
              </w:rPr>
            </w:pPr>
          </w:p>
        </w:tc>
        <w:tc>
          <w:tcPr>
            <w:tcW w:w="7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42,356</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36,124</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14,284</w:t>
            </w:r>
          </w:p>
        </w:tc>
      </w:tr>
      <w:tr>
        <w:trPr>
          <w:trHeight w:val="156"/>
        </w:trPr>
        <w:tc>
          <w:tcPr>
            <w:tcW w:w="7300" w:type="dxa"/>
            <w:vAlign w:val="bottom"/>
            <w:gridSpan w:val="2"/>
          </w:tcPr>
          <w:p>
            <w:pPr>
              <w:spacing w:after="0"/>
              <w:rPr>
                <w:sz w:val="20"/>
                <w:szCs w:val="20"/>
                <w:color w:val="auto"/>
              </w:rPr>
            </w:pPr>
            <w:r>
              <w:rPr>
                <w:rFonts w:ascii="Arial" w:cs="Arial" w:eastAsia="Arial" w:hAnsi="Arial"/>
                <w:sz w:val="13"/>
                <w:szCs w:val="13"/>
                <w:color w:val="auto"/>
              </w:rPr>
              <w:t>Deferred provision (credit):</w:t>
            </w: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8"/>
        </w:trPr>
        <w:tc>
          <w:tcPr>
            <w:tcW w:w="120" w:type="dxa"/>
            <w:vAlign w:val="bottom"/>
            <w:shd w:val="clear" w:color="auto" w:fill="CCEEFF"/>
          </w:tcPr>
          <w:p>
            <w:pPr>
              <w:spacing w:after="0"/>
              <w:rPr>
                <w:sz w:val="13"/>
                <w:szCs w:val="13"/>
                <w:color w:val="auto"/>
              </w:rPr>
            </w:pPr>
          </w:p>
        </w:tc>
        <w:tc>
          <w:tcPr>
            <w:tcW w:w="7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Federal</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(75)</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(1,215)</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1,075</w:t>
            </w:r>
          </w:p>
        </w:tc>
      </w:tr>
      <w:tr>
        <w:trPr>
          <w:trHeight w:val="157"/>
        </w:trPr>
        <w:tc>
          <w:tcPr>
            <w:tcW w:w="120" w:type="dxa"/>
            <w:vAlign w:val="bottom"/>
          </w:tcPr>
          <w:p>
            <w:pPr>
              <w:spacing w:after="0"/>
              <w:rPr>
                <w:sz w:val="13"/>
                <w:szCs w:val="13"/>
                <w:color w:val="auto"/>
              </w:rPr>
            </w:pPr>
          </w:p>
        </w:tc>
        <w:tc>
          <w:tcPr>
            <w:tcW w:w="7180" w:type="dxa"/>
            <w:vAlign w:val="bottom"/>
          </w:tcPr>
          <w:p>
            <w:pPr>
              <w:ind w:left="20"/>
              <w:spacing w:after="0"/>
              <w:rPr>
                <w:sz w:val="20"/>
                <w:szCs w:val="20"/>
                <w:color w:val="auto"/>
              </w:rPr>
            </w:pPr>
            <w:r>
              <w:rPr>
                <w:rFonts w:ascii="Arial" w:cs="Arial" w:eastAsia="Arial" w:hAnsi="Arial"/>
                <w:sz w:val="13"/>
                <w:szCs w:val="13"/>
                <w:color w:val="auto"/>
              </w:rPr>
              <w:t>Foreign</w:t>
            </w:r>
          </w:p>
        </w:tc>
        <w:tc>
          <w:tcPr>
            <w:tcW w:w="14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(472)</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(855)</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3,558</w:t>
            </w:r>
          </w:p>
        </w:tc>
      </w:tr>
      <w:tr>
        <w:trPr>
          <w:trHeight w:val="157"/>
        </w:trPr>
        <w:tc>
          <w:tcPr>
            <w:tcW w:w="120" w:type="dxa"/>
            <w:vAlign w:val="bottom"/>
            <w:shd w:val="clear" w:color="auto" w:fill="CCEEFF"/>
          </w:tcPr>
          <w:p>
            <w:pPr>
              <w:spacing w:after="0"/>
              <w:rPr>
                <w:sz w:val="13"/>
                <w:szCs w:val="13"/>
                <w:color w:val="auto"/>
              </w:rPr>
            </w:pPr>
          </w:p>
        </w:tc>
        <w:tc>
          <w:tcPr>
            <w:tcW w:w="7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State</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(1,296)</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(583)</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539</w:t>
            </w:r>
          </w:p>
        </w:tc>
      </w:tr>
      <w:tr>
        <w:trPr>
          <w:trHeight w:val="20"/>
        </w:trPr>
        <w:tc>
          <w:tcPr>
            <w:tcW w:w="1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120" w:type="dxa"/>
            <w:vAlign w:val="bottom"/>
          </w:tcPr>
          <w:p>
            <w:pPr>
              <w:spacing w:after="0"/>
              <w:rPr>
                <w:sz w:val="13"/>
                <w:szCs w:val="13"/>
                <w:color w:val="auto"/>
              </w:rPr>
            </w:pPr>
          </w:p>
        </w:tc>
        <w:tc>
          <w:tcPr>
            <w:tcW w:w="7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(1,843)</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(2,653)</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5,172</w:t>
            </w:r>
          </w:p>
        </w:tc>
      </w:tr>
      <w:tr>
        <w:trPr>
          <w:trHeight w:val="20"/>
        </w:trPr>
        <w:tc>
          <w:tcPr>
            <w:tcW w:w="1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40,513</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33,471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19,456</w:t>
            </w:r>
          </w:p>
        </w:tc>
      </w:tr>
      <w:tr>
        <w:trPr>
          <w:trHeight w:val="29"/>
        </w:trPr>
        <w:tc>
          <w:tcPr>
            <w:tcW w:w="120" w:type="dxa"/>
            <w:vAlign w:val="bottom"/>
          </w:tcPr>
          <w:p>
            <w:pPr>
              <w:spacing w:after="0"/>
              <w:rPr>
                <w:sz w:val="2"/>
                <w:szCs w:val="2"/>
                <w:color w:val="auto"/>
              </w:rPr>
            </w:pPr>
          </w:p>
        </w:tc>
        <w:tc>
          <w:tcPr>
            <w:tcW w:w="7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Deferred income taxes result from temporary differences in the recognition of revenues and expenses for financial statement and income tax purposes.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before income taxes consists of the following:</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0"/>
                <w:szCs w:val="10"/>
                <w:b w:val="1"/>
                <w:bCs w:val="1"/>
                <w:color w:val="auto"/>
              </w:rPr>
              <w:t>Years Ended July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98"/>
        </w:trPr>
        <w:tc>
          <w:tcPr>
            <w:tcW w:w="6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4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98"/>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8"/>
              <w:spacing w:after="0" w:line="98" w:lineRule="exact"/>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2004</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9"/>
        </w:trPr>
        <w:tc>
          <w:tcPr>
            <w:tcW w:w="6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3"/>
                <w:szCs w:val="13"/>
                <w:color w:val="auto"/>
              </w:rPr>
              <w:t>Domestic</w:t>
            </w:r>
          </w:p>
        </w:tc>
        <w:tc>
          <w:tcPr>
            <w:tcW w:w="458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46,790</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36,985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15,911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680" w:type="dxa"/>
            <w:vAlign w:val="bottom"/>
          </w:tcPr>
          <w:p>
            <w:pPr>
              <w:spacing w:after="0"/>
              <w:rPr>
                <w:sz w:val="20"/>
                <w:szCs w:val="20"/>
                <w:color w:val="auto"/>
              </w:rPr>
            </w:pPr>
            <w:r>
              <w:rPr>
                <w:rFonts w:ascii="Arial" w:cs="Arial" w:eastAsia="Arial" w:hAnsi="Arial"/>
                <w:sz w:val="13"/>
                <w:szCs w:val="13"/>
                <w:color w:val="auto"/>
              </w:rPr>
              <w:t>Foreign</w:t>
            </w:r>
          </w:p>
        </w:tc>
        <w:tc>
          <w:tcPr>
            <w:tcW w:w="4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97,898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78,433</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54,416</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2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44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144,688</w:t>
            </w:r>
          </w:p>
        </w:tc>
        <w:tc>
          <w:tcPr>
            <w:tcW w:w="1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115,418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70,327</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420" w:type="dxa"/>
            <w:vAlign w:val="bottom"/>
          </w:tcPr>
          <w:p>
            <w:pPr>
              <w:ind w:left="2180"/>
              <w:spacing w:after="0"/>
              <w:rPr>
                <w:sz w:val="20"/>
                <w:szCs w:val="20"/>
                <w:color w:val="auto"/>
              </w:rPr>
            </w:pPr>
            <w:r>
              <w:rPr>
                <w:rFonts w:ascii="Arial" w:cs="Arial" w:eastAsia="Arial" w:hAnsi="Arial"/>
                <w:sz w:val="13"/>
                <w:szCs w:val="13"/>
                <w:color w:val="auto"/>
              </w:rPr>
              <w:t>II-35</w:t>
            </w: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680" w:type="dxa"/>
            <w:vAlign w:val="bottom"/>
            <w:tcBorders>
              <w:bottom w:val="single" w:sz="8" w:color="808080"/>
            </w:tcBorders>
          </w:tcPr>
          <w:p>
            <w:pPr>
              <w:spacing w:after="0"/>
              <w:rPr>
                <w:sz w:val="14"/>
                <w:szCs w:val="14"/>
                <w:color w:val="auto"/>
              </w:rPr>
            </w:pPr>
          </w:p>
        </w:tc>
        <w:tc>
          <w:tcPr>
            <w:tcW w:w="44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BRADY CORPORATION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approximate tax effects of temporary differences are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0"/>
                <w:szCs w:val="10"/>
                <w:b w:val="1"/>
                <w:bCs w:val="1"/>
                <w:color w:val="auto"/>
                <w:w w:val="97"/>
              </w:rPr>
              <w:t>July 31, 2006</w:t>
            </w: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3300" w:type="dxa"/>
            <w:vAlign w:val="bottom"/>
          </w:tcPr>
          <w:p>
            <w:pPr>
              <w:spacing w:after="0"/>
              <w:rPr>
                <w:sz w:val="8"/>
                <w:szCs w:val="8"/>
                <w:color w:val="auto"/>
              </w:rPr>
            </w:pPr>
          </w:p>
        </w:tc>
        <w:tc>
          <w:tcPr>
            <w:tcW w:w="3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gridSpan w:val="4"/>
          </w:tcPr>
          <w:p>
            <w:pPr>
              <w:jc w:val="right"/>
              <w:ind w:right="620"/>
              <w:spacing w:after="0" w:line="98" w:lineRule="exact"/>
              <w:rPr>
                <w:sz w:val="20"/>
                <w:szCs w:val="20"/>
                <w:color w:val="auto"/>
              </w:rPr>
            </w:pPr>
            <w:r>
              <w:rPr>
                <w:rFonts w:ascii="Arial" w:cs="Arial" w:eastAsia="Arial" w:hAnsi="Arial"/>
                <w:sz w:val="10"/>
                <w:szCs w:val="10"/>
                <w:b w:val="1"/>
                <w:bCs w:val="1"/>
                <w:color w:val="auto"/>
                <w:w w:val="85"/>
              </w:rPr>
              <w:t>Assets</w:t>
            </w:r>
          </w:p>
        </w:tc>
        <w:tc>
          <w:tcPr>
            <w:tcW w:w="100" w:type="dxa"/>
            <w:vAlign w:val="bottom"/>
          </w:tcPr>
          <w:p>
            <w:pPr>
              <w:spacing w:after="0"/>
              <w:rPr>
                <w:sz w:val="8"/>
                <w:szCs w:val="8"/>
                <w:color w:val="auto"/>
              </w:rPr>
            </w:pPr>
          </w:p>
        </w:tc>
        <w:tc>
          <w:tcPr>
            <w:tcW w:w="980" w:type="dxa"/>
            <w:vAlign w:val="bottom"/>
            <w:gridSpan w:val="4"/>
          </w:tcPr>
          <w:p>
            <w:pPr>
              <w:jc w:val="right"/>
              <w:ind w:right="520"/>
              <w:spacing w:after="0" w:line="98" w:lineRule="exact"/>
              <w:rPr>
                <w:sz w:val="20"/>
                <w:szCs w:val="20"/>
                <w:color w:val="auto"/>
              </w:rPr>
            </w:pPr>
            <w:r>
              <w:rPr>
                <w:rFonts w:ascii="Arial" w:cs="Arial" w:eastAsia="Arial" w:hAnsi="Arial"/>
                <w:sz w:val="10"/>
                <w:szCs w:val="10"/>
                <w:b w:val="1"/>
                <w:bCs w:val="1"/>
                <w:color w:val="auto"/>
                <w:w w:val="95"/>
              </w:rPr>
              <w:t>Liabilities</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ind w:left="20"/>
              <w:spacing w:after="0" w:line="98" w:lineRule="exact"/>
              <w:rPr>
                <w:sz w:val="20"/>
                <w:szCs w:val="20"/>
                <w:color w:val="auto"/>
              </w:rPr>
            </w:pPr>
            <w:r>
              <w:rPr>
                <w:rFonts w:ascii="Arial" w:cs="Arial" w:eastAsia="Arial" w:hAnsi="Arial"/>
                <w:sz w:val="10"/>
                <w:szCs w:val="10"/>
                <w:b w:val="1"/>
                <w:bCs w:val="1"/>
                <w:color w:val="auto"/>
              </w:rPr>
              <w:t>Total</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Inventories</w:t>
            </w:r>
          </w:p>
        </w:tc>
        <w:tc>
          <w:tcPr>
            <w:tcW w:w="3900" w:type="dxa"/>
            <w:vAlign w:val="bottom"/>
            <w:gridSpan w:val="2"/>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5,058</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5,058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tcPr>
          <w:p>
            <w:pPr>
              <w:spacing w:after="0"/>
              <w:rPr>
                <w:sz w:val="20"/>
                <w:szCs w:val="20"/>
                <w:color w:val="auto"/>
              </w:rPr>
            </w:pPr>
            <w:r>
              <w:rPr>
                <w:rFonts w:ascii="Arial" w:cs="Arial" w:eastAsia="Arial" w:hAnsi="Arial"/>
                <w:sz w:val="13"/>
                <w:szCs w:val="13"/>
                <w:color w:val="auto"/>
              </w:rPr>
              <w:t>Prepaid catalog costs</w:t>
            </w:r>
          </w:p>
        </w:tc>
        <w:tc>
          <w:tcPr>
            <w:tcW w:w="3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(2,196)</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(2,196)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Employee benefits</w:t>
            </w:r>
          </w:p>
        </w:tc>
        <w:tc>
          <w:tcPr>
            <w:tcW w:w="3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3,258</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3,258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tcPr>
          <w:p>
            <w:pPr>
              <w:spacing w:after="0"/>
              <w:rPr>
                <w:sz w:val="20"/>
                <w:szCs w:val="20"/>
                <w:color w:val="auto"/>
              </w:rPr>
            </w:pPr>
            <w:r>
              <w:rPr>
                <w:rFonts w:ascii="Arial" w:cs="Arial" w:eastAsia="Arial" w:hAnsi="Arial"/>
                <w:sz w:val="13"/>
                <w:szCs w:val="13"/>
                <w:color w:val="auto"/>
              </w:rPr>
              <w:t>Allowance for doubtful accounts</w:t>
            </w:r>
          </w:p>
        </w:tc>
        <w:tc>
          <w:tcPr>
            <w:tcW w:w="3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774</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774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Other, net</w:t>
            </w:r>
          </w:p>
        </w:tc>
        <w:tc>
          <w:tcPr>
            <w:tcW w:w="3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2,698</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2,698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00" w:type="dxa"/>
            <w:vAlign w:val="bottom"/>
            <w:vMerge w:val="restart"/>
          </w:tcPr>
          <w:p>
            <w:pPr>
              <w:ind w:left="140"/>
              <w:spacing w:after="0"/>
              <w:rPr>
                <w:sz w:val="20"/>
                <w:szCs w:val="20"/>
                <w:color w:val="auto"/>
              </w:rPr>
            </w:pPr>
            <w:r>
              <w:rPr>
                <w:rFonts w:ascii="Arial" w:cs="Arial" w:eastAsia="Arial" w:hAnsi="Arial"/>
                <w:sz w:val="13"/>
                <w:szCs w:val="13"/>
                <w:color w:val="auto"/>
              </w:rPr>
              <w:t>Current</w:t>
            </w:r>
          </w:p>
        </w:tc>
        <w:tc>
          <w:tcPr>
            <w:tcW w:w="3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300" w:type="dxa"/>
            <w:vAlign w:val="bottom"/>
            <w:vMerge w:val="continue"/>
          </w:tcPr>
          <w:p>
            <w:pPr>
              <w:spacing w:after="0"/>
              <w:rPr>
                <w:sz w:val="13"/>
                <w:szCs w:val="13"/>
                <w:color w:val="auto"/>
              </w:rPr>
            </w:pPr>
          </w:p>
        </w:tc>
        <w:tc>
          <w:tcPr>
            <w:tcW w:w="3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11,788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(2,196)</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9,592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Depreciation</w:t>
            </w:r>
          </w:p>
        </w:tc>
        <w:tc>
          <w:tcPr>
            <w:tcW w:w="3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(4,300)</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(4,300)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tcPr>
          <w:p>
            <w:pPr>
              <w:spacing w:after="0"/>
              <w:rPr>
                <w:sz w:val="20"/>
                <w:szCs w:val="20"/>
                <w:color w:val="auto"/>
              </w:rPr>
            </w:pPr>
            <w:r>
              <w:rPr>
                <w:rFonts w:ascii="Arial" w:cs="Arial" w:eastAsia="Arial" w:hAnsi="Arial"/>
                <w:sz w:val="13"/>
                <w:szCs w:val="13"/>
                <w:color w:val="auto"/>
              </w:rPr>
              <w:t>Amortization</w:t>
            </w:r>
          </w:p>
        </w:tc>
        <w:tc>
          <w:tcPr>
            <w:tcW w:w="3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12,917</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(20,232)</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(7,315)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Capitalized R&amp;D expenditures</w:t>
            </w:r>
          </w:p>
        </w:tc>
        <w:tc>
          <w:tcPr>
            <w:tcW w:w="3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2,800</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tcPr>
          <w:p>
            <w:pPr>
              <w:spacing w:after="0"/>
              <w:rPr>
                <w:sz w:val="20"/>
                <w:szCs w:val="20"/>
                <w:color w:val="auto"/>
              </w:rPr>
            </w:pPr>
            <w:r>
              <w:rPr>
                <w:rFonts w:ascii="Arial" w:cs="Arial" w:eastAsia="Arial" w:hAnsi="Arial"/>
                <w:sz w:val="13"/>
                <w:szCs w:val="13"/>
                <w:color w:val="auto"/>
              </w:rPr>
              <w:t>Deferred compensation</w:t>
            </w:r>
          </w:p>
        </w:tc>
        <w:tc>
          <w:tcPr>
            <w:tcW w:w="3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13,446</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13,446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Postretirement benefits</w:t>
            </w:r>
          </w:p>
        </w:tc>
        <w:tc>
          <w:tcPr>
            <w:tcW w:w="3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7,490</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7,490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tcPr>
          <w:p>
            <w:pPr>
              <w:spacing w:after="0"/>
              <w:rPr>
                <w:sz w:val="20"/>
                <w:szCs w:val="20"/>
                <w:color w:val="auto"/>
              </w:rPr>
            </w:pPr>
            <w:r>
              <w:rPr>
                <w:rFonts w:ascii="Arial" w:cs="Arial" w:eastAsia="Arial" w:hAnsi="Arial"/>
                <w:sz w:val="13"/>
                <w:szCs w:val="13"/>
                <w:color w:val="auto"/>
              </w:rPr>
              <w:t>Currency translation adjustment</w:t>
            </w:r>
          </w:p>
        </w:tc>
        <w:tc>
          <w:tcPr>
            <w:tcW w:w="3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35</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Tax loss carryforwards</w:t>
            </w:r>
          </w:p>
        </w:tc>
        <w:tc>
          <w:tcPr>
            <w:tcW w:w="3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17,300</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17,300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tcPr>
          <w:p>
            <w:pPr>
              <w:spacing w:after="0"/>
              <w:rPr>
                <w:sz w:val="20"/>
                <w:szCs w:val="20"/>
                <w:color w:val="auto"/>
              </w:rPr>
            </w:pPr>
            <w:r>
              <w:rPr>
                <w:rFonts w:ascii="Arial" w:cs="Arial" w:eastAsia="Arial" w:hAnsi="Arial"/>
                <w:sz w:val="13"/>
                <w:szCs w:val="13"/>
                <w:color w:val="auto"/>
              </w:rPr>
              <w:t>Less valuation allowance</w:t>
            </w:r>
          </w:p>
        </w:tc>
        <w:tc>
          <w:tcPr>
            <w:tcW w:w="3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w w:val="94"/>
              </w:rPr>
              <w:t>(15,668)</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(15,668)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Other, net</w:t>
            </w:r>
          </w:p>
        </w:tc>
        <w:tc>
          <w:tcPr>
            <w:tcW w:w="3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589</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589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00" w:type="dxa"/>
            <w:vAlign w:val="bottom"/>
            <w:vMerge w:val="restart"/>
          </w:tcPr>
          <w:p>
            <w:pPr>
              <w:ind w:left="140"/>
              <w:spacing w:after="0"/>
              <w:rPr>
                <w:sz w:val="20"/>
                <w:szCs w:val="20"/>
                <w:color w:val="auto"/>
              </w:rPr>
            </w:pPr>
            <w:r>
              <w:rPr>
                <w:rFonts w:ascii="Arial" w:cs="Arial" w:eastAsia="Arial" w:hAnsi="Arial"/>
                <w:sz w:val="13"/>
                <w:szCs w:val="13"/>
                <w:color w:val="auto"/>
              </w:rPr>
              <w:t>Noncurrent</w:t>
            </w:r>
          </w:p>
        </w:tc>
        <w:tc>
          <w:tcPr>
            <w:tcW w:w="3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300" w:type="dxa"/>
            <w:vAlign w:val="bottom"/>
            <w:vMerge w:val="continue"/>
          </w:tcPr>
          <w:p>
            <w:pPr>
              <w:spacing w:after="0"/>
              <w:rPr>
                <w:sz w:val="13"/>
                <w:szCs w:val="13"/>
                <w:color w:val="auto"/>
              </w:rPr>
            </w:pPr>
          </w:p>
        </w:tc>
        <w:tc>
          <w:tcPr>
            <w:tcW w:w="3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38,909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(24,532)</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14,377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37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50,697</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(26,728)</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23,969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gridSpan w:val="2"/>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6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0"/>
                <w:szCs w:val="10"/>
                <w:b w:val="1"/>
                <w:bCs w:val="1"/>
                <w:color w:val="auto"/>
                <w:w w:val="97"/>
              </w:rPr>
              <w:t>July 31, 2005</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3300" w:type="dxa"/>
            <w:vAlign w:val="bottom"/>
          </w:tcPr>
          <w:p>
            <w:pPr>
              <w:spacing w:after="0"/>
              <w:rPr>
                <w:sz w:val="8"/>
                <w:szCs w:val="8"/>
                <w:color w:val="auto"/>
              </w:rPr>
            </w:pPr>
          </w:p>
        </w:tc>
        <w:tc>
          <w:tcPr>
            <w:tcW w:w="3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3"/>
          </w:tcPr>
          <w:p>
            <w:pPr>
              <w:jc w:val="right"/>
              <w:ind w:right="480"/>
              <w:spacing w:after="0" w:line="98" w:lineRule="exact"/>
              <w:rPr>
                <w:sz w:val="20"/>
                <w:szCs w:val="20"/>
                <w:color w:val="auto"/>
              </w:rPr>
            </w:pPr>
            <w:r>
              <w:rPr>
                <w:rFonts w:ascii="Arial" w:cs="Arial" w:eastAsia="Arial" w:hAnsi="Arial"/>
                <w:sz w:val="10"/>
                <w:szCs w:val="10"/>
                <w:b w:val="1"/>
                <w:bCs w:val="1"/>
                <w:color w:val="auto"/>
              </w:rPr>
              <w:t>Assets</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3"/>
          </w:tcPr>
          <w:p>
            <w:pPr>
              <w:jc w:val="right"/>
              <w:ind w:right="420"/>
              <w:spacing w:after="0" w:line="98" w:lineRule="exact"/>
              <w:rPr>
                <w:sz w:val="20"/>
                <w:szCs w:val="20"/>
                <w:color w:val="auto"/>
              </w:rPr>
            </w:pPr>
            <w:r>
              <w:rPr>
                <w:rFonts w:ascii="Arial" w:cs="Arial" w:eastAsia="Arial" w:hAnsi="Arial"/>
                <w:sz w:val="10"/>
                <w:szCs w:val="10"/>
                <w:b w:val="1"/>
                <w:bCs w:val="1"/>
                <w:color w:val="auto"/>
                <w:w w:val="99"/>
              </w:rPr>
              <w:t>Liabilities</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ind w:left="80"/>
              <w:spacing w:after="0" w:line="98" w:lineRule="exact"/>
              <w:rPr>
                <w:sz w:val="20"/>
                <w:szCs w:val="20"/>
                <w:color w:val="auto"/>
              </w:rPr>
            </w:pPr>
            <w:r>
              <w:rPr>
                <w:rFonts w:ascii="Arial" w:cs="Arial" w:eastAsia="Arial" w:hAnsi="Arial"/>
                <w:sz w:val="10"/>
                <w:szCs w:val="10"/>
                <w:b w:val="1"/>
                <w:bCs w:val="1"/>
                <w:color w:val="auto"/>
              </w:rPr>
              <w:t>Total</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Inventories</w:t>
            </w:r>
          </w:p>
        </w:tc>
        <w:tc>
          <w:tcPr>
            <w:tcW w:w="39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3,203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tcPr>
          <w:p>
            <w:pPr>
              <w:spacing w:after="0"/>
              <w:rPr>
                <w:sz w:val="20"/>
                <w:szCs w:val="20"/>
                <w:color w:val="auto"/>
              </w:rPr>
            </w:pPr>
            <w:r>
              <w:rPr>
                <w:rFonts w:ascii="Arial" w:cs="Arial" w:eastAsia="Arial" w:hAnsi="Arial"/>
                <w:sz w:val="13"/>
                <w:szCs w:val="13"/>
                <w:color w:val="auto"/>
              </w:rPr>
              <w:t>Prepaid catalog costs</w:t>
            </w:r>
          </w:p>
        </w:tc>
        <w:tc>
          <w:tcPr>
            <w:tcW w:w="3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260"/>
              <w:spacing w:after="0"/>
              <w:rPr>
                <w:sz w:val="20"/>
                <w:szCs w:val="20"/>
                <w:color w:val="auto"/>
              </w:rPr>
            </w:pPr>
            <w:r>
              <w:rPr>
                <w:rFonts w:ascii="Arial" w:cs="Arial" w:eastAsia="Arial" w:hAnsi="Arial"/>
                <w:sz w:val="13"/>
                <w:szCs w:val="13"/>
                <w:color w:val="auto"/>
              </w:rPr>
              <w:t>(2,130)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(2,130)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Employee benefits</w:t>
            </w:r>
          </w:p>
        </w:tc>
        <w:tc>
          <w:tcPr>
            <w:tcW w:w="3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1,675</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1,675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tcPr>
          <w:p>
            <w:pPr>
              <w:spacing w:after="0"/>
              <w:rPr>
                <w:sz w:val="20"/>
                <w:szCs w:val="20"/>
                <w:color w:val="auto"/>
              </w:rPr>
            </w:pPr>
            <w:r>
              <w:rPr>
                <w:rFonts w:ascii="Arial" w:cs="Arial" w:eastAsia="Arial" w:hAnsi="Arial"/>
                <w:sz w:val="13"/>
                <w:szCs w:val="13"/>
                <w:color w:val="auto"/>
              </w:rPr>
              <w:t>Allowance for doubtful accounts</w:t>
            </w:r>
          </w:p>
        </w:tc>
        <w:tc>
          <w:tcPr>
            <w:tcW w:w="3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3"/>
                <w:szCs w:val="13"/>
                <w:color w:val="auto"/>
              </w:rPr>
              <w:t>391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391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Other, net</w:t>
            </w:r>
          </w:p>
        </w:tc>
        <w:tc>
          <w:tcPr>
            <w:tcW w:w="3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3,016</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3,016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00" w:type="dxa"/>
            <w:vAlign w:val="bottom"/>
            <w:vMerge w:val="restart"/>
          </w:tcPr>
          <w:p>
            <w:pPr>
              <w:ind w:left="140"/>
              <w:spacing w:after="0"/>
              <w:rPr>
                <w:sz w:val="20"/>
                <w:szCs w:val="20"/>
                <w:color w:val="auto"/>
              </w:rPr>
            </w:pPr>
            <w:r>
              <w:rPr>
                <w:rFonts w:ascii="Arial" w:cs="Arial" w:eastAsia="Arial" w:hAnsi="Arial"/>
                <w:sz w:val="13"/>
                <w:szCs w:val="13"/>
                <w:color w:val="auto"/>
              </w:rPr>
              <w:t>Current</w:t>
            </w:r>
          </w:p>
        </w:tc>
        <w:tc>
          <w:tcPr>
            <w:tcW w:w="3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300" w:type="dxa"/>
            <w:vAlign w:val="bottom"/>
            <w:vMerge w:val="continue"/>
          </w:tcPr>
          <w:p>
            <w:pPr>
              <w:spacing w:after="0"/>
              <w:rPr>
                <w:sz w:val="13"/>
                <w:szCs w:val="13"/>
                <w:color w:val="auto"/>
              </w:rPr>
            </w:pPr>
          </w:p>
        </w:tc>
        <w:tc>
          <w:tcPr>
            <w:tcW w:w="3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8,285</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3"/>
                <w:szCs w:val="13"/>
                <w:color w:val="auto"/>
              </w:rPr>
              <w:t>(2,130)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6,155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Depreciation</w:t>
            </w:r>
          </w:p>
        </w:tc>
        <w:tc>
          <w:tcPr>
            <w:tcW w:w="3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(4,691)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(4,691)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tcPr>
          <w:p>
            <w:pPr>
              <w:spacing w:after="0"/>
              <w:rPr>
                <w:sz w:val="20"/>
                <w:szCs w:val="20"/>
                <w:color w:val="auto"/>
              </w:rPr>
            </w:pPr>
            <w:r>
              <w:rPr>
                <w:rFonts w:ascii="Arial" w:cs="Arial" w:eastAsia="Arial" w:hAnsi="Arial"/>
                <w:sz w:val="13"/>
                <w:szCs w:val="13"/>
                <w:color w:val="auto"/>
              </w:rPr>
              <w:t>Amortization</w:t>
            </w:r>
          </w:p>
        </w:tc>
        <w:tc>
          <w:tcPr>
            <w:tcW w:w="3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3"/>
                <w:szCs w:val="13"/>
                <w:color w:val="auto"/>
              </w:rPr>
              <w:t>20,352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3"/>
                <w:szCs w:val="13"/>
                <w:color w:val="auto"/>
              </w:rPr>
              <w:t>(8,966)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11,386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Capital R&amp;D expenditures</w:t>
            </w:r>
          </w:p>
        </w:tc>
        <w:tc>
          <w:tcPr>
            <w:tcW w:w="3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3,266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3,266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tcPr>
          <w:p>
            <w:pPr>
              <w:spacing w:after="0"/>
              <w:rPr>
                <w:sz w:val="20"/>
                <w:szCs w:val="20"/>
                <w:color w:val="auto"/>
              </w:rPr>
            </w:pPr>
            <w:r>
              <w:rPr>
                <w:rFonts w:ascii="Arial" w:cs="Arial" w:eastAsia="Arial" w:hAnsi="Arial"/>
                <w:sz w:val="13"/>
                <w:szCs w:val="13"/>
                <w:color w:val="auto"/>
              </w:rPr>
              <w:t>Deferred compensation</w:t>
            </w:r>
          </w:p>
        </w:tc>
        <w:tc>
          <w:tcPr>
            <w:tcW w:w="3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3"/>
                <w:szCs w:val="13"/>
                <w:color w:val="auto"/>
              </w:rPr>
              <w:t>11,205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11,205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Postretirement benefits</w:t>
            </w:r>
          </w:p>
        </w:tc>
        <w:tc>
          <w:tcPr>
            <w:tcW w:w="3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7,232</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7,232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tcPr>
          <w:p>
            <w:pPr>
              <w:spacing w:after="0"/>
              <w:rPr>
                <w:sz w:val="20"/>
                <w:szCs w:val="20"/>
                <w:color w:val="auto"/>
              </w:rPr>
            </w:pPr>
            <w:r>
              <w:rPr>
                <w:rFonts w:ascii="Arial" w:cs="Arial" w:eastAsia="Arial" w:hAnsi="Arial"/>
                <w:sz w:val="13"/>
                <w:szCs w:val="13"/>
                <w:color w:val="auto"/>
              </w:rPr>
              <w:t>Currency translation adjustment</w:t>
            </w:r>
          </w:p>
        </w:tc>
        <w:tc>
          <w:tcPr>
            <w:tcW w:w="3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3"/>
                <w:szCs w:val="13"/>
                <w:color w:val="auto"/>
              </w:rPr>
              <w:t>(304)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(304)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Tax loss carryforwards</w:t>
            </w:r>
          </w:p>
        </w:tc>
        <w:tc>
          <w:tcPr>
            <w:tcW w:w="3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5,038</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tcPr>
          <w:p>
            <w:pPr>
              <w:spacing w:after="0"/>
              <w:rPr>
                <w:sz w:val="20"/>
                <w:szCs w:val="20"/>
                <w:color w:val="auto"/>
              </w:rPr>
            </w:pPr>
            <w:r>
              <w:rPr>
                <w:rFonts w:ascii="Arial" w:cs="Arial" w:eastAsia="Arial" w:hAnsi="Arial"/>
                <w:sz w:val="13"/>
                <w:szCs w:val="13"/>
                <w:color w:val="auto"/>
              </w:rPr>
              <w:t>Less valuation allowance</w:t>
            </w:r>
          </w:p>
        </w:tc>
        <w:tc>
          <w:tcPr>
            <w:tcW w:w="3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3"/>
                <w:szCs w:val="13"/>
                <w:color w:val="auto"/>
              </w:rPr>
              <w:t>(4,877)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(4,877)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Other, net</w:t>
            </w:r>
          </w:p>
        </w:tc>
        <w:tc>
          <w:tcPr>
            <w:tcW w:w="3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(545)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(545)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00" w:type="dxa"/>
            <w:vAlign w:val="bottom"/>
            <w:vMerge w:val="restart"/>
          </w:tcPr>
          <w:p>
            <w:pPr>
              <w:ind w:left="140"/>
              <w:spacing w:after="0"/>
              <w:rPr>
                <w:sz w:val="20"/>
                <w:szCs w:val="20"/>
                <w:color w:val="auto"/>
              </w:rPr>
            </w:pPr>
            <w:r>
              <w:rPr>
                <w:rFonts w:ascii="Arial" w:cs="Arial" w:eastAsia="Arial" w:hAnsi="Arial"/>
                <w:sz w:val="13"/>
                <w:szCs w:val="13"/>
                <w:color w:val="auto"/>
              </w:rPr>
              <w:t>Noncurrent</w:t>
            </w:r>
          </w:p>
        </w:tc>
        <w:tc>
          <w:tcPr>
            <w:tcW w:w="3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300" w:type="dxa"/>
            <w:vAlign w:val="bottom"/>
            <w:vMerge w:val="continue"/>
          </w:tcPr>
          <w:p>
            <w:pPr>
              <w:spacing w:after="0"/>
              <w:rPr>
                <w:sz w:val="13"/>
                <w:szCs w:val="13"/>
                <w:color w:val="auto"/>
              </w:rPr>
            </w:pPr>
          </w:p>
        </w:tc>
        <w:tc>
          <w:tcPr>
            <w:tcW w:w="3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42,216</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3"/>
                <w:szCs w:val="13"/>
                <w:color w:val="auto"/>
              </w:rPr>
              <w:t>(14,506)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27,710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3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3900" w:type="dxa"/>
            <w:vAlign w:val="bottom"/>
            <w:gridSpan w:val="2"/>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50,501</w:t>
            </w:r>
          </w:p>
        </w:tc>
        <w:tc>
          <w:tcPr>
            <w:tcW w:w="30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(16,636)</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33,865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900" w:type="dxa"/>
            <w:vAlign w:val="bottom"/>
            <w:gridSpan w:val="2"/>
          </w:tcPr>
          <w:p>
            <w:pPr>
              <w:jc w:val="right"/>
              <w:ind w:right="2014"/>
              <w:spacing w:after="0"/>
              <w:rPr>
                <w:sz w:val="20"/>
                <w:szCs w:val="20"/>
                <w:color w:val="auto"/>
              </w:rPr>
            </w:pPr>
            <w:r>
              <w:rPr>
                <w:rFonts w:ascii="Arial" w:cs="Arial" w:eastAsia="Arial" w:hAnsi="Arial"/>
                <w:sz w:val="13"/>
                <w:szCs w:val="13"/>
                <w:color w:val="auto"/>
              </w:rPr>
              <w:t>II-36</w:t>
            </w:r>
          </w:p>
        </w:tc>
        <w:tc>
          <w:tcPr>
            <w:tcW w:w="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300" w:type="dxa"/>
            <w:vAlign w:val="bottom"/>
            <w:tcBorders>
              <w:bottom w:val="single" w:sz="8" w:color="808080"/>
            </w:tcBorders>
          </w:tcPr>
          <w:p>
            <w:pPr>
              <w:spacing w:after="0"/>
              <w:rPr>
                <w:sz w:val="14"/>
                <w:szCs w:val="14"/>
                <w:color w:val="auto"/>
              </w:rPr>
            </w:pPr>
          </w:p>
        </w:tc>
        <w:tc>
          <w:tcPr>
            <w:tcW w:w="37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BRADY CORPORATION AND SUBSIDIARIES</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ind w:left="680" w:right="660" w:firstLine="399"/>
        <w:spacing w:after="0" w:line="276" w:lineRule="auto"/>
        <w:rPr>
          <w:sz w:val="20"/>
          <w:szCs w:val="20"/>
          <w:color w:val="auto"/>
        </w:rPr>
      </w:pPr>
      <w:r>
        <w:rPr>
          <w:rFonts w:ascii="Arial" w:cs="Arial" w:eastAsia="Arial" w:hAnsi="Arial"/>
          <w:sz w:val="13"/>
          <w:szCs w:val="13"/>
          <w:color w:val="auto"/>
        </w:rPr>
        <w:t>The valuation allowance increased $10,791 during the fiscal year ended July 31, 2006 and decreased $657 and $740 during the fiscal years ended July 31, 2005 and 2004, respectively.</w:t>
      </w:r>
    </w:p>
    <w:p>
      <w:pPr>
        <w:spacing w:after="0" w:line="59" w:lineRule="exact"/>
        <w:rPr>
          <w:sz w:val="20"/>
          <w:szCs w:val="20"/>
          <w:color w:val="auto"/>
        </w:rPr>
      </w:pPr>
    </w:p>
    <w:p>
      <w:pPr>
        <w:ind w:left="680" w:right="20" w:firstLine="399"/>
        <w:spacing w:after="0" w:line="322" w:lineRule="auto"/>
        <w:rPr>
          <w:sz w:val="20"/>
          <w:szCs w:val="20"/>
          <w:color w:val="auto"/>
        </w:rPr>
      </w:pPr>
      <w:r>
        <w:rPr>
          <w:rFonts w:ascii="Arial" w:cs="Arial" w:eastAsia="Arial" w:hAnsi="Arial"/>
          <w:sz w:val="11"/>
          <w:szCs w:val="11"/>
          <w:color w:val="auto"/>
        </w:rPr>
        <w:t>Tax loss carry forwards at July 31, 2006 are comprised of foreign net operating losses of approximately $51,904, of which $47,213 have no expiration date. The remaining balance relates to state net operating losses of $46,937 and state credits of $1,404. The Company expects to utilize all credits; however, state net operating losses will begin to expire in the fiscal year ending July 31, 2007. Of the $51,904 of valuation allowances at July 31, 2006, $36,677 relates to net operating losses acquired with the acquisition of Tradex. In the future, if the Company determines that the realization of these deferred tax assets is more likely than not, the reversal of the related valuation allowance will reduce goodwill instead of the provision for taxes.</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Rate Reconciliation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 reconciliation of the tax computed by applying the statutory U.S. Federal income tax rate to income before income taxes to the total income tax provision is as follows:</w:t>
      </w:r>
    </w:p>
    <w:p>
      <w:pPr>
        <w:spacing w:after="0" w:line="10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92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0"/>
                <w:szCs w:val="10"/>
                <w:b w:val="1"/>
                <w:bCs w:val="1"/>
                <w:color w:val="auto"/>
                <w:w w:val="93"/>
              </w:rPr>
              <w:t>Years Ended July 31,</w:t>
            </w:r>
          </w:p>
        </w:tc>
        <w:tc>
          <w:tcPr>
            <w:tcW w:w="3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920" w:type="dxa"/>
            <w:vAlign w:val="bottom"/>
          </w:tcPr>
          <w:p>
            <w:pPr>
              <w:spacing w:after="0"/>
              <w:rPr>
                <w:sz w:val="8"/>
                <w:szCs w:val="8"/>
                <w:color w:val="auto"/>
              </w:rPr>
            </w:pPr>
          </w:p>
        </w:tc>
        <w:tc>
          <w:tcPr>
            <w:tcW w:w="34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2006</w:t>
            </w:r>
          </w:p>
        </w:tc>
        <w:tc>
          <w:tcPr>
            <w:tcW w:w="440" w:type="dxa"/>
            <w:vAlign w:val="bottom"/>
          </w:tcPr>
          <w:p>
            <w:pPr>
              <w:spacing w:after="0"/>
              <w:rPr>
                <w:sz w:val="8"/>
                <w:szCs w:val="8"/>
                <w:color w:val="auto"/>
              </w:rPr>
            </w:pPr>
          </w:p>
        </w:tc>
        <w:tc>
          <w:tcPr>
            <w:tcW w:w="34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2005</w:t>
            </w:r>
          </w:p>
        </w:tc>
        <w:tc>
          <w:tcPr>
            <w:tcW w:w="460" w:type="dxa"/>
            <w:vAlign w:val="bottom"/>
          </w:tcPr>
          <w:p>
            <w:pPr>
              <w:spacing w:after="0"/>
              <w:rPr>
                <w:sz w:val="8"/>
                <w:szCs w:val="8"/>
                <w:color w:val="auto"/>
              </w:rPr>
            </w:pPr>
          </w:p>
        </w:tc>
        <w:tc>
          <w:tcPr>
            <w:tcW w:w="32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2004</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920" w:type="dxa"/>
            <w:vAlign w:val="bottom"/>
            <w:shd w:val="clear" w:color="auto" w:fill="CCEEFF"/>
          </w:tcPr>
          <w:p>
            <w:pPr>
              <w:spacing w:after="0"/>
              <w:rPr>
                <w:sz w:val="20"/>
                <w:szCs w:val="20"/>
                <w:color w:val="auto"/>
              </w:rPr>
            </w:pPr>
            <w:r>
              <w:rPr>
                <w:rFonts w:ascii="Arial" w:cs="Arial" w:eastAsia="Arial" w:hAnsi="Arial"/>
                <w:sz w:val="13"/>
                <w:szCs w:val="13"/>
                <w:color w:val="auto"/>
              </w:rPr>
              <w:t>Tax at statutory rate</w:t>
            </w:r>
          </w:p>
        </w:tc>
        <w:tc>
          <w:tcPr>
            <w:tcW w:w="78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35.0%</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35.0%</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35.0%</w:t>
            </w:r>
          </w:p>
        </w:tc>
        <w:tc>
          <w:tcPr>
            <w:tcW w:w="0" w:type="dxa"/>
            <w:vAlign w:val="bottom"/>
          </w:tcPr>
          <w:p>
            <w:pPr>
              <w:spacing w:after="0"/>
              <w:rPr>
                <w:sz w:val="1"/>
                <w:szCs w:val="1"/>
                <w:color w:val="auto"/>
              </w:rPr>
            </w:pPr>
          </w:p>
        </w:tc>
      </w:tr>
      <w:tr>
        <w:trPr>
          <w:trHeight w:val="157"/>
        </w:trPr>
        <w:tc>
          <w:tcPr>
            <w:tcW w:w="7920" w:type="dxa"/>
            <w:vAlign w:val="bottom"/>
          </w:tcPr>
          <w:p>
            <w:pPr>
              <w:spacing w:after="0"/>
              <w:rPr>
                <w:sz w:val="20"/>
                <w:szCs w:val="20"/>
                <w:color w:val="auto"/>
              </w:rPr>
            </w:pPr>
            <w:r>
              <w:rPr>
                <w:rFonts w:ascii="Arial" w:cs="Arial" w:eastAsia="Arial" w:hAnsi="Arial"/>
                <w:sz w:val="13"/>
                <w:szCs w:val="13"/>
                <w:color w:val="auto"/>
              </w:rPr>
              <w:t>State income taxes, net of Federal tax benefit</w:t>
            </w:r>
          </w:p>
        </w:tc>
        <w:tc>
          <w:tcPr>
            <w:tcW w:w="780" w:type="dxa"/>
            <w:vAlign w:val="bottom"/>
            <w:gridSpan w:val="2"/>
          </w:tcPr>
          <w:p>
            <w:pPr>
              <w:jc w:val="right"/>
              <w:ind w:right="288"/>
              <w:spacing w:after="0"/>
              <w:rPr>
                <w:sz w:val="20"/>
                <w:szCs w:val="20"/>
                <w:color w:val="auto"/>
              </w:rPr>
            </w:pPr>
            <w:r>
              <w:rPr>
                <w:rFonts w:ascii="Arial" w:cs="Arial" w:eastAsia="Arial" w:hAnsi="Arial"/>
                <w:sz w:val="13"/>
                <w:szCs w:val="13"/>
                <w:color w:val="auto"/>
              </w:rPr>
              <w:t>0.2%</w:t>
            </w:r>
          </w:p>
        </w:tc>
        <w:tc>
          <w:tcPr>
            <w:tcW w:w="800" w:type="dxa"/>
            <w:vAlign w:val="bottom"/>
            <w:gridSpan w:val="2"/>
          </w:tcPr>
          <w:p>
            <w:pPr>
              <w:jc w:val="right"/>
              <w:ind w:right="340"/>
              <w:spacing w:after="0"/>
              <w:rPr>
                <w:sz w:val="20"/>
                <w:szCs w:val="20"/>
                <w:color w:val="auto"/>
              </w:rPr>
            </w:pPr>
            <w:r>
              <w:rPr>
                <w:rFonts w:ascii="Arial" w:cs="Arial" w:eastAsia="Arial" w:hAnsi="Arial"/>
                <w:sz w:val="13"/>
                <w:szCs w:val="13"/>
                <w:color w:val="auto"/>
              </w:rPr>
              <w:t>0.7%</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7"/>
        </w:trPr>
        <w:tc>
          <w:tcPr>
            <w:tcW w:w="7920" w:type="dxa"/>
            <w:vAlign w:val="bottom"/>
            <w:shd w:val="clear" w:color="auto" w:fill="CCEEFF"/>
          </w:tcPr>
          <w:p>
            <w:pPr>
              <w:spacing w:after="0"/>
              <w:rPr>
                <w:sz w:val="20"/>
                <w:szCs w:val="20"/>
                <w:color w:val="auto"/>
              </w:rPr>
            </w:pPr>
            <w:r>
              <w:rPr>
                <w:rFonts w:ascii="Arial" w:cs="Arial" w:eastAsia="Arial" w:hAnsi="Arial"/>
                <w:sz w:val="13"/>
                <w:szCs w:val="13"/>
                <w:color w:val="auto"/>
              </w:rPr>
              <w:t>International losses with no related tax benefits</w:t>
            </w:r>
          </w:p>
        </w:tc>
        <w:tc>
          <w:tcPr>
            <w:tcW w:w="78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0.0%</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0.0%</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57"/>
        </w:trPr>
        <w:tc>
          <w:tcPr>
            <w:tcW w:w="7920" w:type="dxa"/>
            <w:vAlign w:val="bottom"/>
          </w:tcPr>
          <w:p>
            <w:pPr>
              <w:spacing w:after="0"/>
              <w:rPr>
                <w:sz w:val="20"/>
                <w:szCs w:val="20"/>
                <w:color w:val="auto"/>
              </w:rPr>
            </w:pPr>
            <w:r>
              <w:rPr>
                <w:rFonts w:ascii="Arial" w:cs="Arial" w:eastAsia="Arial" w:hAnsi="Arial"/>
                <w:sz w:val="13"/>
                <w:szCs w:val="13"/>
                <w:color w:val="auto"/>
              </w:rPr>
              <w:t>International rate differential</w:t>
            </w:r>
          </w:p>
        </w:tc>
        <w:tc>
          <w:tcPr>
            <w:tcW w:w="780" w:type="dxa"/>
            <w:vAlign w:val="bottom"/>
            <w:gridSpan w:val="2"/>
          </w:tcPr>
          <w:p>
            <w:pPr>
              <w:jc w:val="right"/>
              <w:ind w:right="248"/>
              <w:spacing w:after="0"/>
              <w:rPr>
                <w:sz w:val="20"/>
                <w:szCs w:val="20"/>
                <w:color w:val="auto"/>
              </w:rPr>
            </w:pPr>
            <w:r>
              <w:rPr>
                <w:rFonts w:ascii="Arial" w:cs="Arial" w:eastAsia="Arial" w:hAnsi="Arial"/>
                <w:sz w:val="13"/>
                <w:szCs w:val="13"/>
                <w:color w:val="auto"/>
              </w:rPr>
              <w:t>(6.8)%</w:t>
            </w: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(4.1)%</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157"/>
        </w:trPr>
        <w:tc>
          <w:tcPr>
            <w:tcW w:w="7920" w:type="dxa"/>
            <w:vAlign w:val="bottom"/>
            <w:shd w:val="clear" w:color="auto" w:fill="CCEEFF"/>
          </w:tcPr>
          <w:p>
            <w:pPr>
              <w:spacing w:after="0"/>
              <w:rPr>
                <w:sz w:val="20"/>
                <w:szCs w:val="20"/>
                <w:color w:val="auto"/>
              </w:rPr>
            </w:pPr>
            <w:r>
              <w:rPr>
                <w:rFonts w:ascii="Arial" w:cs="Arial" w:eastAsia="Arial" w:hAnsi="Arial"/>
                <w:sz w:val="13"/>
                <w:szCs w:val="13"/>
                <w:color w:val="auto"/>
              </w:rPr>
              <w:t>Rate variances arising from foreign subsidiary distributions</w:t>
            </w:r>
          </w:p>
        </w:tc>
        <w:tc>
          <w:tcPr>
            <w:tcW w:w="78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0.2%</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(1.1)%</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7920" w:type="dxa"/>
            <w:vAlign w:val="bottom"/>
          </w:tcPr>
          <w:p>
            <w:pPr>
              <w:spacing w:after="0"/>
              <w:rPr>
                <w:sz w:val="20"/>
                <w:szCs w:val="20"/>
                <w:color w:val="auto"/>
              </w:rPr>
            </w:pPr>
            <w:r>
              <w:rPr>
                <w:rFonts w:ascii="Arial" w:cs="Arial" w:eastAsia="Arial" w:hAnsi="Arial"/>
                <w:sz w:val="13"/>
                <w:szCs w:val="13"/>
                <w:color w:val="auto"/>
              </w:rPr>
              <w:t>Resolution of prior period tax matters</w:t>
            </w:r>
          </w:p>
        </w:tc>
        <w:tc>
          <w:tcPr>
            <w:tcW w:w="780" w:type="dxa"/>
            <w:vAlign w:val="bottom"/>
            <w:gridSpan w:val="2"/>
          </w:tcPr>
          <w:p>
            <w:pPr>
              <w:jc w:val="right"/>
              <w:ind w:right="288"/>
              <w:spacing w:after="0"/>
              <w:rPr>
                <w:sz w:val="20"/>
                <w:szCs w:val="20"/>
                <w:color w:val="auto"/>
              </w:rPr>
            </w:pPr>
            <w:r>
              <w:rPr>
                <w:rFonts w:ascii="Arial" w:cs="Arial" w:eastAsia="Arial" w:hAnsi="Arial"/>
                <w:sz w:val="13"/>
                <w:szCs w:val="13"/>
                <w:color w:val="auto"/>
              </w:rPr>
              <w:t>0.0%</w:t>
            </w: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(0.6)%</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57"/>
        </w:trPr>
        <w:tc>
          <w:tcPr>
            <w:tcW w:w="7920" w:type="dxa"/>
            <w:vAlign w:val="bottom"/>
            <w:shd w:val="clear" w:color="auto" w:fill="CCEEFF"/>
          </w:tcPr>
          <w:p>
            <w:pPr>
              <w:spacing w:after="0"/>
              <w:rPr>
                <w:sz w:val="20"/>
                <w:szCs w:val="20"/>
                <w:color w:val="auto"/>
              </w:rPr>
            </w:pPr>
            <w:r>
              <w:rPr>
                <w:rFonts w:ascii="Arial" w:cs="Arial" w:eastAsia="Arial" w:hAnsi="Arial"/>
                <w:sz w:val="13"/>
                <w:szCs w:val="13"/>
                <w:color w:val="auto"/>
              </w:rPr>
              <w:t>Other, net</w:t>
            </w:r>
          </w:p>
        </w:tc>
        <w:tc>
          <w:tcPr>
            <w:tcW w:w="78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(0.6)%</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(0.9)%</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20"/>
        </w:trPr>
        <w:tc>
          <w:tcPr>
            <w:tcW w:w="7920" w:type="dxa"/>
            <w:vAlign w:val="bottom"/>
            <w:vMerge w:val="restart"/>
          </w:tcPr>
          <w:p>
            <w:pPr>
              <w:spacing w:after="0"/>
              <w:rPr>
                <w:sz w:val="20"/>
                <w:szCs w:val="20"/>
                <w:color w:val="auto"/>
              </w:rPr>
            </w:pPr>
            <w:r>
              <w:rPr>
                <w:rFonts w:ascii="Arial" w:cs="Arial" w:eastAsia="Arial" w:hAnsi="Arial"/>
                <w:sz w:val="13"/>
                <w:szCs w:val="13"/>
                <w:color w:val="auto"/>
              </w:rPr>
              <w:t>Effective tax rate</w:t>
            </w:r>
          </w:p>
        </w:tc>
        <w:tc>
          <w:tcPr>
            <w:tcW w:w="3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920" w:type="dxa"/>
            <w:vAlign w:val="bottom"/>
            <w:vMerge w:val="continue"/>
          </w:tcPr>
          <w:p>
            <w:pPr>
              <w:spacing w:after="0"/>
              <w:rPr>
                <w:sz w:val="13"/>
                <w:szCs w:val="13"/>
                <w:color w:val="auto"/>
              </w:rPr>
            </w:pPr>
          </w:p>
        </w:tc>
        <w:tc>
          <w:tcPr>
            <w:tcW w:w="780" w:type="dxa"/>
            <w:vAlign w:val="bottom"/>
            <w:gridSpan w:val="2"/>
          </w:tcPr>
          <w:p>
            <w:pPr>
              <w:jc w:val="right"/>
              <w:ind w:right="288"/>
              <w:spacing w:after="0"/>
              <w:rPr>
                <w:sz w:val="20"/>
                <w:szCs w:val="20"/>
                <w:color w:val="auto"/>
              </w:rPr>
            </w:pPr>
            <w:r>
              <w:rPr>
                <w:rFonts w:ascii="Arial" w:cs="Arial" w:eastAsia="Arial" w:hAnsi="Arial"/>
                <w:sz w:val="13"/>
                <w:szCs w:val="13"/>
                <w:color w:val="auto"/>
              </w:rPr>
              <w:t>28.0%</w:t>
            </w:r>
          </w:p>
        </w:tc>
        <w:tc>
          <w:tcPr>
            <w:tcW w:w="800" w:type="dxa"/>
            <w:vAlign w:val="bottom"/>
            <w:gridSpan w:val="2"/>
          </w:tcPr>
          <w:p>
            <w:pPr>
              <w:jc w:val="right"/>
              <w:ind w:right="340"/>
              <w:spacing w:after="0"/>
              <w:rPr>
                <w:sz w:val="20"/>
                <w:szCs w:val="20"/>
                <w:color w:val="auto"/>
              </w:rPr>
            </w:pPr>
            <w:r>
              <w:rPr>
                <w:rFonts w:ascii="Arial" w:cs="Arial" w:eastAsia="Arial" w:hAnsi="Arial"/>
                <w:sz w:val="13"/>
                <w:szCs w:val="13"/>
                <w:color w:val="auto"/>
              </w:rPr>
              <w:t>29.0%</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27.7%</w:t>
            </w:r>
          </w:p>
        </w:tc>
        <w:tc>
          <w:tcPr>
            <w:tcW w:w="0" w:type="dxa"/>
            <w:vAlign w:val="bottom"/>
          </w:tcPr>
          <w:p>
            <w:pPr>
              <w:spacing w:after="0"/>
              <w:rPr>
                <w:sz w:val="1"/>
                <w:szCs w:val="1"/>
                <w:color w:val="auto"/>
              </w:rPr>
            </w:pPr>
          </w:p>
        </w:tc>
      </w:tr>
      <w:tr>
        <w:trPr>
          <w:trHeight w:val="30"/>
        </w:trPr>
        <w:tc>
          <w:tcPr>
            <w:tcW w:w="79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Unremitted Earnings</w:t>
      </w:r>
    </w:p>
    <w:p>
      <w:pPr>
        <w:spacing w:after="0" w:line="96" w:lineRule="exact"/>
        <w:rPr>
          <w:sz w:val="20"/>
          <w:szCs w:val="20"/>
          <w:color w:val="auto"/>
        </w:rPr>
      </w:pPr>
    </w:p>
    <w:p>
      <w:pPr>
        <w:jc w:val="both"/>
        <w:ind w:left="680" w:right="20" w:firstLine="399"/>
        <w:spacing w:after="0" w:line="371" w:lineRule="auto"/>
        <w:rPr>
          <w:sz w:val="20"/>
          <w:szCs w:val="20"/>
          <w:color w:val="auto"/>
        </w:rPr>
      </w:pPr>
      <w:r>
        <w:rPr>
          <w:rFonts w:ascii="Arial" w:cs="Arial" w:eastAsia="Arial" w:hAnsi="Arial"/>
          <w:sz w:val="11"/>
          <w:szCs w:val="11"/>
          <w:color w:val="auto"/>
        </w:rPr>
        <w:t>The Company’s policy is to remit earnings from foreign subsidiaries only to the extent any resultant foreign income taxes are creditable in the United States. Accordingly, the Company does not currently provide for the additional United States and foreign income taxes which would become payable upon remission of undistributed earnings of foreign subsidiaries.</w:t>
      </w:r>
    </w:p>
    <w:p>
      <w:pPr>
        <w:spacing w:after="0" w:line="1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cumulative undistributed earnings of such subsidiaries at July 31, 2006 amounted to approximately $233,169.</w:t>
      </w:r>
    </w:p>
    <w:p>
      <w:pPr>
        <w:spacing w:after="0" w:line="171" w:lineRule="exact"/>
        <w:rPr>
          <w:sz w:val="20"/>
          <w:szCs w:val="20"/>
          <w:color w:val="auto"/>
        </w:rPr>
      </w:pPr>
    </w:p>
    <w:p>
      <w:pPr>
        <w:ind w:left="1000" w:hanging="313"/>
        <w:spacing w:after="0"/>
        <w:tabs>
          <w:tab w:leader="none" w:pos="1000" w:val="left"/>
        </w:tabs>
        <w:numPr>
          <w:ilvl w:val="0"/>
          <w:numId w:val="21"/>
        </w:numPr>
        <w:rPr>
          <w:rFonts w:ascii="Arial" w:cs="Arial" w:eastAsia="Arial" w:hAnsi="Arial"/>
          <w:sz w:val="13"/>
          <w:szCs w:val="13"/>
          <w:b w:val="1"/>
          <w:bCs w:val="1"/>
          <w:color w:val="auto"/>
        </w:rPr>
      </w:pPr>
      <w:r>
        <w:rPr>
          <w:rFonts w:ascii="Arial" w:cs="Arial" w:eastAsia="Arial" w:hAnsi="Arial"/>
          <w:sz w:val="13"/>
          <w:szCs w:val="13"/>
          <w:b w:val="1"/>
          <w:bCs w:val="1"/>
          <w:color w:val="auto"/>
        </w:rPr>
        <w:t>Long-Term Obligations</w:t>
      </w:r>
    </w:p>
    <w:p>
      <w:pPr>
        <w:spacing w:after="0" w:line="100"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On October 5, 2006, the Company entered into a $200.0 million multi-currency revolving loan agreement with a group of five banks that replaced the Company’s previous credit facility that had been entered into on March 31, 2004 and amended on January 19, 2006. At the Company’s option, and subject to certain standard conditions, the available amount under the new credit facility may be increased from $200.0 million up to $300.0 million. Under the new 5-year agreement, which has a final maturity date of October 5, 2011, the Company has the option to select either a base interest rate (based upon the higher of the federal funds rate plus one-half of 1% or the prime rate of Bank of America) or a Eurocurrency interest rate (at the LIBOR rate plus a margin based on the Company’s consolidated leverage ratio). A commitment fee is payable on the unused amount of the facility. The agreement requires the Company to maintain two financial covenants. As of October 5, 2006, the Company was in compliance with the covenants of the new agreement, and as of July 31, 2006, the Company was in compliance with the covenants of the previous credit facility. The new agreement restricts the amount of certain types of payments, including dividends, which can be made annually to $50.0 million plus an amount equal to 75% of consolidated net</w:t>
      </w:r>
    </w:p>
    <w:p>
      <w:pPr>
        <w:spacing w:after="0" w:line="282"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BRADY CORPORATION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jc w:val="both"/>
        <w:ind w:left="680" w:right="1180"/>
        <w:spacing w:after="0" w:line="264" w:lineRule="auto"/>
        <w:rPr>
          <w:sz w:val="20"/>
          <w:szCs w:val="20"/>
          <w:color w:val="auto"/>
        </w:rPr>
      </w:pPr>
      <w:r>
        <w:rPr>
          <w:rFonts w:ascii="Arial" w:cs="Arial" w:eastAsia="Arial" w:hAnsi="Arial"/>
          <w:sz w:val="13"/>
          <w:szCs w:val="13"/>
          <w:color w:val="auto"/>
        </w:rPr>
        <w:t>income for the prior fiscal year of the Company. The Company believes that based on historic dividend practice, this restriction would not impede the Company in following a similar dividend practice in the future. As of July 31, 2006 and October 5, 2006, there were $0 and $10.0 million of outstanding borrowings under the previous credit facility or the new credit facility, respectively.</w:t>
      </w:r>
    </w:p>
    <w:p>
      <w:pPr>
        <w:spacing w:after="0" w:line="67" w:lineRule="exact"/>
        <w:rPr>
          <w:sz w:val="20"/>
          <w:szCs w:val="20"/>
          <w:color w:val="auto"/>
        </w:rPr>
      </w:pPr>
    </w:p>
    <w:p>
      <w:pPr>
        <w:ind w:left="680" w:right="840" w:firstLine="399"/>
        <w:spacing w:after="0" w:line="281" w:lineRule="auto"/>
        <w:rPr>
          <w:sz w:val="20"/>
          <w:szCs w:val="20"/>
          <w:color w:val="auto"/>
        </w:rPr>
      </w:pPr>
      <w:r>
        <w:rPr>
          <w:rFonts w:ascii="Arial" w:cs="Arial" w:eastAsia="Arial" w:hAnsi="Arial"/>
          <w:sz w:val="12"/>
          <w:szCs w:val="12"/>
          <w:color w:val="auto"/>
        </w:rPr>
        <w:t>On February 14, 2006, the Company completed the private placement of $200.0 million in ten-year fixed notes at 5.3% interest to institutional investors. The notes will be amortized in equal installments over seven years, beginning in 2010 with interest payable on the notes semiannually on August 14 and February 14, beginning in August 2006. The notes have been fully and unconditionally guaranteed on an unsecured basis by the Company’s domestic subsidiaries. The Company used the net proceeds of the offering to finance acquisitions completed in fiscal 2006 (see Note 2 for more information) and intends to use the remainder to fund future acquisitions and for general corporate purposes. This private placement was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repaying them prior to the maturity date. The agreement also requires the Company to maintain a financial covenant. As of July 31, 2006, the Company was in compliance with this covenant.</w:t>
      </w:r>
    </w:p>
    <w:p>
      <w:pPr>
        <w:spacing w:after="0" w:line="58" w:lineRule="exact"/>
        <w:rPr>
          <w:sz w:val="20"/>
          <w:szCs w:val="20"/>
          <w:color w:val="auto"/>
        </w:rPr>
      </w:pPr>
    </w:p>
    <w:p>
      <w:pPr>
        <w:ind w:left="680" w:right="1000" w:firstLine="399"/>
        <w:spacing w:after="0" w:line="258" w:lineRule="auto"/>
        <w:rPr>
          <w:sz w:val="20"/>
          <w:szCs w:val="20"/>
          <w:color w:val="auto"/>
        </w:rPr>
      </w:pPr>
      <w:r>
        <w:rPr>
          <w:rFonts w:ascii="Arial" w:cs="Arial" w:eastAsia="Arial" w:hAnsi="Arial"/>
          <w:sz w:val="13"/>
          <w:szCs w:val="13"/>
          <w:color w:val="auto"/>
        </w:rPr>
        <w:t>On June 30, 2004, the Company finalized a debt offering of $150.0 million of 5.14% fixed rate unsecured senior notes due in 2014 in an offering exempt from the registration requirements of the Securities Act of 1933. The debt offering was in conjunction with the Company’s acquisition of EMED. The notes will be repaid over 7 years beginning in 2008 with interest payable on the notes semiannually on June 28 and December 28 beginning in December 2004. The Company used the proceeds of the offering to reduce outstanding indebtedness under the Company’s revolving credit facilities. The debt has certain prepayment penalties for repaying the debt prior to its maturity date. The agreement also requires the Company to maintain a financial covenant. As of July 31, 2006, the Company was in compliance with this covenant.</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Long-term obligations consist of the following as of July 31:</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Various Bank loans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Fixed Debt</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350,000</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150,000</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350,038</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150,030</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Arial" w:cs="Arial" w:eastAsia="Arial" w:hAnsi="Arial"/>
                <w:sz w:val="13"/>
                <w:szCs w:val="13"/>
                <w:color w:val="auto"/>
              </w:rPr>
              <w:t>Less Current maturities</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vMerge w:val="continue"/>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(20)</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8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350,018</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150,026</w:t>
            </w:r>
          </w:p>
        </w:tc>
        <w:tc>
          <w:tcPr>
            <w:tcW w:w="0" w:type="dxa"/>
            <w:vAlign w:val="bottom"/>
          </w:tcPr>
          <w:p>
            <w:pPr>
              <w:spacing w:after="0"/>
              <w:rPr>
                <w:sz w:val="1"/>
                <w:szCs w:val="1"/>
                <w:color w:val="auto"/>
              </w:rPr>
            </w:pPr>
          </w:p>
        </w:tc>
      </w:tr>
      <w:tr>
        <w:trPr>
          <w:trHeight w:val="29"/>
        </w:trPr>
        <w:tc>
          <w:tcPr>
            <w:tcW w:w="8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right="860" w:firstLine="399"/>
        <w:spacing w:after="0" w:line="276" w:lineRule="auto"/>
        <w:rPr>
          <w:sz w:val="20"/>
          <w:szCs w:val="20"/>
          <w:color w:val="auto"/>
        </w:rPr>
      </w:pPr>
      <w:r>
        <w:rPr>
          <w:rFonts w:ascii="Arial" w:cs="Arial" w:eastAsia="Arial" w:hAnsi="Arial"/>
          <w:sz w:val="13"/>
          <w:szCs w:val="13"/>
          <w:color w:val="auto"/>
        </w:rPr>
        <w:t>The fair value of the Company’s long-term obligations approximates $340,483. The fair value of the Company’s long-term obligations is estimated based on quoted market prices for the same or similar issue and on the current rates offered for debt of the same maturities.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80" w:type="dxa"/>
            <w:vAlign w:val="bottom"/>
          </w:tcPr>
          <w:p>
            <w:pPr>
              <w:ind w:left="300"/>
              <w:spacing w:after="0"/>
              <w:rPr>
                <w:sz w:val="20"/>
                <w:szCs w:val="20"/>
                <w:color w:val="auto"/>
              </w:rPr>
            </w:pPr>
            <w:r>
              <w:rPr>
                <w:rFonts w:ascii="Arial" w:cs="Arial" w:eastAsia="Arial" w:hAnsi="Arial"/>
                <w:sz w:val="13"/>
                <w:szCs w:val="13"/>
                <w:color w:val="auto"/>
              </w:rPr>
              <w:t>Maturities on long-term debt are as follows:</w:t>
            </w:r>
          </w:p>
        </w:tc>
        <w:tc>
          <w:tcPr>
            <w:tcW w:w="5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18"/>
        </w:trPr>
        <w:tc>
          <w:tcPr>
            <w:tcW w:w="68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0"/>
                <w:szCs w:val="10"/>
                <w:b w:val="1"/>
                <w:bCs w:val="1"/>
                <w:color w:val="auto"/>
              </w:rPr>
              <w:t>Years Ending July 31,</w:t>
            </w:r>
          </w:p>
        </w:tc>
        <w:tc>
          <w:tcPr>
            <w:tcW w:w="5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9"/>
        </w:trPr>
        <w:tc>
          <w:tcPr>
            <w:tcW w:w="6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68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2007</w:t>
            </w:r>
          </w:p>
        </w:tc>
        <w:tc>
          <w:tcPr>
            <w:tcW w:w="5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2008</w:t>
            </w:r>
          </w:p>
        </w:tc>
        <w:tc>
          <w:tcPr>
            <w:tcW w:w="5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21,443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2009</w:t>
            </w:r>
          </w:p>
        </w:tc>
        <w:tc>
          <w:tcPr>
            <w:tcW w:w="5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21,432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2010</w:t>
            </w:r>
          </w:p>
        </w:tc>
        <w:tc>
          <w:tcPr>
            <w:tcW w:w="5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50,000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2011</w:t>
            </w:r>
          </w:p>
        </w:tc>
        <w:tc>
          <w:tcPr>
            <w:tcW w:w="5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50,000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Thereafter</w:t>
            </w:r>
          </w:p>
        </w:tc>
        <w:tc>
          <w:tcPr>
            <w:tcW w:w="5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207,143</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5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350,038</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420" w:type="dxa"/>
            <w:vAlign w:val="bottom"/>
          </w:tcPr>
          <w:p>
            <w:pPr>
              <w:ind w:left="1080"/>
              <w:spacing w:after="0"/>
              <w:rPr>
                <w:sz w:val="20"/>
                <w:szCs w:val="20"/>
                <w:color w:val="auto"/>
              </w:rPr>
            </w:pPr>
            <w:r>
              <w:rPr>
                <w:rFonts w:ascii="Arial" w:cs="Arial" w:eastAsia="Arial" w:hAnsi="Arial"/>
                <w:sz w:val="13"/>
                <w:szCs w:val="13"/>
                <w:color w:val="auto"/>
              </w:rPr>
              <w:t>II-38</w:t>
            </w: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680" w:type="dxa"/>
            <w:vAlign w:val="bottom"/>
            <w:tcBorders>
              <w:bottom w:val="single" w:sz="8" w:color="808080"/>
            </w:tcBorders>
          </w:tcPr>
          <w:p>
            <w:pPr>
              <w:spacing w:after="0"/>
              <w:rPr>
                <w:sz w:val="14"/>
                <w:szCs w:val="14"/>
                <w:color w:val="auto"/>
              </w:rPr>
            </w:pPr>
          </w:p>
        </w:tc>
        <w:tc>
          <w:tcPr>
            <w:tcW w:w="54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BRADY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had outstanding letters of credit of $2,887 and $2,114 at July 31, 2006 and 2005, respectively.</w:t>
      </w:r>
    </w:p>
    <w:p>
      <w:pPr>
        <w:spacing w:after="0" w:line="132" w:lineRule="exact"/>
        <w:rPr>
          <w:sz w:val="20"/>
          <w:szCs w:val="20"/>
          <w:color w:val="auto"/>
        </w:rPr>
      </w:pPr>
    </w:p>
    <w:p>
      <w:pPr>
        <w:ind w:left="1000" w:hanging="313"/>
        <w:spacing w:after="0"/>
        <w:tabs>
          <w:tab w:leader="none" w:pos="1000" w:val="left"/>
        </w:tabs>
        <w:numPr>
          <w:ilvl w:val="0"/>
          <w:numId w:val="22"/>
        </w:numPr>
        <w:rPr>
          <w:rFonts w:ascii="Arial" w:cs="Arial" w:eastAsia="Arial" w:hAnsi="Arial"/>
          <w:sz w:val="13"/>
          <w:szCs w:val="13"/>
          <w:b w:val="1"/>
          <w:bCs w:val="1"/>
          <w:color w:val="auto"/>
        </w:rPr>
      </w:pPr>
      <w:r>
        <w:rPr>
          <w:rFonts w:ascii="Arial" w:cs="Arial" w:eastAsia="Arial" w:hAnsi="Arial"/>
          <w:sz w:val="13"/>
          <w:szCs w:val="13"/>
          <w:b w:val="1"/>
          <w:bCs w:val="1"/>
          <w:color w:val="auto"/>
        </w:rPr>
        <w:t>Stockholders’ Investment</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Information as to the Company’s capital stock at July 31, 2006 and 2005 is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3500" w:type="dxa"/>
            <w:vAlign w:val="bottom"/>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3"/>
          </w:tcPr>
          <w:p>
            <w:pPr>
              <w:ind w:left="100"/>
              <w:spacing w:after="0"/>
              <w:rPr>
                <w:sz w:val="20"/>
                <w:szCs w:val="20"/>
                <w:color w:val="auto"/>
              </w:rPr>
            </w:pPr>
            <w:r>
              <w:rPr>
                <w:rFonts w:ascii="Arial" w:cs="Arial" w:eastAsia="Arial" w:hAnsi="Arial"/>
                <w:sz w:val="10"/>
                <w:szCs w:val="10"/>
                <w:b w:val="1"/>
                <w:bCs w:val="1"/>
                <w:color w:val="auto"/>
              </w:rPr>
              <w:t>July 31, 2006</w:t>
            </w:r>
          </w:p>
        </w:tc>
        <w:tc>
          <w:tcPr>
            <w:tcW w:w="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3"/>
          </w:tcPr>
          <w:p>
            <w:pPr>
              <w:jc w:val="right"/>
              <w:ind w:right="800"/>
              <w:spacing w:after="0"/>
              <w:rPr>
                <w:sz w:val="20"/>
                <w:szCs w:val="20"/>
                <w:color w:val="auto"/>
              </w:rPr>
            </w:pPr>
            <w:r>
              <w:rPr>
                <w:rFonts w:ascii="Arial" w:cs="Arial" w:eastAsia="Arial" w:hAnsi="Arial"/>
                <w:sz w:val="10"/>
                <w:szCs w:val="10"/>
                <w:b w:val="1"/>
                <w:bCs w:val="1"/>
                <w:color w:val="auto"/>
              </w:rPr>
              <w:t>July 31, 2005</w:t>
            </w:r>
          </w:p>
        </w:tc>
        <w:tc>
          <w:tcPr>
            <w:tcW w:w="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500" w:type="dxa"/>
            <w:vAlign w:val="bottom"/>
          </w:tcPr>
          <w:p>
            <w:pPr>
              <w:spacing w:after="0"/>
              <w:rPr>
                <w:sz w:val="7"/>
                <w:szCs w:val="7"/>
                <w:color w:val="auto"/>
              </w:rPr>
            </w:pPr>
          </w:p>
        </w:tc>
        <w:tc>
          <w:tcPr>
            <w:tcW w:w="1120" w:type="dxa"/>
            <w:vAlign w:val="bottom"/>
            <w:gridSpan w:val="2"/>
          </w:tcPr>
          <w:p>
            <w:pPr>
              <w:jc w:val="right"/>
              <w:ind w:right="460"/>
              <w:spacing w:after="0" w:line="81" w:lineRule="exact"/>
              <w:rPr>
                <w:sz w:val="20"/>
                <w:szCs w:val="20"/>
                <w:color w:val="auto"/>
              </w:rPr>
            </w:pPr>
            <w:r>
              <w:rPr>
                <w:rFonts w:ascii="Arial" w:cs="Arial" w:eastAsia="Arial" w:hAnsi="Arial"/>
                <w:sz w:val="9"/>
                <w:szCs w:val="9"/>
                <w:b w:val="1"/>
                <w:bCs w:val="1"/>
                <w:color w:val="auto"/>
              </w:rPr>
              <w:t>Shares</w:t>
            </w:r>
          </w:p>
        </w:tc>
        <w:tc>
          <w:tcPr>
            <w:tcW w:w="320" w:type="dxa"/>
            <w:vAlign w:val="bottom"/>
          </w:tcPr>
          <w:p>
            <w:pPr>
              <w:spacing w:after="0"/>
              <w:rPr>
                <w:sz w:val="7"/>
                <w:szCs w:val="7"/>
                <w:color w:val="auto"/>
              </w:rPr>
            </w:pPr>
          </w:p>
        </w:tc>
        <w:tc>
          <w:tcPr>
            <w:tcW w:w="1200" w:type="dxa"/>
            <w:vAlign w:val="bottom"/>
            <w:gridSpan w:val="2"/>
          </w:tcPr>
          <w:p>
            <w:pPr>
              <w:ind w:left="240"/>
              <w:spacing w:after="0" w:line="81" w:lineRule="exact"/>
              <w:rPr>
                <w:sz w:val="20"/>
                <w:szCs w:val="20"/>
                <w:color w:val="auto"/>
              </w:rPr>
            </w:pPr>
            <w:r>
              <w:rPr>
                <w:rFonts w:ascii="Arial" w:cs="Arial" w:eastAsia="Arial" w:hAnsi="Arial"/>
                <w:sz w:val="9"/>
                <w:szCs w:val="9"/>
                <w:b w:val="1"/>
                <w:bCs w:val="1"/>
                <w:color w:val="auto"/>
              </w:rPr>
              <w:t>Shares</w:t>
            </w:r>
          </w:p>
        </w:tc>
        <w:tc>
          <w:tcPr>
            <w:tcW w:w="78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Amount</w:t>
            </w:r>
          </w:p>
        </w:tc>
        <w:tc>
          <w:tcPr>
            <w:tcW w:w="1100" w:type="dxa"/>
            <w:vAlign w:val="bottom"/>
            <w:gridSpan w:val="2"/>
          </w:tcPr>
          <w:p>
            <w:pPr>
              <w:jc w:val="right"/>
              <w:ind w:right="460"/>
              <w:spacing w:after="0" w:line="81" w:lineRule="exact"/>
              <w:rPr>
                <w:sz w:val="20"/>
                <w:szCs w:val="20"/>
                <w:color w:val="auto"/>
              </w:rPr>
            </w:pPr>
            <w:r>
              <w:rPr>
                <w:rFonts w:ascii="Arial" w:cs="Arial" w:eastAsia="Arial" w:hAnsi="Arial"/>
                <w:sz w:val="9"/>
                <w:szCs w:val="9"/>
                <w:b w:val="1"/>
                <w:bCs w:val="1"/>
                <w:color w:val="auto"/>
              </w:rPr>
              <w:t>Shares</w:t>
            </w:r>
          </w:p>
        </w:tc>
        <w:tc>
          <w:tcPr>
            <w:tcW w:w="280" w:type="dxa"/>
            <w:vAlign w:val="bottom"/>
          </w:tcPr>
          <w:p>
            <w:pPr>
              <w:spacing w:after="0"/>
              <w:rPr>
                <w:sz w:val="7"/>
                <w:szCs w:val="7"/>
                <w:color w:val="auto"/>
              </w:rPr>
            </w:pPr>
          </w:p>
        </w:tc>
        <w:tc>
          <w:tcPr>
            <w:tcW w:w="1200" w:type="dxa"/>
            <w:vAlign w:val="bottom"/>
            <w:gridSpan w:val="2"/>
          </w:tcPr>
          <w:p>
            <w:pPr>
              <w:jc w:val="right"/>
              <w:ind w:right="640"/>
              <w:spacing w:after="0" w:line="81" w:lineRule="exact"/>
              <w:rPr>
                <w:sz w:val="20"/>
                <w:szCs w:val="20"/>
                <w:color w:val="auto"/>
              </w:rPr>
            </w:pPr>
            <w:r>
              <w:rPr>
                <w:rFonts w:ascii="Arial" w:cs="Arial" w:eastAsia="Arial" w:hAnsi="Arial"/>
                <w:sz w:val="9"/>
                <w:szCs w:val="9"/>
                <w:b w:val="1"/>
                <w:bCs w:val="1"/>
                <w:color w:val="auto"/>
              </w:rPr>
              <w:t>Shares</w:t>
            </w:r>
          </w:p>
        </w:tc>
        <w:tc>
          <w:tcPr>
            <w:tcW w:w="48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Amount</w:t>
            </w:r>
          </w:p>
        </w:tc>
        <w:tc>
          <w:tcPr>
            <w:tcW w:w="0" w:type="dxa"/>
            <w:vAlign w:val="bottom"/>
          </w:tcPr>
          <w:p>
            <w:pPr>
              <w:spacing w:after="0"/>
              <w:rPr>
                <w:sz w:val="1"/>
                <w:szCs w:val="1"/>
                <w:color w:val="auto"/>
              </w:rPr>
            </w:pPr>
          </w:p>
        </w:tc>
      </w:tr>
      <w:tr>
        <w:trPr>
          <w:trHeight w:val="125"/>
        </w:trPr>
        <w:tc>
          <w:tcPr>
            <w:tcW w:w="3500" w:type="dxa"/>
            <w:vAlign w:val="bottom"/>
          </w:tcPr>
          <w:p>
            <w:pPr>
              <w:spacing w:after="0"/>
              <w:rPr>
                <w:sz w:val="10"/>
                <w:szCs w:val="1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rPr>
              <w:t>Authorized</w:t>
            </w:r>
          </w:p>
        </w:tc>
        <w:tc>
          <w:tcPr>
            <w:tcW w:w="320" w:type="dxa"/>
            <w:vAlign w:val="bottom"/>
          </w:tcPr>
          <w:p>
            <w:pPr>
              <w:spacing w:after="0"/>
              <w:rPr>
                <w:sz w:val="10"/>
                <w:szCs w:val="10"/>
                <w:color w:val="auto"/>
              </w:rPr>
            </w:pPr>
          </w:p>
        </w:tc>
        <w:tc>
          <w:tcPr>
            <w:tcW w:w="1200" w:type="dxa"/>
            <w:vAlign w:val="bottom"/>
            <w:gridSpan w:val="2"/>
          </w:tcPr>
          <w:p>
            <w:pPr>
              <w:ind w:left="260"/>
              <w:spacing w:after="0"/>
              <w:rPr>
                <w:sz w:val="20"/>
                <w:szCs w:val="20"/>
                <w:color w:val="auto"/>
              </w:rPr>
            </w:pPr>
            <w:r>
              <w:rPr>
                <w:rFonts w:ascii="Arial" w:cs="Arial" w:eastAsia="Arial" w:hAnsi="Arial"/>
                <w:sz w:val="10"/>
                <w:szCs w:val="10"/>
                <w:b w:val="1"/>
                <w:bCs w:val="1"/>
                <w:color w:val="auto"/>
              </w:rPr>
              <w:t>Issued</w:t>
            </w:r>
          </w:p>
        </w:tc>
        <w:tc>
          <w:tcPr>
            <w:tcW w:w="780" w:type="dxa"/>
            <w:vAlign w:val="bottom"/>
            <w:gridSpan w:val="3"/>
            <w:vMerge w:val="continue"/>
          </w:tcPr>
          <w:p>
            <w:pPr>
              <w:spacing w:after="0"/>
              <w:rPr>
                <w:sz w:val="10"/>
                <w:szCs w:val="1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rPr>
              <w:t>Authorized</w:t>
            </w:r>
          </w:p>
        </w:tc>
        <w:tc>
          <w:tcPr>
            <w:tcW w:w="280" w:type="dxa"/>
            <w:vAlign w:val="bottom"/>
          </w:tcPr>
          <w:p>
            <w:pPr>
              <w:spacing w:after="0"/>
              <w:rPr>
                <w:sz w:val="10"/>
                <w:szCs w:val="10"/>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0"/>
                <w:szCs w:val="10"/>
                <w:b w:val="1"/>
                <w:bCs w:val="1"/>
                <w:color w:val="auto"/>
              </w:rPr>
              <w:t>Issued</w:t>
            </w:r>
          </w:p>
        </w:tc>
        <w:tc>
          <w:tcPr>
            <w:tcW w:w="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350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Preferred Stock, $.01 par value</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5,000,000</w:t>
            </w: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5,000,000</w:t>
            </w: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500" w:type="dxa"/>
            <w:vAlign w:val="bottom"/>
          </w:tcPr>
          <w:p>
            <w:pPr>
              <w:spacing w:after="0"/>
              <w:rPr>
                <w:sz w:val="20"/>
                <w:szCs w:val="20"/>
                <w:color w:val="auto"/>
              </w:rPr>
            </w:pPr>
            <w:r>
              <w:rPr>
                <w:rFonts w:ascii="Arial" w:cs="Arial" w:eastAsia="Arial" w:hAnsi="Arial"/>
                <w:sz w:val="13"/>
                <w:szCs w:val="13"/>
                <w:color w:val="auto"/>
              </w:rPr>
              <w:t>Cumulative Preferred Stock:</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6% Cumulative</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5,000</w:t>
            </w: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5,000</w:t>
            </w: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500" w:type="dxa"/>
            <w:vAlign w:val="bottom"/>
          </w:tcPr>
          <w:p>
            <w:pPr>
              <w:ind w:left="140"/>
              <w:spacing w:after="0"/>
              <w:rPr>
                <w:sz w:val="20"/>
                <w:szCs w:val="20"/>
                <w:color w:val="auto"/>
              </w:rPr>
            </w:pPr>
            <w:r>
              <w:rPr>
                <w:rFonts w:ascii="Arial" w:cs="Arial" w:eastAsia="Arial" w:hAnsi="Arial"/>
                <w:sz w:val="13"/>
                <w:szCs w:val="13"/>
                <w:color w:val="auto"/>
              </w:rPr>
              <w:t>1972 Series</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10,000</w:t>
            </w: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10,000</w:t>
            </w: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1979 Series</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30,000</w:t>
            </w: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30,000</w:t>
            </w: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500" w:type="dxa"/>
            <w:vAlign w:val="bottom"/>
          </w:tcPr>
          <w:p>
            <w:pPr>
              <w:spacing w:after="0"/>
              <w:rPr>
                <w:sz w:val="20"/>
                <w:szCs w:val="20"/>
                <w:color w:val="auto"/>
              </w:rPr>
            </w:pPr>
            <w:r>
              <w:rPr>
                <w:rFonts w:ascii="Arial" w:cs="Arial" w:eastAsia="Arial" w:hAnsi="Arial"/>
                <w:sz w:val="13"/>
                <w:szCs w:val="13"/>
                <w:color w:val="auto"/>
              </w:rPr>
              <w:t>Common Stock, $.01 par value:</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Class A Nonvoting</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100,000,000</w:t>
            </w:r>
          </w:p>
        </w:tc>
        <w:tc>
          <w:tcPr>
            <w:tcW w:w="15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50,481,743</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505</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100,000,000</w:t>
            </w:r>
          </w:p>
        </w:tc>
        <w:tc>
          <w:tcPr>
            <w:tcW w:w="14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45,877,543</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458</w:t>
            </w:r>
          </w:p>
        </w:tc>
        <w:tc>
          <w:tcPr>
            <w:tcW w:w="0" w:type="dxa"/>
            <w:vAlign w:val="bottom"/>
          </w:tcPr>
          <w:p>
            <w:pPr>
              <w:spacing w:after="0"/>
              <w:rPr>
                <w:sz w:val="1"/>
                <w:szCs w:val="1"/>
                <w:color w:val="auto"/>
              </w:rPr>
            </w:pPr>
          </w:p>
        </w:tc>
      </w:tr>
      <w:tr>
        <w:trPr>
          <w:trHeight w:val="157"/>
        </w:trPr>
        <w:tc>
          <w:tcPr>
            <w:tcW w:w="3500" w:type="dxa"/>
            <w:vAlign w:val="bottom"/>
          </w:tcPr>
          <w:p>
            <w:pPr>
              <w:ind w:left="140"/>
              <w:spacing w:after="0"/>
              <w:rPr>
                <w:sz w:val="20"/>
                <w:szCs w:val="20"/>
                <w:color w:val="auto"/>
              </w:rPr>
            </w:pPr>
            <w:r>
              <w:rPr>
                <w:rFonts w:ascii="Arial" w:cs="Arial" w:eastAsia="Arial" w:hAnsi="Arial"/>
                <w:sz w:val="13"/>
                <w:szCs w:val="13"/>
                <w:color w:val="auto"/>
              </w:rPr>
              <w:t>Class B Voting</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10,000,000</w:t>
            </w:r>
          </w:p>
        </w:tc>
        <w:tc>
          <w:tcPr>
            <w:tcW w:w="1520" w:type="dxa"/>
            <w:vAlign w:val="bottom"/>
            <w:gridSpan w:val="3"/>
          </w:tcPr>
          <w:p>
            <w:pPr>
              <w:jc w:val="right"/>
              <w:ind w:right="400"/>
              <w:spacing w:after="0"/>
              <w:rPr>
                <w:sz w:val="20"/>
                <w:szCs w:val="20"/>
                <w:color w:val="auto"/>
              </w:rPr>
            </w:pPr>
            <w:r>
              <w:rPr>
                <w:rFonts w:ascii="Arial" w:cs="Arial" w:eastAsia="Arial" w:hAnsi="Arial"/>
                <w:sz w:val="13"/>
                <w:szCs w:val="13"/>
                <w:color w:val="auto"/>
              </w:rPr>
              <w:t>3,538,628</w:t>
            </w:r>
          </w:p>
        </w:tc>
        <w:tc>
          <w:tcPr>
            <w:tcW w:w="120" w:type="dxa"/>
            <w:vAlign w:val="bottom"/>
          </w:tcPr>
          <w:p>
            <w:pPr>
              <w:spacing w:after="0"/>
              <w:rPr>
                <w:sz w:val="13"/>
                <w:szCs w:val="13"/>
                <w:color w:val="auto"/>
              </w:rPr>
            </w:pPr>
          </w:p>
        </w:tc>
        <w:tc>
          <w:tcPr>
            <w:tcW w:w="660" w:type="dxa"/>
            <w:vAlign w:val="bottom"/>
            <w:gridSpan w:val="2"/>
          </w:tcPr>
          <w:p>
            <w:pPr>
              <w:jc w:val="right"/>
              <w:ind w:right="400"/>
              <w:spacing w:after="0"/>
              <w:rPr>
                <w:sz w:val="20"/>
                <w:szCs w:val="20"/>
                <w:color w:val="auto"/>
              </w:rPr>
            </w:pPr>
            <w:r>
              <w:rPr>
                <w:rFonts w:ascii="Arial" w:cs="Arial" w:eastAsia="Arial" w:hAnsi="Arial"/>
                <w:sz w:val="13"/>
                <w:szCs w:val="13"/>
                <w:color w:val="auto"/>
              </w:rPr>
              <w:t>35</w:t>
            </w: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10,000,000</w:t>
            </w:r>
          </w:p>
        </w:tc>
        <w:tc>
          <w:tcPr>
            <w:tcW w:w="1480" w:type="dxa"/>
            <w:vAlign w:val="bottom"/>
            <w:gridSpan w:val="3"/>
          </w:tcPr>
          <w:p>
            <w:pPr>
              <w:jc w:val="right"/>
              <w:ind w:right="400"/>
              <w:spacing w:after="0"/>
              <w:rPr>
                <w:sz w:val="20"/>
                <w:szCs w:val="20"/>
                <w:color w:val="auto"/>
              </w:rPr>
            </w:pPr>
            <w:r>
              <w:rPr>
                <w:rFonts w:ascii="Arial" w:cs="Arial" w:eastAsia="Arial" w:hAnsi="Arial"/>
                <w:sz w:val="13"/>
                <w:szCs w:val="13"/>
                <w:color w:val="auto"/>
              </w:rPr>
              <w:t>3,538,628</w:t>
            </w:r>
          </w:p>
        </w:tc>
        <w:tc>
          <w:tcPr>
            <w:tcW w:w="120" w:type="dxa"/>
            <w:vAlign w:val="bottom"/>
          </w:tcPr>
          <w:p>
            <w:pPr>
              <w:spacing w:after="0"/>
              <w:rPr>
                <w:sz w:val="13"/>
                <w:szCs w:val="13"/>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5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540</w:t>
            </w: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493</w:t>
            </w:r>
          </w:p>
        </w:tc>
        <w:tc>
          <w:tcPr>
            <w:tcW w:w="0" w:type="dxa"/>
            <w:vAlign w:val="bottom"/>
          </w:tcPr>
          <w:p>
            <w:pPr>
              <w:spacing w:after="0"/>
              <w:rPr>
                <w:sz w:val="1"/>
                <w:szCs w:val="1"/>
                <w:color w:val="auto"/>
              </w:rPr>
            </w:pPr>
          </w:p>
        </w:tc>
      </w:tr>
      <w:tr>
        <w:trPr>
          <w:trHeight w:val="29"/>
        </w:trPr>
        <w:tc>
          <w:tcPr>
            <w:tcW w:w="3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firstLine="399"/>
        <w:spacing w:after="0" w:line="320" w:lineRule="auto"/>
        <w:rPr>
          <w:sz w:val="20"/>
          <w:szCs w:val="20"/>
          <w:color w:val="auto"/>
        </w:rPr>
      </w:pPr>
      <w:r>
        <w:rPr>
          <w:rFonts w:ascii="Arial" w:cs="Arial" w:eastAsia="Arial" w:hAnsi="Arial"/>
          <w:sz w:val="12"/>
          <w:szCs w:val="12"/>
          <w:color w:val="auto"/>
        </w:rPr>
        <w:t>Before any dividend may be paid on the Class B Common Stock, holders of the Class A Common Stock are entitled to receive an annual, noncumulative cash dividend of $.01665 per share. Thereafter, any further dividend in that fiscal year must be paid on each share of Class A Common Stock and Class B Common Stock on an equal basis.</w:t>
      </w:r>
    </w:p>
    <w:p>
      <w:pPr>
        <w:spacing w:after="0" w:line="35"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Holders of the Class A Common Stock are not entitled to any vote on corporate matters, unless, in each of the three preceding fiscal years, the $.01665 preferential dividend described above has not been paid in full. Holders of the Class A Common Stock are entitled to one vote per share for the entire fiscal year immediately following the third consecutive fiscal year in which the preferential dividend is not paid in full. Holders of Class B Common Stock are entitled to one vote per share for the election of directors and for all other purposes.</w:t>
      </w:r>
    </w:p>
    <w:p>
      <w:pPr>
        <w:spacing w:after="0" w:line="50"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Upon liquidation, dissolution or winding up of the Company, and after distribution of any amounts due to holders of Cumulative Preferred Stock, holders of the Class A Common Stock are entitled to receive the sum of $0.835 per share before any payment or distribution to holders of the Class B Common Stock. Thereafter, holders of the Class B Common Stock are entitled to receive a payment or distribution of $0.835 per share. Thereafter, holders of the Class A Common Stock and Class B Common Stock share equally in all payments or distributions upon liquidation, dissolution or winding up of the Company.</w:t>
      </w:r>
    </w:p>
    <w:p>
      <w:pPr>
        <w:spacing w:after="0" w:line="70" w:lineRule="exact"/>
        <w:rPr>
          <w:sz w:val="20"/>
          <w:szCs w:val="20"/>
          <w:color w:val="auto"/>
        </w:rPr>
      </w:pPr>
    </w:p>
    <w:p>
      <w:pPr>
        <w:ind w:left="680" w:right="460" w:firstLine="399"/>
        <w:spacing w:after="0" w:line="276" w:lineRule="auto"/>
        <w:rPr>
          <w:sz w:val="20"/>
          <w:szCs w:val="20"/>
          <w:color w:val="auto"/>
        </w:rPr>
      </w:pPr>
      <w:r>
        <w:rPr>
          <w:rFonts w:ascii="Arial" w:cs="Arial" w:eastAsia="Arial" w:hAnsi="Arial"/>
          <w:sz w:val="13"/>
          <w:szCs w:val="13"/>
          <w:color w:val="auto"/>
        </w:rPr>
        <w:t>The preferences in dividends and liquidation rights of the Class A Common Stock over the Class B Common Stock will terminate at any time that the voting rights of Class A Common Stock and Class B Common Stock become equal.</w:t>
      </w:r>
    </w:p>
    <w:p>
      <w:pPr>
        <w:spacing w:after="0" w:line="59"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In September 2005, the Company announced that the Board of Directors of the Company approved a share repurchase program for up to 800,000 shares of the Company’s Class A Common Stock during fiscal 2006. The share repurchase plan was implemented by purchasing shares on the open market or in privately negotiated transactions, with repurchased shares available for use in connection with the Company’s stock option plan and for other corporate purposes. The Company completed the repurchase of all 800,000 shares of its Class A Common Stock for $26,495 under the repurchase plan approved by the Board of Directors during the fiscal year ended July 31, 2006.</w:t>
      </w:r>
    </w:p>
    <w:p>
      <w:pPr>
        <w:spacing w:after="0" w:line="53"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In June 2006, the Company sold, pursuant to an underwritten public offering, 4,600,000 shares of its Class A nonvoting common stock at a price of $36 per share. Cash proceeds from the offering, net of underwriting discounts, were approximately $158,148. In addition to underwriting discounts, the Company incurred approximately $403 of additional accounting, legal and other expenses related to the offering that were charged to additional paid-in capital. The proceeds were used to fund acquisitions completed in fiscal 2006 and early fiscal 2007.</w:t>
      </w:r>
    </w:p>
    <w:p>
      <w:pPr>
        <w:spacing w:after="0" w:line="25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BRADY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other activity in stockholders’ investment for the years ended July 31, 2004, 2005 and 2006:</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5"/>
              </w:rPr>
              <w:t>Unearned</w:t>
            </w:r>
          </w:p>
        </w:tc>
        <w:tc>
          <w:tcPr>
            <w:tcW w:w="120" w:type="dxa"/>
            <w:vAlign w:val="bottom"/>
          </w:tcPr>
          <w:p>
            <w:pPr>
              <w:spacing w:after="0"/>
              <w:rPr>
                <w:sz w:val="10"/>
                <w:szCs w:val="10"/>
                <w:color w:val="auto"/>
              </w:rPr>
            </w:pPr>
          </w:p>
        </w:tc>
        <w:tc>
          <w:tcPr>
            <w:tcW w:w="1260" w:type="dxa"/>
            <w:vAlign w:val="bottom"/>
            <w:gridSpan w:val="2"/>
            <w:vMerge w:val="restart"/>
          </w:tcPr>
          <w:p>
            <w:pPr>
              <w:jc w:val="right"/>
              <w:ind w:right="680"/>
              <w:spacing w:after="0"/>
              <w:rPr>
                <w:sz w:val="20"/>
                <w:szCs w:val="20"/>
                <w:color w:val="auto"/>
              </w:rPr>
            </w:pPr>
            <w:r>
              <w:rPr>
                <w:rFonts w:ascii="Arial" w:cs="Arial" w:eastAsia="Arial" w:hAnsi="Arial"/>
                <w:sz w:val="10"/>
                <w:szCs w:val="10"/>
                <w:b w:val="1"/>
                <w:bCs w:val="1"/>
                <w:color w:val="auto"/>
              </w:rPr>
              <w:t>Deferred</w:t>
            </w:r>
          </w:p>
        </w:tc>
        <w:tc>
          <w:tcPr>
            <w:tcW w:w="120" w:type="dxa"/>
            <w:vAlign w:val="bottom"/>
          </w:tcPr>
          <w:p>
            <w:pPr>
              <w:spacing w:after="0"/>
              <w:rPr>
                <w:sz w:val="10"/>
                <w:szCs w:val="10"/>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3"/>
              </w:rPr>
              <w:t>Shares Held</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3"/>
              </w:rPr>
              <w:t>Restricted</w:t>
            </w:r>
          </w:p>
        </w:tc>
        <w:tc>
          <w:tcPr>
            <w:tcW w:w="12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rPr>
              <w:t>in Rabbi</w:t>
            </w:r>
          </w:p>
        </w:tc>
        <w:tc>
          <w:tcPr>
            <w:tcW w:w="120" w:type="dxa"/>
            <w:vAlign w:val="bottom"/>
          </w:tcPr>
          <w:p>
            <w:pPr>
              <w:spacing w:after="0"/>
              <w:rPr>
                <w:sz w:val="9"/>
                <w:szCs w:val="9"/>
                <w:color w:val="auto"/>
              </w:rPr>
            </w:pPr>
          </w:p>
        </w:tc>
        <w:tc>
          <w:tcPr>
            <w:tcW w:w="560" w:type="dxa"/>
            <w:vAlign w:val="bottom"/>
            <w:gridSpan w:val="2"/>
            <w:vMerge w:val="restart"/>
          </w:tcPr>
          <w:p>
            <w:pPr>
              <w:jc w:val="right"/>
              <w:ind w:right="28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87"/>
              </w:rPr>
              <w:t>Stock</w:t>
            </w:r>
          </w:p>
        </w:tc>
        <w:tc>
          <w:tcPr>
            <w:tcW w:w="120" w:type="dxa"/>
            <w:vAlign w:val="bottom"/>
          </w:tcPr>
          <w:p>
            <w:pPr>
              <w:spacing w:after="0"/>
              <w:rPr>
                <w:sz w:val="10"/>
                <w:szCs w:val="10"/>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w w:val="97"/>
              </w:rPr>
              <w:t>Compensation</w:t>
            </w:r>
          </w:p>
        </w:tc>
        <w:tc>
          <w:tcPr>
            <w:tcW w:w="120" w:type="dxa"/>
            <w:vAlign w:val="bottom"/>
          </w:tcPr>
          <w:p>
            <w:pPr>
              <w:spacing w:after="0"/>
              <w:rPr>
                <w:sz w:val="10"/>
                <w:szCs w:val="10"/>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2"/>
              </w:rPr>
              <w:t>Trust, at cost</w:t>
            </w:r>
          </w:p>
        </w:tc>
        <w:tc>
          <w:tcPr>
            <w:tcW w:w="12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Balances July 31, 2003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(628)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14,725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(14,725)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(628)</w:t>
            </w:r>
          </w:p>
        </w:tc>
        <w:tc>
          <w:tcPr>
            <w:tcW w:w="0" w:type="dxa"/>
            <w:vAlign w:val="bottom"/>
          </w:tcPr>
          <w:p>
            <w:pPr>
              <w:spacing w:after="0"/>
              <w:rPr>
                <w:sz w:val="1"/>
                <w:szCs w:val="1"/>
                <w:color w:val="auto"/>
              </w:rPr>
            </w:pPr>
          </w:p>
        </w:tc>
      </w:tr>
      <w:tr>
        <w:trPr>
          <w:trHeight w:val="29"/>
        </w:trPr>
        <w:tc>
          <w:tcPr>
            <w:tcW w:w="5500" w:type="dxa"/>
            <w:vAlign w:val="bottom"/>
            <w:gridSpan w:val="2"/>
            <w:vMerge w:val="restart"/>
          </w:tcPr>
          <w:p>
            <w:pPr>
              <w:spacing w:after="0"/>
              <w:rPr>
                <w:sz w:val="20"/>
                <w:szCs w:val="20"/>
                <w:color w:val="auto"/>
              </w:rPr>
            </w:pPr>
            <w:r>
              <w:rPr>
                <w:rFonts w:ascii="Arial" w:cs="Arial" w:eastAsia="Arial" w:hAnsi="Arial"/>
                <w:sz w:val="13"/>
                <w:szCs w:val="13"/>
                <w:color w:val="auto"/>
              </w:rPr>
              <w:t>Shares at July 31, 2003(1)</w:t>
            </w: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55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969,058</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969,058</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13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5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Sale of shares at cost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(411)</w:t>
            </w: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411</w:t>
            </w: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500" w:type="dxa"/>
            <w:vAlign w:val="bottom"/>
            <w:gridSpan w:val="2"/>
          </w:tcPr>
          <w:p>
            <w:pPr>
              <w:spacing w:after="0"/>
              <w:rPr>
                <w:sz w:val="20"/>
                <w:szCs w:val="20"/>
                <w:color w:val="auto"/>
              </w:rPr>
            </w:pPr>
            <w:r>
              <w:rPr>
                <w:rFonts w:ascii="Arial" w:cs="Arial" w:eastAsia="Arial" w:hAnsi="Arial"/>
                <w:sz w:val="13"/>
                <w:szCs w:val="13"/>
                <w:color w:val="auto"/>
              </w:rPr>
              <w:t>Purchase of shares at cost</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880</w:t>
            </w:r>
          </w:p>
        </w:tc>
        <w:tc>
          <w:tcPr>
            <w:tcW w:w="120" w:type="dxa"/>
            <w:vAlign w:val="bottom"/>
          </w:tcPr>
          <w:p>
            <w:pPr>
              <w:spacing w:after="0"/>
              <w:rPr>
                <w:sz w:val="13"/>
                <w:szCs w:val="13"/>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3"/>
                <w:szCs w:val="13"/>
                <w:color w:val="auto"/>
              </w:rPr>
              <w:t>(880)</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Amortization of restricted stock</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346</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346</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3"/>
                <w:szCs w:val="13"/>
                <w:color w:val="auto"/>
              </w:rPr>
              <w:t>Balances July 31, 2004</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500" w:type="dxa"/>
            <w:vAlign w:val="bottom"/>
            <w:gridSpan w:val="2"/>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(282)</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15,194</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360"/>
              <w:spacing w:after="0"/>
              <w:rPr>
                <w:sz w:val="20"/>
                <w:szCs w:val="20"/>
                <w:color w:val="auto"/>
              </w:rPr>
            </w:pPr>
            <w:r>
              <w:rPr>
                <w:rFonts w:ascii="Arial" w:cs="Arial" w:eastAsia="Arial" w:hAnsi="Arial"/>
                <w:sz w:val="13"/>
                <w:szCs w:val="13"/>
                <w:color w:val="auto"/>
              </w:rPr>
              <w:t>(15,194)</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(282)</w:t>
            </w:r>
          </w:p>
        </w:tc>
        <w:tc>
          <w:tcPr>
            <w:tcW w:w="0" w:type="dxa"/>
            <w:vAlign w:val="bottom"/>
          </w:tcPr>
          <w:p>
            <w:pPr>
              <w:spacing w:after="0"/>
              <w:rPr>
                <w:sz w:val="1"/>
                <w:szCs w:val="1"/>
                <w:color w:val="auto"/>
              </w:rPr>
            </w:pPr>
          </w:p>
        </w:tc>
      </w:tr>
      <w:tr>
        <w:trPr>
          <w:trHeight w:val="33"/>
        </w:trPr>
        <w:tc>
          <w:tcPr>
            <w:tcW w:w="13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5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Shares at July 31, 2004(1)</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988,534</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988,534</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5500" w:type="dxa"/>
            <w:vAlign w:val="bottom"/>
            <w:gridSpan w:val="2"/>
            <w:vMerge w:val="restart"/>
          </w:tcPr>
          <w:p>
            <w:pPr>
              <w:spacing w:after="0"/>
              <w:rPr>
                <w:sz w:val="20"/>
                <w:szCs w:val="20"/>
                <w:color w:val="auto"/>
              </w:rPr>
            </w:pPr>
            <w:r>
              <w:rPr>
                <w:rFonts w:ascii="Arial" w:cs="Arial" w:eastAsia="Arial" w:hAnsi="Arial"/>
                <w:sz w:val="13"/>
                <w:szCs w:val="13"/>
                <w:color w:val="auto"/>
              </w:rPr>
              <w:t>Sale of shares at cost</w:t>
            </w:r>
          </w:p>
        </w:tc>
        <w:tc>
          <w:tcPr>
            <w:tcW w:w="100" w:type="dxa"/>
            <w:vAlign w:val="bottom"/>
          </w:tcPr>
          <w:p>
            <w:pPr>
              <w:spacing w:after="0"/>
              <w:rPr>
                <w:sz w:val="2"/>
                <w:szCs w:val="2"/>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81</w:t>
            </w:r>
          </w:p>
        </w:tc>
        <w:tc>
          <w:tcPr>
            <w:tcW w:w="0" w:type="dxa"/>
            <w:vAlign w:val="bottom"/>
          </w:tcPr>
          <w:p>
            <w:pPr>
              <w:spacing w:after="0" w:line="20" w:lineRule="exact"/>
              <w:rPr>
                <w:sz w:val="1"/>
                <w:szCs w:val="1"/>
                <w:color w:val="auto"/>
              </w:rPr>
            </w:pPr>
          </w:p>
        </w:tc>
      </w:tr>
      <w:tr>
        <w:trPr>
          <w:trHeight w:val="166"/>
        </w:trPr>
        <w:tc>
          <w:tcPr>
            <w:tcW w:w="55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(498)</w:t>
            </w:r>
          </w:p>
        </w:tc>
        <w:tc>
          <w:tcPr>
            <w:tcW w:w="120" w:type="dxa"/>
            <w:vAlign w:val="bottom"/>
          </w:tcPr>
          <w:p>
            <w:pPr>
              <w:spacing w:after="0"/>
              <w:rPr>
                <w:sz w:val="14"/>
                <w:szCs w:val="1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579</w:t>
            </w:r>
          </w:p>
        </w:tc>
        <w:tc>
          <w:tcPr>
            <w:tcW w:w="12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Purchase of shares at cost</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516</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(1,210)</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(694)</w:t>
            </w:r>
          </w:p>
        </w:tc>
        <w:tc>
          <w:tcPr>
            <w:tcW w:w="0" w:type="dxa"/>
            <w:vAlign w:val="bottom"/>
          </w:tcPr>
          <w:p>
            <w:pPr>
              <w:spacing w:after="0"/>
              <w:rPr>
                <w:sz w:val="1"/>
                <w:szCs w:val="1"/>
                <w:color w:val="auto"/>
              </w:rPr>
            </w:pPr>
          </w:p>
        </w:tc>
      </w:tr>
      <w:tr>
        <w:trPr>
          <w:trHeight w:val="157"/>
        </w:trPr>
        <w:tc>
          <w:tcPr>
            <w:tcW w:w="5500" w:type="dxa"/>
            <w:vAlign w:val="bottom"/>
            <w:gridSpan w:val="2"/>
          </w:tcPr>
          <w:p>
            <w:pPr>
              <w:spacing w:after="0"/>
              <w:rPr>
                <w:sz w:val="20"/>
                <w:szCs w:val="20"/>
                <w:color w:val="auto"/>
              </w:rPr>
            </w:pPr>
            <w:r>
              <w:rPr>
                <w:rFonts w:ascii="Arial" w:cs="Arial" w:eastAsia="Arial" w:hAnsi="Arial"/>
                <w:sz w:val="13"/>
                <w:szCs w:val="13"/>
                <w:color w:val="auto"/>
              </w:rPr>
              <w:t>Amortization of restricted stock</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282</w:t>
            </w:r>
          </w:p>
        </w:tc>
        <w:tc>
          <w:tcPr>
            <w:tcW w:w="120" w:type="dxa"/>
            <w:vAlign w:val="bottom"/>
          </w:tcPr>
          <w:p>
            <w:pPr>
              <w:spacing w:after="0"/>
              <w:rPr>
                <w:sz w:val="13"/>
                <w:szCs w:val="13"/>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282</w:t>
            </w:r>
          </w:p>
        </w:tc>
        <w:tc>
          <w:tcPr>
            <w:tcW w:w="0" w:type="dxa"/>
            <w:vAlign w:val="bottom"/>
          </w:tcPr>
          <w:p>
            <w:pPr>
              <w:spacing w:after="0"/>
              <w:rPr>
                <w:sz w:val="1"/>
                <w:szCs w:val="1"/>
                <w:color w:val="auto"/>
              </w:rPr>
            </w:pPr>
          </w:p>
        </w:tc>
      </w:tr>
      <w:tr>
        <w:trPr>
          <w:trHeight w:val="157"/>
        </w:trPr>
        <w:tc>
          <w:tcPr>
            <w:tcW w:w="5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(437)</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(437)</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3"/>
                <w:szCs w:val="13"/>
                <w:color w:val="auto"/>
              </w:rPr>
              <w:t>Balances at July 31, 2005</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500" w:type="dxa"/>
            <w:vAlign w:val="bottom"/>
            <w:gridSpan w:val="2"/>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14,775</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360"/>
              <w:spacing w:after="0"/>
              <w:rPr>
                <w:sz w:val="20"/>
                <w:szCs w:val="20"/>
                <w:color w:val="auto"/>
              </w:rPr>
            </w:pPr>
            <w:r>
              <w:rPr>
                <w:rFonts w:ascii="Arial" w:cs="Arial" w:eastAsia="Arial" w:hAnsi="Arial"/>
                <w:sz w:val="13"/>
                <w:szCs w:val="13"/>
                <w:color w:val="auto"/>
              </w:rPr>
              <w:t>(15,825)</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(1,050)</w:t>
            </w:r>
          </w:p>
        </w:tc>
        <w:tc>
          <w:tcPr>
            <w:tcW w:w="0" w:type="dxa"/>
            <w:vAlign w:val="bottom"/>
          </w:tcPr>
          <w:p>
            <w:pPr>
              <w:spacing w:after="0"/>
              <w:rPr>
                <w:sz w:val="1"/>
                <w:szCs w:val="1"/>
                <w:color w:val="auto"/>
              </w:rPr>
            </w:pPr>
          </w:p>
        </w:tc>
      </w:tr>
      <w:tr>
        <w:trPr>
          <w:trHeight w:val="33"/>
        </w:trPr>
        <w:tc>
          <w:tcPr>
            <w:tcW w:w="13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5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Shares at July 31, 2005</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950,222</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997,034</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5500" w:type="dxa"/>
            <w:vAlign w:val="bottom"/>
            <w:gridSpan w:val="2"/>
            <w:vMerge w:val="restart"/>
          </w:tcPr>
          <w:p>
            <w:pPr>
              <w:spacing w:after="0"/>
              <w:rPr>
                <w:sz w:val="20"/>
                <w:szCs w:val="20"/>
                <w:color w:val="auto"/>
              </w:rPr>
            </w:pPr>
            <w:r>
              <w:rPr>
                <w:rFonts w:ascii="Arial" w:cs="Arial" w:eastAsia="Arial" w:hAnsi="Arial"/>
                <w:sz w:val="13"/>
                <w:szCs w:val="13"/>
                <w:color w:val="auto"/>
              </w:rPr>
              <w:t>Sale of shares at cost</w:t>
            </w:r>
          </w:p>
        </w:tc>
        <w:tc>
          <w:tcPr>
            <w:tcW w:w="100" w:type="dxa"/>
            <w:vAlign w:val="bottom"/>
          </w:tcPr>
          <w:p>
            <w:pPr>
              <w:spacing w:after="0"/>
              <w:rPr>
                <w:sz w:val="2"/>
                <w:szCs w:val="2"/>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1</w:t>
            </w:r>
          </w:p>
        </w:tc>
        <w:tc>
          <w:tcPr>
            <w:tcW w:w="0" w:type="dxa"/>
            <w:vAlign w:val="bottom"/>
          </w:tcPr>
          <w:p>
            <w:pPr>
              <w:spacing w:after="0" w:line="20" w:lineRule="exact"/>
              <w:rPr>
                <w:sz w:val="1"/>
                <w:szCs w:val="1"/>
                <w:color w:val="auto"/>
              </w:rPr>
            </w:pPr>
          </w:p>
        </w:tc>
      </w:tr>
      <w:tr>
        <w:trPr>
          <w:trHeight w:val="166"/>
        </w:trPr>
        <w:tc>
          <w:tcPr>
            <w:tcW w:w="55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(450)</w:t>
            </w:r>
          </w:p>
        </w:tc>
        <w:tc>
          <w:tcPr>
            <w:tcW w:w="120" w:type="dxa"/>
            <w:vAlign w:val="bottom"/>
          </w:tcPr>
          <w:p>
            <w:pPr>
              <w:spacing w:after="0"/>
              <w:rPr>
                <w:sz w:val="14"/>
                <w:szCs w:val="1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451</w:t>
            </w:r>
          </w:p>
        </w:tc>
        <w:tc>
          <w:tcPr>
            <w:tcW w:w="12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Purchase of shares at cost</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573</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(1,466)</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(893)</w:t>
            </w:r>
          </w:p>
        </w:tc>
        <w:tc>
          <w:tcPr>
            <w:tcW w:w="0" w:type="dxa"/>
            <w:vAlign w:val="bottom"/>
          </w:tcPr>
          <w:p>
            <w:pPr>
              <w:spacing w:after="0"/>
              <w:rPr>
                <w:sz w:val="1"/>
                <w:szCs w:val="1"/>
                <w:color w:val="auto"/>
              </w:rPr>
            </w:pPr>
          </w:p>
        </w:tc>
      </w:tr>
      <w:tr>
        <w:trPr>
          <w:trHeight w:val="157"/>
        </w:trPr>
        <w:tc>
          <w:tcPr>
            <w:tcW w:w="5500" w:type="dxa"/>
            <w:vAlign w:val="bottom"/>
            <w:gridSpan w:val="2"/>
          </w:tcPr>
          <w:p>
            <w:pPr>
              <w:spacing w:after="0"/>
              <w:rPr>
                <w:sz w:val="20"/>
                <w:szCs w:val="20"/>
                <w:color w:val="auto"/>
              </w:rPr>
            </w:pPr>
            <w:r>
              <w:rPr>
                <w:rFonts w:ascii="Arial" w:cs="Arial" w:eastAsia="Arial" w:hAnsi="Arial"/>
                <w:sz w:val="13"/>
                <w:szCs w:val="13"/>
                <w:color w:val="auto"/>
              </w:rPr>
              <w:t>Effect of plan amendment</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2,704</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2,704</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Balances at July 31, 2006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17,602</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(16,840)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762</w:t>
            </w:r>
          </w:p>
        </w:tc>
        <w:tc>
          <w:tcPr>
            <w:tcW w:w="0" w:type="dxa"/>
            <w:vAlign w:val="bottom"/>
          </w:tcPr>
          <w:p>
            <w:pPr>
              <w:spacing w:after="0"/>
              <w:rPr>
                <w:sz w:val="1"/>
                <w:szCs w:val="1"/>
                <w:color w:val="auto"/>
              </w:rPr>
            </w:pPr>
          </w:p>
        </w:tc>
      </w:tr>
      <w:tr>
        <w:trPr>
          <w:trHeight w:val="29"/>
        </w:trPr>
        <w:tc>
          <w:tcPr>
            <w:tcW w:w="5500" w:type="dxa"/>
            <w:vAlign w:val="bottom"/>
            <w:gridSpan w:val="2"/>
            <w:vMerge w:val="restart"/>
          </w:tcPr>
          <w:p>
            <w:pPr>
              <w:spacing w:after="0"/>
              <w:rPr>
                <w:sz w:val="20"/>
                <w:szCs w:val="20"/>
                <w:color w:val="auto"/>
              </w:rPr>
            </w:pPr>
            <w:r>
              <w:rPr>
                <w:rFonts w:ascii="Arial" w:cs="Arial" w:eastAsia="Arial" w:hAnsi="Arial"/>
                <w:sz w:val="13"/>
                <w:szCs w:val="13"/>
                <w:color w:val="auto"/>
              </w:rPr>
              <w:t>Shares at July 31, 2006</w:t>
            </w: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55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1,012,914</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1,012,914</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740"/>
        <w:spacing w:after="0"/>
        <w:rPr>
          <w:sz w:val="20"/>
          <w:szCs w:val="20"/>
          <w:color w:val="auto"/>
        </w:rPr>
      </w:pPr>
      <w:r>
        <w:rPr>
          <w:rFonts w:ascii="Arial" w:cs="Arial" w:eastAsia="Arial" w:hAnsi="Arial"/>
          <w:sz w:val="13"/>
          <w:szCs w:val="13"/>
          <w:color w:val="auto"/>
        </w:rPr>
        <w:t>(1)  Adjusted for two-for-one stock split in the form of a 100% stock dividend, effective December 31, 2004.</w:t>
      </w:r>
    </w:p>
    <w:p>
      <w:pPr>
        <w:spacing w:after="0" w:line="96"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Prior to 2002, all Brady Corporation deferred compensation was invested in Brady stock. In 2002, the Company adopted a new deferred compensation plan which allowed investing in other investment funds in addition to Brady stock. Under this plan, participants were allowed to transfer funds between Brady stock and the other investment funds. On May 1, 2006 the plan was amended with the provision that deferrals into Brady stock must remain in Brady stock and be distributed in shares of Brady stock. At July 31, 2006, the deferred compensation balance in stockholders’ investment represents the investment at the original cost of shares held in Brady stock for the deferred compensation plan prior to 2002 and the investment at the cost of shares held in Brady stock for the plan subsequent to 2002, adjusted for the plan amendment on May 1, 2006. The balance of shares held in the Rabbi Trust represents the investment in Brady stock at the original cost of all Brady stock held in deferred compensation plans.</w:t>
      </w:r>
    </w:p>
    <w:p>
      <w:pPr>
        <w:spacing w:after="0" w:line="59"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The Company’s Employee Monthly Stock Investment Plan (“the Plan”) provides that eligible employees may authorize a fixed dollar amount between $20 and $500 per month to be deducted from their pay. The funds deducted are forwarded to the Plan administrator and are used to purchase Brady stock at the market price. As part of the Plan, Brady pays all brokerage fees for stock purchases and dividend reinvestments.</w:t>
      </w:r>
    </w:p>
    <w:p>
      <w:pPr>
        <w:spacing w:after="0" w:line="67" w:lineRule="exact"/>
        <w:rPr>
          <w:sz w:val="20"/>
          <w:szCs w:val="20"/>
          <w:color w:val="auto"/>
        </w:rPr>
      </w:pPr>
    </w:p>
    <w:p>
      <w:pPr>
        <w:jc w:val="both"/>
        <w:ind w:left="680" w:right="80" w:firstLine="399"/>
        <w:spacing w:after="0" w:line="276" w:lineRule="auto"/>
        <w:rPr>
          <w:sz w:val="20"/>
          <w:szCs w:val="20"/>
          <w:color w:val="auto"/>
        </w:rPr>
      </w:pPr>
      <w:r>
        <w:rPr>
          <w:rFonts w:ascii="Arial" w:cs="Arial" w:eastAsia="Arial" w:hAnsi="Arial"/>
          <w:sz w:val="13"/>
          <w:szCs w:val="13"/>
          <w:color w:val="auto"/>
        </w:rPr>
        <w:t>The Company’s Nonqualified Stock Option Plans allow the granting of stock options to various officers, directors and other employees of the Company at prices equal to fair market value at the date of grant. At July 31, 2006, the Company had reserved 3,815,052 shares of Class A Nonvoting Common Stock for outstanding stock</w:t>
      </w:r>
    </w:p>
    <w:p>
      <w:pPr>
        <w:spacing w:after="0" w:line="25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BRADY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9" w:lineRule="exact"/>
        <w:rPr>
          <w:sz w:val="20"/>
          <w:szCs w:val="20"/>
          <w:color w:val="auto"/>
        </w:rPr>
      </w:pPr>
    </w:p>
    <w:p>
      <w:pPr>
        <w:jc w:val="both"/>
        <w:ind w:left="680" w:right="200"/>
        <w:spacing w:after="0" w:line="264" w:lineRule="auto"/>
        <w:rPr>
          <w:sz w:val="20"/>
          <w:szCs w:val="20"/>
          <w:color w:val="auto"/>
        </w:rPr>
      </w:pPr>
      <w:r>
        <w:rPr>
          <w:rFonts w:ascii="Arial" w:cs="Arial" w:eastAsia="Arial" w:hAnsi="Arial"/>
          <w:sz w:val="13"/>
          <w:szCs w:val="13"/>
          <w:color w:val="auto"/>
        </w:rPr>
        <w:t>options and 878,968 shares of Class A Nonvoting Common Stock for future issuance of stock options under the various plans, adjusted for a two-for-one stock split in the form of a 100% stock dividend, effective December 31, 2004. A total of 11,550,000 shares have been authorized under existing or prior plans. The Company uses treasury stock or will issue new Class A Common Stock to deliver shares under these plans.</w:t>
      </w:r>
    </w:p>
    <w:p>
      <w:pPr>
        <w:spacing w:after="0" w:line="67"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The options vest ratably over a three-year period, with one-third becoming exercisable one year after the grant date and one-third additional in each of the succeeding two years. Options issued under these plans, referred to herein as “service-based” awards, generally expire 10 years from the date of grant. During the fiscal years ended July 31, 2006 and 2005, certain executives and key management employees were issued stock options that vest upon meeting certain financial performance conditions in addition to the vesting schedule described above. The financial performance conditions consist of net income targets that the Company must meet. These options, referred to herein as “performance based” awards, expire 5 years from the date of grant.</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Changes in the options are as follows(1):</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3"/>
              </w:rPr>
              <w:t>Weighted</w:t>
            </w:r>
          </w:p>
        </w:tc>
        <w:tc>
          <w:tcPr>
            <w:tcW w:w="0" w:type="dxa"/>
            <w:vAlign w:val="bottom"/>
          </w:tcPr>
          <w:p>
            <w:pPr>
              <w:spacing w:after="0"/>
              <w:rPr>
                <w:sz w:val="1"/>
                <w:szCs w:val="1"/>
                <w:color w:val="auto"/>
              </w:rPr>
            </w:pPr>
          </w:p>
        </w:tc>
      </w:tr>
      <w:tr>
        <w:trPr>
          <w:trHeight w:val="108"/>
        </w:trPr>
        <w:tc>
          <w:tcPr>
            <w:tcW w:w="6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00" w:type="dxa"/>
            <w:vAlign w:val="bottom"/>
            <w:gridSpan w:val="2"/>
            <w:vMerge w:val="restart"/>
          </w:tcPr>
          <w:p>
            <w:pPr>
              <w:jc w:val="right"/>
              <w:ind w:right="660"/>
              <w:spacing w:after="0"/>
              <w:rPr>
                <w:sz w:val="20"/>
                <w:szCs w:val="20"/>
                <w:color w:val="auto"/>
              </w:rPr>
            </w:pPr>
            <w:r>
              <w:rPr>
                <w:rFonts w:ascii="Arial" w:cs="Arial" w:eastAsia="Arial" w:hAnsi="Arial"/>
                <w:sz w:val="10"/>
                <w:szCs w:val="10"/>
                <w:b w:val="1"/>
                <w:bCs w:val="1"/>
                <w:color w:val="auto"/>
              </w:rPr>
              <w:t>Options</w:t>
            </w:r>
          </w:p>
        </w:tc>
        <w:tc>
          <w:tcPr>
            <w:tcW w:w="80" w:type="dxa"/>
            <w:vAlign w:val="bottom"/>
          </w:tcPr>
          <w:p>
            <w:pPr>
              <w:spacing w:after="0"/>
              <w:rPr>
                <w:sz w:val="9"/>
                <w:szCs w:val="9"/>
                <w:color w:val="auto"/>
              </w:rPr>
            </w:pPr>
          </w:p>
        </w:tc>
        <w:tc>
          <w:tcPr>
            <w:tcW w:w="6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6"/>
              </w:rPr>
              <w:t>Average</w:t>
            </w:r>
          </w:p>
        </w:tc>
        <w:tc>
          <w:tcPr>
            <w:tcW w:w="0" w:type="dxa"/>
            <w:vAlign w:val="bottom"/>
          </w:tcPr>
          <w:p>
            <w:pPr>
              <w:spacing w:after="0"/>
              <w:rPr>
                <w:sz w:val="1"/>
                <w:szCs w:val="1"/>
                <w:color w:val="auto"/>
              </w:rPr>
            </w:pPr>
          </w:p>
        </w:tc>
      </w:tr>
      <w:tr>
        <w:trPr>
          <w:trHeight w:val="108"/>
        </w:trPr>
        <w:tc>
          <w:tcPr>
            <w:tcW w:w="6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Option Price</w:t>
            </w: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2"/>
              </w:rPr>
              <w:t>Exercise</w:t>
            </w:r>
          </w:p>
        </w:tc>
        <w:tc>
          <w:tcPr>
            <w:tcW w:w="0" w:type="dxa"/>
            <w:vAlign w:val="bottom"/>
          </w:tcPr>
          <w:p>
            <w:pPr>
              <w:spacing w:after="0"/>
              <w:rPr>
                <w:sz w:val="1"/>
                <w:szCs w:val="1"/>
                <w:color w:val="auto"/>
              </w:rPr>
            </w:pPr>
          </w:p>
        </w:tc>
      </w:tr>
      <w:tr>
        <w:trPr>
          <w:trHeight w:val="125"/>
        </w:trPr>
        <w:tc>
          <w:tcPr>
            <w:tcW w:w="6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Outstanding</w:t>
            </w:r>
          </w:p>
        </w:tc>
        <w:tc>
          <w:tcPr>
            <w:tcW w:w="80" w:type="dxa"/>
            <w:vAlign w:val="bottom"/>
          </w:tcPr>
          <w:p>
            <w:pPr>
              <w:spacing w:after="0"/>
              <w:rPr>
                <w:sz w:val="10"/>
                <w:szCs w:val="10"/>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Price</w:t>
            </w:r>
          </w:p>
        </w:tc>
        <w:tc>
          <w:tcPr>
            <w:tcW w:w="0" w:type="dxa"/>
            <w:vAlign w:val="bottom"/>
          </w:tcPr>
          <w:p>
            <w:pPr>
              <w:spacing w:after="0"/>
              <w:rPr>
                <w:sz w:val="1"/>
                <w:szCs w:val="1"/>
                <w:color w:val="auto"/>
              </w:rPr>
            </w:pPr>
          </w:p>
        </w:tc>
      </w:tr>
      <w:tr>
        <w:trPr>
          <w:trHeight w:val="29"/>
        </w:trPr>
        <w:tc>
          <w:tcPr>
            <w:tcW w:w="620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200" w:type="dxa"/>
            <w:vAlign w:val="bottom"/>
            <w:shd w:val="clear" w:color="auto" w:fill="CCEEFF"/>
          </w:tcPr>
          <w:p>
            <w:pPr>
              <w:spacing w:after="0"/>
              <w:rPr>
                <w:sz w:val="20"/>
                <w:szCs w:val="20"/>
                <w:color w:val="auto"/>
              </w:rPr>
            </w:pPr>
            <w:r>
              <w:rPr>
                <w:rFonts w:ascii="Arial" w:cs="Arial" w:eastAsia="Arial" w:hAnsi="Arial"/>
                <w:sz w:val="13"/>
                <w:szCs w:val="13"/>
                <w:color w:val="auto"/>
              </w:rPr>
              <w:t>Balance, July 31, 2003</w:t>
            </w:r>
          </w:p>
        </w:tc>
        <w:tc>
          <w:tcPr>
            <w:tcW w:w="2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w w:val="82"/>
              </w:rPr>
              <w:t>$</w:t>
            </w:r>
          </w:p>
        </w:tc>
        <w:tc>
          <w:tcPr>
            <w:tcW w:w="15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6.08 - $17.00</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4,694,882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13.62</w:t>
            </w:r>
          </w:p>
        </w:tc>
        <w:tc>
          <w:tcPr>
            <w:tcW w:w="0" w:type="dxa"/>
            <w:vAlign w:val="bottom"/>
          </w:tcPr>
          <w:p>
            <w:pPr>
              <w:spacing w:after="0"/>
              <w:rPr>
                <w:sz w:val="1"/>
                <w:szCs w:val="1"/>
                <w:color w:val="auto"/>
              </w:rPr>
            </w:pPr>
          </w:p>
        </w:tc>
      </w:tr>
      <w:tr>
        <w:trPr>
          <w:trHeight w:val="29"/>
        </w:trPr>
        <w:tc>
          <w:tcPr>
            <w:tcW w:w="6200" w:type="dxa"/>
            <w:vAlign w:val="bottom"/>
            <w:vMerge w:val="restart"/>
          </w:tcPr>
          <w:p>
            <w:pPr>
              <w:spacing w:after="0"/>
              <w:rPr>
                <w:sz w:val="20"/>
                <w:szCs w:val="20"/>
                <w:color w:val="auto"/>
              </w:rPr>
            </w:pPr>
            <w:r>
              <w:rPr>
                <w:rFonts w:ascii="Arial" w:cs="Arial" w:eastAsia="Arial" w:hAnsi="Arial"/>
                <w:sz w:val="13"/>
                <w:szCs w:val="13"/>
                <w:color w:val="auto"/>
              </w:rPr>
              <w:t>Options granted</w:t>
            </w:r>
          </w:p>
        </w:tc>
        <w:tc>
          <w:tcPr>
            <w:tcW w:w="260" w:type="dxa"/>
            <w:vAlign w:val="bottom"/>
          </w:tcPr>
          <w:p>
            <w:pPr>
              <w:spacing w:after="0"/>
              <w:rPr>
                <w:sz w:val="2"/>
                <w:szCs w:val="2"/>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17.02</w:t>
            </w:r>
          </w:p>
        </w:tc>
        <w:tc>
          <w:tcPr>
            <w:tcW w:w="78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w w:val="93"/>
              </w:rPr>
              <w:t>- 20.15</w:t>
            </w: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17.29</w:t>
            </w:r>
          </w:p>
        </w:tc>
        <w:tc>
          <w:tcPr>
            <w:tcW w:w="0" w:type="dxa"/>
            <w:vAlign w:val="bottom"/>
          </w:tcPr>
          <w:p>
            <w:pPr>
              <w:spacing w:after="0" w:line="20" w:lineRule="exact"/>
              <w:rPr>
                <w:sz w:val="1"/>
                <w:szCs w:val="1"/>
                <w:color w:val="auto"/>
              </w:rPr>
            </w:pPr>
          </w:p>
        </w:tc>
      </w:tr>
      <w:tr>
        <w:trPr>
          <w:trHeight w:val="166"/>
        </w:trPr>
        <w:tc>
          <w:tcPr>
            <w:tcW w:w="62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942,000</w:t>
            </w: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200" w:type="dxa"/>
            <w:vAlign w:val="bottom"/>
            <w:shd w:val="clear" w:color="auto" w:fill="CCEEFF"/>
          </w:tcPr>
          <w:p>
            <w:pPr>
              <w:spacing w:after="0"/>
              <w:rPr>
                <w:sz w:val="20"/>
                <w:szCs w:val="20"/>
                <w:color w:val="auto"/>
              </w:rPr>
            </w:pPr>
            <w:r>
              <w:rPr>
                <w:rFonts w:ascii="Arial" w:cs="Arial" w:eastAsia="Arial" w:hAnsi="Arial"/>
                <w:sz w:val="13"/>
                <w:szCs w:val="13"/>
                <w:color w:val="auto"/>
              </w:rPr>
              <w:t>Options exercised</w:t>
            </w: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6.08</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3"/>
              </w:rPr>
              <w:t>- 16.44</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(1,607,058)</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12.09</w:t>
            </w:r>
          </w:p>
        </w:tc>
        <w:tc>
          <w:tcPr>
            <w:tcW w:w="0" w:type="dxa"/>
            <w:vAlign w:val="bottom"/>
          </w:tcPr>
          <w:p>
            <w:pPr>
              <w:spacing w:after="0"/>
              <w:rPr>
                <w:sz w:val="1"/>
                <w:szCs w:val="1"/>
                <w:color w:val="auto"/>
              </w:rPr>
            </w:pPr>
          </w:p>
        </w:tc>
      </w:tr>
      <w:tr>
        <w:trPr>
          <w:trHeight w:val="157"/>
        </w:trPr>
        <w:tc>
          <w:tcPr>
            <w:tcW w:w="6200" w:type="dxa"/>
            <w:vAlign w:val="bottom"/>
          </w:tcPr>
          <w:p>
            <w:pPr>
              <w:spacing w:after="0"/>
              <w:rPr>
                <w:sz w:val="20"/>
                <w:szCs w:val="20"/>
                <w:color w:val="auto"/>
              </w:rPr>
            </w:pPr>
            <w:r>
              <w:rPr>
                <w:rFonts w:ascii="Arial" w:cs="Arial" w:eastAsia="Arial" w:hAnsi="Arial"/>
                <w:sz w:val="13"/>
                <w:szCs w:val="13"/>
                <w:color w:val="auto"/>
              </w:rPr>
              <w:t>Options cancelled</w:t>
            </w:r>
          </w:p>
        </w:tc>
        <w:tc>
          <w:tcPr>
            <w:tcW w:w="2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14.16</w:t>
            </w: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w w:val="93"/>
              </w:rPr>
              <w:t>- 17.33</w:t>
            </w:r>
          </w:p>
        </w:tc>
        <w:tc>
          <w:tcPr>
            <w:tcW w:w="1300" w:type="dxa"/>
            <w:vAlign w:val="bottom"/>
            <w:gridSpan w:val="2"/>
          </w:tcPr>
          <w:p>
            <w:pPr>
              <w:jc w:val="right"/>
              <w:ind w:right="360"/>
              <w:spacing w:after="0"/>
              <w:rPr>
                <w:sz w:val="20"/>
                <w:szCs w:val="20"/>
                <w:color w:val="auto"/>
              </w:rPr>
            </w:pPr>
            <w:r>
              <w:rPr>
                <w:rFonts w:ascii="Arial" w:cs="Arial" w:eastAsia="Arial" w:hAnsi="Arial"/>
                <w:sz w:val="13"/>
                <w:szCs w:val="13"/>
                <w:color w:val="auto"/>
              </w:rPr>
              <w:t>(157,340)</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15.97</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200" w:type="dxa"/>
            <w:vAlign w:val="bottom"/>
            <w:shd w:val="clear" w:color="auto" w:fill="CCEEFF"/>
          </w:tcPr>
          <w:p>
            <w:pPr>
              <w:spacing w:after="0"/>
              <w:rPr>
                <w:sz w:val="20"/>
                <w:szCs w:val="20"/>
                <w:color w:val="auto"/>
              </w:rPr>
            </w:pPr>
            <w:r>
              <w:rPr>
                <w:rFonts w:ascii="Arial" w:cs="Arial" w:eastAsia="Arial" w:hAnsi="Arial"/>
                <w:sz w:val="13"/>
                <w:szCs w:val="13"/>
                <w:color w:val="auto"/>
              </w:rPr>
              <w:t>Balance, July 31, 2004</w:t>
            </w:r>
          </w:p>
        </w:tc>
        <w:tc>
          <w:tcPr>
            <w:tcW w:w="2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w w:val="82"/>
              </w:rPr>
              <w:t>$</w:t>
            </w:r>
          </w:p>
        </w:tc>
        <w:tc>
          <w:tcPr>
            <w:tcW w:w="15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6.08 - $20.15</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3,872,484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15.05</w:t>
            </w:r>
          </w:p>
        </w:tc>
        <w:tc>
          <w:tcPr>
            <w:tcW w:w="0" w:type="dxa"/>
            <w:vAlign w:val="bottom"/>
          </w:tcPr>
          <w:p>
            <w:pPr>
              <w:spacing w:after="0"/>
              <w:rPr>
                <w:sz w:val="1"/>
                <w:szCs w:val="1"/>
                <w:color w:val="auto"/>
              </w:rPr>
            </w:pPr>
          </w:p>
        </w:tc>
      </w:tr>
      <w:tr>
        <w:trPr>
          <w:trHeight w:val="29"/>
        </w:trPr>
        <w:tc>
          <w:tcPr>
            <w:tcW w:w="6200" w:type="dxa"/>
            <w:vAlign w:val="bottom"/>
            <w:vMerge w:val="restart"/>
          </w:tcPr>
          <w:p>
            <w:pPr>
              <w:spacing w:after="0"/>
              <w:rPr>
                <w:sz w:val="20"/>
                <w:szCs w:val="20"/>
                <w:color w:val="auto"/>
              </w:rPr>
            </w:pPr>
            <w:r>
              <w:rPr>
                <w:rFonts w:ascii="Arial" w:cs="Arial" w:eastAsia="Arial" w:hAnsi="Arial"/>
                <w:sz w:val="13"/>
                <w:szCs w:val="13"/>
                <w:color w:val="auto"/>
              </w:rPr>
              <w:t>Options granted</w:t>
            </w:r>
          </w:p>
        </w:tc>
        <w:tc>
          <w:tcPr>
            <w:tcW w:w="260" w:type="dxa"/>
            <w:vAlign w:val="bottom"/>
          </w:tcPr>
          <w:p>
            <w:pPr>
              <w:spacing w:after="0"/>
              <w:rPr>
                <w:sz w:val="2"/>
                <w:szCs w:val="2"/>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22.63</w:t>
            </w:r>
          </w:p>
        </w:tc>
        <w:tc>
          <w:tcPr>
            <w:tcW w:w="78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w w:val="93"/>
              </w:rPr>
              <w:t>- 31.54</w:t>
            </w: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27.27</w:t>
            </w:r>
          </w:p>
        </w:tc>
        <w:tc>
          <w:tcPr>
            <w:tcW w:w="0" w:type="dxa"/>
            <w:vAlign w:val="bottom"/>
          </w:tcPr>
          <w:p>
            <w:pPr>
              <w:spacing w:after="0" w:line="20" w:lineRule="exact"/>
              <w:rPr>
                <w:sz w:val="1"/>
                <w:szCs w:val="1"/>
                <w:color w:val="auto"/>
              </w:rPr>
            </w:pPr>
          </w:p>
        </w:tc>
      </w:tr>
      <w:tr>
        <w:trPr>
          <w:trHeight w:val="166"/>
        </w:trPr>
        <w:tc>
          <w:tcPr>
            <w:tcW w:w="62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888,000</w:t>
            </w: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200" w:type="dxa"/>
            <w:vAlign w:val="bottom"/>
            <w:shd w:val="clear" w:color="auto" w:fill="CCEEFF"/>
          </w:tcPr>
          <w:p>
            <w:pPr>
              <w:spacing w:after="0"/>
              <w:rPr>
                <w:sz w:val="20"/>
                <w:szCs w:val="20"/>
                <w:color w:val="auto"/>
              </w:rPr>
            </w:pPr>
            <w:r>
              <w:rPr>
                <w:rFonts w:ascii="Arial" w:cs="Arial" w:eastAsia="Arial" w:hAnsi="Arial"/>
                <w:sz w:val="13"/>
                <w:szCs w:val="13"/>
                <w:color w:val="auto"/>
              </w:rPr>
              <w:t>Options exercised</w:t>
            </w: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9.59</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3"/>
              </w:rPr>
              <w:t>- 17.33</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(1,117,431)</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14.08</w:t>
            </w:r>
          </w:p>
        </w:tc>
        <w:tc>
          <w:tcPr>
            <w:tcW w:w="0" w:type="dxa"/>
            <w:vAlign w:val="bottom"/>
          </w:tcPr>
          <w:p>
            <w:pPr>
              <w:spacing w:after="0"/>
              <w:rPr>
                <w:sz w:val="1"/>
                <w:szCs w:val="1"/>
                <w:color w:val="auto"/>
              </w:rPr>
            </w:pPr>
          </w:p>
        </w:tc>
      </w:tr>
      <w:tr>
        <w:trPr>
          <w:trHeight w:val="157"/>
        </w:trPr>
        <w:tc>
          <w:tcPr>
            <w:tcW w:w="6200" w:type="dxa"/>
            <w:vAlign w:val="bottom"/>
          </w:tcPr>
          <w:p>
            <w:pPr>
              <w:spacing w:after="0"/>
              <w:rPr>
                <w:sz w:val="20"/>
                <w:szCs w:val="20"/>
                <w:color w:val="auto"/>
              </w:rPr>
            </w:pPr>
            <w:r>
              <w:rPr>
                <w:rFonts w:ascii="Arial" w:cs="Arial" w:eastAsia="Arial" w:hAnsi="Arial"/>
                <w:sz w:val="13"/>
                <w:szCs w:val="13"/>
                <w:color w:val="auto"/>
              </w:rPr>
              <w:t>Options cancelled</w:t>
            </w:r>
          </w:p>
        </w:tc>
        <w:tc>
          <w:tcPr>
            <w:tcW w:w="2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9.59</w:t>
            </w: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w w:val="93"/>
              </w:rPr>
              <w:t>- 17.33</w:t>
            </w:r>
          </w:p>
        </w:tc>
        <w:tc>
          <w:tcPr>
            <w:tcW w:w="1300" w:type="dxa"/>
            <w:vAlign w:val="bottom"/>
            <w:gridSpan w:val="2"/>
          </w:tcPr>
          <w:p>
            <w:pPr>
              <w:jc w:val="right"/>
              <w:ind w:right="360"/>
              <w:spacing w:after="0"/>
              <w:rPr>
                <w:sz w:val="20"/>
                <w:szCs w:val="20"/>
                <w:color w:val="auto"/>
              </w:rPr>
            </w:pPr>
            <w:r>
              <w:rPr>
                <w:rFonts w:ascii="Arial" w:cs="Arial" w:eastAsia="Arial" w:hAnsi="Arial"/>
                <w:sz w:val="13"/>
                <w:szCs w:val="13"/>
                <w:color w:val="auto"/>
              </w:rPr>
              <w:t>(113,722)</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15.82</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200" w:type="dxa"/>
            <w:vAlign w:val="bottom"/>
            <w:shd w:val="clear" w:color="auto" w:fill="CCEEFF"/>
          </w:tcPr>
          <w:p>
            <w:pPr>
              <w:spacing w:after="0"/>
              <w:rPr>
                <w:sz w:val="20"/>
                <w:szCs w:val="20"/>
                <w:color w:val="auto"/>
              </w:rPr>
            </w:pPr>
            <w:r>
              <w:rPr>
                <w:rFonts w:ascii="Arial" w:cs="Arial" w:eastAsia="Arial" w:hAnsi="Arial"/>
                <w:sz w:val="13"/>
                <w:szCs w:val="13"/>
                <w:color w:val="auto"/>
              </w:rPr>
              <w:t>Balance, July 31, 2005</w:t>
            </w:r>
          </w:p>
        </w:tc>
        <w:tc>
          <w:tcPr>
            <w:tcW w:w="2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w w:val="82"/>
              </w:rPr>
              <w:t>$</w:t>
            </w:r>
          </w:p>
        </w:tc>
        <w:tc>
          <w:tcPr>
            <w:tcW w:w="15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9.59 - $31.54</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3,529,331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18.41</w:t>
            </w:r>
          </w:p>
        </w:tc>
        <w:tc>
          <w:tcPr>
            <w:tcW w:w="0" w:type="dxa"/>
            <w:vAlign w:val="bottom"/>
          </w:tcPr>
          <w:p>
            <w:pPr>
              <w:spacing w:after="0"/>
              <w:rPr>
                <w:sz w:val="1"/>
                <w:szCs w:val="1"/>
                <w:color w:val="auto"/>
              </w:rPr>
            </w:pPr>
          </w:p>
        </w:tc>
      </w:tr>
      <w:tr>
        <w:trPr>
          <w:trHeight w:val="29"/>
        </w:trPr>
        <w:tc>
          <w:tcPr>
            <w:tcW w:w="6200" w:type="dxa"/>
            <w:vAlign w:val="bottom"/>
            <w:vMerge w:val="restart"/>
          </w:tcPr>
          <w:p>
            <w:pPr>
              <w:spacing w:after="0"/>
              <w:rPr>
                <w:sz w:val="20"/>
                <w:szCs w:val="20"/>
                <w:color w:val="auto"/>
              </w:rPr>
            </w:pPr>
            <w:r>
              <w:rPr>
                <w:rFonts w:ascii="Arial" w:cs="Arial" w:eastAsia="Arial" w:hAnsi="Arial"/>
                <w:sz w:val="13"/>
                <w:szCs w:val="13"/>
                <w:color w:val="auto"/>
              </w:rPr>
              <w:t>Options granted</w:t>
            </w:r>
          </w:p>
        </w:tc>
        <w:tc>
          <w:tcPr>
            <w:tcW w:w="260" w:type="dxa"/>
            <w:vAlign w:val="bottom"/>
          </w:tcPr>
          <w:p>
            <w:pPr>
              <w:spacing w:after="0"/>
              <w:rPr>
                <w:sz w:val="2"/>
                <w:szCs w:val="2"/>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33.75</w:t>
            </w:r>
          </w:p>
        </w:tc>
        <w:tc>
          <w:tcPr>
            <w:tcW w:w="78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w w:val="93"/>
              </w:rPr>
              <w:t>- 40.37</w:t>
            </w: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36.33</w:t>
            </w:r>
          </w:p>
        </w:tc>
        <w:tc>
          <w:tcPr>
            <w:tcW w:w="0" w:type="dxa"/>
            <w:vAlign w:val="bottom"/>
          </w:tcPr>
          <w:p>
            <w:pPr>
              <w:spacing w:after="0" w:line="20" w:lineRule="exact"/>
              <w:rPr>
                <w:sz w:val="1"/>
                <w:szCs w:val="1"/>
                <w:color w:val="auto"/>
              </w:rPr>
            </w:pPr>
          </w:p>
        </w:tc>
      </w:tr>
      <w:tr>
        <w:trPr>
          <w:trHeight w:val="166"/>
        </w:trPr>
        <w:tc>
          <w:tcPr>
            <w:tcW w:w="62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955,500</w:t>
            </w: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200" w:type="dxa"/>
            <w:vAlign w:val="bottom"/>
            <w:shd w:val="clear" w:color="auto" w:fill="CCEEFF"/>
          </w:tcPr>
          <w:p>
            <w:pPr>
              <w:spacing w:after="0"/>
              <w:rPr>
                <w:sz w:val="20"/>
                <w:szCs w:val="20"/>
                <w:color w:val="auto"/>
              </w:rPr>
            </w:pPr>
            <w:r>
              <w:rPr>
                <w:rFonts w:ascii="Arial" w:cs="Arial" w:eastAsia="Arial" w:hAnsi="Arial"/>
                <w:sz w:val="13"/>
                <w:szCs w:val="13"/>
                <w:color w:val="auto"/>
              </w:rPr>
              <w:t>Options exercised</w:t>
            </w: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9.59</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3"/>
              </w:rPr>
              <w:t>- 28.84</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(596,643)</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14.95</w:t>
            </w:r>
          </w:p>
        </w:tc>
        <w:tc>
          <w:tcPr>
            <w:tcW w:w="0" w:type="dxa"/>
            <w:vAlign w:val="bottom"/>
          </w:tcPr>
          <w:p>
            <w:pPr>
              <w:spacing w:after="0"/>
              <w:rPr>
                <w:sz w:val="1"/>
                <w:szCs w:val="1"/>
                <w:color w:val="auto"/>
              </w:rPr>
            </w:pPr>
          </w:p>
        </w:tc>
      </w:tr>
      <w:tr>
        <w:trPr>
          <w:trHeight w:val="157"/>
        </w:trPr>
        <w:tc>
          <w:tcPr>
            <w:tcW w:w="6200" w:type="dxa"/>
            <w:vAlign w:val="bottom"/>
          </w:tcPr>
          <w:p>
            <w:pPr>
              <w:spacing w:after="0"/>
              <w:rPr>
                <w:sz w:val="20"/>
                <w:szCs w:val="20"/>
                <w:color w:val="auto"/>
              </w:rPr>
            </w:pPr>
            <w:r>
              <w:rPr>
                <w:rFonts w:ascii="Arial" w:cs="Arial" w:eastAsia="Arial" w:hAnsi="Arial"/>
                <w:sz w:val="13"/>
                <w:szCs w:val="13"/>
                <w:color w:val="auto"/>
              </w:rPr>
              <w:t>Options cancelled</w:t>
            </w:r>
          </w:p>
        </w:tc>
        <w:tc>
          <w:tcPr>
            <w:tcW w:w="2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16.00</w:t>
            </w: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w w:val="93"/>
              </w:rPr>
              <w:t>- 40.37</w:t>
            </w:r>
          </w:p>
        </w:tc>
        <w:tc>
          <w:tcPr>
            <w:tcW w:w="1300" w:type="dxa"/>
            <w:vAlign w:val="bottom"/>
            <w:gridSpan w:val="2"/>
          </w:tcPr>
          <w:p>
            <w:pPr>
              <w:jc w:val="right"/>
              <w:ind w:right="360"/>
              <w:spacing w:after="0"/>
              <w:rPr>
                <w:sz w:val="20"/>
                <w:szCs w:val="20"/>
                <w:color w:val="auto"/>
              </w:rPr>
            </w:pPr>
            <w:r>
              <w:rPr>
                <w:rFonts w:ascii="Arial" w:cs="Arial" w:eastAsia="Arial" w:hAnsi="Arial"/>
                <w:sz w:val="13"/>
                <w:szCs w:val="13"/>
                <w:color w:val="auto"/>
              </w:rPr>
              <w:t>(73,136)</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27.20</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200" w:type="dxa"/>
            <w:vAlign w:val="bottom"/>
            <w:shd w:val="clear" w:color="auto" w:fill="CCEEFF"/>
          </w:tcPr>
          <w:p>
            <w:pPr>
              <w:spacing w:after="0"/>
              <w:rPr>
                <w:sz w:val="20"/>
                <w:szCs w:val="20"/>
                <w:color w:val="auto"/>
              </w:rPr>
            </w:pPr>
            <w:r>
              <w:rPr>
                <w:rFonts w:ascii="Arial" w:cs="Arial" w:eastAsia="Arial" w:hAnsi="Arial"/>
                <w:sz w:val="13"/>
                <w:szCs w:val="13"/>
                <w:color w:val="auto"/>
              </w:rPr>
              <w:t>Balance, July 31, 2006</w:t>
            </w:r>
          </w:p>
        </w:tc>
        <w:tc>
          <w:tcPr>
            <w:tcW w:w="2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w w:val="82"/>
              </w:rPr>
              <w:t>$</w:t>
            </w:r>
          </w:p>
        </w:tc>
        <w:tc>
          <w:tcPr>
            <w:tcW w:w="15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9.59 - $40.37</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3,815,052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23.27</w:t>
            </w:r>
          </w:p>
        </w:tc>
        <w:tc>
          <w:tcPr>
            <w:tcW w:w="0" w:type="dxa"/>
            <w:vAlign w:val="bottom"/>
          </w:tcPr>
          <w:p>
            <w:pPr>
              <w:spacing w:after="0"/>
              <w:rPr>
                <w:sz w:val="1"/>
                <w:szCs w:val="1"/>
                <w:color w:val="auto"/>
              </w:rPr>
            </w:pPr>
          </w:p>
        </w:tc>
      </w:tr>
      <w:tr>
        <w:trPr>
          <w:trHeight w:val="29"/>
        </w:trPr>
        <w:tc>
          <w:tcPr>
            <w:tcW w:w="6200" w:type="dxa"/>
            <w:vAlign w:val="bottom"/>
            <w:vMerge w:val="restart"/>
          </w:tcPr>
          <w:p>
            <w:pPr>
              <w:spacing w:after="0"/>
              <w:rPr>
                <w:sz w:val="20"/>
                <w:szCs w:val="20"/>
                <w:color w:val="auto"/>
              </w:rPr>
            </w:pPr>
            <w:r>
              <w:rPr>
                <w:rFonts w:ascii="Arial" w:cs="Arial" w:eastAsia="Arial" w:hAnsi="Arial"/>
                <w:sz w:val="13"/>
                <w:szCs w:val="13"/>
                <w:color w:val="auto"/>
              </w:rPr>
              <w:t>Available for grant after July 31, 2006</w:t>
            </w: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2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1,064,770</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740"/>
        <w:spacing w:after="0"/>
        <w:rPr>
          <w:sz w:val="20"/>
          <w:szCs w:val="20"/>
          <w:color w:val="auto"/>
        </w:rPr>
      </w:pPr>
      <w:r>
        <w:rPr>
          <w:rFonts w:ascii="Arial" w:cs="Arial" w:eastAsia="Arial" w:hAnsi="Arial"/>
          <w:sz w:val="13"/>
          <w:szCs w:val="13"/>
          <w:color w:val="auto"/>
        </w:rPr>
        <w:t>(1)  Adjusted for a two-for-one stock split in the form of a 100% stock dividend, effective December 31, 2004.</w:t>
      </w:r>
    </w:p>
    <w:p>
      <w:pPr>
        <w:spacing w:after="0" w:line="96"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The total fair value of options vested during the fiscal years ended July 31, 2006, 2005 and 2004 was $4,744, $3,223 and $5,147, respectively. The total intrinsic value of options exercised during the fiscal years ended July 31, 2006, 2005 and 2004 was $13,974, $14,754 and $12,926, respectively.</w:t>
      </w:r>
    </w:p>
    <w:p>
      <w:pPr>
        <w:spacing w:after="0" w:line="59" w:lineRule="exact"/>
        <w:rPr>
          <w:sz w:val="20"/>
          <w:szCs w:val="20"/>
          <w:color w:val="auto"/>
        </w:rPr>
      </w:pPr>
    </w:p>
    <w:p>
      <w:pPr>
        <w:ind w:left="680" w:right="620" w:firstLine="399"/>
        <w:spacing w:after="0" w:line="276" w:lineRule="auto"/>
        <w:rPr>
          <w:sz w:val="20"/>
          <w:szCs w:val="20"/>
          <w:color w:val="auto"/>
        </w:rPr>
      </w:pPr>
      <w:r>
        <w:rPr>
          <w:rFonts w:ascii="Arial" w:cs="Arial" w:eastAsia="Arial" w:hAnsi="Arial"/>
          <w:sz w:val="13"/>
          <w:szCs w:val="13"/>
          <w:color w:val="auto"/>
        </w:rPr>
        <w:t>There were 2,062,153, 1,772,930 and 2,142,578 options exercisable with a weighted average exercise price of $17.02, $14.84 and $13.94 at July 31, 2006, 2005 and 2004, respectively.</w:t>
      </w:r>
    </w:p>
    <w:p>
      <w:pPr>
        <w:spacing w:after="0" w:line="25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BRADY CORPORATION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information about stock options outstanding at July 31, 2006:</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6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500" w:type="dxa"/>
            <w:vAlign w:val="bottom"/>
            <w:gridSpan w:val="2"/>
            <w:vMerge w:val="restart"/>
          </w:tcPr>
          <w:p>
            <w:pPr>
              <w:ind w:left="180"/>
              <w:spacing w:after="0"/>
              <w:rPr>
                <w:sz w:val="20"/>
                <w:szCs w:val="20"/>
                <w:color w:val="auto"/>
              </w:rPr>
            </w:pPr>
            <w:r>
              <w:rPr>
                <w:rFonts w:ascii="Arial" w:cs="Arial" w:eastAsia="Arial" w:hAnsi="Arial"/>
                <w:sz w:val="10"/>
                <w:szCs w:val="10"/>
                <w:b w:val="1"/>
                <w:bCs w:val="1"/>
                <w:color w:val="auto"/>
              </w:rPr>
              <w:t>Options Outstanding</w:t>
            </w: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gridSpan w:val="5"/>
          </w:tcPr>
          <w:p>
            <w:pPr>
              <w:jc w:val="right"/>
              <w:ind w:right="420"/>
              <w:spacing w:after="0"/>
              <w:rPr>
                <w:sz w:val="20"/>
                <w:szCs w:val="20"/>
                <w:color w:val="auto"/>
              </w:rPr>
            </w:pPr>
            <w:r>
              <w:rPr>
                <w:rFonts w:ascii="Arial" w:cs="Arial" w:eastAsia="Arial" w:hAnsi="Arial"/>
                <w:sz w:val="10"/>
                <w:szCs w:val="10"/>
                <w:b w:val="1"/>
                <w:bCs w:val="1"/>
                <w:color w:val="auto"/>
              </w:rPr>
              <w:t>Options Outstanding and</w:t>
            </w:r>
          </w:p>
        </w:tc>
        <w:tc>
          <w:tcPr>
            <w:tcW w:w="0" w:type="dxa"/>
            <w:vAlign w:val="bottom"/>
          </w:tcPr>
          <w:p>
            <w:pPr>
              <w:spacing w:after="0"/>
              <w:rPr>
                <w:sz w:val="1"/>
                <w:szCs w:val="1"/>
                <w:color w:val="auto"/>
              </w:rPr>
            </w:pPr>
          </w:p>
        </w:tc>
      </w:tr>
      <w:tr>
        <w:trPr>
          <w:trHeight w:val="125"/>
        </w:trPr>
        <w:tc>
          <w:tcPr>
            <w:tcW w:w="3620" w:type="dxa"/>
            <w:vAlign w:val="bottom"/>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2"/>
            <w:vMerge w:val="continue"/>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2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b w:val="1"/>
                <w:bCs w:val="1"/>
                <w:color w:val="auto"/>
              </w:rPr>
              <w:t>Exercisable</w:t>
            </w: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620" w:type="dxa"/>
            <w:vAlign w:val="bottom"/>
          </w:tcPr>
          <w:p>
            <w:pPr>
              <w:spacing w:after="0"/>
              <w:rPr>
                <w:sz w:val="7"/>
                <w:szCs w:val="7"/>
                <w:color w:val="auto"/>
              </w:rPr>
            </w:pPr>
          </w:p>
        </w:tc>
        <w:tc>
          <w:tcPr>
            <w:tcW w:w="14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2"/>
              </w:rPr>
              <w:t>Number of Shares</w:t>
            </w:r>
          </w:p>
        </w:tc>
        <w:tc>
          <w:tcPr>
            <w:tcW w:w="420" w:type="dxa"/>
            <w:vAlign w:val="bottom"/>
          </w:tcPr>
          <w:p>
            <w:pPr>
              <w:spacing w:after="0"/>
              <w:rPr>
                <w:sz w:val="7"/>
                <w:szCs w:val="7"/>
                <w:color w:val="auto"/>
              </w:rPr>
            </w:pPr>
          </w:p>
        </w:tc>
        <w:tc>
          <w:tcPr>
            <w:tcW w:w="1080" w:type="dxa"/>
            <w:vAlign w:val="bottom"/>
          </w:tcPr>
          <w:p>
            <w:pPr>
              <w:jc w:val="center"/>
              <w:ind w:left="169"/>
              <w:spacing w:after="0" w:line="81" w:lineRule="exact"/>
              <w:rPr>
                <w:sz w:val="20"/>
                <w:szCs w:val="20"/>
                <w:color w:val="auto"/>
              </w:rPr>
            </w:pPr>
            <w:r>
              <w:rPr>
                <w:rFonts w:ascii="Arial" w:cs="Arial" w:eastAsia="Arial" w:hAnsi="Arial"/>
                <w:sz w:val="9"/>
                <w:szCs w:val="9"/>
                <w:b w:val="1"/>
                <w:bCs w:val="1"/>
                <w:color w:val="auto"/>
              </w:rPr>
              <w:t>Weighted Average</w:t>
            </w: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jc w:val="center"/>
              <w:ind w:right="22"/>
              <w:spacing w:after="0" w:line="81" w:lineRule="exact"/>
              <w:rPr>
                <w:sz w:val="20"/>
                <w:szCs w:val="20"/>
                <w:color w:val="auto"/>
              </w:rPr>
            </w:pPr>
            <w:r>
              <w:rPr>
                <w:rFonts w:ascii="Arial" w:cs="Arial" w:eastAsia="Arial" w:hAnsi="Arial"/>
                <w:sz w:val="9"/>
                <w:szCs w:val="9"/>
                <w:b w:val="1"/>
                <w:bCs w:val="1"/>
                <w:color w:val="auto"/>
              </w:rPr>
              <w:t>Weighted</w:t>
            </w:r>
          </w:p>
        </w:tc>
        <w:tc>
          <w:tcPr>
            <w:tcW w:w="380" w:type="dxa"/>
            <w:vAlign w:val="bottom"/>
          </w:tcPr>
          <w:p>
            <w:pPr>
              <w:spacing w:after="0"/>
              <w:rPr>
                <w:sz w:val="7"/>
                <w:szCs w:val="7"/>
                <w:color w:val="auto"/>
              </w:rPr>
            </w:pPr>
          </w:p>
        </w:tc>
        <w:tc>
          <w:tcPr>
            <w:tcW w:w="1200" w:type="dxa"/>
            <w:vAlign w:val="bottom"/>
            <w:gridSpan w:val="2"/>
          </w:tcPr>
          <w:p>
            <w:pPr>
              <w:jc w:val="center"/>
              <w:ind w:right="380"/>
              <w:spacing w:after="0" w:line="81" w:lineRule="exact"/>
              <w:rPr>
                <w:sz w:val="20"/>
                <w:szCs w:val="20"/>
                <w:color w:val="auto"/>
              </w:rPr>
            </w:pPr>
            <w:r>
              <w:rPr>
                <w:rFonts w:ascii="Arial" w:cs="Arial" w:eastAsia="Arial" w:hAnsi="Arial"/>
                <w:sz w:val="9"/>
                <w:szCs w:val="9"/>
                <w:b w:val="1"/>
                <w:bCs w:val="1"/>
                <w:color w:val="auto"/>
                <w:w w:val="99"/>
              </w:rPr>
              <w:t>Shares</w:t>
            </w:r>
          </w:p>
        </w:tc>
        <w:tc>
          <w:tcPr>
            <w:tcW w:w="80" w:type="dxa"/>
            <w:vAlign w:val="bottom"/>
          </w:tcPr>
          <w:p>
            <w:pPr>
              <w:spacing w:after="0"/>
              <w:rPr>
                <w:sz w:val="7"/>
                <w:szCs w:val="7"/>
                <w:color w:val="auto"/>
              </w:rPr>
            </w:pPr>
          </w:p>
        </w:tc>
        <w:tc>
          <w:tcPr>
            <w:tcW w:w="500" w:type="dxa"/>
            <w:vAlign w:val="bottom"/>
          </w:tcPr>
          <w:p>
            <w:pPr>
              <w:jc w:val="center"/>
              <w:ind w:right="22"/>
              <w:spacing w:after="0" w:line="81" w:lineRule="exact"/>
              <w:rPr>
                <w:sz w:val="20"/>
                <w:szCs w:val="20"/>
                <w:color w:val="auto"/>
              </w:rPr>
            </w:pPr>
            <w:r>
              <w:rPr>
                <w:rFonts w:ascii="Arial" w:cs="Arial" w:eastAsia="Arial" w:hAnsi="Arial"/>
                <w:sz w:val="9"/>
                <w:szCs w:val="9"/>
                <w:b w:val="1"/>
                <w:bCs w:val="1"/>
                <w:color w:val="auto"/>
              </w:rPr>
              <w:t>Weighted</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620" w:type="dxa"/>
            <w:vAlign w:val="bottom"/>
            <w:vMerge w:val="restart"/>
          </w:tcPr>
          <w:p>
            <w:pPr>
              <w:ind w:left="1500"/>
              <w:spacing w:after="0"/>
              <w:rPr>
                <w:sz w:val="20"/>
                <w:szCs w:val="20"/>
                <w:color w:val="auto"/>
              </w:rPr>
            </w:pPr>
            <w:r>
              <w:rPr>
                <w:rFonts w:ascii="Arial" w:cs="Arial" w:eastAsia="Arial" w:hAnsi="Arial"/>
                <w:sz w:val="10"/>
                <w:szCs w:val="10"/>
                <w:b w:val="1"/>
                <w:bCs w:val="1"/>
                <w:color w:val="auto"/>
              </w:rPr>
              <w:t>Range of</w:t>
            </w:r>
          </w:p>
        </w:tc>
        <w:tc>
          <w:tcPr>
            <w:tcW w:w="140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080" w:type="dxa"/>
            <w:vAlign w:val="bottom"/>
          </w:tcPr>
          <w:p>
            <w:pPr>
              <w:jc w:val="center"/>
              <w:ind w:left="149"/>
              <w:spacing w:after="0" w:line="108" w:lineRule="exact"/>
              <w:rPr>
                <w:sz w:val="20"/>
                <w:szCs w:val="20"/>
                <w:color w:val="auto"/>
              </w:rPr>
            </w:pPr>
            <w:r>
              <w:rPr>
                <w:rFonts w:ascii="Arial" w:cs="Arial" w:eastAsia="Arial" w:hAnsi="Arial"/>
                <w:sz w:val="10"/>
                <w:szCs w:val="10"/>
                <w:b w:val="1"/>
                <w:bCs w:val="1"/>
                <w:color w:val="auto"/>
                <w:w w:val="93"/>
              </w:rPr>
              <w:t>Remaining</w:t>
            </w: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1"/>
              </w:rPr>
              <w:t>Average</w:t>
            </w:r>
          </w:p>
        </w:tc>
        <w:tc>
          <w:tcPr>
            <w:tcW w:w="12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3"/>
              </w:rPr>
              <w:t>Exercisable</w:t>
            </w:r>
          </w:p>
        </w:tc>
        <w:tc>
          <w:tcPr>
            <w:tcW w:w="80" w:type="dxa"/>
            <w:vAlign w:val="bottom"/>
          </w:tcPr>
          <w:p>
            <w:pPr>
              <w:spacing w:after="0"/>
              <w:rPr>
                <w:sz w:val="9"/>
                <w:szCs w:val="9"/>
                <w:color w:val="auto"/>
              </w:rPr>
            </w:pPr>
          </w:p>
        </w:tc>
        <w:tc>
          <w:tcPr>
            <w:tcW w:w="6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6"/>
              </w:rPr>
              <w:t>Average</w:t>
            </w:r>
          </w:p>
        </w:tc>
        <w:tc>
          <w:tcPr>
            <w:tcW w:w="0" w:type="dxa"/>
            <w:vAlign w:val="bottom"/>
          </w:tcPr>
          <w:p>
            <w:pPr>
              <w:spacing w:after="0"/>
              <w:rPr>
                <w:sz w:val="1"/>
                <w:szCs w:val="1"/>
                <w:color w:val="auto"/>
              </w:rPr>
            </w:pPr>
          </w:p>
        </w:tc>
      </w:tr>
      <w:tr>
        <w:trPr>
          <w:trHeight w:val="108"/>
        </w:trPr>
        <w:tc>
          <w:tcPr>
            <w:tcW w:w="3620" w:type="dxa"/>
            <w:vAlign w:val="bottom"/>
            <w:vMerge w:val="continue"/>
          </w:tcPr>
          <w:p>
            <w:pPr>
              <w:spacing w:after="0"/>
              <w:rPr>
                <w:sz w:val="9"/>
                <w:szCs w:val="9"/>
                <w:color w:val="auto"/>
              </w:rPr>
            </w:pPr>
          </w:p>
        </w:tc>
        <w:tc>
          <w:tcPr>
            <w:tcW w:w="14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Outstanding at</w:t>
            </w:r>
          </w:p>
        </w:tc>
        <w:tc>
          <w:tcPr>
            <w:tcW w:w="420" w:type="dxa"/>
            <w:vAlign w:val="bottom"/>
          </w:tcPr>
          <w:p>
            <w:pPr>
              <w:spacing w:after="0"/>
              <w:rPr>
                <w:sz w:val="9"/>
                <w:szCs w:val="9"/>
                <w:color w:val="auto"/>
              </w:rPr>
            </w:pPr>
          </w:p>
        </w:tc>
        <w:tc>
          <w:tcPr>
            <w:tcW w:w="1080" w:type="dxa"/>
            <w:vAlign w:val="bottom"/>
          </w:tcPr>
          <w:p>
            <w:pPr>
              <w:jc w:val="center"/>
              <w:ind w:left="149"/>
              <w:spacing w:after="0" w:line="108" w:lineRule="exact"/>
              <w:rPr>
                <w:sz w:val="20"/>
                <w:szCs w:val="20"/>
                <w:color w:val="auto"/>
              </w:rPr>
            </w:pPr>
            <w:r>
              <w:rPr>
                <w:rFonts w:ascii="Arial" w:cs="Arial" w:eastAsia="Arial" w:hAnsi="Arial"/>
                <w:sz w:val="10"/>
                <w:szCs w:val="10"/>
                <w:b w:val="1"/>
                <w:bCs w:val="1"/>
                <w:color w:val="auto"/>
                <w:w w:val="99"/>
              </w:rPr>
              <w:t>Contractual Life</w:t>
            </w: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87"/>
              </w:rPr>
              <w:t>Exercise</w:t>
            </w:r>
          </w:p>
        </w:tc>
        <w:tc>
          <w:tcPr>
            <w:tcW w:w="120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5"/>
              </w:rPr>
              <w:t>at July 31,</w:t>
            </w:r>
          </w:p>
        </w:tc>
        <w:tc>
          <w:tcPr>
            <w:tcW w:w="80" w:type="dxa"/>
            <w:vAlign w:val="bottom"/>
          </w:tcPr>
          <w:p>
            <w:pPr>
              <w:spacing w:after="0"/>
              <w:rPr>
                <w:sz w:val="9"/>
                <w:szCs w:val="9"/>
                <w:color w:val="auto"/>
              </w:rPr>
            </w:pPr>
          </w:p>
        </w:tc>
        <w:tc>
          <w:tcPr>
            <w:tcW w:w="6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2"/>
              </w:rPr>
              <w:t>Exercise</w:t>
            </w:r>
          </w:p>
        </w:tc>
        <w:tc>
          <w:tcPr>
            <w:tcW w:w="0" w:type="dxa"/>
            <w:vAlign w:val="bottom"/>
          </w:tcPr>
          <w:p>
            <w:pPr>
              <w:spacing w:after="0"/>
              <w:rPr>
                <w:sz w:val="1"/>
                <w:szCs w:val="1"/>
                <w:color w:val="auto"/>
              </w:rPr>
            </w:pPr>
          </w:p>
        </w:tc>
      </w:tr>
      <w:tr>
        <w:trPr>
          <w:trHeight w:val="135"/>
        </w:trPr>
        <w:tc>
          <w:tcPr>
            <w:tcW w:w="3620" w:type="dxa"/>
            <w:vAlign w:val="bottom"/>
          </w:tcPr>
          <w:p>
            <w:pPr>
              <w:ind w:left="1700"/>
              <w:spacing w:after="0"/>
              <w:rPr>
                <w:sz w:val="20"/>
                <w:szCs w:val="20"/>
                <w:color w:val="auto"/>
              </w:rPr>
            </w:pPr>
            <w:r>
              <w:rPr>
                <w:rFonts w:ascii="Arial" w:cs="Arial" w:eastAsia="Arial" w:hAnsi="Arial"/>
                <w:sz w:val="10"/>
                <w:szCs w:val="10"/>
                <w:b w:val="1"/>
                <w:bCs w:val="1"/>
                <w:u w:val="single" w:color="auto"/>
                <w:color w:val="auto"/>
              </w:rPr>
              <w:t>E</w:t>
            </w:r>
            <w:r>
              <w:rPr>
                <w:rFonts w:ascii="Arial" w:cs="Arial" w:eastAsia="Arial" w:hAnsi="Arial"/>
                <w:sz w:val="10"/>
                <w:szCs w:val="10"/>
                <w:b w:val="1"/>
                <w:bCs w:val="1"/>
                <w:color w:val="auto"/>
              </w:rPr>
              <w:t>xercise Prices</w:t>
            </w:r>
          </w:p>
        </w:tc>
        <w:tc>
          <w:tcPr>
            <w:tcW w:w="1400" w:type="dxa"/>
            <w:vAlign w:val="bottom"/>
          </w:tcPr>
          <w:p>
            <w:pPr>
              <w:jc w:val="center"/>
              <w:spacing w:after="0"/>
              <w:rPr>
                <w:sz w:val="20"/>
                <w:szCs w:val="20"/>
                <w:color w:val="auto"/>
              </w:rPr>
            </w:pPr>
            <w:r>
              <w:rPr>
                <w:rFonts w:ascii="Arial" w:cs="Arial" w:eastAsia="Arial" w:hAnsi="Arial"/>
                <w:sz w:val="10"/>
                <w:szCs w:val="10"/>
                <w:b w:val="1"/>
                <w:bCs w:val="1"/>
                <w:color w:val="auto"/>
                <w:w w:val="97"/>
              </w:rPr>
              <w:t>July 31, 2006</w:t>
            </w:r>
          </w:p>
        </w:tc>
        <w:tc>
          <w:tcPr>
            <w:tcW w:w="420" w:type="dxa"/>
            <w:vAlign w:val="bottom"/>
          </w:tcPr>
          <w:p>
            <w:pPr>
              <w:spacing w:after="0"/>
              <w:rPr>
                <w:sz w:val="11"/>
                <w:szCs w:val="11"/>
                <w:color w:val="auto"/>
              </w:rPr>
            </w:pPr>
          </w:p>
        </w:tc>
        <w:tc>
          <w:tcPr>
            <w:tcW w:w="1080" w:type="dxa"/>
            <w:vAlign w:val="bottom"/>
          </w:tcPr>
          <w:p>
            <w:pPr>
              <w:jc w:val="center"/>
              <w:ind w:left="169"/>
              <w:spacing w:after="0"/>
              <w:rPr>
                <w:sz w:val="20"/>
                <w:szCs w:val="20"/>
                <w:color w:val="auto"/>
              </w:rPr>
            </w:pPr>
            <w:r>
              <w:rPr>
                <w:rFonts w:ascii="Arial" w:cs="Arial" w:eastAsia="Arial" w:hAnsi="Arial"/>
                <w:sz w:val="10"/>
                <w:szCs w:val="10"/>
                <w:b w:val="1"/>
                <w:bCs w:val="1"/>
                <w:color w:val="auto"/>
                <w:w w:val="94"/>
              </w:rPr>
              <w:t>(in years)</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7"/>
              </w:rPr>
              <w:t>Price</w:t>
            </w:r>
          </w:p>
        </w:tc>
        <w:tc>
          <w:tcPr>
            <w:tcW w:w="800" w:type="dxa"/>
            <w:vAlign w:val="bottom"/>
          </w:tcPr>
          <w:p>
            <w:pPr>
              <w:jc w:val="center"/>
              <w:spacing w:after="0"/>
              <w:rPr>
                <w:sz w:val="20"/>
                <w:szCs w:val="20"/>
                <w:color w:val="auto"/>
              </w:rPr>
            </w:pPr>
            <w:r>
              <w:rPr>
                <w:rFonts w:ascii="Arial" w:cs="Arial" w:eastAsia="Arial" w:hAnsi="Arial"/>
                <w:sz w:val="10"/>
                <w:szCs w:val="10"/>
                <w:b w:val="1"/>
                <w:bCs w:val="1"/>
                <w:color w:val="auto"/>
                <w:w w:val="98"/>
              </w:rPr>
              <w:t>2006</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Price</w:t>
            </w:r>
          </w:p>
        </w:tc>
        <w:tc>
          <w:tcPr>
            <w:tcW w:w="0" w:type="dxa"/>
            <w:vAlign w:val="bottom"/>
          </w:tcPr>
          <w:p>
            <w:pPr>
              <w:spacing w:after="0"/>
              <w:rPr>
                <w:sz w:val="1"/>
                <w:szCs w:val="1"/>
                <w:color w:val="auto"/>
              </w:rPr>
            </w:pPr>
          </w:p>
        </w:tc>
      </w:tr>
      <w:tr>
        <w:trPr>
          <w:trHeight w:val="29"/>
        </w:trPr>
        <w:tc>
          <w:tcPr>
            <w:tcW w:w="362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620" w:type="dxa"/>
            <w:vAlign w:val="bottom"/>
            <w:shd w:val="clear" w:color="auto" w:fill="CCEEFF"/>
          </w:tcPr>
          <w:p>
            <w:pPr>
              <w:spacing w:after="0"/>
              <w:rPr>
                <w:sz w:val="20"/>
                <w:szCs w:val="20"/>
                <w:color w:val="auto"/>
              </w:rPr>
            </w:pPr>
            <w:r>
              <w:rPr>
                <w:rFonts w:ascii="Arial" w:cs="Arial" w:eastAsia="Arial" w:hAnsi="Arial"/>
                <w:sz w:val="13"/>
                <w:szCs w:val="13"/>
                <w:color w:val="auto"/>
              </w:rPr>
              <w:t>Up to $14.99</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512,434</w:t>
            </w:r>
          </w:p>
        </w:tc>
        <w:tc>
          <w:tcPr>
            <w:tcW w:w="4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4.4</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12.59</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512,434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12.59</w:t>
            </w:r>
          </w:p>
        </w:tc>
        <w:tc>
          <w:tcPr>
            <w:tcW w:w="0" w:type="dxa"/>
            <w:vAlign w:val="bottom"/>
          </w:tcPr>
          <w:p>
            <w:pPr>
              <w:spacing w:after="0"/>
              <w:rPr>
                <w:sz w:val="1"/>
                <w:szCs w:val="1"/>
                <w:color w:val="auto"/>
              </w:rPr>
            </w:pP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$15.00 to $29.99</w:t>
            </w:r>
          </w:p>
        </w:tc>
        <w:tc>
          <w:tcPr>
            <w:tcW w:w="1400" w:type="dxa"/>
            <w:vAlign w:val="bottom"/>
          </w:tcPr>
          <w:p>
            <w:pPr>
              <w:jc w:val="right"/>
              <w:spacing w:after="0"/>
              <w:rPr>
                <w:sz w:val="20"/>
                <w:szCs w:val="20"/>
                <w:color w:val="auto"/>
              </w:rPr>
            </w:pPr>
            <w:r>
              <w:rPr>
                <w:rFonts w:ascii="Arial" w:cs="Arial" w:eastAsia="Arial" w:hAnsi="Arial"/>
                <w:sz w:val="13"/>
                <w:szCs w:val="13"/>
                <w:color w:val="auto"/>
              </w:rPr>
              <w:t>2,332,618</w:t>
            </w:r>
          </w:p>
        </w:tc>
        <w:tc>
          <w:tcPr>
            <w:tcW w:w="4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gridSpan w:val="2"/>
          </w:tcPr>
          <w:p>
            <w:pPr>
              <w:jc w:val="right"/>
              <w:ind w:right="380"/>
              <w:spacing w:after="0"/>
              <w:rPr>
                <w:sz w:val="20"/>
                <w:szCs w:val="20"/>
                <w:color w:val="auto"/>
              </w:rPr>
            </w:pPr>
            <w:r>
              <w:rPr>
                <w:rFonts w:ascii="Arial" w:cs="Arial" w:eastAsia="Arial" w:hAnsi="Arial"/>
                <w:sz w:val="13"/>
                <w:szCs w:val="13"/>
                <w:color w:val="auto"/>
              </w:rPr>
              <w:t>6.1</w:t>
            </w: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20.29</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1,537,052</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18.38</w:t>
            </w:r>
          </w:p>
        </w:tc>
        <w:tc>
          <w:tcPr>
            <w:tcW w:w="0" w:type="dxa"/>
            <w:vAlign w:val="bottom"/>
          </w:tcPr>
          <w:p>
            <w:pPr>
              <w:spacing w:after="0"/>
              <w:rPr>
                <w:sz w:val="1"/>
                <w:szCs w:val="1"/>
                <w:color w:val="auto"/>
              </w:rPr>
            </w:pPr>
          </w:p>
        </w:tc>
      </w:tr>
      <w:tr>
        <w:trPr>
          <w:trHeight w:val="157"/>
        </w:trPr>
        <w:tc>
          <w:tcPr>
            <w:tcW w:w="3620" w:type="dxa"/>
            <w:vAlign w:val="bottom"/>
            <w:shd w:val="clear" w:color="auto" w:fill="CCEEFF"/>
          </w:tcPr>
          <w:p>
            <w:pPr>
              <w:spacing w:after="0"/>
              <w:rPr>
                <w:sz w:val="20"/>
                <w:szCs w:val="20"/>
                <w:color w:val="auto"/>
              </w:rPr>
            </w:pPr>
            <w:r>
              <w:rPr>
                <w:rFonts w:ascii="Arial" w:cs="Arial" w:eastAsia="Arial" w:hAnsi="Arial"/>
                <w:sz w:val="13"/>
                <w:szCs w:val="13"/>
                <w:color w:val="auto"/>
              </w:rPr>
              <w:t>$30.00 and up</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970,000</w:t>
            </w:r>
          </w:p>
        </w:tc>
        <w:tc>
          <w:tcPr>
            <w:tcW w:w="4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7.5</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36.07</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12,667</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31.42</w:t>
            </w:r>
          </w:p>
        </w:tc>
        <w:tc>
          <w:tcPr>
            <w:tcW w:w="0" w:type="dxa"/>
            <w:vAlign w:val="bottom"/>
          </w:tcPr>
          <w:p>
            <w:pPr>
              <w:spacing w:after="0"/>
              <w:rPr>
                <w:sz w:val="1"/>
                <w:szCs w:val="1"/>
                <w:color w:val="auto"/>
              </w:rPr>
            </w:pPr>
          </w:p>
        </w:tc>
      </w:tr>
      <w:tr>
        <w:trPr>
          <w:trHeight w:val="20"/>
        </w:trPr>
        <w:tc>
          <w:tcPr>
            <w:tcW w:w="3620" w:type="dxa"/>
            <w:vAlign w:val="bottom"/>
            <w:vMerge w:val="restart"/>
          </w:tcPr>
          <w:p>
            <w:pPr>
              <w:ind w:left="280"/>
              <w:spacing w:after="0"/>
              <w:rPr>
                <w:sz w:val="20"/>
                <w:szCs w:val="20"/>
                <w:color w:val="auto"/>
              </w:rPr>
            </w:pPr>
            <w:r>
              <w:rPr>
                <w:rFonts w:ascii="Arial" w:cs="Arial" w:eastAsia="Arial" w:hAnsi="Arial"/>
                <w:sz w:val="13"/>
                <w:szCs w:val="13"/>
                <w:color w:val="auto"/>
              </w:rPr>
              <w:t>Total</w:t>
            </w:r>
          </w:p>
        </w:tc>
        <w:tc>
          <w:tcPr>
            <w:tcW w:w="1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rPr>
              <w:t>6.2</w:t>
            </w:r>
          </w:p>
        </w:tc>
        <w:tc>
          <w:tcPr>
            <w:tcW w:w="80" w:type="dxa"/>
            <w:vAlign w:val="bottom"/>
          </w:tcPr>
          <w:p>
            <w:pPr>
              <w:spacing w:after="0" w:line="20" w:lineRule="exact"/>
              <w:rPr>
                <w:sz w:val="1"/>
                <w:szCs w:val="1"/>
                <w:color w:val="auto"/>
              </w:rPr>
            </w:pPr>
          </w:p>
        </w:tc>
        <w:tc>
          <w:tcPr>
            <w:tcW w:w="90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rPr>
              <w:t>23.27</w:t>
            </w: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17.02</w:t>
            </w:r>
          </w:p>
        </w:tc>
        <w:tc>
          <w:tcPr>
            <w:tcW w:w="0" w:type="dxa"/>
            <w:vAlign w:val="bottom"/>
          </w:tcPr>
          <w:p>
            <w:pPr>
              <w:spacing w:after="0" w:line="20" w:lineRule="exact"/>
              <w:rPr>
                <w:sz w:val="1"/>
                <w:szCs w:val="1"/>
                <w:color w:val="auto"/>
              </w:rPr>
            </w:pPr>
          </w:p>
        </w:tc>
      </w:tr>
      <w:tr>
        <w:trPr>
          <w:trHeight w:val="156"/>
        </w:trPr>
        <w:tc>
          <w:tcPr>
            <w:tcW w:w="3620" w:type="dxa"/>
            <w:vAlign w:val="bottom"/>
            <w:vMerge w:val="continue"/>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3,815,052</w:t>
            </w:r>
          </w:p>
        </w:tc>
        <w:tc>
          <w:tcPr>
            <w:tcW w:w="4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2,062,153</w:t>
            </w:r>
          </w:p>
        </w:tc>
        <w:tc>
          <w:tcPr>
            <w:tcW w:w="8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3620" w:type="dxa"/>
            <w:vAlign w:val="bottom"/>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As of July 31, 2006, the aggregate intrinsic value of the number of options outstanding and the number of options outstanding and exercisable was $40,021 and $34,518, respectively.</w:t>
      </w:r>
    </w:p>
    <w:p>
      <w:pPr>
        <w:spacing w:after="0" w:line="182" w:lineRule="exact"/>
        <w:rPr>
          <w:sz w:val="20"/>
          <w:szCs w:val="20"/>
          <w:color w:val="auto"/>
        </w:rPr>
      </w:pPr>
    </w:p>
    <w:p>
      <w:pPr>
        <w:ind w:left="1000" w:hanging="313"/>
        <w:spacing w:after="0"/>
        <w:tabs>
          <w:tab w:leader="none" w:pos="1000" w:val="left"/>
        </w:tabs>
        <w:numPr>
          <w:ilvl w:val="0"/>
          <w:numId w:val="23"/>
        </w:numPr>
        <w:rPr>
          <w:rFonts w:ascii="Arial" w:cs="Arial" w:eastAsia="Arial" w:hAnsi="Arial"/>
          <w:sz w:val="13"/>
          <w:szCs w:val="13"/>
          <w:b w:val="1"/>
          <w:bCs w:val="1"/>
          <w:color w:val="auto"/>
        </w:rPr>
      </w:pPr>
      <w:r>
        <w:rPr>
          <w:rFonts w:ascii="Arial" w:cs="Arial" w:eastAsia="Arial" w:hAnsi="Arial"/>
          <w:sz w:val="13"/>
          <w:szCs w:val="13"/>
          <w:b w:val="1"/>
          <w:bCs w:val="1"/>
          <w:color w:val="auto"/>
        </w:rPr>
        <w:t>Segment Information</w:t>
      </w:r>
    </w:p>
    <w:p>
      <w:pPr>
        <w:spacing w:after="0" w:line="100" w:lineRule="exact"/>
        <w:rPr>
          <w:sz w:val="20"/>
          <w:szCs w:val="20"/>
          <w:color w:val="auto"/>
        </w:rPr>
      </w:pPr>
    </w:p>
    <w:p>
      <w:pPr>
        <w:ind w:left="680" w:right="820" w:firstLine="399"/>
        <w:spacing w:after="0" w:line="289" w:lineRule="auto"/>
        <w:rPr>
          <w:sz w:val="20"/>
          <w:szCs w:val="20"/>
          <w:color w:val="auto"/>
        </w:rPr>
      </w:pPr>
      <w:r>
        <w:rPr>
          <w:rFonts w:ascii="Arial" w:cs="Arial" w:eastAsia="Arial" w:hAnsi="Arial"/>
          <w:sz w:val="12"/>
          <w:szCs w:val="12"/>
          <w:color w:val="auto"/>
        </w:rPr>
        <w:t>The Company evaluates short-term regional performance based on segment profit or loss and customer sales. Corporate long-term performance is evaluated based on shareholder value enhancement (“SVE”), which incorporates the cost of capital as a hurdle rate for capital expenditures, new product development, acquisitions, and long-term lines of business. Segment profit or loss does not include certain administrative costs, interest, foreign exchange gain or loss, restructuring charges, other expenses not allocated to a segment, and income taxes. The accounting policies of the reportable segments are the same as those described in the summary of significant accounting policies.</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Company’s reportable segments are geographical regions that are each managed separately. The Company has three reportable segments: Americas, Europe and Asia-Pacific.</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Each reportable segment derives its revenue from the same types of products and services.</w:t>
      </w:r>
    </w:p>
    <w:p>
      <w:pPr>
        <w:spacing w:after="0" w:line="89" w:lineRule="exact"/>
        <w:rPr>
          <w:sz w:val="20"/>
          <w:szCs w:val="20"/>
          <w:color w:val="auto"/>
        </w:rPr>
      </w:pPr>
    </w:p>
    <w:p>
      <w:pPr>
        <w:ind w:left="680" w:right="840" w:firstLine="399"/>
        <w:spacing w:after="0" w:line="276" w:lineRule="auto"/>
        <w:rPr>
          <w:sz w:val="20"/>
          <w:szCs w:val="20"/>
          <w:color w:val="auto"/>
        </w:rPr>
      </w:pPr>
      <w:r>
        <w:rPr>
          <w:rFonts w:ascii="Arial" w:cs="Arial" w:eastAsia="Arial" w:hAnsi="Arial"/>
          <w:sz w:val="13"/>
          <w:szCs w:val="13"/>
          <w:color w:val="auto"/>
        </w:rPr>
        <w:t>Intersegment sales and transfers are recorded at cost plus a standard percentage markup. Intercompany profit is eliminated in consolidation. It is not practicable to disclose enterprise-wide revenue from external customers on the basis of product or service.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3"/>
          </w:tcPr>
          <w:p>
            <w:pPr>
              <w:jc w:val="center"/>
              <w:ind w:right="540"/>
              <w:spacing w:after="0"/>
              <w:rPr>
                <w:sz w:val="20"/>
                <w:szCs w:val="20"/>
                <w:color w:val="auto"/>
              </w:rPr>
            </w:pPr>
            <w:r>
              <w:rPr>
                <w:rFonts w:ascii="Arial" w:cs="Arial" w:eastAsia="Arial" w:hAnsi="Arial"/>
                <w:sz w:val="10"/>
                <w:szCs w:val="10"/>
                <w:b w:val="1"/>
                <w:bCs w:val="1"/>
                <w:color w:val="auto"/>
              </w:rPr>
              <w:t>Corporate</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Americas</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rPr>
              <w:t>Europe</w:t>
            </w:r>
          </w:p>
        </w:tc>
        <w:tc>
          <w:tcPr>
            <w:tcW w:w="80" w:type="dxa"/>
            <w:vAlign w:val="bottom"/>
          </w:tcPr>
          <w:p>
            <w:pPr>
              <w:spacing w:after="0"/>
              <w:rPr>
                <w:sz w:val="9"/>
                <w:szCs w:val="9"/>
                <w:color w:val="auto"/>
              </w:rPr>
            </w:pPr>
          </w:p>
        </w:tc>
        <w:tc>
          <w:tcPr>
            <w:tcW w:w="9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Asia-Pacific</w:t>
            </w:r>
          </w:p>
        </w:tc>
        <w:tc>
          <w:tcPr>
            <w:tcW w:w="140" w:type="dxa"/>
            <w:vAlign w:val="bottom"/>
          </w:tcPr>
          <w:p>
            <w:pPr>
              <w:spacing w:after="0"/>
              <w:rPr>
                <w:sz w:val="9"/>
                <w:szCs w:val="9"/>
                <w:color w:val="auto"/>
              </w:rPr>
            </w:pPr>
          </w:p>
        </w:tc>
        <w:tc>
          <w:tcPr>
            <w:tcW w:w="96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rPr>
              <w:t>Subtotals</w:t>
            </w:r>
          </w:p>
        </w:tc>
        <w:tc>
          <w:tcPr>
            <w:tcW w:w="80" w:type="dxa"/>
            <w:vAlign w:val="bottom"/>
          </w:tcPr>
          <w:p>
            <w:pPr>
              <w:spacing w:after="0"/>
              <w:rPr>
                <w:sz w:val="9"/>
                <w:szCs w:val="9"/>
                <w:color w:val="auto"/>
              </w:rPr>
            </w:pPr>
          </w:p>
        </w:tc>
        <w:tc>
          <w:tcPr>
            <w:tcW w:w="1180" w:type="dxa"/>
            <w:vAlign w:val="bottom"/>
            <w:gridSpan w:val="3"/>
          </w:tcPr>
          <w:p>
            <w:pPr>
              <w:jc w:val="center"/>
              <w:ind w:right="540"/>
              <w:spacing w:after="0" w:line="108" w:lineRule="exact"/>
              <w:rPr>
                <w:sz w:val="20"/>
                <w:szCs w:val="20"/>
                <w:color w:val="auto"/>
              </w:rPr>
            </w:pPr>
            <w:r>
              <w:rPr>
                <w:rFonts w:ascii="Arial" w:cs="Arial" w:eastAsia="Arial" w:hAnsi="Arial"/>
                <w:sz w:val="10"/>
                <w:szCs w:val="10"/>
                <w:b w:val="1"/>
                <w:bCs w:val="1"/>
                <w:color w:val="auto"/>
                <w:w w:val="89"/>
              </w:rPr>
              <w:t>and</w:t>
            </w:r>
          </w:p>
        </w:tc>
        <w:tc>
          <w:tcPr>
            <w:tcW w:w="720" w:type="dxa"/>
            <w:vAlign w:val="bottom"/>
            <w:gridSpan w:val="2"/>
            <w:vMerge w:val="restart"/>
          </w:tcPr>
          <w:p>
            <w:pPr>
              <w:jc w:val="right"/>
              <w:ind w:right="360"/>
              <w:spacing w:after="0"/>
              <w:rPr>
                <w:sz w:val="20"/>
                <w:szCs w:val="20"/>
                <w:color w:val="auto"/>
              </w:rPr>
            </w:pPr>
            <w:r>
              <w:rPr>
                <w:rFonts w:ascii="Arial" w:cs="Arial" w:eastAsia="Arial" w:hAnsi="Arial"/>
                <w:sz w:val="10"/>
                <w:szCs w:val="10"/>
                <w:b w:val="1"/>
                <w:bCs w:val="1"/>
                <w:color w:val="auto"/>
              </w:rPr>
              <w:t>Totals</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3"/>
          </w:tcPr>
          <w:p>
            <w:pPr>
              <w:jc w:val="center"/>
              <w:ind w:right="540"/>
              <w:spacing w:after="0"/>
              <w:rPr>
                <w:sz w:val="20"/>
                <w:szCs w:val="20"/>
                <w:color w:val="auto"/>
              </w:rPr>
            </w:pPr>
            <w:r>
              <w:rPr>
                <w:rFonts w:ascii="Arial" w:cs="Arial" w:eastAsia="Arial" w:hAnsi="Arial"/>
                <w:sz w:val="10"/>
                <w:szCs w:val="10"/>
                <w:b w:val="1"/>
                <w:bCs w:val="1"/>
                <w:color w:val="auto"/>
                <w:w w:val="94"/>
              </w:rPr>
              <w:t>Eliminations</w:t>
            </w:r>
          </w:p>
        </w:tc>
        <w:tc>
          <w:tcPr>
            <w:tcW w:w="72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Year ended July 31, 2006:</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00" w:type="dxa"/>
            <w:vAlign w:val="bottom"/>
          </w:tcPr>
          <w:p>
            <w:pPr>
              <w:ind w:left="140"/>
              <w:spacing w:after="0"/>
              <w:rPr>
                <w:sz w:val="20"/>
                <w:szCs w:val="20"/>
                <w:color w:val="auto"/>
              </w:rPr>
            </w:pPr>
            <w:r>
              <w:rPr>
                <w:rFonts w:ascii="Arial" w:cs="Arial" w:eastAsia="Arial" w:hAnsi="Arial"/>
                <w:sz w:val="13"/>
                <w:szCs w:val="13"/>
                <w:color w:val="auto"/>
              </w:rPr>
              <w:t>Revenues from external customers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498,916</w:t>
            </w:r>
          </w:p>
        </w:tc>
        <w:tc>
          <w:tcPr>
            <w:tcW w:w="3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319,432</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200,088</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1,018,436</w:t>
            </w:r>
          </w:p>
        </w:tc>
        <w:tc>
          <w:tcPr>
            <w:tcW w:w="80" w:type="dxa"/>
            <w:vAlign w:val="bottom"/>
          </w:tcPr>
          <w:p>
            <w:pPr>
              <w:spacing w:after="0"/>
              <w:rPr>
                <w:sz w:val="13"/>
                <w:szCs w:val="13"/>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1,018,436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Intersegment revenues</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54,716</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4,017</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6,376</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65,109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(65,109)</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00" w:type="dxa"/>
            <w:vAlign w:val="bottom"/>
          </w:tcPr>
          <w:p>
            <w:pPr>
              <w:ind w:left="140"/>
              <w:spacing w:after="0"/>
              <w:rPr>
                <w:sz w:val="20"/>
                <w:szCs w:val="20"/>
                <w:color w:val="auto"/>
              </w:rPr>
            </w:pPr>
            <w:r>
              <w:rPr>
                <w:rFonts w:ascii="Arial" w:cs="Arial" w:eastAsia="Arial" w:hAnsi="Arial"/>
                <w:sz w:val="13"/>
                <w:szCs w:val="13"/>
                <w:color w:val="auto"/>
              </w:rPr>
              <w:t>Depreciation and amortization expense</w:t>
            </w:r>
          </w:p>
        </w:tc>
        <w:tc>
          <w:tcPr>
            <w:tcW w:w="12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20,407</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6,282</w:t>
            </w:r>
          </w:p>
        </w:tc>
        <w:tc>
          <w:tcPr>
            <w:tcW w:w="80" w:type="dxa"/>
            <w:vAlign w:val="bottom"/>
          </w:tcPr>
          <w:p>
            <w:pPr>
              <w:spacing w:after="0"/>
              <w:rPr>
                <w:sz w:val="13"/>
                <w:szCs w:val="13"/>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7,435</w:t>
            </w:r>
          </w:p>
        </w:tc>
        <w:tc>
          <w:tcPr>
            <w:tcW w:w="140" w:type="dxa"/>
            <w:vAlign w:val="bottom"/>
          </w:tcPr>
          <w:p>
            <w:pPr>
              <w:spacing w:after="0"/>
              <w:rPr>
                <w:sz w:val="13"/>
                <w:szCs w:val="13"/>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34,124</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1,020</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35,144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Segment profit (loss)</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122,525</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83,970</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49,316</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255,811</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(10,633)</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245,178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00" w:type="dxa"/>
            <w:vAlign w:val="bottom"/>
          </w:tcPr>
          <w:p>
            <w:pPr>
              <w:ind w:left="140"/>
              <w:spacing w:after="0"/>
              <w:rPr>
                <w:sz w:val="20"/>
                <w:szCs w:val="20"/>
                <w:color w:val="auto"/>
              </w:rPr>
            </w:pPr>
            <w:r>
              <w:rPr>
                <w:rFonts w:ascii="Arial" w:cs="Arial" w:eastAsia="Arial" w:hAnsi="Arial"/>
                <w:sz w:val="13"/>
                <w:szCs w:val="13"/>
                <w:color w:val="auto"/>
              </w:rPr>
              <w:t>Assets</w:t>
            </w:r>
          </w:p>
        </w:tc>
        <w:tc>
          <w:tcPr>
            <w:tcW w:w="12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643,206</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255,635</w:t>
            </w:r>
          </w:p>
        </w:tc>
        <w:tc>
          <w:tcPr>
            <w:tcW w:w="80" w:type="dxa"/>
            <w:vAlign w:val="bottom"/>
          </w:tcPr>
          <w:p>
            <w:pPr>
              <w:spacing w:after="0"/>
              <w:rPr>
                <w:sz w:val="13"/>
                <w:szCs w:val="13"/>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338,424</w:t>
            </w:r>
          </w:p>
        </w:tc>
        <w:tc>
          <w:tcPr>
            <w:tcW w:w="140" w:type="dxa"/>
            <w:vAlign w:val="bottom"/>
          </w:tcPr>
          <w:p>
            <w:pPr>
              <w:spacing w:after="0"/>
              <w:rPr>
                <w:sz w:val="13"/>
                <w:szCs w:val="13"/>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1,237,265</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127,921</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1,365,186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Expenditures for property, plant and equipment</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22,838</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6,397</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7,303</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36,538</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2,872</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39,410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1"/>
        </w:trPr>
        <w:tc>
          <w:tcPr>
            <w:tcW w:w="6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4"/>
          </w:tcPr>
          <w:p>
            <w:pPr>
              <w:jc w:val="right"/>
              <w:ind w:right="800"/>
              <w:spacing w:after="0"/>
              <w:rPr>
                <w:sz w:val="20"/>
                <w:szCs w:val="20"/>
                <w:color w:val="auto"/>
              </w:rPr>
            </w:pPr>
            <w:r>
              <w:rPr>
                <w:rFonts w:ascii="Arial" w:cs="Arial" w:eastAsia="Arial" w:hAnsi="Arial"/>
                <w:sz w:val="13"/>
                <w:szCs w:val="13"/>
                <w:color w:val="auto"/>
              </w:rPr>
              <w:t>II-42</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9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BRADY CORPORATION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4"/>
          </w:tcPr>
          <w:p>
            <w:pPr>
              <w:jc w:val="right"/>
              <w:ind w:right="560"/>
              <w:spacing w:after="0"/>
              <w:rPr>
                <w:sz w:val="20"/>
                <w:szCs w:val="20"/>
                <w:color w:val="auto"/>
              </w:rPr>
            </w:pPr>
            <w:r>
              <w:rPr>
                <w:rFonts w:ascii="Arial" w:cs="Arial" w:eastAsia="Arial" w:hAnsi="Arial"/>
                <w:sz w:val="10"/>
                <w:szCs w:val="10"/>
                <w:b w:val="1"/>
                <w:bCs w:val="1"/>
                <w:color w:val="auto"/>
              </w:rPr>
              <w:t>Corporate</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Americas</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rPr>
              <w:t>Europe</w:t>
            </w:r>
          </w:p>
        </w:tc>
        <w:tc>
          <w:tcPr>
            <w:tcW w:w="80" w:type="dxa"/>
            <w:vAlign w:val="bottom"/>
          </w:tcPr>
          <w:p>
            <w:pPr>
              <w:spacing w:after="0"/>
              <w:rPr>
                <w:sz w:val="9"/>
                <w:szCs w:val="9"/>
                <w:color w:val="auto"/>
              </w:rPr>
            </w:pPr>
          </w:p>
        </w:tc>
        <w:tc>
          <w:tcPr>
            <w:tcW w:w="9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Asia-Pacific</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restart"/>
          </w:tcPr>
          <w:p>
            <w:pPr>
              <w:jc w:val="right"/>
              <w:ind w:right="340"/>
              <w:spacing w:after="0"/>
              <w:rPr>
                <w:sz w:val="20"/>
                <w:szCs w:val="20"/>
                <w:color w:val="auto"/>
              </w:rPr>
            </w:pPr>
            <w:r>
              <w:rPr>
                <w:rFonts w:ascii="Arial" w:cs="Arial" w:eastAsia="Arial" w:hAnsi="Arial"/>
                <w:sz w:val="10"/>
                <w:szCs w:val="10"/>
                <w:b w:val="1"/>
                <w:bCs w:val="1"/>
                <w:color w:val="auto"/>
                <w:w w:val="92"/>
              </w:rPr>
              <w:t>Subtotals</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3"/>
          </w:tcPr>
          <w:p>
            <w:pPr>
              <w:jc w:val="right"/>
              <w:ind w:right="720"/>
              <w:spacing w:after="0" w:line="108" w:lineRule="exact"/>
              <w:rPr>
                <w:sz w:val="20"/>
                <w:szCs w:val="20"/>
                <w:color w:val="auto"/>
              </w:rPr>
            </w:pPr>
            <w:r>
              <w:rPr>
                <w:rFonts w:ascii="Arial" w:cs="Arial" w:eastAsia="Arial" w:hAnsi="Arial"/>
                <w:sz w:val="10"/>
                <w:szCs w:val="10"/>
                <w:b w:val="1"/>
                <w:bCs w:val="1"/>
                <w:color w:val="auto"/>
              </w:rPr>
              <w:t>and</w:t>
            </w:r>
          </w:p>
        </w:tc>
        <w:tc>
          <w:tcPr>
            <w:tcW w:w="100" w:type="dxa"/>
            <w:vAlign w:val="bottom"/>
          </w:tcPr>
          <w:p>
            <w:pPr>
              <w:spacing w:after="0"/>
              <w:rPr>
                <w:sz w:val="9"/>
                <w:szCs w:val="9"/>
                <w:color w:val="auto"/>
              </w:rPr>
            </w:pPr>
          </w:p>
        </w:tc>
        <w:tc>
          <w:tcPr>
            <w:tcW w:w="680" w:type="dxa"/>
            <w:vAlign w:val="bottom"/>
            <w:gridSpan w:val="2"/>
            <w:vMerge w:val="restart"/>
          </w:tcPr>
          <w:p>
            <w:pPr>
              <w:jc w:val="right"/>
              <w:ind w:right="360"/>
              <w:spacing w:after="0"/>
              <w:rPr>
                <w:sz w:val="20"/>
                <w:szCs w:val="20"/>
                <w:color w:val="auto"/>
              </w:rPr>
            </w:pPr>
            <w:r>
              <w:rPr>
                <w:rFonts w:ascii="Arial" w:cs="Arial" w:eastAsia="Arial" w:hAnsi="Arial"/>
                <w:sz w:val="10"/>
                <w:szCs w:val="10"/>
                <w:b w:val="1"/>
                <w:bCs w:val="1"/>
                <w:color w:val="auto"/>
              </w:rPr>
              <w:t>Totals</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5"/>
          </w:tcPr>
          <w:p>
            <w:pPr>
              <w:ind w:left="120"/>
              <w:spacing w:after="0"/>
              <w:rPr>
                <w:sz w:val="20"/>
                <w:szCs w:val="20"/>
                <w:color w:val="auto"/>
              </w:rPr>
            </w:pPr>
            <w:r>
              <w:rPr>
                <w:rFonts w:ascii="Arial" w:cs="Arial" w:eastAsia="Arial" w:hAnsi="Arial"/>
                <w:sz w:val="10"/>
                <w:szCs w:val="10"/>
                <w:b w:val="1"/>
                <w:bCs w:val="1"/>
                <w:color w:val="auto"/>
              </w:rPr>
              <w:t>Eliminations</w:t>
            </w:r>
          </w:p>
        </w:tc>
        <w:tc>
          <w:tcPr>
            <w:tcW w:w="10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Year ended July 31, 2005:</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00" w:type="dxa"/>
            <w:vAlign w:val="bottom"/>
          </w:tcPr>
          <w:p>
            <w:pPr>
              <w:ind w:left="140"/>
              <w:spacing w:after="0"/>
              <w:rPr>
                <w:sz w:val="20"/>
                <w:szCs w:val="20"/>
                <w:color w:val="auto"/>
              </w:rPr>
            </w:pPr>
            <w:r>
              <w:rPr>
                <w:rFonts w:ascii="Arial" w:cs="Arial" w:eastAsia="Arial" w:hAnsi="Arial"/>
                <w:sz w:val="13"/>
                <w:szCs w:val="13"/>
                <w:color w:val="auto"/>
              </w:rPr>
              <w:t>Revenues from external customers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417,780</w:t>
            </w:r>
          </w:p>
        </w:tc>
        <w:tc>
          <w:tcPr>
            <w:tcW w:w="3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274,691</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123,976</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816,447</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816,447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Intersegment revenues</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45,284</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2,774</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4,402</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52,460</w:t>
            </w:r>
          </w:p>
        </w:tc>
        <w:tc>
          <w:tcPr>
            <w:tcW w:w="14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(52,460)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00" w:type="dxa"/>
            <w:vAlign w:val="bottom"/>
          </w:tcPr>
          <w:p>
            <w:pPr>
              <w:ind w:left="140"/>
              <w:spacing w:after="0"/>
              <w:rPr>
                <w:sz w:val="20"/>
                <w:szCs w:val="20"/>
                <w:color w:val="auto"/>
              </w:rPr>
            </w:pPr>
            <w:r>
              <w:rPr>
                <w:rFonts w:ascii="Arial" w:cs="Arial" w:eastAsia="Arial" w:hAnsi="Arial"/>
                <w:sz w:val="13"/>
                <w:szCs w:val="13"/>
                <w:color w:val="auto"/>
              </w:rPr>
              <w:t>Depreciation and amortization expense</w:t>
            </w:r>
          </w:p>
        </w:tc>
        <w:tc>
          <w:tcPr>
            <w:tcW w:w="12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17,428</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4,140</w:t>
            </w:r>
          </w:p>
        </w:tc>
        <w:tc>
          <w:tcPr>
            <w:tcW w:w="80" w:type="dxa"/>
            <w:vAlign w:val="bottom"/>
          </w:tcPr>
          <w:p>
            <w:pPr>
              <w:spacing w:after="0"/>
              <w:rPr>
                <w:sz w:val="13"/>
                <w:szCs w:val="13"/>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4,323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25,891</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931</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26,822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Segment profit (loss)</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98,193</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79,792</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34,228</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212,213</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(4,845)</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207,368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00" w:type="dxa"/>
            <w:vAlign w:val="bottom"/>
          </w:tcPr>
          <w:p>
            <w:pPr>
              <w:ind w:left="140"/>
              <w:spacing w:after="0"/>
              <w:rPr>
                <w:sz w:val="20"/>
                <w:szCs w:val="20"/>
                <w:color w:val="auto"/>
              </w:rPr>
            </w:pPr>
            <w:r>
              <w:rPr>
                <w:rFonts w:ascii="Arial" w:cs="Arial" w:eastAsia="Arial" w:hAnsi="Arial"/>
                <w:sz w:val="13"/>
                <w:szCs w:val="13"/>
                <w:color w:val="auto"/>
              </w:rPr>
              <w:t>Assets</w:t>
            </w:r>
          </w:p>
        </w:tc>
        <w:tc>
          <w:tcPr>
            <w:tcW w:w="12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446,829</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171,536</w:t>
            </w:r>
          </w:p>
        </w:tc>
        <w:tc>
          <w:tcPr>
            <w:tcW w:w="80" w:type="dxa"/>
            <w:vAlign w:val="bottom"/>
          </w:tcPr>
          <w:p>
            <w:pPr>
              <w:spacing w:after="0"/>
              <w:rPr>
                <w:sz w:val="13"/>
                <w:szCs w:val="13"/>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111,048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729,413</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120,734</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850,147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Expenditures for property, plant and equipment</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11,858</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1,484</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6,050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19,392</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2,528</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21,920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rPr>
              <w:t>Year ended July 31, 2004:</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Revenues from external customers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341,975</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248,255</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80,989</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671,219</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671,219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00" w:type="dxa"/>
            <w:vAlign w:val="bottom"/>
          </w:tcPr>
          <w:p>
            <w:pPr>
              <w:ind w:left="140"/>
              <w:spacing w:after="0"/>
              <w:rPr>
                <w:sz w:val="20"/>
                <w:szCs w:val="20"/>
                <w:color w:val="auto"/>
              </w:rPr>
            </w:pPr>
            <w:r>
              <w:rPr>
                <w:rFonts w:ascii="Arial" w:cs="Arial" w:eastAsia="Arial" w:hAnsi="Arial"/>
                <w:sz w:val="13"/>
                <w:szCs w:val="13"/>
                <w:color w:val="auto"/>
              </w:rPr>
              <w:t>Intersegment revenues</w:t>
            </w:r>
          </w:p>
        </w:tc>
        <w:tc>
          <w:tcPr>
            <w:tcW w:w="12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40,764</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2,199</w:t>
            </w:r>
          </w:p>
        </w:tc>
        <w:tc>
          <w:tcPr>
            <w:tcW w:w="80" w:type="dxa"/>
            <w:vAlign w:val="bottom"/>
          </w:tcPr>
          <w:p>
            <w:pPr>
              <w:spacing w:after="0"/>
              <w:rPr>
                <w:sz w:val="13"/>
                <w:szCs w:val="13"/>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4,165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47,128</w:t>
            </w:r>
          </w:p>
        </w:tc>
        <w:tc>
          <w:tcPr>
            <w:tcW w:w="140" w:type="dxa"/>
            <w:vAlign w:val="bottom"/>
          </w:tcPr>
          <w:p>
            <w:pPr>
              <w:spacing w:after="0"/>
              <w:rPr>
                <w:sz w:val="13"/>
                <w:szCs w:val="13"/>
                <w:color w:val="auto"/>
              </w:rPr>
            </w:pPr>
          </w:p>
        </w:tc>
        <w:tc>
          <w:tcPr>
            <w:tcW w:w="260" w:type="dxa"/>
            <w:vAlign w:val="bottom"/>
            <w:gridSpan w:val="2"/>
          </w:tcPr>
          <w:p>
            <w:pPr>
              <w:jc w:val="right"/>
              <w:ind w:right="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(47,128)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Depreciation and amortization expense</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14,112</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3,686</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1,136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18,934</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1,256</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20,190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00" w:type="dxa"/>
            <w:vAlign w:val="bottom"/>
          </w:tcPr>
          <w:p>
            <w:pPr>
              <w:ind w:left="140"/>
              <w:spacing w:after="0"/>
              <w:rPr>
                <w:sz w:val="20"/>
                <w:szCs w:val="20"/>
                <w:color w:val="auto"/>
              </w:rPr>
            </w:pPr>
            <w:r>
              <w:rPr>
                <w:rFonts w:ascii="Arial" w:cs="Arial" w:eastAsia="Arial" w:hAnsi="Arial"/>
                <w:sz w:val="13"/>
                <w:szCs w:val="13"/>
                <w:color w:val="auto"/>
              </w:rPr>
              <w:t>Segment profit (loss)</w:t>
            </w:r>
          </w:p>
        </w:tc>
        <w:tc>
          <w:tcPr>
            <w:tcW w:w="12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60,132</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66,404</w:t>
            </w:r>
          </w:p>
        </w:tc>
        <w:tc>
          <w:tcPr>
            <w:tcW w:w="80" w:type="dxa"/>
            <w:vAlign w:val="bottom"/>
          </w:tcPr>
          <w:p>
            <w:pPr>
              <w:spacing w:after="0"/>
              <w:rPr>
                <w:sz w:val="13"/>
                <w:szCs w:val="13"/>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22,768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149,304</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(4,696)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144,608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Assets</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408,558</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138,678</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37,348</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584,584</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113,316</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697,900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900" w:type="dxa"/>
            <w:vAlign w:val="bottom"/>
          </w:tcPr>
          <w:p>
            <w:pPr>
              <w:ind w:left="140"/>
              <w:spacing w:after="0"/>
              <w:rPr>
                <w:sz w:val="20"/>
                <w:szCs w:val="20"/>
                <w:color w:val="auto"/>
              </w:rPr>
            </w:pPr>
            <w:r>
              <w:rPr>
                <w:rFonts w:ascii="Arial" w:cs="Arial" w:eastAsia="Arial" w:hAnsi="Arial"/>
                <w:sz w:val="13"/>
                <w:szCs w:val="13"/>
                <w:color w:val="auto"/>
              </w:rPr>
              <w:t>Expenditures for property, plant and equipment</w:t>
            </w: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6,679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3,004</w:t>
            </w:r>
          </w:p>
        </w:tc>
        <w:tc>
          <w:tcPr>
            <w:tcW w:w="8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3,298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12,981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1,911</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14,892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6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0"/>
                <w:szCs w:val="10"/>
                <w:b w:val="1"/>
                <w:bCs w:val="1"/>
                <w:color w:val="auto"/>
              </w:rPr>
              <w:t>Years Ended July 31,</w:t>
            </w: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3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196"/>
              <w:spacing w:after="0" w:line="98" w:lineRule="exact"/>
              <w:rPr>
                <w:sz w:val="20"/>
                <w:szCs w:val="20"/>
                <w:color w:val="auto"/>
              </w:rPr>
            </w:pPr>
            <w:r>
              <w:rPr>
                <w:rFonts w:ascii="Arial" w:cs="Arial" w:eastAsia="Arial" w:hAnsi="Arial"/>
                <w:sz w:val="10"/>
                <w:szCs w:val="10"/>
                <w:b w:val="1"/>
                <w:bCs w:val="1"/>
                <w:color w:val="auto"/>
              </w:rPr>
              <w:t>2006</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2005</w:t>
            </w: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2004</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Segment profit reconciliation:</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rPr>
              <w:t>Total profit for reportable segments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255,811</w:t>
            </w:r>
          </w:p>
        </w:tc>
        <w:tc>
          <w:tcPr>
            <w:tcW w:w="380" w:type="dxa"/>
            <w:vAlign w:val="bottom"/>
            <w:gridSpan w:val="3"/>
          </w:tcPr>
          <w:p>
            <w:pPr>
              <w:ind w:left="26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3"/>
                <w:szCs w:val="13"/>
                <w:color w:val="auto"/>
              </w:rPr>
              <w:t>212,213</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149,304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Corporate and eliminations</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(10,633)</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(4,845)</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(4,696)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00" w:type="dxa"/>
            <w:vAlign w:val="bottom"/>
          </w:tcPr>
          <w:p>
            <w:pPr>
              <w:ind w:left="140"/>
              <w:spacing w:after="0"/>
              <w:rPr>
                <w:sz w:val="20"/>
                <w:szCs w:val="20"/>
                <w:color w:val="auto"/>
              </w:rPr>
            </w:pPr>
            <w:r>
              <w:rPr>
                <w:rFonts w:ascii="Arial" w:cs="Arial" w:eastAsia="Arial" w:hAnsi="Arial"/>
                <w:sz w:val="13"/>
                <w:szCs w:val="13"/>
                <w:color w:val="auto"/>
              </w:rPr>
              <w:t>Unallocated amounts: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Administrative costs</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(88,662)</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(84,916)</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(70,446)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00" w:type="dxa"/>
            <w:vAlign w:val="bottom"/>
          </w:tcPr>
          <w:p>
            <w:pPr>
              <w:ind w:left="280"/>
              <w:spacing w:after="0"/>
              <w:rPr>
                <w:sz w:val="20"/>
                <w:szCs w:val="20"/>
                <w:color w:val="auto"/>
              </w:rPr>
            </w:pPr>
            <w:r>
              <w:rPr>
                <w:rFonts w:ascii="Arial" w:cs="Arial" w:eastAsia="Arial" w:hAnsi="Arial"/>
                <w:sz w:val="13"/>
                <w:szCs w:val="13"/>
                <w:color w:val="auto"/>
              </w:rPr>
              <w:t>Interest (expense) income — net</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(14,231)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(8,403)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(1,231)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Restructuring charge, net</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(3,181)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00" w:type="dxa"/>
            <w:vAlign w:val="bottom"/>
          </w:tcPr>
          <w:p>
            <w:pPr>
              <w:ind w:left="280"/>
              <w:spacing w:after="0"/>
              <w:rPr>
                <w:sz w:val="20"/>
                <w:szCs w:val="20"/>
                <w:color w:val="auto"/>
              </w:rPr>
            </w:pPr>
            <w:r>
              <w:rPr>
                <w:rFonts w:ascii="Arial" w:cs="Arial" w:eastAsia="Arial" w:hAnsi="Arial"/>
                <w:sz w:val="13"/>
                <w:szCs w:val="13"/>
                <w:color w:val="auto"/>
              </w:rPr>
              <w:t>Investment and other income</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2,403</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3"/>
                <w:szCs w:val="13"/>
                <w:color w:val="auto"/>
              </w:rPr>
              <w:t>1,369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577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9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Income before income taxes</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144,688</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115,418</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70,327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00" w:type="dxa"/>
            <w:vAlign w:val="bottom"/>
          </w:tcPr>
          <w:p>
            <w:pPr>
              <w:ind w:left="400"/>
              <w:spacing w:after="0"/>
              <w:rPr>
                <w:sz w:val="20"/>
                <w:szCs w:val="20"/>
                <w:color w:val="auto"/>
              </w:rPr>
            </w:pPr>
            <w:r>
              <w:rPr>
                <w:rFonts w:ascii="Arial" w:cs="Arial" w:eastAsia="Arial" w:hAnsi="Arial"/>
                <w:sz w:val="13"/>
                <w:szCs w:val="13"/>
                <w:color w:val="auto"/>
              </w:rPr>
              <w:t>Income taxes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(40,513)</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(33,471)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(19,456)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900" w:type="dxa"/>
            <w:vAlign w:val="bottom"/>
            <w:shd w:val="clear" w:color="auto" w:fill="CCEEFF"/>
          </w:tcPr>
          <w:p>
            <w:pPr>
              <w:ind w:left="540"/>
              <w:spacing w:after="0"/>
              <w:rPr>
                <w:sz w:val="20"/>
                <w:szCs w:val="20"/>
                <w:color w:val="auto"/>
              </w:rPr>
            </w:pPr>
            <w:r>
              <w:rPr>
                <w:rFonts w:ascii="Arial" w:cs="Arial" w:eastAsia="Arial" w:hAnsi="Arial"/>
                <w:sz w:val="13"/>
                <w:szCs w:val="13"/>
                <w:color w:val="auto"/>
              </w:rPr>
              <w:t>Net income</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104,175</w:t>
            </w:r>
          </w:p>
        </w:tc>
        <w:tc>
          <w:tcPr>
            <w:tcW w:w="140" w:type="dxa"/>
            <w:vAlign w:val="bottom"/>
            <w:shd w:val="clear" w:color="auto" w:fill="CCEEFF"/>
          </w:tcPr>
          <w:p>
            <w:pPr>
              <w:spacing w:after="0"/>
              <w:rPr>
                <w:sz w:val="14"/>
                <w:szCs w:val="14"/>
                <w:color w:val="auto"/>
              </w:rPr>
            </w:pPr>
          </w:p>
        </w:tc>
        <w:tc>
          <w:tcPr>
            <w:tcW w:w="380" w:type="dxa"/>
            <w:vAlign w:val="bottom"/>
            <w:gridSpan w:val="3"/>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81,947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50,871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0"/>
        </w:trPr>
        <w:tc>
          <w:tcPr>
            <w:tcW w:w="6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4"/>
          </w:tcPr>
          <w:p>
            <w:pPr>
              <w:jc w:val="right"/>
              <w:ind w:right="800"/>
              <w:spacing w:after="0"/>
              <w:rPr>
                <w:sz w:val="20"/>
                <w:szCs w:val="20"/>
                <w:color w:val="auto"/>
              </w:rPr>
            </w:pPr>
            <w:r>
              <w:rPr>
                <w:rFonts w:ascii="Arial" w:cs="Arial" w:eastAsia="Arial" w:hAnsi="Arial"/>
                <w:sz w:val="13"/>
                <w:szCs w:val="13"/>
                <w:color w:val="auto"/>
              </w:rPr>
              <w:t>II-43</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9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BRADY CORPORATION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6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gridSpan w:val="4"/>
          </w:tcPr>
          <w:p>
            <w:pPr>
              <w:ind w:left="260"/>
              <w:spacing w:after="0"/>
              <w:rPr>
                <w:sz w:val="20"/>
                <w:szCs w:val="20"/>
                <w:color w:val="auto"/>
              </w:rPr>
            </w:pPr>
            <w:r>
              <w:rPr>
                <w:rFonts w:ascii="Arial" w:cs="Arial" w:eastAsia="Arial" w:hAnsi="Arial"/>
                <w:sz w:val="10"/>
                <w:szCs w:val="10"/>
                <w:b w:val="1"/>
                <w:bCs w:val="1"/>
                <w:color w:val="auto"/>
              </w:rPr>
              <w:t>Revenues*</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gridSpan w:val="4"/>
          </w:tcPr>
          <w:p>
            <w:pPr>
              <w:jc w:val="center"/>
              <w:ind w:right="20"/>
              <w:spacing w:after="0"/>
              <w:rPr>
                <w:sz w:val="20"/>
                <w:szCs w:val="20"/>
                <w:color w:val="auto"/>
              </w:rPr>
            </w:pPr>
            <w:r>
              <w:rPr>
                <w:rFonts w:ascii="Arial" w:cs="Arial" w:eastAsia="Arial" w:hAnsi="Arial"/>
                <w:sz w:val="10"/>
                <w:szCs w:val="10"/>
                <w:b w:val="1"/>
                <w:bCs w:val="1"/>
                <w:color w:val="auto"/>
                <w:w w:val="94"/>
              </w:rPr>
              <w:t>Long-Lived Assets**</w:t>
            </w: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5"/>
        </w:trPr>
        <w:tc>
          <w:tcPr>
            <w:tcW w:w="40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0"/>
                <w:szCs w:val="10"/>
                <w:b w:val="1"/>
                <w:bCs w:val="1"/>
                <w:color w:val="auto"/>
                <w:w w:val="93"/>
              </w:rPr>
              <w:t>Years Ended July 31,</w:t>
            </w: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0"/>
                <w:szCs w:val="10"/>
                <w:b w:val="1"/>
                <w:bCs w:val="1"/>
                <w:color w:val="auto"/>
                <w:w w:val="93"/>
              </w:rPr>
              <w:t>As of Years Ended July 31,</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40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77"/>
              <w:spacing w:after="0" w:line="98" w:lineRule="exact"/>
              <w:rPr>
                <w:sz w:val="20"/>
                <w:szCs w:val="20"/>
                <w:color w:val="auto"/>
              </w:rPr>
            </w:pPr>
            <w:r>
              <w:rPr>
                <w:rFonts w:ascii="Arial" w:cs="Arial" w:eastAsia="Arial" w:hAnsi="Arial"/>
                <w:sz w:val="10"/>
                <w:szCs w:val="10"/>
                <w:b w:val="1"/>
                <w:bCs w:val="1"/>
                <w:color w:val="auto"/>
              </w:rPr>
              <w:t>2006</w:t>
            </w: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7"/>
              <w:spacing w:after="0" w:line="98" w:lineRule="exact"/>
              <w:rPr>
                <w:sz w:val="20"/>
                <w:szCs w:val="20"/>
                <w:color w:val="auto"/>
              </w:rPr>
            </w:pPr>
            <w:r>
              <w:rPr>
                <w:rFonts w:ascii="Arial" w:cs="Arial" w:eastAsia="Arial" w:hAnsi="Arial"/>
                <w:sz w:val="10"/>
                <w:szCs w:val="10"/>
                <w:b w:val="1"/>
                <w:bCs w:val="1"/>
                <w:color w:val="auto"/>
              </w:rPr>
              <w:t>2005</w:t>
            </w:r>
          </w:p>
        </w:tc>
        <w:tc>
          <w:tcPr>
            <w:tcW w:w="3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7"/>
              <w:spacing w:after="0" w:line="98" w:lineRule="exact"/>
              <w:rPr>
                <w:sz w:val="20"/>
                <w:szCs w:val="20"/>
                <w:color w:val="auto"/>
              </w:rPr>
            </w:pPr>
            <w:r>
              <w:rPr>
                <w:rFonts w:ascii="Arial" w:cs="Arial" w:eastAsia="Arial" w:hAnsi="Arial"/>
                <w:sz w:val="10"/>
                <w:szCs w:val="10"/>
                <w:b w:val="1"/>
                <w:bCs w:val="1"/>
                <w:color w:val="auto"/>
              </w:rPr>
              <w:t>2004</w:t>
            </w: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8"/>
              <w:spacing w:after="0" w:line="98" w:lineRule="exact"/>
              <w:rPr>
                <w:sz w:val="20"/>
                <w:szCs w:val="20"/>
                <w:color w:val="auto"/>
              </w:rPr>
            </w:pPr>
            <w:r>
              <w:rPr>
                <w:rFonts w:ascii="Arial" w:cs="Arial" w:eastAsia="Arial" w:hAnsi="Arial"/>
                <w:sz w:val="10"/>
                <w:szCs w:val="10"/>
                <w:b w:val="1"/>
                <w:bCs w:val="1"/>
                <w:color w:val="auto"/>
              </w:rPr>
              <w:t>2006</w:t>
            </w: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center"/>
              <w:ind w:right="78"/>
              <w:spacing w:after="0" w:line="98" w:lineRule="exact"/>
              <w:rPr>
                <w:sz w:val="20"/>
                <w:szCs w:val="20"/>
                <w:color w:val="auto"/>
              </w:rPr>
            </w:pPr>
            <w:r>
              <w:rPr>
                <w:rFonts w:ascii="Arial" w:cs="Arial" w:eastAsia="Arial" w:hAnsi="Arial"/>
                <w:sz w:val="10"/>
                <w:szCs w:val="10"/>
                <w:b w:val="1"/>
                <w:bCs w:val="1"/>
                <w:color w:val="auto"/>
                <w:w w:val="89"/>
              </w:rPr>
              <w:t>2005</w:t>
            </w:r>
          </w:p>
        </w:tc>
        <w:tc>
          <w:tcPr>
            <w:tcW w:w="3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8"/>
              <w:spacing w:after="0" w:line="98" w:lineRule="exact"/>
              <w:rPr>
                <w:sz w:val="20"/>
                <w:szCs w:val="20"/>
                <w:color w:val="auto"/>
              </w:rPr>
            </w:pPr>
            <w:r>
              <w:rPr>
                <w:rFonts w:ascii="Arial" w:cs="Arial" w:eastAsia="Arial" w:hAnsi="Arial"/>
                <w:sz w:val="10"/>
                <w:szCs w:val="10"/>
                <w:b w:val="1"/>
                <w:bCs w:val="1"/>
                <w:color w:val="auto"/>
              </w:rPr>
              <w:t>2004</w:t>
            </w:r>
          </w:p>
        </w:tc>
        <w:tc>
          <w:tcPr>
            <w:tcW w:w="100" w:type="dxa"/>
            <w:vAlign w:val="bottom"/>
          </w:tcPr>
          <w:p>
            <w:pPr>
              <w:spacing w:after="0"/>
              <w:rPr>
                <w:sz w:val="8"/>
                <w:szCs w:val="8"/>
                <w:color w:val="auto"/>
              </w:rPr>
            </w:pPr>
          </w:p>
        </w:tc>
      </w:tr>
      <w:tr>
        <w:trPr>
          <w:trHeight w:val="29"/>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Geographic information:</w:t>
            </w: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4000" w:type="dxa"/>
            <w:vAlign w:val="bottom"/>
          </w:tcPr>
          <w:p>
            <w:pPr>
              <w:ind w:left="140"/>
              <w:spacing w:after="0"/>
              <w:rPr>
                <w:sz w:val="20"/>
                <w:szCs w:val="20"/>
                <w:color w:val="auto"/>
              </w:rPr>
            </w:pPr>
            <w:r>
              <w:rPr>
                <w:rFonts w:ascii="Arial" w:cs="Arial" w:eastAsia="Arial" w:hAnsi="Arial"/>
                <w:sz w:val="13"/>
                <w:szCs w:val="13"/>
                <w:color w:val="auto"/>
              </w:rPr>
              <w:t>United States</w:t>
            </w:r>
          </w:p>
        </w:tc>
        <w:tc>
          <w:tcPr>
            <w:tcW w:w="220" w:type="dxa"/>
            <w:vAlign w:val="bottom"/>
          </w:tcPr>
          <w:p>
            <w:pPr>
              <w:jc w:val="right"/>
              <w:ind w:right="74"/>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484,387</w:t>
            </w:r>
          </w:p>
        </w:tc>
        <w:tc>
          <w:tcPr>
            <w:tcW w:w="42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3"/>
                <w:szCs w:val="13"/>
                <w:color w:val="auto"/>
              </w:rPr>
              <w:t>411,614</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300"/>
              <w:spacing w:after="0"/>
              <w:rPr>
                <w:sz w:val="20"/>
                <w:szCs w:val="20"/>
                <w:color w:val="auto"/>
              </w:rPr>
            </w:pPr>
            <w:r>
              <w:rPr>
                <w:rFonts w:ascii="Arial" w:cs="Arial" w:eastAsia="Arial" w:hAnsi="Arial"/>
                <w:sz w:val="13"/>
                <w:szCs w:val="13"/>
                <w:color w:val="auto"/>
              </w:rPr>
              <w:t>343,879</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3"/>
                <w:szCs w:val="13"/>
                <w:color w:val="auto"/>
              </w:rPr>
              <w:t>439,467</w:t>
            </w:r>
          </w:p>
        </w:tc>
        <w:tc>
          <w:tcPr>
            <w:tcW w:w="4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3"/>
                <w:szCs w:val="13"/>
                <w:color w:val="auto"/>
              </w:rPr>
              <w:t>321,482</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310,838</w:t>
            </w:r>
          </w:p>
        </w:tc>
      </w:tr>
      <w:tr>
        <w:trPr>
          <w:trHeight w:val="157"/>
        </w:trPr>
        <w:tc>
          <w:tcPr>
            <w:tcW w:w="4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2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605,518</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464,542</w:t>
            </w: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379,188</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422,192</w:t>
            </w: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180,945</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97,043</w:t>
            </w:r>
          </w:p>
        </w:tc>
      </w:tr>
      <w:tr>
        <w:trPr>
          <w:trHeight w:val="157"/>
        </w:trPr>
        <w:tc>
          <w:tcPr>
            <w:tcW w:w="4000" w:type="dxa"/>
            <w:vAlign w:val="bottom"/>
          </w:tcPr>
          <w:p>
            <w:pPr>
              <w:ind w:left="140"/>
              <w:spacing w:after="0"/>
              <w:rPr>
                <w:sz w:val="20"/>
                <w:szCs w:val="20"/>
                <w:color w:val="auto"/>
              </w:rPr>
            </w:pPr>
            <w:r>
              <w:rPr>
                <w:rFonts w:ascii="Arial" w:cs="Arial" w:eastAsia="Arial" w:hAnsi="Arial"/>
                <w:sz w:val="13"/>
                <w:szCs w:val="13"/>
                <w:color w:val="auto"/>
              </w:rPr>
              <w:t>Eliminations</w:t>
            </w:r>
          </w:p>
        </w:tc>
        <w:tc>
          <w:tcPr>
            <w:tcW w:w="220" w:type="dxa"/>
            <w:vAlign w:val="bottom"/>
          </w:tcPr>
          <w:p>
            <w:pPr>
              <w:spacing w:after="0"/>
              <w:rPr>
                <w:sz w:val="13"/>
                <w:szCs w:val="1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(71,469)</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(59,709)</w:t>
            </w:r>
          </w:p>
        </w:tc>
        <w:tc>
          <w:tcPr>
            <w:tcW w:w="160" w:type="dxa"/>
            <w:vAlign w:val="bottom"/>
          </w:tcPr>
          <w:p>
            <w:pPr>
              <w:spacing w:after="0"/>
              <w:rPr>
                <w:sz w:val="13"/>
                <w:szCs w:val="13"/>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(51,848)</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4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4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Consolidated total</w:t>
            </w: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1,018,436</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816,447</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671,219</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861,659</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502,427</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407,881</w:t>
            </w:r>
          </w:p>
        </w:tc>
      </w:tr>
      <w:tr>
        <w:trPr>
          <w:trHeight w:val="29"/>
        </w:trPr>
        <w:tc>
          <w:tcPr>
            <w:tcW w:w="40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118745</wp:posOffset>
            </wp:positionV>
            <wp:extent cx="823595"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17" w:lineRule="exact"/>
        <w:rPr>
          <w:sz w:val="20"/>
          <w:szCs w:val="20"/>
          <w:color w:val="auto"/>
        </w:rPr>
      </w:pPr>
    </w:p>
    <w:p>
      <w:pPr>
        <w:ind w:left="1000" w:hanging="172"/>
        <w:spacing w:after="0"/>
        <w:tabs>
          <w:tab w:leader="none" w:pos="1000" w:val="left"/>
        </w:tabs>
        <w:numPr>
          <w:ilvl w:val="2"/>
          <w:numId w:val="24"/>
        </w:numPr>
        <w:rPr>
          <w:rFonts w:ascii="Arial" w:cs="Arial" w:eastAsia="Arial" w:hAnsi="Arial"/>
          <w:sz w:val="13"/>
          <w:szCs w:val="13"/>
          <w:color w:val="auto"/>
        </w:rPr>
      </w:pPr>
      <w:r>
        <w:rPr>
          <w:rFonts w:ascii="Arial" w:cs="Arial" w:eastAsia="Arial" w:hAnsi="Arial"/>
          <w:sz w:val="13"/>
          <w:szCs w:val="13"/>
          <w:color w:val="auto"/>
        </w:rPr>
        <w:t>Revenues are attributed based on country of origin.</w:t>
      </w:r>
    </w:p>
    <w:p>
      <w:pPr>
        <w:spacing w:after="0" w:line="47" w:lineRule="exact"/>
        <w:rPr>
          <w:rFonts w:ascii="Arial" w:cs="Arial" w:eastAsia="Arial" w:hAnsi="Arial"/>
          <w:sz w:val="13"/>
          <w:szCs w:val="13"/>
          <w:color w:val="auto"/>
        </w:rPr>
      </w:pPr>
    </w:p>
    <w:p>
      <w:pPr>
        <w:ind w:left="1000" w:hanging="238"/>
        <w:spacing w:after="0"/>
        <w:tabs>
          <w:tab w:leader="none" w:pos="1000" w:val="left"/>
        </w:tabs>
        <w:numPr>
          <w:ilvl w:val="1"/>
          <w:numId w:val="24"/>
        </w:numPr>
        <w:rPr>
          <w:rFonts w:ascii="Arial" w:cs="Arial" w:eastAsia="Arial" w:hAnsi="Arial"/>
          <w:sz w:val="13"/>
          <w:szCs w:val="13"/>
          <w:color w:val="auto"/>
        </w:rPr>
      </w:pPr>
      <w:r>
        <w:rPr>
          <w:rFonts w:ascii="Arial" w:cs="Arial" w:eastAsia="Arial" w:hAnsi="Arial"/>
          <w:sz w:val="13"/>
          <w:szCs w:val="13"/>
          <w:color w:val="auto"/>
        </w:rPr>
        <w:t>Long-lived assets consist of property, plant, and equipment, other intangible assets and goodwill.</w:t>
      </w:r>
    </w:p>
    <w:p>
      <w:pPr>
        <w:spacing w:after="0" w:line="170" w:lineRule="exact"/>
        <w:rPr>
          <w:rFonts w:ascii="Arial" w:cs="Arial" w:eastAsia="Arial" w:hAnsi="Arial"/>
          <w:sz w:val="13"/>
          <w:szCs w:val="13"/>
          <w:color w:val="auto"/>
        </w:rPr>
      </w:pPr>
    </w:p>
    <w:p>
      <w:pPr>
        <w:ind w:left="1000" w:hanging="313"/>
        <w:spacing w:after="0"/>
        <w:tabs>
          <w:tab w:leader="none" w:pos="1000" w:val="left"/>
        </w:tabs>
        <w:numPr>
          <w:ilvl w:val="0"/>
          <w:numId w:val="24"/>
        </w:numPr>
        <w:rPr>
          <w:rFonts w:ascii="Arial" w:cs="Arial" w:eastAsia="Arial" w:hAnsi="Arial"/>
          <w:sz w:val="13"/>
          <w:szCs w:val="13"/>
          <w:b w:val="1"/>
          <w:bCs w:val="1"/>
          <w:color w:val="auto"/>
        </w:rPr>
      </w:pPr>
      <w:r>
        <w:rPr>
          <w:rFonts w:ascii="Arial" w:cs="Arial" w:eastAsia="Arial" w:hAnsi="Arial"/>
          <w:sz w:val="13"/>
          <w:szCs w:val="13"/>
          <w:b w:val="1"/>
          <w:bCs w:val="1"/>
          <w:color w:val="auto"/>
        </w:rPr>
        <w:t>Net Income Per Common Share</w:t>
      </w:r>
    </w:p>
    <w:p>
      <w:pPr>
        <w:spacing w:after="0" w:line="100" w:lineRule="exact"/>
        <w:rPr>
          <w:sz w:val="20"/>
          <w:szCs w:val="20"/>
          <w:color w:val="auto"/>
        </w:rPr>
      </w:pPr>
    </w:p>
    <w:p>
      <w:pPr>
        <w:ind w:left="680" w:right="880" w:firstLine="399"/>
        <w:spacing w:after="0" w:line="264" w:lineRule="auto"/>
        <w:rPr>
          <w:sz w:val="20"/>
          <w:szCs w:val="20"/>
          <w:color w:val="auto"/>
        </w:rPr>
      </w:pPr>
      <w:r>
        <w:rPr>
          <w:rFonts w:ascii="Arial" w:cs="Arial" w:eastAsia="Arial" w:hAnsi="Arial"/>
          <w:sz w:val="13"/>
          <w:szCs w:val="13"/>
          <w:color w:val="auto"/>
        </w:rPr>
        <w:t>Net income per Common Share is computed by dividing net income (after deducting the applicable Preferred Stock dividends and preferential Class A Common Stock dividends) by the weighted average Common Shares outstanding of 49,493,976 for 2006, 48,967,160 for 2005, and 47,298,454 for 2004. The preferential dividend on the Class A Common Stock of $.01665 per share has been added to the net income per Class A Common Share for all years presented.</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Reconciliations of the numerator and denominator of the basic and diluted per share computations for the Company’s Class A and Class B common stock are summarized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0"/>
                <w:szCs w:val="10"/>
                <w:b w:val="1"/>
                <w:bCs w:val="1"/>
                <w:color w:val="auto"/>
                <w:w w:val="96"/>
              </w:rPr>
              <w:t>Years ended July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44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rPr>
              <w:t>2006</w:t>
            </w: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2004</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3"/>
                <w:szCs w:val="13"/>
                <w:color w:val="auto"/>
              </w:rPr>
              <w:t>Numerator</w:t>
            </w:r>
          </w:p>
        </w:tc>
        <w:tc>
          <w:tcPr>
            <w:tcW w:w="2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60" w:type="dxa"/>
            <w:vAlign w:val="bottom"/>
          </w:tcPr>
          <w:p>
            <w:pPr>
              <w:ind w:left="140"/>
              <w:spacing w:after="0"/>
              <w:rPr>
                <w:sz w:val="20"/>
                <w:szCs w:val="20"/>
                <w:color w:val="auto"/>
              </w:rPr>
            </w:pPr>
            <w:r>
              <w:rPr>
                <w:rFonts w:ascii="Arial" w:cs="Arial" w:eastAsia="Arial" w:hAnsi="Arial"/>
                <w:sz w:val="13"/>
                <w:szCs w:val="13"/>
                <w:color w:val="auto"/>
                <w:w w:val="99"/>
              </w:rPr>
              <w:t>Net income (numerator for basic and diluted Class A net income per share)</w:t>
            </w:r>
          </w:p>
        </w:tc>
        <w:tc>
          <w:tcPr>
            <w:tcW w:w="2900" w:type="dxa"/>
            <w:vAlign w:val="bottom"/>
            <w:gridSpan w:val="2"/>
          </w:tcPr>
          <w:p>
            <w:pPr>
              <w:jc w:val="right"/>
              <w:ind w:right="51"/>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104,175</w:t>
            </w:r>
          </w:p>
        </w:tc>
        <w:tc>
          <w:tcPr>
            <w:tcW w:w="4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81,947</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50,871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Less:</w:t>
            </w:r>
          </w:p>
        </w:tc>
        <w:tc>
          <w:tcPr>
            <w:tcW w:w="2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60" w:type="dxa"/>
            <w:vAlign w:val="bottom"/>
          </w:tcPr>
          <w:p>
            <w:pPr>
              <w:ind w:left="140"/>
              <w:spacing w:after="0"/>
              <w:rPr>
                <w:sz w:val="20"/>
                <w:szCs w:val="20"/>
                <w:color w:val="auto"/>
              </w:rPr>
            </w:pPr>
            <w:r>
              <w:rPr>
                <w:rFonts w:ascii="Arial" w:cs="Arial" w:eastAsia="Arial" w:hAnsi="Arial"/>
                <w:sz w:val="13"/>
                <w:szCs w:val="13"/>
                <w:color w:val="auto"/>
              </w:rPr>
              <w:t>Preferential dividends</w:t>
            </w:r>
          </w:p>
        </w:tc>
        <w:tc>
          <w:tcPr>
            <w:tcW w:w="2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(758)</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(751)</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(721)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Preferential dividends on dilutive stock options</w:t>
            </w:r>
          </w:p>
        </w:tc>
        <w:tc>
          <w:tcPr>
            <w:tcW w:w="2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(15)</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(23)</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60" w:type="dxa"/>
            <w:vAlign w:val="bottom"/>
            <w:vMerge w:val="restart"/>
          </w:tcPr>
          <w:p>
            <w:pPr>
              <w:ind w:left="140"/>
              <w:spacing w:after="0"/>
              <w:rPr>
                <w:sz w:val="20"/>
                <w:szCs w:val="20"/>
                <w:color w:val="auto"/>
              </w:rPr>
            </w:pPr>
            <w:r>
              <w:rPr>
                <w:rFonts w:ascii="Arial" w:cs="Arial" w:eastAsia="Arial" w:hAnsi="Arial"/>
                <w:sz w:val="13"/>
                <w:szCs w:val="13"/>
                <w:color w:val="auto"/>
              </w:rPr>
              <w:t>Numerator for basic and diluted Class B net income per share</w:t>
            </w:r>
          </w:p>
        </w:tc>
        <w:tc>
          <w:tcPr>
            <w:tcW w:w="2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4460" w:type="dxa"/>
            <w:vAlign w:val="bottom"/>
            <w:vMerge w:val="continue"/>
          </w:tcPr>
          <w:p>
            <w:pPr>
              <w:spacing w:after="0"/>
              <w:rPr>
                <w:sz w:val="14"/>
                <w:szCs w:val="14"/>
                <w:color w:val="auto"/>
              </w:rPr>
            </w:pPr>
          </w:p>
        </w:tc>
        <w:tc>
          <w:tcPr>
            <w:tcW w:w="2740" w:type="dxa"/>
            <w:vAlign w:val="bottom"/>
          </w:tcPr>
          <w:p>
            <w:pPr>
              <w:spacing w:after="0"/>
              <w:rPr>
                <w:sz w:val="14"/>
                <w:szCs w:val="14"/>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103,402</w:t>
            </w:r>
          </w:p>
        </w:tc>
        <w:tc>
          <w:tcPr>
            <w:tcW w:w="4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81,173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50,141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3"/>
                <w:szCs w:val="13"/>
                <w:color w:val="auto"/>
              </w:rPr>
              <w:t>Denominator:</w:t>
            </w:r>
          </w:p>
        </w:tc>
        <w:tc>
          <w:tcPr>
            <w:tcW w:w="274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60" w:type="dxa"/>
            <w:vAlign w:val="bottom"/>
          </w:tcPr>
          <w:p>
            <w:pPr>
              <w:ind w:left="140"/>
              <w:spacing w:after="0"/>
              <w:rPr>
                <w:sz w:val="20"/>
                <w:szCs w:val="20"/>
                <w:color w:val="auto"/>
              </w:rPr>
            </w:pPr>
            <w:r>
              <w:rPr>
                <w:rFonts w:ascii="Arial" w:cs="Arial" w:eastAsia="Arial" w:hAnsi="Arial"/>
                <w:sz w:val="13"/>
                <w:szCs w:val="13"/>
                <w:color w:val="auto"/>
              </w:rPr>
              <w:t>Denominator for basic net income per share for both Class A and B</w:t>
            </w:r>
          </w:p>
        </w:tc>
        <w:tc>
          <w:tcPr>
            <w:tcW w:w="2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49,494</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48,967</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47,298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Plus: effect of dilutive stock options</w:t>
            </w:r>
          </w:p>
        </w:tc>
        <w:tc>
          <w:tcPr>
            <w:tcW w:w="2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850</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847</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60" w:type="dxa"/>
            <w:vAlign w:val="bottom"/>
          </w:tcPr>
          <w:p>
            <w:pPr>
              <w:ind w:left="140"/>
              <w:spacing w:after="0"/>
              <w:rPr>
                <w:sz w:val="20"/>
                <w:szCs w:val="20"/>
                <w:color w:val="auto"/>
              </w:rPr>
            </w:pPr>
            <w:r>
              <w:rPr>
                <w:rFonts w:ascii="Arial" w:cs="Arial" w:eastAsia="Arial" w:hAnsi="Arial"/>
                <w:sz w:val="13"/>
                <w:szCs w:val="13"/>
                <w:color w:val="auto"/>
              </w:rPr>
              <w:t>Treasury shares — deferred compensation plan</w:t>
            </w:r>
          </w:p>
        </w:tc>
        <w:tc>
          <w:tcPr>
            <w:tcW w:w="2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41</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45</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4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Denominator for diluted net income per share for both Class A and B</w:t>
            </w:r>
          </w:p>
        </w:tc>
        <w:tc>
          <w:tcPr>
            <w:tcW w:w="2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50,385</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49,859</w:t>
            </w: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47,813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4460" w:type="dxa"/>
            <w:vAlign w:val="bottom"/>
          </w:tcPr>
          <w:p>
            <w:pPr>
              <w:ind w:left="140"/>
              <w:spacing w:after="0"/>
              <w:rPr>
                <w:sz w:val="20"/>
                <w:szCs w:val="20"/>
                <w:color w:val="auto"/>
              </w:rPr>
            </w:pPr>
            <w:r>
              <w:rPr>
                <w:rFonts w:ascii="Arial" w:cs="Arial" w:eastAsia="Arial" w:hAnsi="Arial"/>
                <w:sz w:val="13"/>
                <w:szCs w:val="13"/>
                <w:color w:val="auto"/>
              </w:rPr>
              <w:t>Class A common stock net income per share calculation:</w:t>
            </w:r>
          </w:p>
        </w:tc>
        <w:tc>
          <w:tcPr>
            <w:tcW w:w="27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4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2900" w:type="dxa"/>
            <w:vAlign w:val="bottom"/>
            <w:gridSpan w:val="2"/>
            <w:shd w:val="clear" w:color="auto" w:fill="CCEEFF"/>
          </w:tcPr>
          <w:p>
            <w:pPr>
              <w:jc w:val="right"/>
              <w:ind w:right="51"/>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60" w:type="dxa"/>
            <w:vAlign w:val="bottom"/>
          </w:tcPr>
          <w:p>
            <w:pPr>
              <w:ind w:left="140"/>
              <w:spacing w:after="0"/>
              <w:rPr>
                <w:sz w:val="20"/>
                <w:szCs w:val="20"/>
                <w:color w:val="auto"/>
              </w:rPr>
            </w:pPr>
            <w:r>
              <w:rPr>
                <w:rFonts w:ascii="Arial" w:cs="Arial" w:eastAsia="Arial" w:hAnsi="Arial"/>
                <w:sz w:val="13"/>
                <w:szCs w:val="13"/>
                <w:color w:val="auto"/>
              </w:rPr>
              <w:t>Diluted</w:t>
            </w:r>
          </w:p>
        </w:tc>
        <w:tc>
          <w:tcPr>
            <w:tcW w:w="2900" w:type="dxa"/>
            <w:vAlign w:val="bottom"/>
            <w:gridSpan w:val="2"/>
          </w:tcPr>
          <w:p>
            <w:pPr>
              <w:jc w:val="right"/>
              <w:ind w:right="51"/>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2.07</w:t>
            </w:r>
          </w:p>
        </w:tc>
        <w:tc>
          <w:tcPr>
            <w:tcW w:w="4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1.64</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1.07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Class B common stock net income per share calculation:</w:t>
            </w:r>
          </w:p>
        </w:tc>
        <w:tc>
          <w:tcPr>
            <w:tcW w:w="2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60" w:type="dxa"/>
            <w:vAlign w:val="bottom"/>
          </w:tcPr>
          <w:p>
            <w:pPr>
              <w:ind w:left="140"/>
              <w:spacing w:after="0"/>
              <w:rPr>
                <w:sz w:val="20"/>
                <w:szCs w:val="20"/>
                <w:color w:val="auto"/>
              </w:rPr>
            </w:pPr>
            <w:r>
              <w:rPr>
                <w:rFonts w:ascii="Arial" w:cs="Arial" w:eastAsia="Arial" w:hAnsi="Arial"/>
                <w:sz w:val="13"/>
                <w:szCs w:val="13"/>
                <w:color w:val="auto"/>
              </w:rPr>
              <w:t>Basic</w:t>
            </w:r>
          </w:p>
        </w:tc>
        <w:tc>
          <w:tcPr>
            <w:tcW w:w="2900" w:type="dxa"/>
            <w:vAlign w:val="bottom"/>
            <w:gridSpan w:val="2"/>
          </w:tcPr>
          <w:p>
            <w:pPr>
              <w:jc w:val="right"/>
              <w:ind w:right="51"/>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2.09</w:t>
            </w:r>
          </w:p>
        </w:tc>
        <w:tc>
          <w:tcPr>
            <w:tcW w:w="4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1.66</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44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w:t>
            </w:r>
          </w:p>
        </w:tc>
        <w:tc>
          <w:tcPr>
            <w:tcW w:w="27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2.05</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6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740" w:type="dxa"/>
            <w:vAlign w:val="bottom"/>
          </w:tcPr>
          <w:p>
            <w:pPr>
              <w:ind w:left="400"/>
              <w:spacing w:after="0"/>
              <w:rPr>
                <w:sz w:val="20"/>
                <w:szCs w:val="20"/>
                <w:color w:val="auto"/>
              </w:rPr>
            </w:pPr>
            <w:r>
              <w:rPr>
                <w:rFonts w:ascii="Arial" w:cs="Arial" w:eastAsia="Arial" w:hAnsi="Arial"/>
                <w:sz w:val="13"/>
                <w:szCs w:val="13"/>
                <w:color w:val="auto"/>
              </w:rPr>
              <w:t>II-44</w:t>
            </w: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460" w:type="dxa"/>
            <w:vAlign w:val="bottom"/>
            <w:tcBorders>
              <w:bottom w:val="single" w:sz="8" w:color="808080"/>
            </w:tcBorders>
          </w:tcPr>
          <w:p>
            <w:pPr>
              <w:spacing w:after="0"/>
              <w:rPr>
                <w:sz w:val="14"/>
                <w:szCs w:val="14"/>
                <w:color w:val="auto"/>
              </w:rPr>
            </w:pPr>
          </w:p>
        </w:tc>
        <w:tc>
          <w:tcPr>
            <w:tcW w:w="27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BRADY CORPORATION AND SUBSIDIARIES</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9"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Options to purchase 650,500, 38,000 and 36,000 shares of Class A common stock were excluded from the computations of diluted net income per share for years ended July 31, 2006, 2005 and 2004, respectively, because the option exercise prices were greater than the average market price of the common shares and, therefore, the effect would be antidilutive.</w:t>
      </w:r>
    </w:p>
    <w:p>
      <w:pPr>
        <w:spacing w:after="0" w:line="110" w:lineRule="exact"/>
        <w:rPr>
          <w:sz w:val="20"/>
          <w:szCs w:val="20"/>
          <w:color w:val="auto"/>
        </w:rPr>
      </w:pPr>
    </w:p>
    <w:p>
      <w:pPr>
        <w:ind w:left="1000" w:hanging="313"/>
        <w:spacing w:after="0"/>
        <w:tabs>
          <w:tab w:leader="none" w:pos="1000" w:val="left"/>
        </w:tabs>
        <w:numPr>
          <w:ilvl w:val="0"/>
          <w:numId w:val="25"/>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0"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The Company has entered into various noncancellable operating lease agreements. Rental expense charged to operations on a straight-line basis was $15,181, $14,020, and $12,583 for the years ended July 31, 2006, 2005 and 2004, respectively. Future minimum lease payments required under such leases in effect at July 31, 2006 are as follows, for the years ending July 31:</w:t>
      </w:r>
    </w:p>
    <w:p>
      <w:pPr>
        <w:spacing w:after="0" w:line="86"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9300" w:type="dxa"/>
            <w:vAlign w:val="bottom"/>
            <w:shd w:val="clear" w:color="auto" w:fill="CCEEFF"/>
          </w:tcPr>
          <w:p>
            <w:pPr>
              <w:spacing w:after="0"/>
              <w:rPr>
                <w:sz w:val="20"/>
                <w:szCs w:val="20"/>
                <w:color w:val="auto"/>
              </w:rPr>
            </w:pPr>
            <w:r>
              <w:rPr>
                <w:rFonts w:ascii="Arial" w:cs="Arial" w:eastAsia="Arial" w:hAnsi="Arial"/>
                <w:sz w:val="13"/>
                <w:szCs w:val="13"/>
                <w:color w:val="auto"/>
              </w:rPr>
              <w:t>2007</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15,744</w:t>
            </w:r>
          </w:p>
        </w:tc>
      </w:tr>
      <w:tr>
        <w:trPr>
          <w:trHeight w:val="157"/>
        </w:trPr>
        <w:tc>
          <w:tcPr>
            <w:tcW w:w="9300" w:type="dxa"/>
            <w:vAlign w:val="bottom"/>
          </w:tcPr>
          <w:p>
            <w:pPr>
              <w:spacing w:after="0"/>
              <w:rPr>
                <w:sz w:val="20"/>
                <w:szCs w:val="20"/>
                <w:color w:val="auto"/>
              </w:rPr>
            </w:pPr>
            <w:r>
              <w:rPr>
                <w:rFonts w:ascii="Arial" w:cs="Arial" w:eastAsia="Arial" w:hAnsi="Arial"/>
                <w:sz w:val="13"/>
                <w:szCs w:val="13"/>
                <w:color w:val="auto"/>
              </w:rPr>
              <w:t>2008</w:t>
            </w: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11,987</w:t>
            </w:r>
          </w:p>
        </w:tc>
      </w:tr>
      <w:tr>
        <w:trPr>
          <w:trHeight w:val="157"/>
        </w:trPr>
        <w:tc>
          <w:tcPr>
            <w:tcW w:w="9300" w:type="dxa"/>
            <w:vAlign w:val="bottom"/>
            <w:shd w:val="clear" w:color="auto" w:fill="CCEEFF"/>
          </w:tcPr>
          <w:p>
            <w:pPr>
              <w:spacing w:after="0"/>
              <w:rPr>
                <w:sz w:val="20"/>
                <w:szCs w:val="20"/>
                <w:color w:val="auto"/>
              </w:rPr>
            </w:pPr>
            <w:r>
              <w:rPr>
                <w:rFonts w:ascii="Arial" w:cs="Arial" w:eastAsia="Arial" w:hAnsi="Arial"/>
                <w:sz w:val="13"/>
                <w:szCs w:val="13"/>
                <w:color w:val="auto"/>
              </w:rPr>
              <w:t>2009</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8,944</w:t>
            </w:r>
          </w:p>
        </w:tc>
      </w:tr>
      <w:tr>
        <w:trPr>
          <w:trHeight w:val="157"/>
        </w:trPr>
        <w:tc>
          <w:tcPr>
            <w:tcW w:w="9300" w:type="dxa"/>
            <w:vAlign w:val="bottom"/>
          </w:tcPr>
          <w:p>
            <w:pPr>
              <w:spacing w:after="0"/>
              <w:rPr>
                <w:sz w:val="20"/>
                <w:szCs w:val="20"/>
                <w:color w:val="auto"/>
              </w:rPr>
            </w:pPr>
            <w:r>
              <w:rPr>
                <w:rFonts w:ascii="Arial" w:cs="Arial" w:eastAsia="Arial" w:hAnsi="Arial"/>
                <w:sz w:val="13"/>
                <w:szCs w:val="13"/>
                <w:color w:val="auto"/>
              </w:rPr>
              <w:t>2010</w:t>
            </w: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4,629</w:t>
            </w:r>
          </w:p>
        </w:tc>
      </w:tr>
      <w:tr>
        <w:trPr>
          <w:trHeight w:val="157"/>
        </w:trPr>
        <w:tc>
          <w:tcPr>
            <w:tcW w:w="9300" w:type="dxa"/>
            <w:vAlign w:val="bottom"/>
            <w:shd w:val="clear" w:color="auto" w:fill="CCEEFF"/>
          </w:tcPr>
          <w:p>
            <w:pPr>
              <w:spacing w:after="0"/>
              <w:rPr>
                <w:sz w:val="20"/>
                <w:szCs w:val="20"/>
                <w:color w:val="auto"/>
              </w:rPr>
            </w:pPr>
            <w:r>
              <w:rPr>
                <w:rFonts w:ascii="Arial" w:cs="Arial" w:eastAsia="Arial" w:hAnsi="Arial"/>
                <w:sz w:val="13"/>
                <w:szCs w:val="13"/>
                <w:color w:val="auto"/>
              </w:rPr>
              <w:t>2011</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3,570</w:t>
            </w:r>
          </w:p>
        </w:tc>
      </w:tr>
      <w:tr>
        <w:trPr>
          <w:trHeight w:val="157"/>
        </w:trPr>
        <w:tc>
          <w:tcPr>
            <w:tcW w:w="9300" w:type="dxa"/>
            <w:vAlign w:val="bottom"/>
          </w:tcPr>
          <w:p>
            <w:pPr>
              <w:spacing w:after="0"/>
              <w:rPr>
                <w:sz w:val="20"/>
                <w:szCs w:val="20"/>
                <w:color w:val="auto"/>
              </w:rPr>
            </w:pPr>
            <w:r>
              <w:rPr>
                <w:rFonts w:ascii="Arial" w:cs="Arial" w:eastAsia="Arial" w:hAnsi="Arial"/>
                <w:sz w:val="13"/>
                <w:szCs w:val="13"/>
                <w:color w:val="auto"/>
              </w:rPr>
              <w:t>Thereafter</w:t>
            </w: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7,072</w:t>
            </w:r>
          </w:p>
        </w:tc>
      </w:tr>
      <w:tr>
        <w:trPr>
          <w:trHeight w:val="20"/>
        </w:trPr>
        <w:tc>
          <w:tcPr>
            <w:tcW w:w="9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93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51,946</w:t>
            </w:r>
          </w:p>
        </w:tc>
      </w:tr>
      <w:tr>
        <w:trPr>
          <w:trHeight w:val="29"/>
        </w:trPr>
        <w:tc>
          <w:tcPr>
            <w:tcW w:w="9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300" w:firstLine="399"/>
        <w:spacing w:after="0" w:line="320" w:lineRule="auto"/>
        <w:rPr>
          <w:sz w:val="20"/>
          <w:szCs w:val="20"/>
          <w:color w:val="auto"/>
        </w:rPr>
      </w:pPr>
      <w:r>
        <w:rPr>
          <w:rFonts w:ascii="Arial" w:cs="Arial" w:eastAsia="Arial" w:hAnsi="Arial"/>
          <w:sz w:val="12"/>
          <w:szCs w:val="12"/>
          <w:color w:val="auto"/>
        </w:rPr>
        <w:t>In the normal course of business, the Company is named as a defendant in various lawsuits in which claims are asserted against the Company. In the opinion of management, the liabilities, if any, which may ultimately result from lawsuits are not expected to have a material adverse effect on the consolidated financial statements of the Company.</w:t>
      </w:r>
    </w:p>
    <w:p>
      <w:pPr>
        <w:spacing w:after="0" w:line="110" w:lineRule="exact"/>
        <w:rPr>
          <w:sz w:val="20"/>
          <w:szCs w:val="20"/>
          <w:color w:val="auto"/>
        </w:rPr>
      </w:pPr>
    </w:p>
    <w:p>
      <w:pPr>
        <w:ind w:left="1180" w:hanging="493"/>
        <w:spacing w:after="0"/>
        <w:tabs>
          <w:tab w:leader="none" w:pos="1180" w:val="left"/>
        </w:tabs>
        <w:numPr>
          <w:ilvl w:val="0"/>
          <w:numId w:val="26"/>
        </w:numPr>
        <w:rPr>
          <w:rFonts w:ascii="Arial" w:cs="Arial" w:eastAsia="Arial" w:hAnsi="Arial"/>
          <w:sz w:val="13"/>
          <w:szCs w:val="13"/>
          <w:b w:val="1"/>
          <w:bCs w:val="1"/>
          <w:color w:val="auto"/>
        </w:rPr>
      </w:pPr>
      <w:r>
        <w:rPr>
          <w:rFonts w:ascii="Arial" w:cs="Arial" w:eastAsia="Arial" w:hAnsi="Arial"/>
          <w:sz w:val="13"/>
          <w:szCs w:val="13"/>
          <w:b w:val="1"/>
          <w:bCs w:val="1"/>
          <w:color w:val="auto"/>
        </w:rPr>
        <w:t>Restructuring Charges</w:t>
      </w:r>
    </w:p>
    <w:p>
      <w:pPr>
        <w:spacing w:after="0" w:line="100"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During fiscal 2004, the Company recorded a restructuring charge of $3,181, $2,166 after tax or $0.05 per diluted Class A Common Share, as part of the restructuring program announced in the fourth quarter of fiscal 2003 related primarily to combining sales and marketing resources and consolidating facilities throughout North America and Europe resulting in a workforce reduction of approximately 300 employees. The fiscal 2004 restructuring charge by reportable segment was $1,262 in Americas, $1,521 in Europe, and $398 in Asia-Pacific.</w:t>
      </w:r>
    </w:p>
    <w:p>
      <w:pPr>
        <w:spacing w:after="0" w:line="50"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The restructuring charge included a provision for severance of approximately $2,900 and a write-off of assets and other of $281. Total cash expenditures in connection with this action was approximately $2,858, which was paid out in fiscal 2004 and 2005. As of July 31, 2005, there was no balance remaining in the restructuring reserve account on the consolidated balance sheet.</w:t>
      </w:r>
    </w:p>
    <w:p>
      <w:pPr>
        <w:spacing w:after="0" w:line="27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BRADY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75" w:lineRule="exact"/>
        <w:rPr>
          <w:sz w:val="20"/>
          <w:szCs w:val="20"/>
          <w:color w:val="auto"/>
        </w:rPr>
      </w:pPr>
    </w:p>
    <w:p>
      <w:pPr>
        <w:ind w:left="1180" w:hanging="493"/>
        <w:spacing w:after="0"/>
        <w:tabs>
          <w:tab w:leader="none" w:pos="1180" w:val="left"/>
        </w:tabs>
        <w:numPr>
          <w:ilvl w:val="0"/>
          <w:numId w:val="27"/>
        </w:numPr>
        <w:rPr>
          <w:rFonts w:ascii="Arial" w:cs="Arial" w:eastAsia="Arial" w:hAnsi="Arial"/>
          <w:sz w:val="13"/>
          <w:szCs w:val="13"/>
          <w:b w:val="1"/>
          <w:bCs w:val="1"/>
          <w:color w:val="auto"/>
        </w:rPr>
      </w:pPr>
      <w:r>
        <w:rPr>
          <w:rFonts w:ascii="Arial" w:cs="Arial" w:eastAsia="Arial" w:hAnsi="Arial"/>
          <w:sz w:val="13"/>
          <w:szCs w:val="13"/>
          <w:b w:val="1"/>
          <w:bCs w:val="1"/>
          <w:color w:val="auto"/>
        </w:rPr>
        <w:t>Unaudited Quarterly Financial Information</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6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Quarters</w:t>
            </w: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4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gridSpan w:val="2"/>
          </w:tcPr>
          <w:p>
            <w:pPr>
              <w:jc w:val="right"/>
              <w:ind w:right="660"/>
              <w:spacing w:after="0" w:line="98" w:lineRule="exact"/>
              <w:rPr>
                <w:sz w:val="20"/>
                <w:szCs w:val="20"/>
                <w:color w:val="auto"/>
              </w:rPr>
            </w:pPr>
            <w:r>
              <w:rPr>
                <w:rFonts w:ascii="Arial" w:cs="Arial" w:eastAsia="Arial" w:hAnsi="Arial"/>
                <w:sz w:val="10"/>
                <w:szCs w:val="10"/>
                <w:b w:val="1"/>
                <w:bCs w:val="1"/>
                <w:color w:val="auto"/>
              </w:rPr>
              <w:t>First</w:t>
            </w:r>
          </w:p>
        </w:tc>
        <w:tc>
          <w:tcPr>
            <w:tcW w:w="140" w:type="dxa"/>
            <w:vAlign w:val="bottom"/>
          </w:tcPr>
          <w:p>
            <w:pPr>
              <w:spacing w:after="0"/>
              <w:rPr>
                <w:sz w:val="8"/>
                <w:szCs w:val="8"/>
                <w:color w:val="auto"/>
              </w:rPr>
            </w:pPr>
          </w:p>
        </w:tc>
        <w:tc>
          <w:tcPr>
            <w:tcW w:w="960" w:type="dxa"/>
            <w:vAlign w:val="bottom"/>
            <w:gridSpan w:val="2"/>
          </w:tcPr>
          <w:p>
            <w:pPr>
              <w:ind w:left="60"/>
              <w:spacing w:after="0" w:line="98" w:lineRule="exact"/>
              <w:rPr>
                <w:sz w:val="20"/>
                <w:szCs w:val="20"/>
                <w:color w:val="auto"/>
              </w:rPr>
            </w:pPr>
            <w:r>
              <w:rPr>
                <w:rFonts w:ascii="Arial" w:cs="Arial" w:eastAsia="Arial" w:hAnsi="Arial"/>
                <w:sz w:val="10"/>
                <w:szCs w:val="10"/>
                <w:b w:val="1"/>
                <w:bCs w:val="1"/>
                <w:color w:val="auto"/>
              </w:rPr>
              <w:t>Second</w:t>
            </w:r>
          </w:p>
        </w:tc>
        <w:tc>
          <w:tcPr>
            <w:tcW w:w="140" w:type="dxa"/>
            <w:vAlign w:val="bottom"/>
          </w:tcPr>
          <w:p>
            <w:pPr>
              <w:spacing w:after="0"/>
              <w:rPr>
                <w:sz w:val="8"/>
                <w:szCs w:val="8"/>
                <w:color w:val="auto"/>
              </w:rPr>
            </w:pPr>
          </w:p>
        </w:tc>
        <w:tc>
          <w:tcPr>
            <w:tcW w:w="940" w:type="dxa"/>
            <w:vAlign w:val="bottom"/>
            <w:gridSpan w:val="2"/>
          </w:tcPr>
          <w:p>
            <w:pPr>
              <w:ind w:left="80"/>
              <w:spacing w:after="0" w:line="98" w:lineRule="exact"/>
              <w:rPr>
                <w:sz w:val="20"/>
                <w:szCs w:val="20"/>
                <w:color w:val="auto"/>
              </w:rPr>
            </w:pPr>
            <w:r>
              <w:rPr>
                <w:rFonts w:ascii="Arial" w:cs="Arial" w:eastAsia="Arial" w:hAnsi="Arial"/>
                <w:sz w:val="10"/>
                <w:szCs w:val="10"/>
                <w:b w:val="1"/>
                <w:bCs w:val="1"/>
                <w:color w:val="auto"/>
              </w:rPr>
              <w:t>Third</w:t>
            </w:r>
          </w:p>
        </w:tc>
        <w:tc>
          <w:tcPr>
            <w:tcW w:w="100" w:type="dxa"/>
            <w:vAlign w:val="bottom"/>
          </w:tcPr>
          <w:p>
            <w:pPr>
              <w:spacing w:after="0"/>
              <w:rPr>
                <w:sz w:val="8"/>
                <w:szCs w:val="8"/>
                <w:color w:val="auto"/>
              </w:rPr>
            </w:pPr>
          </w:p>
        </w:tc>
        <w:tc>
          <w:tcPr>
            <w:tcW w:w="1000" w:type="dxa"/>
            <w:vAlign w:val="bottom"/>
            <w:gridSpan w:val="2"/>
          </w:tcPr>
          <w:p>
            <w:pPr>
              <w:ind w:left="40"/>
              <w:spacing w:after="0" w:line="98" w:lineRule="exact"/>
              <w:rPr>
                <w:sz w:val="20"/>
                <w:szCs w:val="20"/>
                <w:color w:val="auto"/>
              </w:rPr>
            </w:pPr>
            <w:r>
              <w:rPr>
                <w:rFonts w:ascii="Arial" w:cs="Arial" w:eastAsia="Arial" w:hAnsi="Arial"/>
                <w:sz w:val="10"/>
                <w:szCs w:val="10"/>
                <w:b w:val="1"/>
                <w:bCs w:val="1"/>
                <w:color w:val="auto"/>
              </w:rPr>
              <w:t>Fourth(1)</w:t>
            </w:r>
          </w:p>
        </w:tc>
        <w:tc>
          <w:tcPr>
            <w:tcW w:w="200" w:type="dxa"/>
            <w:vAlign w:val="bottom"/>
          </w:tcPr>
          <w:p>
            <w:pPr>
              <w:spacing w:after="0"/>
              <w:rPr>
                <w:sz w:val="8"/>
                <w:szCs w:val="8"/>
                <w:color w:val="auto"/>
              </w:rPr>
            </w:pPr>
          </w:p>
        </w:tc>
        <w:tc>
          <w:tcPr>
            <w:tcW w:w="680" w:type="dxa"/>
            <w:vAlign w:val="bottom"/>
          </w:tcPr>
          <w:p>
            <w:pPr>
              <w:ind w:left="120"/>
              <w:spacing w:after="0" w:line="98" w:lineRule="exact"/>
              <w:rPr>
                <w:sz w:val="20"/>
                <w:szCs w:val="20"/>
                <w:color w:val="auto"/>
              </w:rPr>
            </w:pPr>
            <w:r>
              <w:rPr>
                <w:rFonts w:ascii="Arial" w:cs="Arial" w:eastAsia="Arial" w:hAnsi="Arial"/>
                <w:sz w:val="10"/>
                <w:szCs w:val="10"/>
                <w:b w:val="1"/>
                <w:bCs w:val="1"/>
                <w:color w:val="auto"/>
              </w:rPr>
              <w:t>Total</w:t>
            </w:r>
          </w:p>
        </w:tc>
        <w:tc>
          <w:tcPr>
            <w:tcW w:w="100" w:type="dxa"/>
            <w:vAlign w:val="bottom"/>
          </w:tcPr>
          <w:p>
            <w:pPr>
              <w:spacing w:after="0"/>
              <w:rPr>
                <w:sz w:val="8"/>
                <w:szCs w:val="8"/>
                <w:color w:val="auto"/>
              </w:rPr>
            </w:pPr>
          </w:p>
        </w:tc>
      </w:tr>
      <w:tr>
        <w:trPr>
          <w:trHeight w:val="29"/>
        </w:trPr>
        <w:tc>
          <w:tcPr>
            <w:tcW w:w="46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2006</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4600" w:type="dxa"/>
            <w:vAlign w:val="bottom"/>
          </w:tcPr>
          <w:p>
            <w:pPr>
              <w:spacing w:after="0"/>
              <w:rPr>
                <w:sz w:val="20"/>
                <w:szCs w:val="20"/>
                <w:color w:val="auto"/>
              </w:rPr>
            </w:pPr>
            <w:r>
              <w:rPr>
                <w:rFonts w:ascii="Arial" w:cs="Arial" w:eastAsia="Arial" w:hAnsi="Arial"/>
                <w:sz w:val="13"/>
                <w:szCs w:val="13"/>
                <w:color w:val="auto"/>
              </w:rPr>
              <w:t>Net Sales</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232,635</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230,974</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266,494</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288,333</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1,018,436</w:t>
            </w: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Gross Margin</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123,991</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117,105</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140,755</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143,904</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525,755</w:t>
            </w:r>
          </w:p>
        </w:tc>
      </w:tr>
      <w:tr>
        <w:trPr>
          <w:trHeight w:val="157"/>
        </w:trPr>
        <w:tc>
          <w:tcPr>
            <w:tcW w:w="4600" w:type="dxa"/>
            <w:vAlign w:val="bottom"/>
          </w:tcPr>
          <w:p>
            <w:pPr>
              <w:spacing w:after="0"/>
              <w:rPr>
                <w:sz w:val="20"/>
                <w:szCs w:val="20"/>
                <w:color w:val="auto"/>
              </w:rPr>
            </w:pPr>
            <w:r>
              <w:rPr>
                <w:rFonts w:ascii="Arial" w:cs="Arial" w:eastAsia="Arial" w:hAnsi="Arial"/>
                <w:sz w:val="13"/>
                <w:szCs w:val="13"/>
                <w:color w:val="auto"/>
              </w:rPr>
              <w:t>Operating Income</w:t>
            </w: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44,129</w:t>
            </w:r>
          </w:p>
        </w:tc>
        <w:tc>
          <w:tcPr>
            <w:tcW w:w="140" w:type="dxa"/>
            <w:vAlign w:val="bottom"/>
          </w:tcPr>
          <w:p>
            <w:pPr>
              <w:spacing w:after="0"/>
              <w:rPr>
                <w:sz w:val="13"/>
                <w:szCs w:val="13"/>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31,276</w:t>
            </w:r>
          </w:p>
        </w:tc>
        <w:tc>
          <w:tcPr>
            <w:tcW w:w="14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44,226</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36,885</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156,516</w:t>
            </w: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30,198</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21,254</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30,246</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22,477</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104,175</w:t>
            </w:r>
          </w:p>
        </w:tc>
      </w:tr>
      <w:tr>
        <w:trPr>
          <w:trHeight w:val="157"/>
        </w:trPr>
        <w:tc>
          <w:tcPr>
            <w:tcW w:w="4600" w:type="dxa"/>
            <w:vAlign w:val="bottom"/>
          </w:tcPr>
          <w:p>
            <w:pPr>
              <w:spacing w:after="0"/>
              <w:rPr>
                <w:sz w:val="20"/>
                <w:szCs w:val="20"/>
                <w:color w:val="auto"/>
              </w:rPr>
            </w:pPr>
            <w:r>
              <w:rPr>
                <w:rFonts w:ascii="Arial" w:cs="Arial" w:eastAsia="Arial" w:hAnsi="Arial"/>
                <w:sz w:val="13"/>
                <w:szCs w:val="13"/>
                <w:color w:val="auto"/>
              </w:rPr>
              <w:t>Net Income Per Class A Common Share:</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0.61</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0.43</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0.62</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0.44</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2.10</w:t>
            </w:r>
          </w:p>
        </w:tc>
      </w:tr>
      <w:tr>
        <w:trPr>
          <w:trHeight w:val="157"/>
        </w:trPr>
        <w:tc>
          <w:tcPr>
            <w:tcW w:w="4600" w:type="dxa"/>
            <w:vAlign w:val="bottom"/>
          </w:tcPr>
          <w:p>
            <w:pPr>
              <w:ind w:left="140"/>
              <w:spacing w:after="0"/>
              <w:rPr>
                <w:sz w:val="20"/>
                <w:szCs w:val="20"/>
                <w:color w:val="auto"/>
              </w:rPr>
            </w:pPr>
            <w:r>
              <w:rPr>
                <w:rFonts w:ascii="Arial" w:cs="Arial" w:eastAsia="Arial" w:hAnsi="Arial"/>
                <w:sz w:val="13"/>
                <w:szCs w:val="13"/>
                <w:color w:val="auto"/>
              </w:rPr>
              <w:t>Diluted</w:t>
            </w: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0.60</w:t>
            </w:r>
          </w:p>
        </w:tc>
        <w:tc>
          <w:tcPr>
            <w:tcW w:w="140" w:type="dxa"/>
            <w:vAlign w:val="bottom"/>
          </w:tcPr>
          <w:p>
            <w:pPr>
              <w:spacing w:after="0"/>
              <w:rPr>
                <w:sz w:val="13"/>
                <w:szCs w:val="13"/>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0.43</w:t>
            </w:r>
          </w:p>
        </w:tc>
        <w:tc>
          <w:tcPr>
            <w:tcW w:w="14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0.61</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0.43</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2.07</w:t>
            </w: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2005</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4600" w:type="dxa"/>
            <w:vAlign w:val="bottom"/>
          </w:tcPr>
          <w:p>
            <w:pPr>
              <w:spacing w:after="0"/>
              <w:rPr>
                <w:sz w:val="20"/>
                <w:szCs w:val="20"/>
                <w:color w:val="auto"/>
              </w:rPr>
            </w:pPr>
            <w:r>
              <w:rPr>
                <w:rFonts w:ascii="Arial" w:cs="Arial" w:eastAsia="Arial" w:hAnsi="Arial"/>
                <w:sz w:val="13"/>
                <w:szCs w:val="13"/>
                <w:color w:val="auto"/>
              </w:rPr>
              <w:t>Net Sales</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200,419</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196,216</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209,766</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210,046</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816,447</w:t>
            </w: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Gross Margin</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105,525</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104,956</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113,868</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108,927</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433,276</w:t>
            </w:r>
          </w:p>
        </w:tc>
      </w:tr>
      <w:tr>
        <w:trPr>
          <w:trHeight w:val="157"/>
        </w:trPr>
        <w:tc>
          <w:tcPr>
            <w:tcW w:w="4600" w:type="dxa"/>
            <w:vAlign w:val="bottom"/>
          </w:tcPr>
          <w:p>
            <w:pPr>
              <w:spacing w:after="0"/>
              <w:rPr>
                <w:sz w:val="20"/>
                <w:szCs w:val="20"/>
                <w:color w:val="auto"/>
              </w:rPr>
            </w:pPr>
            <w:r>
              <w:rPr>
                <w:rFonts w:ascii="Arial" w:cs="Arial" w:eastAsia="Arial" w:hAnsi="Arial"/>
                <w:sz w:val="13"/>
                <w:szCs w:val="13"/>
                <w:color w:val="auto"/>
              </w:rPr>
              <w:t>Operating Income</w:t>
            </w: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31,793</w:t>
            </w:r>
          </w:p>
        </w:tc>
        <w:tc>
          <w:tcPr>
            <w:tcW w:w="140" w:type="dxa"/>
            <w:vAlign w:val="bottom"/>
          </w:tcPr>
          <w:p>
            <w:pPr>
              <w:spacing w:after="0"/>
              <w:rPr>
                <w:sz w:val="13"/>
                <w:szCs w:val="13"/>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30,934</w:t>
            </w:r>
          </w:p>
        </w:tc>
        <w:tc>
          <w:tcPr>
            <w:tcW w:w="14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35,543</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24,182</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122,452</w:t>
            </w: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20,357</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20,579</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24,956</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16,055</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81,947</w:t>
            </w:r>
          </w:p>
        </w:tc>
      </w:tr>
      <w:tr>
        <w:trPr>
          <w:trHeight w:val="157"/>
        </w:trPr>
        <w:tc>
          <w:tcPr>
            <w:tcW w:w="4600" w:type="dxa"/>
            <w:vAlign w:val="bottom"/>
          </w:tcPr>
          <w:p>
            <w:pPr>
              <w:spacing w:after="0"/>
              <w:rPr>
                <w:sz w:val="20"/>
                <w:szCs w:val="20"/>
                <w:color w:val="auto"/>
              </w:rPr>
            </w:pPr>
            <w:r>
              <w:rPr>
                <w:rFonts w:ascii="Arial" w:cs="Arial" w:eastAsia="Arial" w:hAnsi="Arial"/>
                <w:sz w:val="13"/>
                <w:szCs w:val="13"/>
                <w:color w:val="auto"/>
              </w:rPr>
              <w:t>Net Income Per Class A Common Share:</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0.42*</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0.42</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0.51</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0.33</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1.67</w:t>
            </w:r>
          </w:p>
        </w:tc>
      </w:tr>
      <w:tr>
        <w:trPr>
          <w:trHeight w:val="165"/>
        </w:trPr>
        <w:tc>
          <w:tcPr>
            <w:tcW w:w="4600" w:type="dxa"/>
            <w:vAlign w:val="bottom"/>
          </w:tcPr>
          <w:p>
            <w:pPr>
              <w:ind w:left="140"/>
              <w:spacing w:after="0"/>
              <w:rPr>
                <w:sz w:val="20"/>
                <w:szCs w:val="20"/>
                <w:color w:val="auto"/>
              </w:rPr>
            </w:pPr>
            <w:r>
              <w:rPr>
                <w:rFonts w:ascii="Arial" w:cs="Arial" w:eastAsia="Arial" w:hAnsi="Arial"/>
                <w:sz w:val="13"/>
                <w:szCs w:val="13"/>
                <w:color w:val="auto"/>
              </w:rPr>
              <w:t>Diluted</w:t>
            </w:r>
          </w:p>
        </w:tc>
        <w:tc>
          <w:tcPr>
            <w:tcW w:w="16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3"/>
                <w:szCs w:val="13"/>
                <w:color w:val="auto"/>
              </w:rPr>
              <w:t>0.42*</w:t>
            </w:r>
          </w:p>
        </w:tc>
        <w:tc>
          <w:tcPr>
            <w:tcW w:w="14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0.41</w:t>
            </w:r>
          </w:p>
        </w:tc>
        <w:tc>
          <w:tcPr>
            <w:tcW w:w="14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0.50</w:t>
            </w:r>
          </w:p>
        </w:tc>
        <w:tc>
          <w:tcPr>
            <w:tcW w:w="10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0.32</w:t>
            </w:r>
          </w:p>
        </w:tc>
        <w:tc>
          <w:tcPr>
            <w:tcW w:w="20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1000" w:right="200" w:hanging="205"/>
        <w:spacing w:after="0" w:line="276" w:lineRule="auto"/>
        <w:tabs>
          <w:tab w:leader="none" w:pos="10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Earnings per share for the first quarter of fiscal 2005 has been adjusted to reflect the effect of a two-for-one stock split in the form of a 100% stock dividend, effective December 31, 2004.</w:t>
      </w:r>
    </w:p>
    <w:p>
      <w:pPr>
        <w:spacing w:after="0" w:line="10" w:lineRule="exact"/>
        <w:rPr>
          <w:sz w:val="20"/>
          <w:szCs w:val="20"/>
          <w:color w:val="auto"/>
        </w:rPr>
      </w:pPr>
    </w:p>
    <w:p>
      <w:pPr>
        <w:ind w:left="1000" w:hanging="259"/>
        <w:spacing w:after="0"/>
        <w:tabs>
          <w:tab w:leader="none" w:pos="10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following significant events affect the comparability of the fourth quarter results for fiscal 2006 and 2005:</w:t>
      </w:r>
    </w:p>
    <w:p>
      <w:pPr>
        <w:spacing w:after="0" w:line="47" w:lineRule="exact"/>
        <w:rPr>
          <w:rFonts w:ascii="Arial" w:cs="Arial" w:eastAsia="Arial" w:hAnsi="Arial"/>
          <w:sz w:val="13"/>
          <w:szCs w:val="13"/>
          <w:color w:val="auto"/>
        </w:rPr>
      </w:pPr>
    </w:p>
    <w:p>
      <w:pPr>
        <w:ind w:left="1060" w:hanging="68"/>
        <w:spacing w:after="0"/>
        <w:tabs>
          <w:tab w:leader="none" w:pos="1060" w:val="left"/>
        </w:tabs>
        <w:numPr>
          <w:ilvl w:val="1"/>
          <w:numId w:val="29"/>
        </w:numPr>
        <w:rPr>
          <w:rFonts w:ascii="Arial" w:cs="Arial" w:eastAsia="Arial" w:hAnsi="Arial"/>
          <w:sz w:val="13"/>
          <w:szCs w:val="13"/>
          <w:color w:val="auto"/>
        </w:rPr>
      </w:pPr>
      <w:r>
        <w:rPr>
          <w:rFonts w:ascii="Arial" w:cs="Arial" w:eastAsia="Arial" w:hAnsi="Arial"/>
          <w:sz w:val="13"/>
          <w:szCs w:val="13"/>
          <w:color w:val="auto"/>
        </w:rPr>
        <w:t>Throughout fiscal 2006, the Company completed eleven acquisitions. Refer to Note 2. Acquisitions of Businesses for further information on the companies acquired.</w:t>
      </w:r>
    </w:p>
    <w:p>
      <w:pPr>
        <w:spacing w:after="0" w:line="47" w:lineRule="exact"/>
        <w:rPr>
          <w:rFonts w:ascii="Arial" w:cs="Arial" w:eastAsia="Arial" w:hAnsi="Arial"/>
          <w:sz w:val="13"/>
          <w:szCs w:val="13"/>
          <w:color w:val="auto"/>
        </w:rPr>
      </w:pPr>
    </w:p>
    <w:p>
      <w:pPr>
        <w:ind w:left="1100" w:right="220" w:hanging="108"/>
        <w:spacing w:after="0" w:line="276" w:lineRule="auto"/>
        <w:tabs>
          <w:tab w:leader="none" w:pos="1061" w:val="left"/>
        </w:tabs>
        <w:numPr>
          <w:ilvl w:val="1"/>
          <w:numId w:val="29"/>
        </w:numPr>
        <w:rPr>
          <w:rFonts w:ascii="Arial" w:cs="Arial" w:eastAsia="Arial" w:hAnsi="Arial"/>
          <w:sz w:val="13"/>
          <w:szCs w:val="13"/>
          <w:color w:val="auto"/>
        </w:rPr>
      </w:pPr>
      <w:r>
        <w:rPr>
          <w:rFonts w:ascii="Arial" w:cs="Arial" w:eastAsia="Arial" w:hAnsi="Arial"/>
          <w:sz w:val="13"/>
          <w:szCs w:val="13"/>
          <w:color w:val="auto"/>
        </w:rPr>
        <w:t>Gross margins in the fourth quarter of fiscal 2006 were impacted by the shift in business mix to more OEM business, which generates lower gross margins, offset by lower selling, general and administrative costs.</w:t>
      </w:r>
    </w:p>
    <w:p>
      <w:pPr>
        <w:spacing w:after="0" w:line="10" w:lineRule="exact"/>
        <w:rPr>
          <w:rFonts w:ascii="Arial" w:cs="Arial" w:eastAsia="Arial" w:hAnsi="Arial"/>
          <w:sz w:val="13"/>
          <w:szCs w:val="13"/>
          <w:color w:val="auto"/>
        </w:rPr>
      </w:pPr>
    </w:p>
    <w:p>
      <w:pPr>
        <w:ind w:left="1060" w:hanging="68"/>
        <w:spacing w:after="0"/>
        <w:tabs>
          <w:tab w:leader="none" w:pos="1060" w:val="left"/>
        </w:tabs>
        <w:numPr>
          <w:ilvl w:val="1"/>
          <w:numId w:val="29"/>
        </w:numPr>
        <w:rPr>
          <w:rFonts w:ascii="Arial" w:cs="Arial" w:eastAsia="Arial" w:hAnsi="Arial"/>
          <w:sz w:val="13"/>
          <w:szCs w:val="13"/>
          <w:color w:val="auto"/>
        </w:rPr>
      </w:pPr>
      <w:r>
        <w:rPr>
          <w:rFonts w:ascii="Arial" w:cs="Arial" w:eastAsia="Arial" w:hAnsi="Arial"/>
          <w:sz w:val="13"/>
          <w:szCs w:val="13"/>
          <w:color w:val="auto"/>
        </w:rPr>
        <w:t>The Company sold 4,600,000 shares of its Class A nonvoting common stock pursuant to an underwritten public offering during the fourth quarter of fiscal 2006.</w:t>
      </w:r>
    </w:p>
    <w:p>
      <w:pPr>
        <w:spacing w:after="0" w:line="29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1"/>
          <w:szCs w:val="11"/>
          <w:b w:val="1"/>
          <w:bCs w:val="1"/>
          <w:i w:val="1"/>
          <w:iCs w:val="1"/>
          <w:color w:val="auto"/>
        </w:rPr>
        <w:t>Changes in and Disagreements with Accountants on Accounting and Financial Disclosure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9A.</w:t>
      </w:r>
      <w:r>
        <w:rPr>
          <w:sz w:val="20"/>
          <w:szCs w:val="20"/>
          <w:color w:val="auto"/>
        </w:rPr>
        <w:tab/>
      </w:r>
      <w:r>
        <w:rPr>
          <w:rFonts w:ascii="Arial" w:cs="Arial" w:eastAsia="Arial" w:hAnsi="Arial"/>
          <w:sz w:val="11"/>
          <w:szCs w:val="11"/>
          <w:b w:val="1"/>
          <w:bCs w:val="1"/>
          <w:i w:val="1"/>
          <w:iCs w:val="1"/>
          <w:color w:val="auto"/>
        </w:rPr>
        <w:t>Controls and Procedures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Disclosure Controls and Procedures:</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Company carried out an evaluation, under the supervision and with the participation of its management, including the Chief Executive Officer and Chief Financial Officer, of the effectiveness of the design and operation of the Company’s “disclosure controls and procedures” (as defined in the Exchange Act Rule 13a — 15(e)) as of the end of the period covered by this report. Based on that evaluation, the Company’s Chief Executive Officer and Chief Financial Officer concluded that the Company’s disclosure controls and procedures are effective as of July 31, 2006.</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Management’s Report on Internal Control Over Financial Reporting:</w:t>
      </w:r>
    </w:p>
    <w:p>
      <w:pPr>
        <w:spacing w:after="0" w:line="100"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The management of Brady Corporation and subsidiaries is responsible for establishing and maintaining adequate internal control over financial reporting for the Company, as such term is defined in Rule 13a-15(f) under the Securities Exchange Act of 1934. The Company’s internal control over financial reporting is designed to provide reasonable assurance regarding the reliability of financial reporting and the preparation of financial statements for external purposes in accordance with generally accepted accounting principals.</w:t>
      </w:r>
    </w:p>
    <w:p>
      <w:pPr>
        <w:spacing w:after="0" w:line="50"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 xml:space="preserve">With the participation of the Chief Executive Officer and the Chief Financial Officer, our management conducted an evaluation of the effectiveness of our internal control over financial reporting as of July 31, 2006, based on the framework and criteria established in </w:t>
      </w:r>
      <w:r>
        <w:rPr>
          <w:rFonts w:ascii="Arial" w:cs="Arial" w:eastAsia="Arial" w:hAnsi="Arial"/>
          <w:sz w:val="12"/>
          <w:szCs w:val="12"/>
          <w:i w:val="1"/>
          <w:iCs w:val="1"/>
          <w:color w:val="auto"/>
        </w:rPr>
        <w:t>Internal Control — Integrated Framework</w:t>
      </w:r>
      <w:r>
        <w:rPr>
          <w:rFonts w:ascii="Arial" w:cs="Arial" w:eastAsia="Arial" w:hAnsi="Arial"/>
          <w:sz w:val="12"/>
          <w:szCs w:val="12"/>
          <w:color w:val="auto"/>
        </w:rPr>
        <w:t xml:space="preserve">, issued by the Committee of Sponsoring Organizations of the Treadway Commission in </w:t>
      </w:r>
      <w:r>
        <w:rPr>
          <w:rFonts w:ascii="Arial" w:cs="Arial" w:eastAsia="Arial" w:hAnsi="Arial"/>
          <w:sz w:val="12"/>
          <w:szCs w:val="12"/>
          <w:i w:val="1"/>
          <w:iCs w:val="1"/>
          <w:color w:val="auto"/>
        </w:rPr>
        <w:t>Internal Control — Integrated Framework.</w:t>
      </w:r>
      <w:r>
        <w:rPr>
          <w:rFonts w:ascii="Arial" w:cs="Arial" w:eastAsia="Arial" w:hAnsi="Arial"/>
          <w:sz w:val="12"/>
          <w:szCs w:val="12"/>
          <w:color w:val="auto"/>
        </w:rPr>
        <w:t xml:space="preserve"> Based on the assessment, management concluded that, as of July 31, 2006, the Company’s internal control over financial reporting is effective based on those criteria. Management’s assessment of the effectiveness of the Company’s internal control over financial reporting, as of July 31, 2006, has been audited by Deloitte &amp; Touche LLP, an independent registered public accounting firm, as stated in their report, which is included herein.</w:t>
      </w:r>
    </w:p>
    <w:p>
      <w:pPr>
        <w:spacing w:after="0" w:line="55"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Because of the inherent limitations of internal control over financial reporting, misstatements may not be prevented or detected on a timely basis.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Changes in Internal Control Over Financial Reporting:</w:t>
      </w:r>
    </w:p>
    <w:p>
      <w:pPr>
        <w:spacing w:after="0" w:line="100"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There was no change in the Company’s internal control over financial reporting that occurred during the Company’s most recently completed fiscal quarter that has materially affected, or is reasonably likely to materially affect, the Company’s internal control over financial reporting.</w:t>
      </w:r>
    </w:p>
    <w:p>
      <w:pPr>
        <w:spacing w:after="0" w:line="26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the Board of Directors and Stockholders of</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Brady Corporation</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Milwaukee, WI</w:t>
      </w:r>
    </w:p>
    <w:p>
      <w:pPr>
        <w:spacing w:after="0" w:line="8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 xml:space="preserve">We have audited management’s assessment, included in the accompanying Management’s Report on Internal Control over Financial Reporting that Brady Corporation and subsidiaries (the “Company”) maintained effective internal control over financial reporting as of July 31, 2006, based on criteria established in </w:t>
      </w:r>
      <w:r>
        <w:rPr>
          <w:rFonts w:ascii="Arial" w:cs="Arial" w:eastAsia="Arial" w:hAnsi="Arial"/>
          <w:sz w:val="13"/>
          <w:szCs w:val="13"/>
          <w:i w:val="1"/>
          <w:iCs w:val="1"/>
          <w:color w:val="auto"/>
        </w:rPr>
        <w:t>Internal Control — Integrated Framework</w:t>
      </w:r>
      <w:r>
        <w:rPr>
          <w:rFonts w:ascii="Arial" w:cs="Arial" w:eastAsia="Arial" w:hAnsi="Arial"/>
          <w:sz w:val="13"/>
          <w:szCs w:val="13"/>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71"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opinions.</w:t>
      </w:r>
    </w:p>
    <w:p>
      <w:pPr>
        <w:spacing w:after="0" w:line="53" w:lineRule="exact"/>
        <w:rPr>
          <w:sz w:val="20"/>
          <w:szCs w:val="20"/>
          <w:color w:val="auto"/>
        </w:rPr>
      </w:pPr>
    </w:p>
    <w:p>
      <w:pPr>
        <w:ind w:left="680" w:right="60" w:firstLine="399"/>
        <w:spacing w:after="0" w:line="300" w:lineRule="auto"/>
        <w:rPr>
          <w:sz w:val="20"/>
          <w:szCs w:val="20"/>
          <w:color w:val="auto"/>
        </w:rPr>
      </w:pPr>
      <w:r>
        <w:rPr>
          <w:rFonts w:ascii="Arial" w:cs="Arial" w:eastAsia="Arial" w:hAnsi="Arial"/>
          <w:sz w:val="11"/>
          <w:szCs w:val="11"/>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2" w:lineRule="exact"/>
        <w:rPr>
          <w:sz w:val="20"/>
          <w:szCs w:val="20"/>
          <w:color w:val="auto"/>
        </w:rPr>
      </w:pPr>
    </w:p>
    <w:p>
      <w:pPr>
        <w:ind w:left="680" w:right="260" w:firstLine="7"/>
        <w:spacing w:after="0" w:line="264" w:lineRule="auto"/>
        <w:tabs>
          <w:tab w:leader="none" w:pos="866" w:val="left"/>
        </w:tabs>
        <w:numPr>
          <w:ilvl w:val="0"/>
          <w:numId w:val="30"/>
        </w:numPr>
        <w:rPr>
          <w:rFonts w:ascii="Arial" w:cs="Arial" w:eastAsia="Arial" w:hAnsi="Arial"/>
          <w:sz w:val="13"/>
          <w:szCs w:val="13"/>
          <w:color w:val="auto"/>
        </w:rPr>
      </w:pPr>
      <w:r>
        <w:rPr>
          <w:rFonts w:ascii="Arial" w:cs="Arial" w:eastAsia="Arial" w:hAnsi="Arial"/>
          <w:sz w:val="13"/>
          <w:szCs w:val="13"/>
          <w:color w:val="auto"/>
        </w:rPr>
        <w:t>provide reasonable assurance regarding prevention or timely detection of unauthorized acquisition, use, or disposition of the company’s assets that could have a material effect on the financial statements.</w:t>
      </w:r>
    </w:p>
    <w:p>
      <w:pPr>
        <w:spacing w:after="0" w:line="67"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70"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 xml:space="preserve">In our opinion, management’s assessment that the Company maintained effective internal control over financial reporting as of July 31, 2006, is fairly stated, in all material respects, based on the criteria established in </w:t>
      </w:r>
      <w:r>
        <w:rPr>
          <w:rFonts w:ascii="Arial" w:cs="Arial" w:eastAsia="Arial" w:hAnsi="Arial"/>
          <w:sz w:val="13"/>
          <w:szCs w:val="13"/>
          <w:i w:val="1"/>
          <w:iCs w:val="1"/>
          <w:color w:val="auto"/>
        </w:rPr>
        <w:t>Internal Control — Integrated Framework</w:t>
      </w:r>
      <w:r>
        <w:rPr>
          <w:rFonts w:ascii="Arial" w:cs="Arial" w:eastAsia="Arial" w:hAnsi="Arial"/>
          <w:sz w:val="13"/>
          <w:szCs w:val="13"/>
          <w:color w:val="auto"/>
        </w:rPr>
        <w:t xml:space="preserve"> issued by the Committee of Sponsoring Organizations of the Treadway Commission. Also in our opinion, the Company maintained, in all material respects, effective internal control over financial reporting as of July 31, 2006, based on the criteria established in </w:t>
      </w:r>
      <w:r>
        <w:rPr>
          <w:rFonts w:ascii="Arial" w:cs="Arial" w:eastAsia="Arial" w:hAnsi="Arial"/>
          <w:sz w:val="13"/>
          <w:szCs w:val="13"/>
          <w:i w:val="1"/>
          <w:iCs w:val="1"/>
          <w:color w:val="auto"/>
        </w:rPr>
        <w:t>Internal Control — Integrated</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Framework </w:t>
      </w:r>
      <w:r>
        <w:rPr>
          <w:rFonts w:ascii="Arial" w:cs="Arial" w:eastAsia="Arial" w:hAnsi="Arial"/>
          <w:sz w:val="13"/>
          <w:szCs w:val="13"/>
          <w:color w:val="auto"/>
        </w:rPr>
        <w:t>issued by the Committee of Sponsoring Organizations of the Treadway Commission.</w:t>
      </w:r>
    </w:p>
    <w:p>
      <w:pPr>
        <w:spacing w:after="0" w:line="7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We have also audited, in accordance with the standards of the Public Company Accounting Oversight Board (United States), the consolidated financial statements as of and for the year ended July 31, 2006 of the Company and our report dated September 28, 2006 expressed an unqualified opinion on those financial statements.</w:t>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 D</w:t>
      </w:r>
      <w:r>
        <w:rPr>
          <w:rFonts w:ascii="Arial" w:cs="Arial" w:eastAsia="Arial" w:hAnsi="Arial"/>
          <w:sz w:val="8"/>
          <w:szCs w:val="8"/>
          <w:color w:val="auto"/>
        </w:rPr>
        <w:t>ELOITTE</w:t>
      </w:r>
      <w:r>
        <w:rPr>
          <w:rFonts w:ascii="Arial" w:cs="Arial" w:eastAsia="Arial" w:hAnsi="Arial"/>
          <w:sz w:val="13"/>
          <w:szCs w:val="13"/>
          <w:color w:val="auto"/>
        </w:rPr>
        <w:t xml:space="preserve"> &amp; T</w:t>
      </w:r>
      <w:r>
        <w:rPr>
          <w:rFonts w:ascii="Arial" w:cs="Arial" w:eastAsia="Arial" w:hAnsi="Arial"/>
          <w:sz w:val="8"/>
          <w:szCs w:val="8"/>
          <w:color w:val="auto"/>
        </w:rPr>
        <w:t>OUCHE</w:t>
      </w:r>
      <w:r>
        <w:rPr>
          <w:rFonts w:ascii="Arial" w:cs="Arial" w:eastAsia="Arial" w:hAnsi="Arial"/>
          <w:sz w:val="13"/>
          <w:szCs w:val="13"/>
          <w:color w:val="auto"/>
        </w:rPr>
        <w:t xml:space="preserve"> LLP</w:t>
      </w:r>
    </w:p>
    <w:p>
      <w:pPr>
        <w:spacing w:after="0" w:line="11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Milwaukee, WI</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September 28, 2006</w:t>
      </w:r>
    </w:p>
    <w:p>
      <w:pPr>
        <w:spacing w:after="0" w:line="29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9B.</w:t>
      </w:r>
      <w:r>
        <w:rPr>
          <w:sz w:val="20"/>
          <w:szCs w:val="20"/>
          <w:color w:val="auto"/>
        </w:rPr>
        <w:tab/>
      </w:r>
      <w:r>
        <w:rPr>
          <w:rFonts w:ascii="Arial" w:cs="Arial" w:eastAsia="Arial" w:hAnsi="Arial"/>
          <w:sz w:val="11"/>
          <w:szCs w:val="11"/>
          <w:b w:val="1"/>
          <w:bCs w:val="1"/>
          <w:i w:val="1"/>
          <w:iCs w:val="1"/>
          <w:color w:val="auto"/>
        </w:rPr>
        <w:t>Other Information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On October 5, 2006, the Company entered into a $200 million multi-currency revolving loan agreement with a group of five banks that replaced and terminated the Company’s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1"/>
          <w:szCs w:val="11"/>
          <w:color w:val="auto"/>
        </w:rPr>
        <w:t>previous credit facility that had been entered into on March 31, 2004 and amended on January 19, 2006. No fees were paid by the Company for terminating the previous credit facility prior</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to its expiration date. At the Company’s option, and subject to certain standard conditions, the available amount under the new credit facility may be increased from $200 million up to</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$300 million. Under the new 5-year agreement, which has a final maturity date of October 5, 2011, the Company has the option to select either a base interest rate (based upon the higher of</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the federal funds rate plus one-half of 1% or the prime rate of Bank of America) or a Eurocurrency interest rate (at the LIBOR rate plus a margin based on the Company’s consolidated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leverage ratio). A commitment fee is payable on the unused amount of the facility. The foregoing description of the new credit agreement does not purport to be complete and is qualified in</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its entirety by reference to the full text of the agreement, a copy of which is filed herewith as Exhibit 10.14 and is incorporated herein by reference.</w:t>
      </w:r>
    </w:p>
    <w:p>
      <w:pPr>
        <w:spacing w:after="0" w:line="29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II-49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60"/>
          </w:cols>
          <w:pgMar w:left="220" w:top="343" w:right="111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9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360" w:type="dxa"/>
            <w:vAlign w:val="bottom"/>
          </w:tcPr>
          <w:p>
            <w:pPr>
              <w:ind w:left="120"/>
              <w:spacing w:after="0"/>
              <w:rPr>
                <w:sz w:val="20"/>
                <w:szCs w:val="20"/>
                <w:color w:val="auto"/>
              </w:rPr>
            </w:pPr>
            <w:r>
              <w:rPr>
                <w:rFonts w:ascii="Arial" w:cs="Arial" w:eastAsia="Arial" w:hAnsi="Arial"/>
                <w:sz w:val="13"/>
                <w:szCs w:val="13"/>
                <w:b w:val="1"/>
                <w:bCs w:val="1"/>
                <w:color w:val="auto"/>
              </w:rPr>
              <w:t>PART III</w:t>
            </w:r>
          </w:p>
        </w:tc>
      </w:tr>
      <w:tr>
        <w:trPr>
          <w:trHeight w:val="324"/>
        </w:trPr>
        <w:tc>
          <w:tcPr>
            <w:tcW w:w="900" w:type="dxa"/>
            <w:vAlign w:val="bottom"/>
          </w:tcPr>
          <w:p>
            <w:pPr>
              <w:spacing w:after="0"/>
              <w:rPr>
                <w:sz w:val="20"/>
                <w:szCs w:val="20"/>
                <w:color w:val="auto"/>
              </w:rPr>
            </w:pPr>
            <w:r>
              <w:rPr>
                <w:rFonts w:ascii="Arial" w:cs="Arial" w:eastAsia="Arial" w:hAnsi="Arial"/>
                <w:sz w:val="13"/>
                <w:szCs w:val="13"/>
                <w:b w:val="1"/>
                <w:bCs w:val="1"/>
                <w:color w:val="auto"/>
              </w:rPr>
              <w:t>Item 10.</w:t>
            </w:r>
          </w:p>
        </w:tc>
        <w:tc>
          <w:tcPr>
            <w:tcW w:w="3040" w:type="dxa"/>
            <w:vAlign w:val="bottom"/>
          </w:tcPr>
          <w:p>
            <w:pPr>
              <w:ind w:left="20"/>
              <w:spacing w:after="0"/>
              <w:rPr>
                <w:sz w:val="20"/>
                <w:szCs w:val="20"/>
                <w:color w:val="auto"/>
              </w:rPr>
            </w:pPr>
            <w:r>
              <w:rPr>
                <w:rFonts w:ascii="Arial" w:cs="Arial" w:eastAsia="Arial" w:hAnsi="Arial"/>
                <w:sz w:val="13"/>
                <w:szCs w:val="13"/>
                <w:b w:val="1"/>
                <w:bCs w:val="1"/>
                <w:i w:val="1"/>
                <w:iCs w:val="1"/>
                <w:color w:val="auto"/>
                <w:w w:val="97"/>
              </w:rPr>
              <w:t>Directors and Executive Officers of the Registrant</w:t>
            </w:r>
          </w:p>
        </w:tc>
        <w:tc>
          <w:tcPr>
            <w:tcW w:w="68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218"/>
        </w:trPr>
        <w:tc>
          <w:tcPr>
            <w:tcW w:w="900" w:type="dxa"/>
            <w:vAlign w:val="bottom"/>
          </w:tcPr>
          <w:p>
            <w:pPr>
              <w:spacing w:after="0"/>
              <w:rPr>
                <w:sz w:val="20"/>
                <w:szCs w:val="20"/>
                <w:color w:val="auto"/>
              </w:rPr>
            </w:pPr>
            <w:r>
              <w:rPr>
                <w:rFonts w:ascii="Arial" w:cs="Arial" w:eastAsia="Arial" w:hAnsi="Arial"/>
                <w:sz w:val="10"/>
                <w:szCs w:val="10"/>
                <w:b w:val="1"/>
                <w:bCs w:val="1"/>
                <w:color w:val="auto"/>
              </w:rPr>
              <w:t>Name</w:t>
            </w:r>
          </w:p>
        </w:tc>
        <w:tc>
          <w:tcPr>
            <w:tcW w:w="3040" w:type="dxa"/>
            <w:vAlign w:val="bottom"/>
          </w:tcPr>
          <w:p>
            <w:pPr>
              <w:spacing w:after="0"/>
              <w:rPr>
                <w:sz w:val="18"/>
                <w:szCs w:val="18"/>
                <w:color w:val="auto"/>
              </w:rPr>
            </w:pPr>
          </w:p>
        </w:tc>
        <w:tc>
          <w:tcPr>
            <w:tcW w:w="680" w:type="dxa"/>
            <w:vAlign w:val="bottom"/>
          </w:tcPr>
          <w:p>
            <w:pPr>
              <w:jc w:val="right"/>
              <w:ind w:right="35"/>
              <w:spacing w:after="0"/>
              <w:rPr>
                <w:sz w:val="20"/>
                <w:szCs w:val="20"/>
                <w:color w:val="auto"/>
              </w:rPr>
            </w:pPr>
            <w:r>
              <w:rPr>
                <w:rFonts w:ascii="Arial" w:cs="Arial" w:eastAsia="Arial" w:hAnsi="Arial"/>
                <w:sz w:val="10"/>
                <w:szCs w:val="10"/>
                <w:b w:val="1"/>
                <w:bCs w:val="1"/>
                <w:color w:val="auto"/>
              </w:rPr>
              <w:t>Age</w:t>
            </w:r>
          </w:p>
        </w:tc>
        <w:tc>
          <w:tcPr>
            <w:tcW w:w="5360" w:type="dxa"/>
            <w:vAlign w:val="bottom"/>
          </w:tcPr>
          <w:p>
            <w:pPr>
              <w:ind w:left="2700"/>
              <w:spacing w:after="0"/>
              <w:rPr>
                <w:sz w:val="20"/>
                <w:szCs w:val="20"/>
                <w:color w:val="auto"/>
              </w:rPr>
            </w:pP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p>
        </w:tc>
      </w:tr>
      <w:tr>
        <w:trPr>
          <w:trHeight w:val="49"/>
        </w:trPr>
        <w:tc>
          <w:tcPr>
            <w:tcW w:w="3940" w:type="dxa"/>
            <w:vAlign w:val="bottom"/>
            <w:gridSpan w:val="2"/>
          </w:tcPr>
          <w:p>
            <w:pPr>
              <w:spacing w:after="0"/>
              <w:rPr>
                <w:sz w:val="4"/>
                <w:szCs w:val="4"/>
                <w:color w:val="auto"/>
              </w:rPr>
            </w:pPr>
          </w:p>
        </w:tc>
        <w:tc>
          <w:tcPr>
            <w:tcW w:w="680" w:type="dxa"/>
            <w:vAlign w:val="bottom"/>
          </w:tcPr>
          <w:p>
            <w:pPr>
              <w:spacing w:after="0"/>
              <w:rPr>
                <w:sz w:val="4"/>
                <w:szCs w:val="4"/>
                <w:color w:val="auto"/>
              </w:rPr>
            </w:pPr>
          </w:p>
        </w:tc>
        <w:tc>
          <w:tcPr>
            <w:tcW w:w="5360" w:type="dxa"/>
            <w:vAlign w:val="bottom"/>
          </w:tcPr>
          <w:p>
            <w:pPr>
              <w:spacing w:after="0"/>
              <w:rPr>
                <w:sz w:val="4"/>
                <w:szCs w:val="4"/>
                <w:color w:val="auto"/>
              </w:rPr>
            </w:pPr>
          </w:p>
        </w:tc>
      </w:tr>
      <w:tr>
        <w:trPr>
          <w:trHeight w:val="157"/>
        </w:trPr>
        <w:tc>
          <w:tcPr>
            <w:tcW w:w="39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Frank M. Jaehnert</w:t>
            </w:r>
          </w:p>
        </w:tc>
        <w:tc>
          <w:tcPr>
            <w:tcW w:w="6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rPr>
              <w:t>49</w:t>
            </w:r>
          </w:p>
        </w:tc>
        <w:tc>
          <w:tcPr>
            <w:tcW w:w="5360" w:type="dxa"/>
            <w:vAlign w:val="bottom"/>
            <w:shd w:val="clear" w:color="auto" w:fill="CCEEFF"/>
          </w:tcPr>
          <w:p>
            <w:pPr>
              <w:ind w:left="80"/>
              <w:spacing w:after="0"/>
              <w:rPr>
                <w:sz w:val="20"/>
                <w:szCs w:val="20"/>
                <w:color w:val="auto"/>
              </w:rPr>
            </w:pPr>
            <w:r>
              <w:rPr>
                <w:rFonts w:ascii="Arial" w:cs="Arial" w:eastAsia="Arial" w:hAnsi="Arial"/>
                <w:sz w:val="13"/>
                <w:szCs w:val="13"/>
                <w:color w:val="auto"/>
              </w:rPr>
              <w:t>President, CEO and Director</w:t>
            </w:r>
          </w:p>
        </w:tc>
      </w:tr>
      <w:tr>
        <w:trPr>
          <w:trHeight w:val="157"/>
        </w:trPr>
        <w:tc>
          <w:tcPr>
            <w:tcW w:w="3940" w:type="dxa"/>
            <w:vAlign w:val="bottom"/>
            <w:gridSpan w:val="2"/>
          </w:tcPr>
          <w:p>
            <w:pPr>
              <w:spacing w:after="0"/>
              <w:rPr>
                <w:sz w:val="20"/>
                <w:szCs w:val="20"/>
                <w:color w:val="auto"/>
              </w:rPr>
            </w:pPr>
            <w:r>
              <w:rPr>
                <w:rFonts w:ascii="Arial" w:cs="Arial" w:eastAsia="Arial" w:hAnsi="Arial"/>
                <w:sz w:val="13"/>
                <w:szCs w:val="13"/>
                <w:color w:val="auto"/>
              </w:rPr>
              <w:t>David Mathieson</w:t>
            </w:r>
          </w:p>
        </w:tc>
        <w:tc>
          <w:tcPr>
            <w:tcW w:w="680" w:type="dxa"/>
            <w:vAlign w:val="bottom"/>
          </w:tcPr>
          <w:p>
            <w:pPr>
              <w:jc w:val="right"/>
              <w:ind w:right="135"/>
              <w:spacing w:after="0"/>
              <w:rPr>
                <w:sz w:val="20"/>
                <w:szCs w:val="20"/>
                <w:color w:val="auto"/>
              </w:rPr>
            </w:pPr>
            <w:r>
              <w:rPr>
                <w:rFonts w:ascii="Arial" w:cs="Arial" w:eastAsia="Arial" w:hAnsi="Arial"/>
                <w:sz w:val="13"/>
                <w:szCs w:val="13"/>
                <w:color w:val="auto"/>
              </w:rPr>
              <w:t>52</w:t>
            </w:r>
          </w:p>
        </w:tc>
        <w:tc>
          <w:tcPr>
            <w:tcW w:w="5360" w:type="dxa"/>
            <w:vAlign w:val="bottom"/>
          </w:tcPr>
          <w:p>
            <w:pPr>
              <w:ind w:left="80"/>
              <w:spacing w:after="0"/>
              <w:rPr>
                <w:sz w:val="20"/>
                <w:szCs w:val="20"/>
                <w:color w:val="auto"/>
              </w:rPr>
            </w:pPr>
            <w:r>
              <w:rPr>
                <w:rFonts w:ascii="Arial" w:cs="Arial" w:eastAsia="Arial" w:hAnsi="Arial"/>
                <w:sz w:val="13"/>
                <w:szCs w:val="13"/>
                <w:color w:val="auto"/>
              </w:rPr>
              <w:t>Sr. V.P., CFO</w:t>
            </w:r>
          </w:p>
        </w:tc>
      </w:tr>
      <w:tr>
        <w:trPr>
          <w:trHeight w:val="157"/>
        </w:trPr>
        <w:tc>
          <w:tcPr>
            <w:tcW w:w="900" w:type="dxa"/>
            <w:vAlign w:val="bottom"/>
            <w:shd w:val="clear" w:color="auto" w:fill="CCEEFF"/>
          </w:tcPr>
          <w:p>
            <w:pPr>
              <w:spacing w:after="0"/>
              <w:rPr>
                <w:sz w:val="20"/>
                <w:szCs w:val="20"/>
                <w:color w:val="auto"/>
              </w:rPr>
            </w:pPr>
            <w:r>
              <w:rPr>
                <w:rFonts w:ascii="Arial" w:cs="Arial" w:eastAsia="Arial" w:hAnsi="Arial"/>
                <w:sz w:val="13"/>
                <w:szCs w:val="13"/>
                <w:color w:val="auto"/>
                <w:w w:val="94"/>
              </w:rPr>
              <w:t>David R. Hawke</w:t>
            </w:r>
          </w:p>
        </w:tc>
        <w:tc>
          <w:tcPr>
            <w:tcW w:w="304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rPr>
              <w:t>52</w:t>
            </w:r>
          </w:p>
        </w:tc>
        <w:tc>
          <w:tcPr>
            <w:tcW w:w="5360" w:type="dxa"/>
            <w:vAlign w:val="bottom"/>
            <w:shd w:val="clear" w:color="auto" w:fill="CCEEFF"/>
          </w:tcPr>
          <w:p>
            <w:pPr>
              <w:ind w:left="80"/>
              <w:spacing w:after="0"/>
              <w:rPr>
                <w:sz w:val="20"/>
                <w:szCs w:val="20"/>
                <w:color w:val="auto"/>
              </w:rPr>
            </w:pPr>
            <w:r>
              <w:rPr>
                <w:rFonts w:ascii="Arial" w:cs="Arial" w:eastAsia="Arial" w:hAnsi="Arial"/>
                <w:sz w:val="13"/>
                <w:szCs w:val="13"/>
                <w:color w:val="auto"/>
              </w:rPr>
              <w:t>Executive Vice President</w:t>
            </w:r>
          </w:p>
        </w:tc>
      </w:tr>
      <w:tr>
        <w:trPr>
          <w:trHeight w:val="157"/>
        </w:trPr>
        <w:tc>
          <w:tcPr>
            <w:tcW w:w="3940" w:type="dxa"/>
            <w:vAlign w:val="bottom"/>
            <w:gridSpan w:val="2"/>
          </w:tcPr>
          <w:p>
            <w:pPr>
              <w:spacing w:after="0"/>
              <w:rPr>
                <w:sz w:val="20"/>
                <w:szCs w:val="20"/>
                <w:color w:val="auto"/>
              </w:rPr>
            </w:pPr>
            <w:r>
              <w:rPr>
                <w:rFonts w:ascii="Arial" w:cs="Arial" w:eastAsia="Arial" w:hAnsi="Arial"/>
                <w:sz w:val="13"/>
                <w:szCs w:val="13"/>
                <w:color w:val="auto"/>
              </w:rPr>
              <w:t>Michael O. Oliver</w:t>
            </w:r>
          </w:p>
        </w:tc>
        <w:tc>
          <w:tcPr>
            <w:tcW w:w="680" w:type="dxa"/>
            <w:vAlign w:val="bottom"/>
          </w:tcPr>
          <w:p>
            <w:pPr>
              <w:jc w:val="right"/>
              <w:ind w:right="135"/>
              <w:spacing w:after="0"/>
              <w:rPr>
                <w:sz w:val="20"/>
                <w:szCs w:val="20"/>
                <w:color w:val="auto"/>
              </w:rPr>
            </w:pPr>
            <w:r>
              <w:rPr>
                <w:rFonts w:ascii="Arial" w:cs="Arial" w:eastAsia="Arial" w:hAnsi="Arial"/>
                <w:sz w:val="13"/>
                <w:szCs w:val="13"/>
                <w:color w:val="auto"/>
              </w:rPr>
              <w:t>53</w:t>
            </w:r>
          </w:p>
        </w:tc>
        <w:tc>
          <w:tcPr>
            <w:tcW w:w="5360" w:type="dxa"/>
            <w:vAlign w:val="bottom"/>
          </w:tcPr>
          <w:p>
            <w:pPr>
              <w:ind w:left="80"/>
              <w:spacing w:after="0"/>
              <w:rPr>
                <w:sz w:val="20"/>
                <w:szCs w:val="20"/>
                <w:color w:val="auto"/>
              </w:rPr>
            </w:pPr>
            <w:r>
              <w:rPr>
                <w:rFonts w:ascii="Arial" w:cs="Arial" w:eastAsia="Arial" w:hAnsi="Arial"/>
                <w:sz w:val="13"/>
                <w:szCs w:val="13"/>
                <w:color w:val="auto"/>
              </w:rPr>
              <w:t>Sr. V.P., Human Resources</w:t>
            </w:r>
          </w:p>
        </w:tc>
      </w:tr>
      <w:tr>
        <w:trPr>
          <w:trHeight w:val="157"/>
        </w:trPr>
        <w:tc>
          <w:tcPr>
            <w:tcW w:w="900" w:type="dxa"/>
            <w:vAlign w:val="bottom"/>
            <w:shd w:val="clear" w:color="auto" w:fill="CCEEFF"/>
          </w:tcPr>
          <w:p>
            <w:pPr>
              <w:spacing w:after="0"/>
              <w:rPr>
                <w:sz w:val="20"/>
                <w:szCs w:val="20"/>
                <w:color w:val="auto"/>
              </w:rPr>
            </w:pPr>
            <w:r>
              <w:rPr>
                <w:rFonts w:ascii="Arial" w:cs="Arial" w:eastAsia="Arial" w:hAnsi="Arial"/>
                <w:sz w:val="13"/>
                <w:szCs w:val="13"/>
                <w:color w:val="auto"/>
                <w:w w:val="98"/>
              </w:rPr>
              <w:t>Barbara Bolens</w:t>
            </w:r>
          </w:p>
        </w:tc>
        <w:tc>
          <w:tcPr>
            <w:tcW w:w="304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rPr>
              <w:t>45</w:t>
            </w:r>
          </w:p>
        </w:tc>
        <w:tc>
          <w:tcPr>
            <w:tcW w:w="5360" w:type="dxa"/>
            <w:vAlign w:val="bottom"/>
            <w:shd w:val="clear" w:color="auto" w:fill="CCEEFF"/>
          </w:tcPr>
          <w:p>
            <w:pPr>
              <w:ind w:left="80"/>
              <w:spacing w:after="0"/>
              <w:rPr>
                <w:sz w:val="20"/>
                <w:szCs w:val="20"/>
                <w:color w:val="auto"/>
              </w:rPr>
            </w:pPr>
            <w:r>
              <w:rPr>
                <w:rFonts w:ascii="Arial" w:cs="Arial" w:eastAsia="Arial" w:hAnsi="Arial"/>
                <w:sz w:val="13"/>
                <w:szCs w:val="13"/>
                <w:color w:val="auto"/>
              </w:rPr>
              <w:t>V.P., Treasurer, Director of Investor Relations</w:t>
            </w:r>
          </w:p>
        </w:tc>
      </w:tr>
      <w:tr>
        <w:trPr>
          <w:trHeight w:val="157"/>
        </w:trPr>
        <w:tc>
          <w:tcPr>
            <w:tcW w:w="3940" w:type="dxa"/>
            <w:vAlign w:val="bottom"/>
            <w:gridSpan w:val="2"/>
          </w:tcPr>
          <w:p>
            <w:pPr>
              <w:spacing w:after="0"/>
              <w:rPr>
                <w:sz w:val="20"/>
                <w:szCs w:val="20"/>
                <w:color w:val="auto"/>
              </w:rPr>
            </w:pPr>
            <w:r>
              <w:rPr>
                <w:rFonts w:ascii="Arial" w:cs="Arial" w:eastAsia="Arial" w:hAnsi="Arial"/>
                <w:sz w:val="13"/>
                <w:szCs w:val="13"/>
                <w:color w:val="auto"/>
              </w:rPr>
              <w:t>Allan J. Klotsche</w:t>
            </w:r>
          </w:p>
        </w:tc>
        <w:tc>
          <w:tcPr>
            <w:tcW w:w="680" w:type="dxa"/>
            <w:vAlign w:val="bottom"/>
          </w:tcPr>
          <w:p>
            <w:pPr>
              <w:jc w:val="right"/>
              <w:ind w:right="135"/>
              <w:spacing w:after="0"/>
              <w:rPr>
                <w:sz w:val="20"/>
                <w:szCs w:val="20"/>
                <w:color w:val="auto"/>
              </w:rPr>
            </w:pPr>
            <w:r>
              <w:rPr>
                <w:rFonts w:ascii="Arial" w:cs="Arial" w:eastAsia="Arial" w:hAnsi="Arial"/>
                <w:sz w:val="13"/>
                <w:szCs w:val="13"/>
                <w:color w:val="auto"/>
              </w:rPr>
              <w:t>41</w:t>
            </w:r>
          </w:p>
        </w:tc>
        <w:tc>
          <w:tcPr>
            <w:tcW w:w="5360" w:type="dxa"/>
            <w:vAlign w:val="bottom"/>
          </w:tcPr>
          <w:p>
            <w:pPr>
              <w:ind w:left="80"/>
              <w:spacing w:after="0"/>
              <w:rPr>
                <w:sz w:val="20"/>
                <w:szCs w:val="20"/>
                <w:color w:val="auto"/>
              </w:rPr>
            </w:pPr>
            <w:r>
              <w:rPr>
                <w:rFonts w:ascii="Arial" w:cs="Arial" w:eastAsia="Arial" w:hAnsi="Arial"/>
                <w:sz w:val="13"/>
                <w:szCs w:val="13"/>
                <w:color w:val="auto"/>
              </w:rPr>
              <w:t>President — Brady Asia-Pacific and V.P., Brady Corporation</w:t>
            </w:r>
          </w:p>
        </w:tc>
      </w:tr>
      <w:tr>
        <w:trPr>
          <w:trHeight w:val="157"/>
        </w:trPr>
        <w:tc>
          <w:tcPr>
            <w:tcW w:w="900" w:type="dxa"/>
            <w:vAlign w:val="bottom"/>
            <w:shd w:val="clear" w:color="auto" w:fill="CCEEFF"/>
          </w:tcPr>
          <w:p>
            <w:pPr>
              <w:spacing w:after="0"/>
              <w:rPr>
                <w:sz w:val="20"/>
                <w:szCs w:val="20"/>
                <w:color w:val="auto"/>
              </w:rPr>
            </w:pPr>
            <w:r>
              <w:rPr>
                <w:rFonts w:ascii="Arial" w:cs="Arial" w:eastAsia="Arial" w:hAnsi="Arial"/>
                <w:sz w:val="13"/>
                <w:szCs w:val="13"/>
                <w:color w:val="auto"/>
                <w:w w:val="88"/>
              </w:rPr>
              <w:t>Peter C. Sephton</w:t>
            </w:r>
          </w:p>
        </w:tc>
        <w:tc>
          <w:tcPr>
            <w:tcW w:w="304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rPr>
              <w:t>47</w:t>
            </w:r>
          </w:p>
        </w:tc>
        <w:tc>
          <w:tcPr>
            <w:tcW w:w="5360" w:type="dxa"/>
            <w:vAlign w:val="bottom"/>
            <w:shd w:val="clear" w:color="auto" w:fill="CCEEFF"/>
          </w:tcPr>
          <w:p>
            <w:pPr>
              <w:ind w:left="80"/>
              <w:spacing w:after="0"/>
              <w:rPr>
                <w:sz w:val="20"/>
                <w:szCs w:val="20"/>
                <w:color w:val="auto"/>
              </w:rPr>
            </w:pPr>
            <w:r>
              <w:rPr>
                <w:rFonts w:ascii="Arial" w:cs="Arial" w:eastAsia="Arial" w:hAnsi="Arial"/>
                <w:sz w:val="13"/>
                <w:szCs w:val="13"/>
                <w:color w:val="auto"/>
              </w:rPr>
              <w:t>President — Brady Europe and V.P., Brady Corporation</w:t>
            </w:r>
          </w:p>
        </w:tc>
      </w:tr>
      <w:tr>
        <w:trPr>
          <w:trHeight w:val="157"/>
        </w:trPr>
        <w:tc>
          <w:tcPr>
            <w:tcW w:w="3940" w:type="dxa"/>
            <w:vAlign w:val="bottom"/>
            <w:gridSpan w:val="2"/>
          </w:tcPr>
          <w:p>
            <w:pPr>
              <w:spacing w:after="0"/>
              <w:rPr>
                <w:sz w:val="20"/>
                <w:szCs w:val="20"/>
                <w:color w:val="auto"/>
              </w:rPr>
            </w:pPr>
            <w:r>
              <w:rPr>
                <w:rFonts w:ascii="Arial" w:cs="Arial" w:eastAsia="Arial" w:hAnsi="Arial"/>
                <w:sz w:val="13"/>
                <w:szCs w:val="13"/>
                <w:color w:val="auto"/>
              </w:rPr>
              <w:t>Matt O. Williamson</w:t>
            </w:r>
          </w:p>
        </w:tc>
        <w:tc>
          <w:tcPr>
            <w:tcW w:w="680" w:type="dxa"/>
            <w:vAlign w:val="bottom"/>
          </w:tcPr>
          <w:p>
            <w:pPr>
              <w:jc w:val="right"/>
              <w:ind w:right="135"/>
              <w:spacing w:after="0"/>
              <w:rPr>
                <w:sz w:val="20"/>
                <w:szCs w:val="20"/>
                <w:color w:val="auto"/>
              </w:rPr>
            </w:pPr>
            <w:r>
              <w:rPr>
                <w:rFonts w:ascii="Arial" w:cs="Arial" w:eastAsia="Arial" w:hAnsi="Arial"/>
                <w:sz w:val="13"/>
                <w:szCs w:val="13"/>
                <w:color w:val="auto"/>
              </w:rPr>
              <w:t>50</w:t>
            </w:r>
          </w:p>
        </w:tc>
        <w:tc>
          <w:tcPr>
            <w:tcW w:w="5360" w:type="dxa"/>
            <w:vAlign w:val="bottom"/>
          </w:tcPr>
          <w:p>
            <w:pPr>
              <w:ind w:left="80"/>
              <w:spacing w:after="0"/>
              <w:rPr>
                <w:sz w:val="20"/>
                <w:szCs w:val="20"/>
                <w:color w:val="auto"/>
              </w:rPr>
            </w:pPr>
            <w:r>
              <w:rPr>
                <w:rFonts w:ascii="Arial" w:cs="Arial" w:eastAsia="Arial" w:hAnsi="Arial"/>
                <w:sz w:val="13"/>
                <w:szCs w:val="13"/>
                <w:color w:val="auto"/>
              </w:rPr>
              <w:t>President — Brady Americas and V.P., Brady Corporation</w:t>
            </w:r>
          </w:p>
        </w:tc>
      </w:tr>
      <w:tr>
        <w:trPr>
          <w:trHeight w:val="157"/>
        </w:trPr>
        <w:tc>
          <w:tcPr>
            <w:tcW w:w="39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Thomas J. Felmer</w:t>
            </w:r>
          </w:p>
        </w:tc>
        <w:tc>
          <w:tcPr>
            <w:tcW w:w="6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rPr>
              <w:t>44</w:t>
            </w:r>
          </w:p>
        </w:tc>
        <w:tc>
          <w:tcPr>
            <w:tcW w:w="5360" w:type="dxa"/>
            <w:vAlign w:val="bottom"/>
            <w:shd w:val="clear" w:color="auto" w:fill="CCEEFF"/>
          </w:tcPr>
          <w:p>
            <w:pPr>
              <w:ind w:left="80"/>
              <w:spacing w:after="0"/>
              <w:rPr>
                <w:sz w:val="20"/>
                <w:szCs w:val="20"/>
                <w:color w:val="auto"/>
              </w:rPr>
            </w:pPr>
            <w:r>
              <w:rPr>
                <w:rFonts w:ascii="Arial" w:cs="Arial" w:eastAsia="Arial" w:hAnsi="Arial"/>
                <w:sz w:val="13"/>
                <w:szCs w:val="13"/>
                <w:color w:val="auto"/>
              </w:rPr>
              <w:t>President — Direct Marketing Americas and V.P., Brady Corporation</w:t>
            </w:r>
          </w:p>
        </w:tc>
      </w:tr>
      <w:tr>
        <w:trPr>
          <w:trHeight w:val="157"/>
        </w:trPr>
        <w:tc>
          <w:tcPr>
            <w:tcW w:w="3940" w:type="dxa"/>
            <w:vAlign w:val="bottom"/>
            <w:gridSpan w:val="2"/>
          </w:tcPr>
          <w:p>
            <w:pPr>
              <w:spacing w:after="0"/>
              <w:rPr>
                <w:sz w:val="20"/>
                <w:szCs w:val="20"/>
                <w:color w:val="auto"/>
              </w:rPr>
            </w:pPr>
            <w:r>
              <w:rPr>
                <w:rFonts w:ascii="Arial" w:cs="Arial" w:eastAsia="Arial" w:hAnsi="Arial"/>
                <w:sz w:val="13"/>
                <w:szCs w:val="13"/>
                <w:color w:val="auto"/>
              </w:rPr>
              <w:t>Robert L. Tatterson</w:t>
            </w:r>
          </w:p>
        </w:tc>
        <w:tc>
          <w:tcPr>
            <w:tcW w:w="680" w:type="dxa"/>
            <w:vAlign w:val="bottom"/>
          </w:tcPr>
          <w:p>
            <w:pPr>
              <w:jc w:val="right"/>
              <w:ind w:right="135"/>
              <w:spacing w:after="0"/>
              <w:rPr>
                <w:sz w:val="20"/>
                <w:szCs w:val="20"/>
                <w:color w:val="auto"/>
              </w:rPr>
            </w:pPr>
            <w:r>
              <w:rPr>
                <w:rFonts w:ascii="Arial" w:cs="Arial" w:eastAsia="Arial" w:hAnsi="Arial"/>
                <w:sz w:val="13"/>
                <w:szCs w:val="13"/>
                <w:color w:val="auto"/>
              </w:rPr>
              <w:t>41</w:t>
            </w:r>
          </w:p>
        </w:tc>
        <w:tc>
          <w:tcPr>
            <w:tcW w:w="5360" w:type="dxa"/>
            <w:vAlign w:val="bottom"/>
          </w:tcPr>
          <w:p>
            <w:pPr>
              <w:ind w:left="80"/>
              <w:spacing w:after="0"/>
              <w:rPr>
                <w:sz w:val="20"/>
                <w:szCs w:val="20"/>
                <w:color w:val="auto"/>
              </w:rPr>
            </w:pPr>
            <w:r>
              <w:rPr>
                <w:rFonts w:ascii="Arial" w:cs="Arial" w:eastAsia="Arial" w:hAnsi="Arial"/>
                <w:sz w:val="13"/>
                <w:szCs w:val="13"/>
                <w:color w:val="auto"/>
              </w:rPr>
              <w:t>Vice President and Chief Technology Officer</w:t>
            </w:r>
          </w:p>
        </w:tc>
      </w:tr>
      <w:tr>
        <w:trPr>
          <w:trHeight w:val="157"/>
        </w:trPr>
        <w:tc>
          <w:tcPr>
            <w:tcW w:w="39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Conrad G. Goodkind</w:t>
            </w:r>
          </w:p>
        </w:tc>
        <w:tc>
          <w:tcPr>
            <w:tcW w:w="6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rPr>
              <w:t>62</w:t>
            </w:r>
          </w:p>
        </w:tc>
        <w:tc>
          <w:tcPr>
            <w:tcW w:w="5360" w:type="dxa"/>
            <w:vAlign w:val="bottom"/>
            <w:shd w:val="clear" w:color="auto" w:fill="CCEEFF"/>
          </w:tcPr>
          <w:p>
            <w:pPr>
              <w:ind w:left="80"/>
              <w:spacing w:after="0"/>
              <w:rPr>
                <w:sz w:val="20"/>
                <w:szCs w:val="20"/>
                <w:color w:val="auto"/>
              </w:rPr>
            </w:pPr>
            <w:r>
              <w:rPr>
                <w:rFonts w:ascii="Arial" w:cs="Arial" w:eastAsia="Arial" w:hAnsi="Arial"/>
                <w:sz w:val="13"/>
                <w:szCs w:val="13"/>
                <w:color w:val="auto"/>
              </w:rPr>
              <w:t>Secretary</w:t>
            </w:r>
          </w:p>
        </w:tc>
      </w:tr>
      <w:tr>
        <w:trPr>
          <w:trHeight w:val="157"/>
        </w:trPr>
        <w:tc>
          <w:tcPr>
            <w:tcW w:w="3940" w:type="dxa"/>
            <w:vAlign w:val="bottom"/>
            <w:gridSpan w:val="2"/>
          </w:tcPr>
          <w:p>
            <w:pPr>
              <w:spacing w:after="0"/>
              <w:rPr>
                <w:sz w:val="20"/>
                <w:szCs w:val="20"/>
                <w:color w:val="auto"/>
              </w:rPr>
            </w:pPr>
            <w:r>
              <w:rPr>
                <w:rFonts w:ascii="Arial" w:cs="Arial" w:eastAsia="Arial" w:hAnsi="Arial"/>
                <w:sz w:val="13"/>
                <w:szCs w:val="13"/>
                <w:color w:val="auto"/>
              </w:rPr>
              <w:t>Dr. Elizabeth Pungello</w:t>
            </w:r>
          </w:p>
        </w:tc>
        <w:tc>
          <w:tcPr>
            <w:tcW w:w="680" w:type="dxa"/>
            <w:vAlign w:val="bottom"/>
          </w:tcPr>
          <w:p>
            <w:pPr>
              <w:jc w:val="right"/>
              <w:ind w:right="135"/>
              <w:spacing w:after="0"/>
              <w:rPr>
                <w:sz w:val="20"/>
                <w:szCs w:val="20"/>
                <w:color w:val="auto"/>
              </w:rPr>
            </w:pPr>
            <w:r>
              <w:rPr>
                <w:rFonts w:ascii="Arial" w:cs="Arial" w:eastAsia="Arial" w:hAnsi="Arial"/>
                <w:sz w:val="13"/>
                <w:szCs w:val="13"/>
                <w:color w:val="auto"/>
              </w:rPr>
              <w:t>39</w:t>
            </w:r>
          </w:p>
        </w:tc>
        <w:tc>
          <w:tcPr>
            <w:tcW w:w="5360" w:type="dxa"/>
            <w:vAlign w:val="bottom"/>
          </w:tcPr>
          <w:p>
            <w:pPr>
              <w:ind w:left="80"/>
              <w:spacing w:after="0"/>
              <w:rPr>
                <w:sz w:val="20"/>
                <w:szCs w:val="20"/>
                <w:color w:val="auto"/>
              </w:rPr>
            </w:pPr>
            <w:r>
              <w:rPr>
                <w:rFonts w:ascii="Arial" w:cs="Arial" w:eastAsia="Arial" w:hAnsi="Arial"/>
                <w:sz w:val="13"/>
                <w:szCs w:val="13"/>
                <w:color w:val="auto"/>
              </w:rPr>
              <w:t>Director</w:t>
            </w:r>
          </w:p>
        </w:tc>
      </w:tr>
      <w:tr>
        <w:trPr>
          <w:trHeight w:val="157"/>
        </w:trPr>
        <w:tc>
          <w:tcPr>
            <w:tcW w:w="39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Peter J. Lettenberger</w:t>
            </w:r>
          </w:p>
        </w:tc>
        <w:tc>
          <w:tcPr>
            <w:tcW w:w="6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rPr>
              <w:t>69</w:t>
            </w:r>
          </w:p>
        </w:tc>
        <w:tc>
          <w:tcPr>
            <w:tcW w:w="5360" w:type="dxa"/>
            <w:vAlign w:val="bottom"/>
            <w:shd w:val="clear" w:color="auto" w:fill="CCEEFF"/>
          </w:tcPr>
          <w:p>
            <w:pPr>
              <w:ind w:left="80"/>
              <w:spacing w:after="0"/>
              <w:rPr>
                <w:sz w:val="20"/>
                <w:szCs w:val="20"/>
                <w:color w:val="auto"/>
              </w:rPr>
            </w:pPr>
            <w:r>
              <w:rPr>
                <w:rFonts w:ascii="Arial" w:cs="Arial" w:eastAsia="Arial" w:hAnsi="Arial"/>
                <w:sz w:val="13"/>
                <w:szCs w:val="13"/>
                <w:color w:val="auto"/>
              </w:rPr>
              <w:t>Director</w:t>
            </w:r>
          </w:p>
        </w:tc>
      </w:tr>
      <w:tr>
        <w:trPr>
          <w:trHeight w:val="157"/>
        </w:trPr>
        <w:tc>
          <w:tcPr>
            <w:tcW w:w="3940" w:type="dxa"/>
            <w:vAlign w:val="bottom"/>
            <w:gridSpan w:val="2"/>
          </w:tcPr>
          <w:p>
            <w:pPr>
              <w:spacing w:after="0"/>
              <w:rPr>
                <w:sz w:val="20"/>
                <w:szCs w:val="20"/>
                <w:color w:val="auto"/>
              </w:rPr>
            </w:pPr>
            <w:r>
              <w:rPr>
                <w:rFonts w:ascii="Arial" w:cs="Arial" w:eastAsia="Arial" w:hAnsi="Arial"/>
                <w:sz w:val="13"/>
                <w:szCs w:val="13"/>
                <w:color w:val="auto"/>
              </w:rPr>
              <w:t>Robert C. Buchanan</w:t>
            </w:r>
          </w:p>
        </w:tc>
        <w:tc>
          <w:tcPr>
            <w:tcW w:w="680" w:type="dxa"/>
            <w:vAlign w:val="bottom"/>
          </w:tcPr>
          <w:p>
            <w:pPr>
              <w:jc w:val="right"/>
              <w:ind w:right="135"/>
              <w:spacing w:after="0"/>
              <w:rPr>
                <w:sz w:val="20"/>
                <w:szCs w:val="20"/>
                <w:color w:val="auto"/>
              </w:rPr>
            </w:pPr>
            <w:r>
              <w:rPr>
                <w:rFonts w:ascii="Arial" w:cs="Arial" w:eastAsia="Arial" w:hAnsi="Arial"/>
                <w:sz w:val="13"/>
                <w:szCs w:val="13"/>
                <w:color w:val="auto"/>
              </w:rPr>
              <w:t>66</w:t>
            </w:r>
          </w:p>
        </w:tc>
        <w:tc>
          <w:tcPr>
            <w:tcW w:w="5360" w:type="dxa"/>
            <w:vAlign w:val="bottom"/>
          </w:tcPr>
          <w:p>
            <w:pPr>
              <w:ind w:left="80"/>
              <w:spacing w:after="0"/>
              <w:rPr>
                <w:sz w:val="20"/>
                <w:szCs w:val="20"/>
                <w:color w:val="auto"/>
              </w:rPr>
            </w:pPr>
            <w:r>
              <w:rPr>
                <w:rFonts w:ascii="Arial" w:cs="Arial" w:eastAsia="Arial" w:hAnsi="Arial"/>
                <w:sz w:val="13"/>
                <w:szCs w:val="13"/>
                <w:color w:val="auto"/>
              </w:rPr>
              <w:t>Director</w:t>
            </w:r>
          </w:p>
        </w:tc>
      </w:tr>
      <w:tr>
        <w:trPr>
          <w:trHeight w:val="157"/>
        </w:trPr>
        <w:tc>
          <w:tcPr>
            <w:tcW w:w="900" w:type="dxa"/>
            <w:vAlign w:val="bottom"/>
            <w:shd w:val="clear" w:color="auto" w:fill="CCEEFF"/>
          </w:tcPr>
          <w:p>
            <w:pPr>
              <w:spacing w:after="0"/>
              <w:rPr>
                <w:sz w:val="20"/>
                <w:szCs w:val="20"/>
                <w:color w:val="auto"/>
              </w:rPr>
            </w:pPr>
            <w:r>
              <w:rPr>
                <w:rFonts w:ascii="Arial" w:cs="Arial" w:eastAsia="Arial" w:hAnsi="Arial"/>
                <w:sz w:val="13"/>
                <w:szCs w:val="13"/>
                <w:color w:val="auto"/>
                <w:w w:val="95"/>
              </w:rPr>
              <w:t>Roger D. Peirce</w:t>
            </w:r>
          </w:p>
        </w:tc>
        <w:tc>
          <w:tcPr>
            <w:tcW w:w="304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rPr>
              <w:t>69</w:t>
            </w:r>
          </w:p>
        </w:tc>
        <w:tc>
          <w:tcPr>
            <w:tcW w:w="5360" w:type="dxa"/>
            <w:vAlign w:val="bottom"/>
            <w:shd w:val="clear" w:color="auto" w:fill="CCEEFF"/>
          </w:tcPr>
          <w:p>
            <w:pPr>
              <w:ind w:left="80"/>
              <w:spacing w:after="0"/>
              <w:rPr>
                <w:sz w:val="20"/>
                <w:szCs w:val="20"/>
                <w:color w:val="auto"/>
              </w:rPr>
            </w:pPr>
            <w:r>
              <w:rPr>
                <w:rFonts w:ascii="Arial" w:cs="Arial" w:eastAsia="Arial" w:hAnsi="Arial"/>
                <w:sz w:val="13"/>
                <w:szCs w:val="13"/>
                <w:color w:val="auto"/>
              </w:rPr>
              <w:t>Director</w:t>
            </w:r>
          </w:p>
        </w:tc>
      </w:tr>
      <w:tr>
        <w:trPr>
          <w:trHeight w:val="157"/>
        </w:trPr>
        <w:tc>
          <w:tcPr>
            <w:tcW w:w="3940" w:type="dxa"/>
            <w:vAlign w:val="bottom"/>
            <w:gridSpan w:val="2"/>
          </w:tcPr>
          <w:p>
            <w:pPr>
              <w:spacing w:after="0"/>
              <w:rPr>
                <w:sz w:val="20"/>
                <w:szCs w:val="20"/>
                <w:color w:val="auto"/>
              </w:rPr>
            </w:pPr>
            <w:r>
              <w:rPr>
                <w:rFonts w:ascii="Arial" w:cs="Arial" w:eastAsia="Arial" w:hAnsi="Arial"/>
                <w:sz w:val="13"/>
                <w:szCs w:val="13"/>
                <w:color w:val="auto"/>
              </w:rPr>
              <w:t>Richard A. Bemis</w:t>
            </w:r>
          </w:p>
        </w:tc>
        <w:tc>
          <w:tcPr>
            <w:tcW w:w="680" w:type="dxa"/>
            <w:vAlign w:val="bottom"/>
          </w:tcPr>
          <w:p>
            <w:pPr>
              <w:jc w:val="right"/>
              <w:ind w:right="135"/>
              <w:spacing w:after="0"/>
              <w:rPr>
                <w:sz w:val="20"/>
                <w:szCs w:val="20"/>
                <w:color w:val="auto"/>
              </w:rPr>
            </w:pPr>
            <w:r>
              <w:rPr>
                <w:rFonts w:ascii="Arial" w:cs="Arial" w:eastAsia="Arial" w:hAnsi="Arial"/>
                <w:sz w:val="13"/>
                <w:szCs w:val="13"/>
                <w:color w:val="auto"/>
              </w:rPr>
              <w:t>65</w:t>
            </w:r>
          </w:p>
        </w:tc>
        <w:tc>
          <w:tcPr>
            <w:tcW w:w="5360" w:type="dxa"/>
            <w:vAlign w:val="bottom"/>
          </w:tcPr>
          <w:p>
            <w:pPr>
              <w:ind w:left="80"/>
              <w:spacing w:after="0"/>
              <w:rPr>
                <w:sz w:val="20"/>
                <w:szCs w:val="20"/>
                <w:color w:val="auto"/>
              </w:rPr>
            </w:pPr>
            <w:r>
              <w:rPr>
                <w:rFonts w:ascii="Arial" w:cs="Arial" w:eastAsia="Arial" w:hAnsi="Arial"/>
                <w:sz w:val="13"/>
                <w:szCs w:val="13"/>
                <w:color w:val="auto"/>
              </w:rPr>
              <w:t>Director</w:t>
            </w:r>
          </w:p>
        </w:tc>
      </w:tr>
      <w:tr>
        <w:trPr>
          <w:trHeight w:val="157"/>
        </w:trPr>
        <w:tc>
          <w:tcPr>
            <w:tcW w:w="39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Dr. Frank W. Harris</w:t>
            </w:r>
          </w:p>
        </w:tc>
        <w:tc>
          <w:tcPr>
            <w:tcW w:w="6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rPr>
              <w:t>64</w:t>
            </w:r>
          </w:p>
        </w:tc>
        <w:tc>
          <w:tcPr>
            <w:tcW w:w="5360" w:type="dxa"/>
            <w:vAlign w:val="bottom"/>
            <w:shd w:val="clear" w:color="auto" w:fill="CCEEFF"/>
          </w:tcPr>
          <w:p>
            <w:pPr>
              <w:ind w:left="80"/>
              <w:spacing w:after="0"/>
              <w:rPr>
                <w:sz w:val="20"/>
                <w:szCs w:val="20"/>
                <w:color w:val="auto"/>
              </w:rPr>
            </w:pPr>
            <w:r>
              <w:rPr>
                <w:rFonts w:ascii="Arial" w:cs="Arial" w:eastAsia="Arial" w:hAnsi="Arial"/>
                <w:sz w:val="13"/>
                <w:szCs w:val="13"/>
                <w:color w:val="auto"/>
              </w:rPr>
              <w:t>Director</w:t>
            </w:r>
          </w:p>
        </w:tc>
      </w:tr>
      <w:tr>
        <w:trPr>
          <w:trHeight w:val="157"/>
        </w:trPr>
        <w:tc>
          <w:tcPr>
            <w:tcW w:w="900" w:type="dxa"/>
            <w:vAlign w:val="bottom"/>
          </w:tcPr>
          <w:p>
            <w:pPr>
              <w:spacing w:after="0"/>
              <w:rPr>
                <w:sz w:val="20"/>
                <w:szCs w:val="20"/>
                <w:color w:val="auto"/>
              </w:rPr>
            </w:pPr>
            <w:r>
              <w:rPr>
                <w:rFonts w:ascii="Arial" w:cs="Arial" w:eastAsia="Arial" w:hAnsi="Arial"/>
                <w:sz w:val="13"/>
                <w:szCs w:val="13"/>
                <w:color w:val="auto"/>
              </w:rPr>
              <w:t>Gary E. Nei</w:t>
            </w:r>
          </w:p>
        </w:tc>
        <w:tc>
          <w:tcPr>
            <w:tcW w:w="3040" w:type="dxa"/>
            <w:vAlign w:val="bottom"/>
          </w:tcPr>
          <w:p>
            <w:pPr>
              <w:spacing w:after="0"/>
              <w:rPr>
                <w:sz w:val="13"/>
                <w:szCs w:val="13"/>
                <w:color w:val="auto"/>
              </w:rPr>
            </w:pPr>
          </w:p>
        </w:tc>
        <w:tc>
          <w:tcPr>
            <w:tcW w:w="680" w:type="dxa"/>
            <w:vAlign w:val="bottom"/>
          </w:tcPr>
          <w:p>
            <w:pPr>
              <w:jc w:val="right"/>
              <w:ind w:right="135"/>
              <w:spacing w:after="0"/>
              <w:rPr>
                <w:sz w:val="20"/>
                <w:szCs w:val="20"/>
                <w:color w:val="auto"/>
              </w:rPr>
            </w:pPr>
            <w:r>
              <w:rPr>
                <w:rFonts w:ascii="Arial" w:cs="Arial" w:eastAsia="Arial" w:hAnsi="Arial"/>
                <w:sz w:val="13"/>
                <w:szCs w:val="13"/>
                <w:color w:val="auto"/>
              </w:rPr>
              <w:t>62</w:t>
            </w:r>
          </w:p>
        </w:tc>
        <w:tc>
          <w:tcPr>
            <w:tcW w:w="5360" w:type="dxa"/>
            <w:vAlign w:val="bottom"/>
          </w:tcPr>
          <w:p>
            <w:pPr>
              <w:ind w:left="80"/>
              <w:spacing w:after="0"/>
              <w:rPr>
                <w:sz w:val="20"/>
                <w:szCs w:val="20"/>
                <w:color w:val="auto"/>
              </w:rPr>
            </w:pPr>
            <w:r>
              <w:rPr>
                <w:rFonts w:ascii="Arial" w:cs="Arial" w:eastAsia="Arial" w:hAnsi="Arial"/>
                <w:sz w:val="13"/>
                <w:szCs w:val="13"/>
                <w:color w:val="auto"/>
              </w:rPr>
              <w:t>Director</w:t>
            </w:r>
          </w:p>
        </w:tc>
      </w:tr>
      <w:tr>
        <w:trPr>
          <w:trHeight w:val="157"/>
        </w:trPr>
        <w:tc>
          <w:tcPr>
            <w:tcW w:w="900" w:type="dxa"/>
            <w:vAlign w:val="bottom"/>
            <w:shd w:val="clear" w:color="auto" w:fill="CCEEFF"/>
          </w:tcPr>
          <w:p>
            <w:pPr>
              <w:spacing w:after="0"/>
              <w:rPr>
                <w:sz w:val="20"/>
                <w:szCs w:val="20"/>
                <w:color w:val="auto"/>
              </w:rPr>
            </w:pPr>
            <w:r>
              <w:rPr>
                <w:rFonts w:ascii="Arial" w:cs="Arial" w:eastAsia="Arial" w:hAnsi="Arial"/>
                <w:sz w:val="13"/>
                <w:szCs w:val="13"/>
                <w:color w:val="auto"/>
              </w:rPr>
              <w:t>Mary K. Bush</w:t>
            </w:r>
          </w:p>
        </w:tc>
        <w:tc>
          <w:tcPr>
            <w:tcW w:w="304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rPr>
              <w:t>58</w:t>
            </w:r>
          </w:p>
        </w:tc>
        <w:tc>
          <w:tcPr>
            <w:tcW w:w="5360" w:type="dxa"/>
            <w:vAlign w:val="bottom"/>
            <w:shd w:val="clear" w:color="auto" w:fill="CCEEFF"/>
          </w:tcPr>
          <w:p>
            <w:pPr>
              <w:ind w:left="80"/>
              <w:spacing w:after="0"/>
              <w:rPr>
                <w:sz w:val="20"/>
                <w:szCs w:val="20"/>
                <w:color w:val="auto"/>
              </w:rPr>
            </w:pPr>
            <w:r>
              <w:rPr>
                <w:rFonts w:ascii="Arial" w:cs="Arial" w:eastAsia="Arial" w:hAnsi="Arial"/>
                <w:sz w:val="13"/>
                <w:szCs w:val="13"/>
                <w:color w:val="auto"/>
              </w:rPr>
              <w:t>Director</w:t>
            </w:r>
          </w:p>
        </w:tc>
      </w:tr>
      <w:tr>
        <w:trPr>
          <w:trHeight w:val="165"/>
        </w:trPr>
        <w:tc>
          <w:tcPr>
            <w:tcW w:w="900" w:type="dxa"/>
            <w:vAlign w:val="bottom"/>
          </w:tcPr>
          <w:p>
            <w:pPr>
              <w:spacing w:after="0"/>
              <w:rPr>
                <w:sz w:val="20"/>
                <w:szCs w:val="20"/>
                <w:color w:val="auto"/>
              </w:rPr>
            </w:pPr>
            <w:r>
              <w:rPr>
                <w:rFonts w:ascii="Arial" w:cs="Arial" w:eastAsia="Arial" w:hAnsi="Arial"/>
                <w:sz w:val="13"/>
                <w:szCs w:val="13"/>
                <w:color w:val="auto"/>
              </w:rPr>
              <w:t>Frank R. Jarc</w:t>
            </w:r>
          </w:p>
        </w:tc>
        <w:tc>
          <w:tcPr>
            <w:tcW w:w="3040" w:type="dxa"/>
            <w:vAlign w:val="bottom"/>
          </w:tcPr>
          <w:p>
            <w:pPr>
              <w:spacing w:after="0"/>
              <w:rPr>
                <w:sz w:val="14"/>
                <w:szCs w:val="14"/>
                <w:color w:val="auto"/>
              </w:rPr>
            </w:pPr>
          </w:p>
        </w:tc>
        <w:tc>
          <w:tcPr>
            <w:tcW w:w="680" w:type="dxa"/>
            <w:vAlign w:val="bottom"/>
          </w:tcPr>
          <w:p>
            <w:pPr>
              <w:jc w:val="right"/>
              <w:ind w:right="135"/>
              <w:spacing w:after="0"/>
              <w:rPr>
                <w:sz w:val="20"/>
                <w:szCs w:val="20"/>
                <w:color w:val="auto"/>
              </w:rPr>
            </w:pPr>
            <w:r>
              <w:rPr>
                <w:rFonts w:ascii="Arial" w:cs="Arial" w:eastAsia="Arial" w:hAnsi="Arial"/>
                <w:sz w:val="13"/>
                <w:szCs w:val="13"/>
                <w:color w:val="auto"/>
              </w:rPr>
              <w:t>64</w:t>
            </w:r>
          </w:p>
        </w:tc>
        <w:tc>
          <w:tcPr>
            <w:tcW w:w="5360" w:type="dxa"/>
            <w:vAlign w:val="bottom"/>
          </w:tcPr>
          <w:p>
            <w:pPr>
              <w:ind w:left="80"/>
              <w:spacing w:after="0"/>
              <w:rPr>
                <w:sz w:val="20"/>
                <w:szCs w:val="20"/>
                <w:color w:val="auto"/>
              </w:rPr>
            </w:pPr>
            <w:r>
              <w:rPr>
                <w:rFonts w:ascii="Arial" w:cs="Arial" w:eastAsia="Arial" w:hAnsi="Arial"/>
                <w:sz w:val="13"/>
                <w:szCs w:val="13"/>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-2032635</wp:posOffset>
            </wp:positionV>
            <wp:extent cx="24765"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4765" cy="6350"/>
                    </a:xfrm>
                    <a:prstGeom prst="rect">
                      <a:avLst/>
                    </a:prstGeom>
                    <a:noFill/>
                  </pic:spPr>
                </pic:pic>
              </a:graphicData>
            </a:graphic>
          </wp:anchor>
        </w:drawing>
      </w:r>
    </w:p>
    <w:p>
      <w:pPr>
        <w:spacing w:after="0" w:line="52"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i w:val="1"/>
          <w:iCs w:val="1"/>
          <w:color w:val="auto"/>
        </w:rPr>
        <w:t xml:space="preserve">Frank M. Jaehnert </w:t>
      </w:r>
      <w:r>
        <w:rPr>
          <w:rFonts w:ascii="Arial" w:cs="Arial" w:eastAsia="Arial" w:hAnsi="Arial"/>
          <w:sz w:val="13"/>
          <w:szCs w:val="13"/>
          <w:color w:val="auto"/>
        </w:rPr>
        <w:t>— Mr. Jaehnert joined the Company in 1995 as Finance Director of the Identification Solutions &amp; Specialty Tapes Group. He served as Chief Financial Officer</w:t>
      </w:r>
      <w:r>
        <w:rPr>
          <w:rFonts w:ascii="Arial" w:cs="Arial" w:eastAsia="Arial" w:hAnsi="Arial"/>
          <w:sz w:val="13"/>
          <w:szCs w:val="13"/>
          <w:i w:val="1"/>
          <w:iCs w:val="1"/>
          <w:color w:val="auto"/>
        </w:rPr>
        <w:t xml:space="preserve"> </w:t>
      </w:r>
      <w:r>
        <w:rPr>
          <w:rFonts w:ascii="Arial" w:cs="Arial" w:eastAsia="Arial" w:hAnsi="Arial"/>
          <w:sz w:val="13"/>
          <w:szCs w:val="13"/>
          <w:color w:val="auto"/>
        </w:rPr>
        <w:t>from November 1996 to January 2002. He served as Senior Vice President of the Company and President, Identification Solutions and Specialty Tapes Group from January 2002 to March 2003. In February 2003, he was appointed to his current position, effective April 1, 2003. He has served as a Director of the Company since April 2003. Before joining the Company, he held various financial and management positions for Robert Bosch GmbH from 1983 to 1995.</w:t>
      </w:r>
    </w:p>
    <w:p>
      <w:pPr>
        <w:spacing w:after="0" w:line="70" w:lineRule="exact"/>
        <w:rPr>
          <w:sz w:val="20"/>
          <w:szCs w:val="20"/>
          <w:color w:val="auto"/>
        </w:rPr>
      </w:pPr>
    </w:p>
    <w:p>
      <w:pPr>
        <w:ind w:left="680" w:right="200" w:firstLine="399"/>
        <w:spacing w:after="0" w:line="289" w:lineRule="auto"/>
        <w:rPr>
          <w:sz w:val="20"/>
          <w:szCs w:val="20"/>
          <w:color w:val="auto"/>
        </w:rPr>
      </w:pPr>
      <w:r>
        <w:rPr>
          <w:rFonts w:ascii="Arial" w:cs="Arial" w:eastAsia="Arial" w:hAnsi="Arial"/>
          <w:sz w:val="12"/>
          <w:szCs w:val="12"/>
          <w:i w:val="1"/>
          <w:iCs w:val="1"/>
          <w:color w:val="auto"/>
        </w:rPr>
        <w:t xml:space="preserve">David Mathieson </w:t>
      </w:r>
      <w:r>
        <w:rPr>
          <w:rFonts w:ascii="Arial" w:cs="Arial" w:eastAsia="Arial" w:hAnsi="Arial"/>
          <w:sz w:val="12"/>
          <w:szCs w:val="12"/>
          <w:color w:val="auto"/>
        </w:rPr>
        <w:t>— Mr. Mathieson joined Brady in 2001 as European Finance Director, based in the U.K. In August 2003, he was appointed Vice President of Finance for North</w:t>
      </w:r>
      <w:r>
        <w:rPr>
          <w:rFonts w:ascii="Arial" w:cs="Arial" w:eastAsia="Arial" w:hAnsi="Arial"/>
          <w:sz w:val="12"/>
          <w:szCs w:val="12"/>
          <w:i w:val="1"/>
          <w:iCs w:val="1"/>
          <w:color w:val="auto"/>
        </w:rPr>
        <w:t xml:space="preserve"> </w:t>
      </w:r>
      <w:r>
        <w:rPr>
          <w:rFonts w:ascii="Arial" w:cs="Arial" w:eastAsia="Arial" w:hAnsi="Arial"/>
          <w:sz w:val="12"/>
          <w:szCs w:val="12"/>
          <w:color w:val="auto"/>
        </w:rPr>
        <w:t>America, and named Vice President and Chief Financial Officer in December 2003. Prior to joining Brady, he was Vice President and Chief Financial Officer of Honeywell Europe, concluding a 20-year career with Honeywell International, Inc., which included positions in Belgium, Denmark, England and the United States. A native of Scotland, he is a Fellow of the Chartered Management Accountants Institute in the United Kingdom and studied for this qualification at Glasgow College of Commerce and Glasgow Caledonian University.</w:t>
      </w:r>
    </w:p>
    <w:p>
      <w:pPr>
        <w:spacing w:after="0" w:line="53"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i w:val="1"/>
          <w:iCs w:val="1"/>
          <w:color w:val="auto"/>
        </w:rPr>
        <w:t xml:space="preserve">David R. Hawke </w:t>
      </w:r>
      <w:r>
        <w:rPr>
          <w:rFonts w:ascii="Arial" w:cs="Arial" w:eastAsia="Arial" w:hAnsi="Arial"/>
          <w:sz w:val="13"/>
          <w:szCs w:val="13"/>
          <w:color w:val="auto"/>
        </w:rPr>
        <w:t>— Mr. Hawke joined the Company in 1979. He served as General Manager of the Industrial Products Division from 1985 to 1991. From 1991 to February 1995, he</w:t>
      </w:r>
      <w:r>
        <w:rPr>
          <w:rFonts w:ascii="Arial" w:cs="Arial" w:eastAsia="Arial" w:hAnsi="Arial"/>
          <w:sz w:val="13"/>
          <w:szCs w:val="13"/>
          <w:i w:val="1"/>
          <w:iCs w:val="1"/>
          <w:color w:val="auto"/>
        </w:rPr>
        <w:t xml:space="preserve"> </w:t>
      </w:r>
      <w:r>
        <w:rPr>
          <w:rFonts w:ascii="Arial" w:cs="Arial" w:eastAsia="Arial" w:hAnsi="Arial"/>
          <w:sz w:val="13"/>
          <w:szCs w:val="13"/>
          <w:color w:val="auto"/>
        </w:rPr>
        <w:t>served as Managing Director — European Operations. From February 1995 to August 2001, he served as Vice President, Graphics Group. He served as Vice President, Graphics and Workplace Solutions from August 2001 to January 2002. He served as Senior Vice President of the Company and President, Graphics and Workplace Solutions Group from January 2002 to April 2003. In April 2003, he was appointed to his present position.</w:t>
      </w:r>
    </w:p>
    <w:p>
      <w:pPr>
        <w:spacing w:after="0" w:line="70"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i w:val="1"/>
          <w:iCs w:val="1"/>
          <w:color w:val="auto"/>
        </w:rPr>
        <w:t xml:space="preserve">Michael O. Oliver </w:t>
      </w:r>
      <w:r>
        <w:rPr>
          <w:rFonts w:ascii="Arial" w:cs="Arial" w:eastAsia="Arial" w:hAnsi="Arial"/>
          <w:sz w:val="13"/>
          <w:szCs w:val="13"/>
          <w:color w:val="auto"/>
        </w:rPr>
        <w:t>— Mr. Oliver joined the Company in February 1997 as Vice President — Human Resources. He was appointed to his present position in January 2002. Before</w:t>
      </w:r>
      <w:r>
        <w:rPr>
          <w:rFonts w:ascii="Arial" w:cs="Arial" w:eastAsia="Arial" w:hAnsi="Arial"/>
          <w:sz w:val="13"/>
          <w:szCs w:val="13"/>
          <w:i w:val="1"/>
          <w:iCs w:val="1"/>
          <w:color w:val="auto"/>
        </w:rPr>
        <w:t xml:space="preserve"> </w:t>
      </w:r>
      <w:r>
        <w:rPr>
          <w:rFonts w:ascii="Arial" w:cs="Arial" w:eastAsia="Arial" w:hAnsi="Arial"/>
          <w:sz w:val="13"/>
          <w:szCs w:val="13"/>
          <w:color w:val="auto"/>
        </w:rPr>
        <w:t>joining the Company, he held various human resource positions for Unilever from 1990 to 1997.</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i w:val="1"/>
          <w:iCs w:val="1"/>
          <w:color w:val="auto"/>
        </w:rPr>
        <w:t xml:space="preserve">Barbara Bolens </w:t>
      </w:r>
      <w:r>
        <w:rPr>
          <w:rFonts w:ascii="Arial" w:cs="Arial" w:eastAsia="Arial" w:hAnsi="Arial"/>
          <w:sz w:val="12"/>
          <w:szCs w:val="12"/>
          <w:color w:val="auto"/>
        </w:rPr>
        <w:t>— Ms. Bolens joined the Company in 1986 and has held a wide variety of positions beginning in customer service and customer service management and progressing</w:t>
      </w:r>
      <w:r>
        <w:rPr>
          <w:rFonts w:ascii="Arial" w:cs="Arial" w:eastAsia="Arial" w:hAnsi="Arial"/>
          <w:sz w:val="12"/>
          <w:szCs w:val="12"/>
          <w:i w:val="1"/>
          <w:iCs w:val="1"/>
          <w:color w:val="auto"/>
        </w:rPr>
        <w:t xml:space="preserve"> </w:t>
      </w:r>
      <w:r>
        <w:rPr>
          <w:rFonts w:ascii="Arial" w:cs="Arial" w:eastAsia="Arial" w:hAnsi="Arial"/>
          <w:sz w:val="12"/>
          <w:szCs w:val="12"/>
          <w:color w:val="auto"/>
        </w:rPr>
        <w:t>through product management and new product development. For 10 years, she had been the Assistant Treasurer and has held several other positions in the Corporate Finance Team throughout that time. She was appointed to her present position in November 2004. Ms. Bolens also holds the position of Director of Investor Relations.</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Allan J. Klotsche </w:t>
      </w:r>
      <w:r>
        <w:rPr>
          <w:rFonts w:ascii="Arial" w:cs="Arial" w:eastAsia="Arial" w:hAnsi="Arial"/>
          <w:sz w:val="12"/>
          <w:szCs w:val="12"/>
          <w:color w:val="auto"/>
        </w:rPr>
        <w:t>— Mr. Klotsche joined the Company in 1988. He served in a variety of sales, marketing, technical, and management roles until 1998, when he was appointed V.P.</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and General Manager of the Precision Tapes Group. He was appointed to his current position in April 2003.</w:t>
      </w:r>
    </w:p>
    <w:p>
      <w:pPr>
        <w:spacing w:after="0" w:line="89"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i w:val="1"/>
          <w:iCs w:val="1"/>
          <w:color w:val="auto"/>
        </w:rPr>
        <w:t xml:space="preserve">Peter C. Sephton </w:t>
      </w:r>
      <w:r>
        <w:rPr>
          <w:rFonts w:ascii="Arial" w:cs="Arial" w:eastAsia="Arial" w:hAnsi="Arial"/>
          <w:sz w:val="13"/>
          <w:szCs w:val="13"/>
          <w:color w:val="auto"/>
        </w:rPr>
        <w:t>— Mr. Sephton joined the Company in 1997 as Managing Director — Seton-U.K. From 2001 to 2003 he served as managing director for Brady’s Identification</w:t>
      </w:r>
      <w:r>
        <w:rPr>
          <w:rFonts w:ascii="Arial" w:cs="Arial" w:eastAsia="Arial" w:hAnsi="Arial"/>
          <w:sz w:val="13"/>
          <w:szCs w:val="13"/>
          <w:i w:val="1"/>
          <w:iCs w:val="1"/>
          <w:color w:val="auto"/>
        </w:rPr>
        <w:t xml:space="preserve"> </w:t>
      </w:r>
      <w:r>
        <w:rPr>
          <w:rFonts w:ascii="Arial" w:cs="Arial" w:eastAsia="Arial" w:hAnsi="Arial"/>
          <w:sz w:val="13"/>
          <w:szCs w:val="13"/>
          <w:color w:val="auto"/>
        </w:rPr>
        <w:t>Solutions Business in Europe. In April 2003, he was appointed to his current position. Before joining Brady, he served in a variety of international managerial roles with Tate and Lyle Plc, Sutcliffe Speakman Plc and Morgan Crucible Plc. He is a graduate in accountancy and law from The University of Wales (UCC).</w:t>
      </w:r>
    </w:p>
    <w:p>
      <w:pPr>
        <w:spacing w:after="0" w:line="67"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i w:val="1"/>
          <w:iCs w:val="1"/>
          <w:color w:val="auto"/>
        </w:rPr>
        <w:t xml:space="preserve">Matthew O. Williamson </w:t>
      </w:r>
      <w:r>
        <w:rPr>
          <w:rFonts w:ascii="Arial" w:cs="Arial" w:eastAsia="Arial" w:hAnsi="Arial"/>
          <w:sz w:val="13"/>
          <w:szCs w:val="13"/>
          <w:color w:val="auto"/>
        </w:rPr>
        <w:t>— Mr. Williamson joined the Company in 1979. From 1979 to 1994, he served in a variety of sales and marketing leadership roles. In 1995, Mr. Williamson</w:t>
      </w:r>
      <w:r>
        <w:rPr>
          <w:rFonts w:ascii="Arial" w:cs="Arial" w:eastAsia="Arial" w:hAnsi="Arial"/>
          <w:sz w:val="13"/>
          <w:szCs w:val="13"/>
          <w:i w:val="1"/>
          <w:iCs w:val="1"/>
          <w:color w:val="auto"/>
        </w:rPr>
        <w:t xml:space="preserve"> </w:t>
      </w:r>
      <w:r>
        <w:rPr>
          <w:rFonts w:ascii="Arial" w:cs="Arial" w:eastAsia="Arial" w:hAnsi="Arial"/>
          <w:sz w:val="13"/>
          <w:szCs w:val="13"/>
          <w:color w:val="auto"/>
        </w:rPr>
        <w:t>served as the V.P. and General Manager of the Specialty Tape business. From 1996 to 1998, Mr. Williamson served as the V.P. and General Manager of the Identification Solutions and Specialty Tapes Division. From 1998 to 2001, he served as V.P. and General Manager of the Identification Solutions Division. From 2001 to 2003, he served as V.P. and General Manager of the Global High Performance Identification Business. In April 2003, he was appointed to his current position.</w:t>
      </w:r>
    </w:p>
    <w:p>
      <w:pPr>
        <w:spacing w:after="0" w:line="70" w:lineRule="exact"/>
        <w:rPr>
          <w:sz w:val="20"/>
          <w:szCs w:val="20"/>
          <w:color w:val="auto"/>
        </w:rPr>
      </w:pPr>
    </w:p>
    <w:p>
      <w:pPr>
        <w:ind w:left="680" w:right="120" w:firstLine="399"/>
        <w:spacing w:after="0" w:line="289" w:lineRule="auto"/>
        <w:rPr>
          <w:sz w:val="20"/>
          <w:szCs w:val="20"/>
          <w:color w:val="auto"/>
        </w:rPr>
      </w:pPr>
      <w:r>
        <w:rPr>
          <w:rFonts w:ascii="Arial" w:cs="Arial" w:eastAsia="Arial" w:hAnsi="Arial"/>
          <w:sz w:val="12"/>
          <w:szCs w:val="12"/>
          <w:i w:val="1"/>
          <w:iCs w:val="1"/>
          <w:color w:val="auto"/>
        </w:rPr>
        <w:t xml:space="preserve">Thomas J. Felmer </w:t>
      </w:r>
      <w:r>
        <w:rPr>
          <w:rFonts w:ascii="Arial" w:cs="Arial" w:eastAsia="Arial" w:hAnsi="Arial"/>
          <w:sz w:val="12"/>
          <w:szCs w:val="12"/>
          <w:color w:val="auto"/>
        </w:rPr>
        <w:t>— Mr. Felmer joined the Company in 1989 and has held several sales and marketing positions until being named Vice President and General Manager of Brady’s</w:t>
      </w:r>
      <w:r>
        <w:rPr>
          <w:rFonts w:ascii="Arial" w:cs="Arial" w:eastAsia="Arial" w:hAnsi="Arial"/>
          <w:sz w:val="12"/>
          <w:szCs w:val="12"/>
          <w:i w:val="1"/>
          <w:iCs w:val="1"/>
          <w:color w:val="auto"/>
        </w:rPr>
        <w:t xml:space="preserve"> </w:t>
      </w:r>
      <w:r>
        <w:rPr>
          <w:rFonts w:ascii="Arial" w:cs="Arial" w:eastAsia="Arial" w:hAnsi="Arial"/>
          <w:sz w:val="12"/>
          <w:szCs w:val="12"/>
          <w:color w:val="auto"/>
        </w:rPr>
        <w:t>U.S. Signmark Division in 1994. In 1999, Mr. Felmer moved to Europe where he led the European Signmark business for two years, then gained additional responsibility for the combined European Seton and Signmark businesses, which he also led for two years. In 2003, Mr. Felmer returned to Milwaukee where he was responsible for Brady’s global sales and marketing processes, Brady Software businesses, and due diligence/integration of the EMED acquisition. In June 2004, he was appointed to his current position.</w:t>
      </w:r>
    </w:p>
    <w:p>
      <w:pPr>
        <w:spacing w:after="0" w:line="53"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i w:val="1"/>
          <w:iCs w:val="1"/>
          <w:color w:val="auto"/>
        </w:rPr>
        <w:t xml:space="preserve">Robert L. Tatterson </w:t>
      </w:r>
      <w:r>
        <w:rPr>
          <w:rFonts w:ascii="Arial" w:cs="Arial" w:eastAsia="Arial" w:hAnsi="Arial"/>
          <w:sz w:val="13"/>
          <w:szCs w:val="13"/>
          <w:color w:val="auto"/>
        </w:rPr>
        <w:t>— Mr. Tatterson joined the Company in 2006 as Vice President and Chief Technology Officer. Before joining Brady, he held a variety of positions with increasing</w:t>
      </w:r>
      <w:r>
        <w:rPr>
          <w:rFonts w:ascii="Arial" w:cs="Arial" w:eastAsia="Arial" w:hAnsi="Arial"/>
          <w:sz w:val="13"/>
          <w:szCs w:val="13"/>
          <w:i w:val="1"/>
          <w:iCs w:val="1"/>
          <w:color w:val="auto"/>
        </w:rPr>
        <w:t xml:space="preserve"> </w:t>
      </w:r>
      <w:r>
        <w:rPr>
          <w:rFonts w:ascii="Arial" w:cs="Arial" w:eastAsia="Arial" w:hAnsi="Arial"/>
          <w:sz w:val="13"/>
          <w:szCs w:val="13"/>
          <w:color w:val="auto"/>
        </w:rPr>
        <w:t>responsibility at GE since 1992. Most recently, Mr. Tatterson served as Technology General Manager for GE Plastics’ Display and Optical Film business in Mt. Vernon, Indiana. He is a 6 Sigma Master Blackbelt and holds a Ph.D. in chemical engineering from the University of Michigan in Ann Arbor.</w:t>
      </w:r>
    </w:p>
    <w:p>
      <w:pPr>
        <w:spacing w:after="0" w:line="67"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i w:val="1"/>
          <w:iCs w:val="1"/>
          <w:color w:val="auto"/>
        </w:rPr>
        <w:t xml:space="preserve">Conrad G. Goodkind </w:t>
      </w:r>
      <w:r>
        <w:rPr>
          <w:rFonts w:ascii="Arial" w:cs="Arial" w:eastAsia="Arial" w:hAnsi="Arial"/>
          <w:sz w:val="13"/>
          <w:szCs w:val="13"/>
          <w:color w:val="auto"/>
        </w:rPr>
        <w:t>— Mr. Goodkind has served as Secretary of the Company since November 1999. He is a partner of Quarles &amp; Brady LLP, general counsel to the Company. He</w:t>
      </w:r>
      <w:r>
        <w:rPr>
          <w:rFonts w:ascii="Arial" w:cs="Arial" w:eastAsia="Arial" w:hAnsi="Arial"/>
          <w:sz w:val="13"/>
          <w:szCs w:val="13"/>
          <w:i w:val="1"/>
          <w:iCs w:val="1"/>
          <w:color w:val="auto"/>
        </w:rPr>
        <w:t xml:space="preserve"> </w:t>
      </w:r>
      <w:r>
        <w:rPr>
          <w:rFonts w:ascii="Arial" w:cs="Arial" w:eastAsia="Arial" w:hAnsi="Arial"/>
          <w:sz w:val="13"/>
          <w:szCs w:val="13"/>
          <w:color w:val="auto"/>
        </w:rPr>
        <w:t>joined Quarles &amp; Brady in 1979 and was a member of its Executive Committee from 1983 to 2005.</w:t>
      </w:r>
    </w:p>
    <w:p>
      <w:pPr>
        <w:spacing w:after="0" w:line="59" w:lineRule="exact"/>
        <w:rPr>
          <w:sz w:val="20"/>
          <w:szCs w:val="20"/>
          <w:color w:val="auto"/>
        </w:rPr>
      </w:pPr>
    </w:p>
    <w:p>
      <w:pPr>
        <w:ind w:left="680" w:right="260" w:firstLine="399"/>
        <w:spacing w:after="0" w:line="296" w:lineRule="auto"/>
        <w:rPr>
          <w:sz w:val="20"/>
          <w:szCs w:val="20"/>
          <w:color w:val="auto"/>
        </w:rPr>
      </w:pPr>
      <w:r>
        <w:rPr>
          <w:rFonts w:ascii="Arial" w:cs="Arial" w:eastAsia="Arial" w:hAnsi="Arial"/>
          <w:sz w:val="12"/>
          <w:szCs w:val="12"/>
          <w:i w:val="1"/>
          <w:iCs w:val="1"/>
          <w:color w:val="auto"/>
        </w:rPr>
        <w:t xml:space="preserve">Elizabeth Pungello </w:t>
      </w:r>
      <w:r>
        <w:rPr>
          <w:rFonts w:ascii="Arial" w:cs="Arial" w:eastAsia="Arial" w:hAnsi="Arial"/>
          <w:sz w:val="12"/>
          <w:szCs w:val="12"/>
          <w:color w:val="auto"/>
        </w:rPr>
        <w:t>— Dr. Pungello has served as a Director of the Company since November 2003. She is the great-granddaughter of Brady founder William H. Brady, Sr., and a</w:t>
      </w:r>
      <w:r>
        <w:rPr>
          <w:rFonts w:ascii="Arial" w:cs="Arial" w:eastAsia="Arial" w:hAnsi="Arial"/>
          <w:sz w:val="12"/>
          <w:szCs w:val="12"/>
          <w:i w:val="1"/>
          <w:iCs w:val="1"/>
          <w:color w:val="auto"/>
        </w:rPr>
        <w:t xml:space="preserve"> </w:t>
      </w:r>
      <w:r>
        <w:rPr>
          <w:rFonts w:ascii="Arial" w:cs="Arial" w:eastAsia="Arial" w:hAnsi="Arial"/>
          <w:sz w:val="12"/>
          <w:szCs w:val="12"/>
          <w:color w:val="auto"/>
        </w:rPr>
        <w:t>developmental psychologist at the Frank Porter Graham Child Development Institute at the University of North Carolina at Chapel Hill. She is a member of the Company’s Finance, Corporate Governance and Technology Committees. She has served as president of the Brady Education Foundation (formerly the W.H. Brady Foundation) since January 2001.</w:t>
      </w:r>
    </w:p>
    <w:p>
      <w:pPr>
        <w:spacing w:after="0" w:line="50" w:lineRule="exact"/>
        <w:rPr>
          <w:sz w:val="20"/>
          <w:szCs w:val="20"/>
          <w:color w:val="auto"/>
        </w:rPr>
      </w:pPr>
    </w:p>
    <w:p>
      <w:pPr>
        <w:ind w:left="680" w:right="40" w:firstLine="399"/>
        <w:spacing w:after="0" w:line="320" w:lineRule="auto"/>
        <w:rPr>
          <w:sz w:val="20"/>
          <w:szCs w:val="20"/>
          <w:color w:val="auto"/>
        </w:rPr>
      </w:pPr>
      <w:r>
        <w:rPr>
          <w:rFonts w:ascii="Arial" w:cs="Arial" w:eastAsia="Arial" w:hAnsi="Arial"/>
          <w:sz w:val="12"/>
          <w:szCs w:val="12"/>
          <w:i w:val="1"/>
          <w:iCs w:val="1"/>
          <w:color w:val="auto"/>
        </w:rPr>
        <w:t xml:space="preserve">Peter J. Lettenberger </w:t>
      </w:r>
      <w:r>
        <w:rPr>
          <w:rFonts w:ascii="Arial" w:cs="Arial" w:eastAsia="Arial" w:hAnsi="Arial"/>
          <w:sz w:val="12"/>
          <w:szCs w:val="12"/>
          <w:color w:val="auto"/>
        </w:rPr>
        <w:t>— Mr. Lettenberger has served as a Director of the Company since January 1977. Mr. Lettenberger is chair of the Company’s Finance Committee, and serves as</w:t>
      </w:r>
      <w:r>
        <w:rPr>
          <w:rFonts w:ascii="Arial" w:cs="Arial" w:eastAsia="Arial" w:hAnsi="Arial"/>
          <w:sz w:val="12"/>
          <w:szCs w:val="12"/>
          <w:i w:val="1"/>
          <w:iCs w:val="1"/>
          <w:color w:val="auto"/>
        </w:rPr>
        <w:t xml:space="preserve"> </w:t>
      </w:r>
      <w:r>
        <w:rPr>
          <w:rFonts w:ascii="Arial" w:cs="Arial" w:eastAsia="Arial" w:hAnsi="Arial"/>
          <w:sz w:val="12"/>
          <w:szCs w:val="12"/>
          <w:color w:val="auto"/>
        </w:rPr>
        <w:t>a member of the Audit and Corporate Governance Committees. He retired as a partner of Quarles &amp; Brady LLP, general counsel to the Company, which he joined in 1964.</w:t>
      </w:r>
    </w:p>
    <w:p>
      <w:pPr>
        <w:spacing w:after="0" w:line="35"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i w:val="1"/>
          <w:iCs w:val="1"/>
          <w:color w:val="auto"/>
        </w:rPr>
        <w:t xml:space="preserve">Robert C. Buchanan </w:t>
      </w:r>
      <w:r>
        <w:rPr>
          <w:rFonts w:ascii="Arial" w:cs="Arial" w:eastAsia="Arial" w:hAnsi="Arial"/>
          <w:sz w:val="13"/>
          <w:szCs w:val="13"/>
          <w:color w:val="auto"/>
        </w:rPr>
        <w:t>— Mr. Buchanan has been a Director of the Company since November 1987. Mr. Buchanan is a member of the Company’s Compensation Committee and chairs</w:t>
      </w:r>
      <w:r>
        <w:rPr>
          <w:rFonts w:ascii="Arial" w:cs="Arial" w:eastAsia="Arial" w:hAnsi="Arial"/>
          <w:sz w:val="13"/>
          <w:szCs w:val="13"/>
          <w:i w:val="1"/>
          <w:iCs w:val="1"/>
          <w:color w:val="auto"/>
        </w:rPr>
        <w:t xml:space="preserve"> </w:t>
      </w:r>
      <w:r>
        <w:rPr>
          <w:rFonts w:ascii="Arial" w:cs="Arial" w:eastAsia="Arial" w:hAnsi="Arial"/>
          <w:sz w:val="13"/>
          <w:szCs w:val="13"/>
          <w:color w:val="auto"/>
        </w:rPr>
        <w:t>its Corporate Governance Committee. Mr. Buchanan is the non-executive Chairman of the Board and CEO of Fox Valley Corporation in Appleton, Wisconsin. He is also a trustee of The Northwestern Mutual Life Insurance Company, Milwaukee, Wisconsin.</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III-2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Roger D. Peirce </w:t>
      </w:r>
      <w:r>
        <w:rPr>
          <w:rFonts w:ascii="Arial" w:cs="Arial" w:eastAsia="Arial" w:hAnsi="Arial"/>
          <w:sz w:val="13"/>
          <w:szCs w:val="13"/>
          <w:color w:val="auto"/>
        </w:rPr>
        <w:t>— Mr. Peirce has served as a Director of the Company since September 1988. Mr. Peirce is a member of the Compensation, Corporate Governance and Audit</w:t>
      </w:r>
      <w:r>
        <w:rPr>
          <w:rFonts w:ascii="Arial" w:cs="Arial" w:eastAsia="Arial" w:hAnsi="Arial"/>
          <w:sz w:val="13"/>
          <w:szCs w:val="13"/>
          <w:i w:val="1"/>
          <w:iCs w:val="1"/>
          <w:color w:val="auto"/>
        </w:rPr>
        <w:t xml:space="preserve"> </w:t>
      </w:r>
      <w:r>
        <w:rPr>
          <w:rFonts w:ascii="Arial" w:cs="Arial" w:eastAsia="Arial" w:hAnsi="Arial"/>
          <w:sz w:val="13"/>
          <w:szCs w:val="13"/>
          <w:color w:val="auto"/>
        </w:rPr>
        <w:t>Committees of the Company, and chair of the Retirement Committee. Mr. Peirce is a private investor and consultant and is a director of Journal Communications, Inc. and Allete, Inc. He was the secretary/treasurer of The Jor-Mac Company, Inc., a metal fabricator in Grafton, Wisconsin, from 1997 through 2002. He was President and CEO of Valuation Research Corporation from April 1995 to May 1996. From September 1988 to December 1993, he was President of Super Steel Products Corp. in Milwaukee, Wisconsin. Prior to that he was a managing partner for Arthur Andersen LLP, independent certified public accountants.</w:t>
      </w:r>
    </w:p>
    <w:p>
      <w:pPr>
        <w:spacing w:after="0" w:line="71" w:lineRule="exact"/>
        <w:rPr>
          <w:sz w:val="20"/>
          <w:szCs w:val="20"/>
          <w:color w:val="auto"/>
        </w:rPr>
      </w:pPr>
    </w:p>
    <w:p>
      <w:pPr>
        <w:ind w:left="680" w:right="320" w:firstLine="399"/>
        <w:spacing w:after="0" w:line="264" w:lineRule="auto"/>
        <w:rPr>
          <w:sz w:val="20"/>
          <w:szCs w:val="20"/>
          <w:color w:val="auto"/>
        </w:rPr>
      </w:pPr>
      <w:r>
        <w:rPr>
          <w:rFonts w:ascii="Arial" w:cs="Arial" w:eastAsia="Arial" w:hAnsi="Arial"/>
          <w:sz w:val="13"/>
          <w:szCs w:val="13"/>
          <w:i w:val="1"/>
          <w:iCs w:val="1"/>
          <w:color w:val="auto"/>
        </w:rPr>
        <w:t xml:space="preserve">Richard A. Bemis </w:t>
      </w:r>
      <w:r>
        <w:rPr>
          <w:rFonts w:ascii="Arial" w:cs="Arial" w:eastAsia="Arial" w:hAnsi="Arial"/>
          <w:sz w:val="13"/>
          <w:szCs w:val="13"/>
          <w:color w:val="auto"/>
        </w:rPr>
        <w:t>— Mr. Bemis has been a Director of the Company since January 1990 and is a member of its Compensation and Governance Committees. Mr. Bemis is Co-chairman of the Board of Directors of Bemis Manufacturing Company, a manufacturer of molded plastic products in Sheboygan Falls, Wisconsin. He is also a director of the Wisconsin Public Service Corporation, Green Bay, Wisconsin.</w:t>
      </w:r>
    </w:p>
    <w:p>
      <w:pPr>
        <w:spacing w:after="0" w:line="67"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i w:val="1"/>
          <w:iCs w:val="1"/>
          <w:color w:val="auto"/>
        </w:rPr>
        <w:t xml:space="preserve">Frank W. Harris </w:t>
      </w:r>
      <w:r>
        <w:rPr>
          <w:rFonts w:ascii="Arial" w:cs="Arial" w:eastAsia="Arial" w:hAnsi="Arial"/>
          <w:sz w:val="13"/>
          <w:szCs w:val="13"/>
          <w:color w:val="auto"/>
        </w:rPr>
        <w:t>— Dr. Harris has been a Director of the Company since November 1991. Dr. Harris is a member of its Finance Committee, and chair of the Technology Committee.</w:t>
      </w:r>
      <w:r>
        <w:rPr>
          <w:rFonts w:ascii="Arial" w:cs="Arial" w:eastAsia="Arial" w:hAnsi="Arial"/>
          <w:sz w:val="13"/>
          <w:szCs w:val="13"/>
          <w:i w:val="1"/>
          <w:iCs w:val="1"/>
          <w:color w:val="auto"/>
        </w:rPr>
        <w:t xml:space="preserve"> </w:t>
      </w:r>
      <w:r>
        <w:rPr>
          <w:rFonts w:ascii="Arial" w:cs="Arial" w:eastAsia="Arial" w:hAnsi="Arial"/>
          <w:sz w:val="13"/>
          <w:szCs w:val="13"/>
          <w:color w:val="auto"/>
        </w:rPr>
        <w:t>He is a Distinguished Professor and Director of the Maurice Morton Institute of Polymer Science and Biomedical Engineering at the University of Akron, and has been on its faculty since 1983. He is also President and CEO of Akron Polymer Systems.</w:t>
      </w:r>
    </w:p>
    <w:p>
      <w:pPr>
        <w:spacing w:after="0" w:line="67"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i w:val="1"/>
          <w:iCs w:val="1"/>
          <w:color w:val="auto"/>
        </w:rPr>
        <w:t xml:space="preserve">Gary E. Nei </w:t>
      </w:r>
      <w:r>
        <w:rPr>
          <w:rFonts w:ascii="Arial" w:cs="Arial" w:eastAsia="Arial" w:hAnsi="Arial"/>
          <w:sz w:val="13"/>
          <w:szCs w:val="13"/>
          <w:color w:val="auto"/>
        </w:rPr>
        <w:t>— Mr. Nei has been a Director of the Company since November 1992. Mr. Nei is a member of the Company’s Finance Committee and Chair of its Compensation</w:t>
      </w:r>
      <w:r>
        <w:rPr>
          <w:rFonts w:ascii="Arial" w:cs="Arial" w:eastAsia="Arial" w:hAnsi="Arial"/>
          <w:sz w:val="13"/>
          <w:szCs w:val="13"/>
          <w:i w:val="1"/>
          <w:iCs w:val="1"/>
          <w:color w:val="auto"/>
        </w:rPr>
        <w:t xml:space="preserve"> </w:t>
      </w:r>
      <w:r>
        <w:rPr>
          <w:rFonts w:ascii="Arial" w:cs="Arial" w:eastAsia="Arial" w:hAnsi="Arial"/>
          <w:sz w:val="13"/>
          <w:szCs w:val="13"/>
          <w:color w:val="auto"/>
        </w:rPr>
        <w:t>Committee. Mr. Nei is Chairman of Nei-Turner Media, a publishing company in Walworth, Wisconsin. He also serves as Chairman of the Beverage Testing Institute, a publishing company in Chicago, Illinois and Chairman of Tastings Imports, an importer of fine wines headquartered in Chicago, Illinois.</w:t>
      </w:r>
    </w:p>
    <w:p>
      <w:pPr>
        <w:spacing w:after="0" w:line="67" w:lineRule="exact"/>
        <w:rPr>
          <w:sz w:val="20"/>
          <w:szCs w:val="20"/>
          <w:color w:val="auto"/>
        </w:rPr>
      </w:pPr>
    </w:p>
    <w:p>
      <w:pPr>
        <w:ind w:left="680" w:right="240" w:firstLine="399"/>
        <w:spacing w:after="0" w:line="257" w:lineRule="auto"/>
        <w:rPr>
          <w:sz w:val="20"/>
          <w:szCs w:val="20"/>
          <w:color w:val="auto"/>
        </w:rPr>
      </w:pPr>
      <w:r>
        <w:rPr>
          <w:rFonts w:ascii="Arial" w:cs="Arial" w:eastAsia="Arial" w:hAnsi="Arial"/>
          <w:sz w:val="13"/>
          <w:szCs w:val="13"/>
          <w:i w:val="1"/>
          <w:iCs w:val="1"/>
          <w:color w:val="auto"/>
        </w:rPr>
        <w:t xml:space="preserve">Mary K. Bush </w:t>
      </w:r>
      <w:r>
        <w:rPr>
          <w:rFonts w:ascii="Arial" w:cs="Arial" w:eastAsia="Arial" w:hAnsi="Arial"/>
          <w:sz w:val="13"/>
          <w:szCs w:val="13"/>
          <w:color w:val="auto"/>
        </w:rPr>
        <w:t>— Ms. Bush has been a Director of the Company since May 2000. Ms. Bush is a member of the Company’s Finance and Compensation Committees. Ms. Bush has</w:t>
      </w:r>
      <w:r>
        <w:rPr>
          <w:rFonts w:ascii="Arial" w:cs="Arial" w:eastAsia="Arial" w:hAnsi="Arial"/>
          <w:sz w:val="13"/>
          <w:szCs w:val="13"/>
          <w:i w:val="1"/>
          <w:iCs w:val="1"/>
          <w:color w:val="auto"/>
        </w:rPr>
        <w:t xml:space="preserve"> </w:t>
      </w:r>
      <w:r>
        <w:rPr>
          <w:rFonts w:ascii="Arial" w:cs="Arial" w:eastAsia="Arial" w:hAnsi="Arial"/>
          <w:sz w:val="13"/>
          <w:szCs w:val="13"/>
          <w:color w:val="auto"/>
        </w:rPr>
        <w:t>been President of Bush International, LLC, a Washington D.C. firm that advises foreign governments and U.S. companies on international financial markets. Prior to establishing Bush International, Ms. Bush held several positions in financial institutions and has served three Presidents of the United States as Alternate Director of the International Monetary Fund, Managing Director of the Federal Housing Finance Board, a member of the Board of Sallie Mae, and chairman of the HELP Commission. Ms. Bush also is a member of the boards of directors of Mortgage Guaranty Insurance Corporation, Briggs &amp; Stratton Corporation, and United Airlines Corporation. She is also a trustee of the Pioneer Funds and a member of the Advisory Boards of Washington Mutual Investors Fund and Stern Stewart.</w:t>
      </w:r>
    </w:p>
    <w:p>
      <w:pPr>
        <w:spacing w:after="0" w:line="72"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i w:val="1"/>
          <w:iCs w:val="1"/>
          <w:color w:val="auto"/>
        </w:rPr>
        <w:t xml:space="preserve">Frank R. Jarc </w:t>
      </w:r>
      <w:r>
        <w:rPr>
          <w:rFonts w:ascii="Arial" w:cs="Arial" w:eastAsia="Arial" w:hAnsi="Arial"/>
          <w:sz w:val="12"/>
          <w:szCs w:val="12"/>
          <w:color w:val="auto"/>
        </w:rPr>
        <w:t>— Mr. Jarc was elected to the Board of Directors in May 2000. Mr. Jarc is a consultant specializing in corporate development and international acquisitions. From April</w:t>
      </w:r>
      <w:r>
        <w:rPr>
          <w:rFonts w:ascii="Arial" w:cs="Arial" w:eastAsia="Arial" w:hAnsi="Arial"/>
          <w:sz w:val="12"/>
          <w:szCs w:val="12"/>
          <w:i w:val="1"/>
          <w:iCs w:val="1"/>
          <w:color w:val="auto"/>
        </w:rPr>
        <w:t xml:space="preserve"> </w:t>
      </w:r>
      <w:r>
        <w:rPr>
          <w:rFonts w:ascii="Arial" w:cs="Arial" w:eastAsia="Arial" w:hAnsi="Arial"/>
          <w:sz w:val="12"/>
          <w:szCs w:val="12"/>
          <w:color w:val="auto"/>
        </w:rPr>
        <w:t>1999 to March 2000 he was Senior Vice President of Corporate Development at Office Depot, an operator of office supply superstores. Between June 1996 and March 1999, he was Executive Vice President and Chief Financial Officer of Viking Office Products, a direct mail marketer of office products. Prior to that, he was Executive Vice President and Chief Financial Officer of R.R. Donnelley and Sons, a global printing company. He is chair of Brady’s Audit Committee and serves on the Technology Committee.</w:t>
      </w:r>
    </w:p>
    <w:p>
      <w:pPr>
        <w:spacing w:after="0" w:line="53"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All directors serve until their respective successors are elected at the next annual meeting of shareholders. Officers serve at the discretion of the Board of Directors. None of the Company’s directors or executive officers has any family relationship with any other director or executive officer.</w:t>
      </w:r>
    </w:p>
    <w:p>
      <w:pPr>
        <w:spacing w:after="0" w:line="59"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i w:val="1"/>
          <w:iCs w:val="1"/>
          <w:color w:val="auto"/>
        </w:rPr>
        <w:t xml:space="preserve">Audit Committee Financial Expert </w:t>
      </w:r>
      <w:r>
        <w:rPr>
          <w:rFonts w:ascii="Arial" w:cs="Arial" w:eastAsia="Arial" w:hAnsi="Arial"/>
          <w:sz w:val="13"/>
          <w:szCs w:val="13"/>
          <w:color w:val="auto"/>
        </w:rPr>
        <w:t>— The Company’s board of directors has determined that at least one audit committee financial expert is serving on its audit committee. Mr. Jarc,</w:t>
      </w:r>
      <w:r>
        <w:rPr>
          <w:rFonts w:ascii="Arial" w:cs="Arial" w:eastAsia="Arial" w:hAnsi="Arial"/>
          <w:sz w:val="13"/>
          <w:szCs w:val="13"/>
          <w:i w:val="1"/>
          <w:iCs w:val="1"/>
          <w:color w:val="auto"/>
        </w:rPr>
        <w:t xml:space="preserve"> </w:t>
      </w:r>
      <w:r>
        <w:rPr>
          <w:rFonts w:ascii="Arial" w:cs="Arial" w:eastAsia="Arial" w:hAnsi="Arial"/>
          <w:sz w:val="13"/>
          <w:szCs w:val="13"/>
          <w:color w:val="auto"/>
        </w:rPr>
        <w:t>chair of the audit committee is a financial expert and is independent as that term is used in Item 7(d)(3)(iv) of Schedule 14A under the Exchange Act.</w:t>
      </w:r>
    </w:p>
    <w:p>
      <w:pPr>
        <w:spacing w:after="0" w:line="59"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Director Independence </w:t>
      </w:r>
      <w:r>
        <w:rPr>
          <w:rFonts w:ascii="Arial" w:cs="Arial" w:eastAsia="Arial" w:hAnsi="Arial"/>
          <w:sz w:val="13"/>
          <w:szCs w:val="13"/>
          <w:color w:val="auto"/>
        </w:rPr>
        <w:t>— A majority of the directors must meet the criteria for independence established by the Board in accordance with the rules of the New York Stock Exchange.</w:t>
      </w:r>
      <w:r>
        <w:rPr>
          <w:rFonts w:ascii="Arial" w:cs="Arial" w:eastAsia="Arial" w:hAnsi="Arial"/>
          <w:sz w:val="13"/>
          <w:szCs w:val="13"/>
          <w:i w:val="1"/>
          <w:iCs w:val="1"/>
          <w:color w:val="auto"/>
        </w:rPr>
        <w:t xml:space="preserve"> </w:t>
      </w:r>
      <w:r>
        <w:rPr>
          <w:rFonts w:ascii="Arial" w:cs="Arial" w:eastAsia="Arial" w:hAnsi="Arial"/>
          <w:sz w:val="13"/>
          <w:szCs w:val="13"/>
          <w:color w:val="auto"/>
        </w:rPr>
        <w:t>In determining the independence of a director, the Board must find that a director has no relationship that may interfere with the exercise of his or her independence from management and the Company. Based on these guidelines all directors, with the exception of Frank Jaehnert, President and CEO, and Elizabeth Pungello, 50% beneficial owner of the Class B Voting Common Stock, are deemed independent.</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III-3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i w:val="1"/>
          <w:iCs w:val="1"/>
          <w:color w:val="auto"/>
        </w:rPr>
        <w:t xml:space="preserve">Meetings of Non-management Directors </w:t>
      </w:r>
      <w:r>
        <w:rPr>
          <w:rFonts w:ascii="Arial" w:cs="Arial" w:eastAsia="Arial" w:hAnsi="Arial"/>
          <w:sz w:val="13"/>
          <w:szCs w:val="13"/>
          <w:color w:val="auto"/>
        </w:rPr>
        <w:t>— The non-management directors of the Board regularly meet alone without any members of management present. Mr. Buchanan, Chairman</w:t>
      </w:r>
      <w:r>
        <w:rPr>
          <w:rFonts w:ascii="Arial" w:cs="Arial" w:eastAsia="Arial" w:hAnsi="Arial"/>
          <w:sz w:val="13"/>
          <w:szCs w:val="13"/>
          <w:i w:val="1"/>
          <w:iCs w:val="1"/>
          <w:color w:val="auto"/>
        </w:rPr>
        <w:t xml:space="preserve"> </w:t>
      </w:r>
      <w:r>
        <w:rPr>
          <w:rFonts w:ascii="Arial" w:cs="Arial" w:eastAsia="Arial" w:hAnsi="Arial"/>
          <w:sz w:val="13"/>
          <w:szCs w:val="13"/>
          <w:color w:val="auto"/>
        </w:rPr>
        <w:t>of the Corporate Governance Committee, is the presiding director at these sessions. In fiscal 2006 there were five executive sessions. Interested parties can raise concerns to be addressed at these meetings by calling the confidential Brady hotline at 1-800-368-3613.</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Audit Committee Members </w:t>
      </w:r>
      <w:r>
        <w:rPr>
          <w:rFonts w:ascii="Arial" w:cs="Arial" w:eastAsia="Arial" w:hAnsi="Arial"/>
          <w:sz w:val="12"/>
          <w:szCs w:val="12"/>
          <w:color w:val="auto"/>
        </w:rPr>
        <w:t>— The Audit Committee, which is a separately-designated standing committee of the Board of Directors, is composed of Mr. Jarc (Chairman),</w:t>
      </w:r>
    </w:p>
    <w:p>
      <w:pPr>
        <w:spacing w:after="0" w:line="27" w:lineRule="exact"/>
        <w:rPr>
          <w:sz w:val="20"/>
          <w:szCs w:val="20"/>
          <w:color w:val="auto"/>
        </w:rPr>
      </w:pPr>
    </w:p>
    <w:p>
      <w:pPr>
        <w:ind w:left="680" w:right="20"/>
        <w:spacing w:after="0" w:line="264" w:lineRule="auto"/>
        <w:rPr>
          <w:sz w:val="20"/>
          <w:szCs w:val="20"/>
          <w:color w:val="auto"/>
        </w:rPr>
      </w:pPr>
      <w:r>
        <w:rPr>
          <w:rFonts w:ascii="Arial" w:cs="Arial" w:eastAsia="Arial" w:hAnsi="Arial"/>
          <w:sz w:val="13"/>
          <w:szCs w:val="13"/>
          <w:color w:val="auto"/>
        </w:rPr>
        <w:t>Mr. Lettenberger and Mr. Peirce. Each member of the Audit Committee has been determined by the Board to be independent under the rules of the SEC and NYSE. The charter for the Audit Committee is available on the Company’s corporate website at www.bradycorp.com.</w:t>
      </w:r>
    </w:p>
    <w:p>
      <w:pPr>
        <w:spacing w:after="0" w:line="67"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i w:val="1"/>
          <w:iCs w:val="1"/>
          <w:color w:val="auto"/>
        </w:rPr>
        <w:t xml:space="preserve">Code of Ethics </w:t>
      </w:r>
      <w:r>
        <w:rPr>
          <w:rFonts w:ascii="Arial" w:cs="Arial" w:eastAsia="Arial" w:hAnsi="Arial"/>
          <w:sz w:val="13"/>
          <w:szCs w:val="13"/>
          <w:color w:val="auto"/>
        </w:rPr>
        <w:t>— For a number of years, the Company has had a code of ethics for its employees. This code of ethics applies to all of the Company’s employees, officers and</w:t>
      </w:r>
      <w:r>
        <w:rPr>
          <w:rFonts w:ascii="Arial" w:cs="Arial" w:eastAsia="Arial" w:hAnsi="Arial"/>
          <w:sz w:val="13"/>
          <w:szCs w:val="13"/>
          <w:i w:val="1"/>
          <w:iCs w:val="1"/>
          <w:color w:val="auto"/>
        </w:rPr>
        <w:t xml:space="preserve"> </w:t>
      </w:r>
      <w:r>
        <w:rPr>
          <w:rFonts w:ascii="Arial" w:cs="Arial" w:eastAsia="Arial" w:hAnsi="Arial"/>
          <w:sz w:val="13"/>
          <w:szCs w:val="13"/>
          <w:color w:val="auto"/>
        </w:rPr>
        <w:t>Directors. The code of ethics can be viewed at the Company’s corporate website, www.bradycorp.com, or may be obtained in print by any shareholder by contacting Brady Corporation, Investor Relations, P.O. Box 571, Milwaukee, WI 53201. The Company intends to satisfy the disclosure requirements under Item 5.05 of Form 8-K regarding an amendment to, or a waiver from, a provision of its code of ethics by placing such information on its Internet website.</w:t>
      </w:r>
    </w:p>
    <w:p>
      <w:pPr>
        <w:spacing w:after="0" w:line="70"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i w:val="1"/>
          <w:iCs w:val="1"/>
          <w:color w:val="auto"/>
        </w:rPr>
        <w:t xml:space="preserve">Corporate Governance Guidelines </w:t>
      </w:r>
      <w:r>
        <w:rPr>
          <w:rFonts w:ascii="Arial" w:cs="Arial" w:eastAsia="Arial" w:hAnsi="Arial"/>
          <w:sz w:val="13"/>
          <w:szCs w:val="13"/>
          <w:color w:val="auto"/>
        </w:rPr>
        <w:t>— Brady’s Corporate Governance Principles as well as the charters for the Audit Committee, Corporate Governance Committee, and</w:t>
      </w:r>
      <w:r>
        <w:rPr>
          <w:rFonts w:ascii="Arial" w:cs="Arial" w:eastAsia="Arial" w:hAnsi="Arial"/>
          <w:sz w:val="13"/>
          <w:szCs w:val="13"/>
          <w:i w:val="1"/>
          <w:iCs w:val="1"/>
          <w:color w:val="auto"/>
        </w:rPr>
        <w:t xml:space="preserve"> </w:t>
      </w:r>
      <w:r>
        <w:rPr>
          <w:rFonts w:ascii="Arial" w:cs="Arial" w:eastAsia="Arial" w:hAnsi="Arial"/>
          <w:sz w:val="13"/>
          <w:szCs w:val="13"/>
          <w:color w:val="auto"/>
        </w:rPr>
        <w:t>Compensation Committee, are available on the Company’s Corporate website, www.bradycorp.com. Shareholders may request printed copies of these documents from Brady Corporation, Investor Relations, P.O. Box 571, Milwaukee, WI 53201.</w:t>
      </w:r>
    </w:p>
    <w:p>
      <w:pPr>
        <w:spacing w:after="0" w:line="67"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i w:val="1"/>
          <w:iCs w:val="1"/>
          <w:color w:val="auto"/>
        </w:rPr>
        <w:t xml:space="preserve">Certifications </w:t>
      </w:r>
      <w:r>
        <w:rPr>
          <w:rFonts w:ascii="Arial" w:cs="Arial" w:eastAsia="Arial" w:hAnsi="Arial"/>
          <w:sz w:val="13"/>
          <w:szCs w:val="13"/>
          <w:color w:val="auto"/>
        </w:rPr>
        <w:t>— We have attached the required certifications under Section 302 of the Sarbanes-Oxley Act of 2002 regarding the quality of our public disclosures as Exhibits 31.1</w:t>
      </w:r>
      <w:r>
        <w:rPr>
          <w:rFonts w:ascii="Arial" w:cs="Arial" w:eastAsia="Arial" w:hAnsi="Arial"/>
          <w:sz w:val="13"/>
          <w:szCs w:val="13"/>
          <w:i w:val="1"/>
          <w:iCs w:val="1"/>
          <w:color w:val="auto"/>
        </w:rPr>
        <w:t xml:space="preserve"> </w:t>
      </w:r>
      <w:r>
        <w:rPr>
          <w:rFonts w:ascii="Arial" w:cs="Arial" w:eastAsia="Arial" w:hAnsi="Arial"/>
          <w:sz w:val="13"/>
          <w:szCs w:val="13"/>
          <w:color w:val="auto"/>
        </w:rPr>
        <w:t>and 31.2 to this report. Additionally, on December 1, 2005, the Company filed with the New York Stock Exchange (“NYSE”) an annual certification regarding our compliance with the NYSE’s corporate governance listing standards as required by NYSE Rule 303A.12(a).</w:t>
      </w:r>
    </w:p>
    <w:p>
      <w:pPr>
        <w:spacing w:after="0" w:line="220" w:lineRule="exact"/>
        <w:rPr>
          <w:sz w:val="20"/>
          <w:szCs w:val="20"/>
          <w:color w:val="auto"/>
        </w:rPr>
      </w:pPr>
    </w:p>
    <w:p>
      <w:pPr>
        <w:ind w:left="3500"/>
        <w:spacing w:after="0"/>
        <w:rPr>
          <w:sz w:val="20"/>
          <w:szCs w:val="20"/>
          <w:color w:val="auto"/>
        </w:rPr>
      </w:pPr>
      <w:r>
        <w:rPr>
          <w:rFonts w:ascii="Arial" w:cs="Arial" w:eastAsia="Arial" w:hAnsi="Arial"/>
          <w:sz w:val="13"/>
          <w:szCs w:val="13"/>
          <w:b w:val="1"/>
          <w:bCs w:val="1"/>
          <w:color w:val="auto"/>
        </w:rPr>
        <w:t>SECTION 16(a) BENEFICIAL OWNERSHIP REPORTING COMPLIANCE</w:t>
      </w:r>
    </w:p>
    <w:p>
      <w:pPr>
        <w:spacing w:after="0" w:line="100"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Section 16(a) of the Exchange Act requires the Company’s directors and executive officers, and persons who own more than ten percent of a registered class of the Company’s equity securities, to file with the SEC initial reports of ownership and reports of changes in ownership of Common Stock and other equity securities of the Company. Executive officers, directors and greater than ten percent stockholders are required by SEC regulation to furnish the Company with copies of all Section 16(a) forms they file.</w:t>
      </w:r>
    </w:p>
    <w:p>
      <w:pPr>
        <w:spacing w:after="0" w:line="50" w:lineRule="exact"/>
        <w:rPr>
          <w:sz w:val="20"/>
          <w:szCs w:val="20"/>
          <w:color w:val="auto"/>
        </w:rPr>
      </w:pPr>
    </w:p>
    <w:p>
      <w:pPr>
        <w:ind w:left="680" w:right="20" w:firstLine="399"/>
        <w:spacing w:after="0" w:line="320" w:lineRule="auto"/>
        <w:rPr>
          <w:sz w:val="20"/>
          <w:szCs w:val="20"/>
          <w:color w:val="auto"/>
        </w:rPr>
      </w:pPr>
      <w:r>
        <w:rPr>
          <w:rFonts w:ascii="Arial" w:cs="Arial" w:eastAsia="Arial" w:hAnsi="Arial"/>
          <w:sz w:val="12"/>
          <w:szCs w:val="12"/>
          <w:color w:val="auto"/>
        </w:rPr>
        <w:t>To the Company’s knowledge, based solely on a review of the copies of such reports furnished to the Company and written representations that no other reports were required, during the fiscal year ended July 31, 2006, all Section 16(a) filing requirements applicable to its officers, directors and greater than 10 percent beneficial owners were complied with.</w:t>
      </w:r>
    </w:p>
    <w:p>
      <w:pPr>
        <w:spacing w:after="0" w:line="24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III-4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1"/>
          <w:szCs w:val="11"/>
          <w:b w:val="1"/>
          <w:bCs w:val="1"/>
          <w:i w:val="1"/>
          <w:iCs w:val="1"/>
          <w:color w:val="auto"/>
        </w:rPr>
        <w:t>Executive Compensation</w:t>
      </w:r>
    </w:p>
    <w:p>
      <w:pPr>
        <w:spacing w:after="0" w:line="100"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The following table summarizes the compensation paid or accrued by the Company during the three years ended July 31, 2006, to those persons who, as of the end of fiscal 2006, were the Named Executive Officers.</w:t>
      </w:r>
    </w:p>
    <w:p>
      <w:pPr>
        <w:spacing w:after="0" w:line="134" w:lineRule="exact"/>
        <w:rPr>
          <w:sz w:val="20"/>
          <w:szCs w:val="20"/>
          <w:color w:val="auto"/>
        </w:rPr>
      </w:pPr>
    </w:p>
    <w:p>
      <w:pPr>
        <w:ind w:left="4540"/>
        <w:spacing w:after="0"/>
        <w:rPr>
          <w:sz w:val="20"/>
          <w:szCs w:val="20"/>
          <w:color w:val="auto"/>
        </w:rPr>
      </w:pPr>
      <w:r>
        <w:rPr>
          <w:rFonts w:ascii="Arial" w:cs="Arial" w:eastAsia="Arial" w:hAnsi="Arial"/>
          <w:sz w:val="13"/>
          <w:szCs w:val="13"/>
          <w:b w:val="1"/>
          <w:bCs w:val="1"/>
          <w:color w:val="auto"/>
        </w:rPr>
        <w:t>SUMMARY COMPENSATION TABLE</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980" w:type="dxa"/>
            <w:vAlign w:val="bottom"/>
            <w:gridSpan w:val="4"/>
            <w:vMerge w:val="restart"/>
          </w:tcPr>
          <w:p>
            <w:pPr>
              <w:ind w:left="300"/>
              <w:spacing w:after="0"/>
              <w:rPr>
                <w:sz w:val="20"/>
                <w:szCs w:val="20"/>
                <w:color w:val="auto"/>
              </w:rPr>
            </w:pPr>
            <w:r>
              <w:rPr>
                <w:rFonts w:ascii="Arial" w:cs="Arial" w:eastAsia="Arial" w:hAnsi="Arial"/>
                <w:sz w:val="10"/>
                <w:szCs w:val="10"/>
                <w:b w:val="1"/>
                <w:bCs w:val="1"/>
                <w:color w:val="auto"/>
              </w:rPr>
              <w:t>Annual Compensation</w:t>
            </w:r>
          </w:p>
        </w:tc>
        <w:tc>
          <w:tcPr>
            <w:tcW w:w="21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4"/>
              </w:rPr>
              <w:t>Long-Term Compensation</w:t>
            </w:r>
          </w:p>
        </w:tc>
        <w:tc>
          <w:tcPr>
            <w:tcW w:w="68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99"/>
              </w:rPr>
              <w:t>All Other</w:t>
            </w: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2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980" w:type="dxa"/>
            <w:vAlign w:val="bottom"/>
            <w:gridSpan w:val="4"/>
            <w:vMerge w:val="continue"/>
          </w:tcPr>
          <w:p>
            <w:pPr>
              <w:spacing w:after="0"/>
              <w:rPr>
                <w:sz w:val="8"/>
                <w:szCs w:val="8"/>
                <w:color w:val="auto"/>
              </w:rPr>
            </w:pPr>
          </w:p>
        </w:tc>
        <w:tc>
          <w:tcPr>
            <w:tcW w:w="1780" w:type="dxa"/>
            <w:vAlign w:val="bottom"/>
            <w:tcBorders>
              <w:top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3"/>
              </w:rPr>
              <w:t>Awards</w:t>
            </w:r>
          </w:p>
        </w:tc>
        <w:tc>
          <w:tcPr>
            <w:tcW w:w="40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42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Name And Principal Position</w:t>
            </w:r>
          </w:p>
        </w:tc>
        <w:tc>
          <w:tcPr>
            <w:tcW w:w="200" w:type="dxa"/>
            <w:vAlign w:val="bottom"/>
          </w:tcPr>
          <w:p>
            <w:pPr>
              <w:spacing w:after="0"/>
              <w:rPr>
                <w:sz w:val="7"/>
                <w:szCs w:val="7"/>
                <w:color w:val="auto"/>
              </w:rPr>
            </w:pPr>
          </w:p>
        </w:tc>
        <w:tc>
          <w:tcPr>
            <w:tcW w:w="740" w:type="dxa"/>
            <w:vAlign w:val="bottom"/>
            <w:gridSpan w:val="2"/>
          </w:tcPr>
          <w:p>
            <w:pPr>
              <w:jc w:val="center"/>
              <w:ind w:right="400"/>
              <w:spacing w:after="0" w:line="91" w:lineRule="exact"/>
              <w:rPr>
                <w:sz w:val="20"/>
                <w:szCs w:val="20"/>
                <w:color w:val="auto"/>
              </w:rPr>
            </w:pPr>
            <w:r>
              <w:rPr>
                <w:rFonts w:ascii="Arial" w:cs="Arial" w:eastAsia="Arial" w:hAnsi="Arial"/>
                <w:sz w:val="10"/>
                <w:szCs w:val="10"/>
                <w:b w:val="1"/>
                <w:bCs w:val="1"/>
                <w:color w:val="auto"/>
                <w:w w:val="91"/>
              </w:rPr>
              <w:t>Fiscal</w:t>
            </w:r>
          </w:p>
        </w:tc>
        <w:tc>
          <w:tcPr>
            <w:tcW w:w="1000" w:type="dxa"/>
            <w:vAlign w:val="bottom"/>
            <w:tcBorders>
              <w:top w:val="single" w:sz="8" w:color="auto"/>
            </w:tcBorders>
            <w:gridSpan w:val="2"/>
          </w:tcPr>
          <w:p>
            <w:pPr>
              <w:ind w:left="160"/>
              <w:spacing w:after="0" w:line="91" w:lineRule="exact"/>
              <w:rPr>
                <w:sz w:val="20"/>
                <w:szCs w:val="20"/>
                <w:color w:val="auto"/>
              </w:rPr>
            </w:pPr>
            <w:r>
              <w:rPr>
                <w:rFonts w:ascii="Arial" w:cs="Arial" w:eastAsia="Arial" w:hAnsi="Arial"/>
                <w:sz w:val="10"/>
                <w:szCs w:val="10"/>
                <w:b w:val="1"/>
                <w:bCs w:val="1"/>
                <w:color w:val="auto"/>
              </w:rPr>
              <w:t>Salary</w:t>
            </w:r>
          </w:p>
        </w:tc>
        <w:tc>
          <w:tcPr>
            <w:tcW w:w="580" w:type="dxa"/>
            <w:vAlign w:val="bottom"/>
            <w:tcBorders>
              <w:top w:val="single" w:sz="8" w:color="auto"/>
            </w:tcBorders>
          </w:tcPr>
          <w:p>
            <w:pPr>
              <w:ind w:left="140"/>
              <w:spacing w:after="0" w:line="91" w:lineRule="exact"/>
              <w:rPr>
                <w:sz w:val="20"/>
                <w:szCs w:val="20"/>
                <w:color w:val="auto"/>
              </w:rPr>
            </w:pPr>
            <w:r>
              <w:rPr>
                <w:rFonts w:ascii="Arial" w:cs="Arial" w:eastAsia="Arial" w:hAnsi="Arial"/>
                <w:sz w:val="10"/>
                <w:szCs w:val="10"/>
                <w:b w:val="1"/>
                <w:bCs w:val="1"/>
                <w:color w:val="auto"/>
              </w:rPr>
              <w:t>Bonus</w:t>
            </w:r>
          </w:p>
        </w:tc>
        <w:tc>
          <w:tcPr>
            <w:tcW w:w="400" w:type="dxa"/>
            <w:vAlign w:val="bottom"/>
          </w:tcPr>
          <w:p>
            <w:pPr>
              <w:spacing w:after="0"/>
              <w:rPr>
                <w:sz w:val="7"/>
                <w:szCs w:val="7"/>
                <w:color w:val="auto"/>
              </w:rPr>
            </w:pPr>
          </w:p>
        </w:tc>
        <w:tc>
          <w:tcPr>
            <w:tcW w:w="1780" w:type="dxa"/>
            <w:vAlign w:val="bottom"/>
            <w:tcBorders>
              <w:top w:val="single" w:sz="8" w:color="auto"/>
            </w:tcBorders>
          </w:tcPr>
          <w:p>
            <w:pPr>
              <w:jc w:val="center"/>
              <w:spacing w:after="0" w:line="91" w:lineRule="exact"/>
              <w:rPr>
                <w:sz w:val="20"/>
                <w:szCs w:val="20"/>
                <w:color w:val="auto"/>
              </w:rPr>
            </w:pPr>
            <w:r>
              <w:rPr>
                <w:rFonts w:ascii="Arial" w:cs="Arial" w:eastAsia="Arial" w:hAnsi="Arial"/>
                <w:sz w:val="10"/>
                <w:szCs w:val="10"/>
                <w:b w:val="1"/>
                <w:bCs w:val="1"/>
                <w:color w:val="auto"/>
                <w:w w:val="93"/>
              </w:rPr>
              <w:t>Options/SAR</w:t>
            </w:r>
          </w:p>
        </w:tc>
        <w:tc>
          <w:tcPr>
            <w:tcW w:w="400" w:type="dxa"/>
            <w:vAlign w:val="bottom"/>
          </w:tcPr>
          <w:p>
            <w:pPr>
              <w:spacing w:after="0"/>
              <w:rPr>
                <w:sz w:val="7"/>
                <w:szCs w:val="7"/>
                <w:color w:val="auto"/>
              </w:rPr>
            </w:pPr>
          </w:p>
        </w:tc>
        <w:tc>
          <w:tcPr>
            <w:tcW w:w="680" w:type="dxa"/>
            <w:vAlign w:val="bottom"/>
            <w:gridSpan w:val="2"/>
          </w:tcPr>
          <w:p>
            <w:pPr>
              <w:jc w:val="center"/>
              <w:ind w:right="100"/>
              <w:spacing w:after="0" w:line="91" w:lineRule="exact"/>
              <w:rPr>
                <w:sz w:val="20"/>
                <w:szCs w:val="20"/>
                <w:color w:val="auto"/>
              </w:rPr>
            </w:pPr>
            <w:r>
              <w:rPr>
                <w:rFonts w:ascii="Arial" w:cs="Arial" w:eastAsia="Arial" w:hAnsi="Arial"/>
                <w:sz w:val="10"/>
                <w:szCs w:val="10"/>
                <w:b w:val="1"/>
                <w:bCs w:val="1"/>
                <w:color w:val="auto"/>
                <w:w w:val="91"/>
              </w:rPr>
              <w:t>Comp</w:t>
            </w:r>
          </w:p>
        </w:tc>
        <w:tc>
          <w:tcPr>
            <w:tcW w:w="0" w:type="dxa"/>
            <w:vAlign w:val="bottom"/>
          </w:tcPr>
          <w:p>
            <w:pPr>
              <w:spacing w:after="0"/>
              <w:rPr>
                <w:sz w:val="1"/>
                <w:szCs w:val="1"/>
                <w:color w:val="auto"/>
              </w:rPr>
            </w:pPr>
          </w:p>
        </w:tc>
      </w:tr>
      <w:tr>
        <w:trPr>
          <w:trHeight w:val="125"/>
        </w:trPr>
        <w:tc>
          <w:tcPr>
            <w:tcW w:w="42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rPr>
              <w:t>Year</w:t>
            </w:r>
          </w:p>
        </w:tc>
        <w:tc>
          <w:tcPr>
            <w:tcW w:w="600" w:type="dxa"/>
            <w:vAlign w:val="bottom"/>
          </w:tcPr>
          <w:p>
            <w:pPr>
              <w:ind w:left="240"/>
              <w:spacing w:after="0"/>
              <w:rPr>
                <w:sz w:val="20"/>
                <w:szCs w:val="20"/>
                <w:color w:val="auto"/>
              </w:rPr>
            </w:pPr>
            <w:r>
              <w:rPr>
                <w:rFonts w:ascii="Arial" w:cs="Arial" w:eastAsia="Arial" w:hAnsi="Arial"/>
                <w:sz w:val="10"/>
                <w:szCs w:val="10"/>
                <w:b w:val="1"/>
                <w:bCs w:val="1"/>
                <w:color w:val="auto"/>
              </w:rPr>
              <w:t>($)</w:t>
            </w:r>
          </w:p>
        </w:tc>
        <w:tc>
          <w:tcPr>
            <w:tcW w:w="400" w:type="dxa"/>
            <w:vAlign w:val="bottom"/>
          </w:tcPr>
          <w:p>
            <w:pPr>
              <w:spacing w:after="0"/>
              <w:rPr>
                <w:sz w:val="10"/>
                <w:szCs w:val="10"/>
                <w:color w:val="auto"/>
              </w:rPr>
            </w:pPr>
          </w:p>
        </w:tc>
        <w:tc>
          <w:tcPr>
            <w:tcW w:w="580" w:type="dxa"/>
            <w:vAlign w:val="bottom"/>
          </w:tcPr>
          <w:p>
            <w:pPr>
              <w:ind w:left="160"/>
              <w:spacing w:after="0"/>
              <w:rPr>
                <w:sz w:val="20"/>
                <w:szCs w:val="20"/>
                <w:color w:val="auto"/>
              </w:rPr>
            </w:pPr>
            <w:r>
              <w:rPr>
                <w:rFonts w:ascii="Arial" w:cs="Arial" w:eastAsia="Arial" w:hAnsi="Arial"/>
                <w:sz w:val="10"/>
                <w:szCs w:val="10"/>
                <w:b w:val="1"/>
                <w:bCs w:val="1"/>
                <w:color w:val="auto"/>
              </w:rPr>
              <w:t>($)(1)</w:t>
            </w:r>
          </w:p>
        </w:tc>
        <w:tc>
          <w:tcPr>
            <w:tcW w:w="400" w:type="dxa"/>
            <w:vAlign w:val="bottom"/>
          </w:tcPr>
          <w:p>
            <w:pPr>
              <w:spacing w:after="0"/>
              <w:rPr>
                <w:sz w:val="10"/>
                <w:szCs w:val="10"/>
                <w:color w:val="auto"/>
              </w:rPr>
            </w:pPr>
          </w:p>
        </w:tc>
        <w:tc>
          <w:tcPr>
            <w:tcW w:w="21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3"/>
              </w:rPr>
              <w:t>(# Of Shares)(3)</w:t>
            </w:r>
          </w:p>
        </w:tc>
        <w:tc>
          <w:tcPr>
            <w:tcW w:w="580" w:type="dxa"/>
            <w:vAlign w:val="bottom"/>
          </w:tcPr>
          <w:p>
            <w:pPr>
              <w:jc w:val="center"/>
              <w:spacing w:after="0"/>
              <w:rPr>
                <w:sz w:val="20"/>
                <w:szCs w:val="20"/>
                <w:color w:val="auto"/>
              </w:rPr>
            </w:pPr>
            <w:r>
              <w:rPr>
                <w:rFonts w:ascii="Arial" w:cs="Arial" w:eastAsia="Arial" w:hAnsi="Arial"/>
                <w:sz w:val="10"/>
                <w:szCs w:val="10"/>
                <w:b w:val="1"/>
                <w:bCs w:val="1"/>
                <w:color w:val="auto"/>
              </w:rPr>
              <w:t>($)(2)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7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F.M. Jaehnert</w:t>
            </w: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2006</w:t>
            </w:r>
          </w:p>
        </w:tc>
        <w:tc>
          <w:tcPr>
            <w:tcW w:w="10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573,077</w:t>
            </w:r>
          </w:p>
        </w:tc>
        <w:tc>
          <w:tcPr>
            <w:tcW w:w="9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862,308</w:t>
            </w:r>
          </w:p>
        </w:tc>
        <w:tc>
          <w:tcPr>
            <w:tcW w:w="2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110,000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104,035</w:t>
            </w:r>
          </w:p>
        </w:tc>
        <w:tc>
          <w:tcPr>
            <w:tcW w:w="0" w:type="dxa"/>
            <w:vAlign w:val="bottom"/>
          </w:tcPr>
          <w:p>
            <w:pPr>
              <w:spacing w:after="0"/>
              <w:rPr>
                <w:sz w:val="1"/>
                <w:szCs w:val="1"/>
                <w:color w:val="auto"/>
              </w:rPr>
            </w:pPr>
          </w:p>
        </w:tc>
      </w:tr>
      <w:tr>
        <w:trPr>
          <w:trHeight w:val="157"/>
        </w:trPr>
        <w:tc>
          <w:tcPr>
            <w:tcW w:w="4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President &amp;</w:t>
            </w:r>
          </w:p>
        </w:tc>
        <w:tc>
          <w:tcPr>
            <w:tcW w:w="2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2005</w:t>
            </w:r>
          </w:p>
        </w:tc>
        <w:tc>
          <w:tcPr>
            <w:tcW w:w="10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493,269</w:t>
            </w:r>
          </w:p>
        </w:tc>
        <w:tc>
          <w:tcPr>
            <w:tcW w:w="9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734,902</w:t>
            </w:r>
          </w:p>
        </w:tc>
        <w:tc>
          <w:tcPr>
            <w:tcW w:w="2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120,000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107,632</w:t>
            </w:r>
          </w:p>
        </w:tc>
        <w:tc>
          <w:tcPr>
            <w:tcW w:w="0" w:type="dxa"/>
            <w:vAlign w:val="bottom"/>
          </w:tcPr>
          <w:p>
            <w:pPr>
              <w:spacing w:after="0"/>
              <w:rPr>
                <w:sz w:val="1"/>
                <w:szCs w:val="1"/>
                <w:color w:val="auto"/>
              </w:rPr>
            </w:pPr>
          </w:p>
        </w:tc>
      </w:tr>
      <w:tr>
        <w:trPr>
          <w:trHeight w:val="157"/>
        </w:trPr>
        <w:tc>
          <w:tcPr>
            <w:tcW w:w="4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Chief Executive Officer</w:t>
            </w:r>
          </w:p>
        </w:tc>
        <w:tc>
          <w:tcPr>
            <w:tcW w:w="2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2004</w:t>
            </w:r>
          </w:p>
        </w:tc>
        <w:tc>
          <w:tcPr>
            <w:tcW w:w="10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468,270</w:t>
            </w:r>
          </w:p>
        </w:tc>
        <w:tc>
          <w:tcPr>
            <w:tcW w:w="9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796,800</w:t>
            </w:r>
          </w:p>
        </w:tc>
        <w:tc>
          <w:tcPr>
            <w:tcW w:w="2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72,000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37,529</w:t>
            </w:r>
          </w:p>
        </w:tc>
        <w:tc>
          <w:tcPr>
            <w:tcW w:w="0" w:type="dxa"/>
            <w:vAlign w:val="bottom"/>
          </w:tcPr>
          <w:p>
            <w:pPr>
              <w:spacing w:after="0"/>
              <w:rPr>
                <w:sz w:val="1"/>
                <w:szCs w:val="1"/>
                <w:color w:val="auto"/>
              </w:rPr>
            </w:pPr>
          </w:p>
        </w:tc>
      </w:tr>
      <w:tr>
        <w:trPr>
          <w:trHeight w:val="148"/>
        </w:trPr>
        <w:tc>
          <w:tcPr>
            <w:tcW w:w="4200" w:type="dxa"/>
            <w:vAlign w:val="bottom"/>
            <w:gridSpan w:val="2"/>
          </w:tcPr>
          <w:p>
            <w:pPr>
              <w:spacing w:after="0" w:line="149" w:lineRule="exact"/>
              <w:rPr>
                <w:sz w:val="20"/>
                <w:szCs w:val="20"/>
                <w:color w:val="auto"/>
              </w:rPr>
            </w:pPr>
            <w:r>
              <w:rPr>
                <w:rFonts w:ascii="Arial" w:cs="Arial" w:eastAsia="Arial" w:hAnsi="Arial"/>
                <w:sz w:val="13"/>
                <w:szCs w:val="13"/>
                <w:color w:val="auto"/>
              </w:rPr>
              <w:t>D.R. Hawke</w:t>
            </w:r>
          </w:p>
        </w:tc>
        <w:tc>
          <w:tcPr>
            <w:tcW w:w="200" w:type="dxa"/>
            <w:vAlign w:val="bottom"/>
          </w:tcPr>
          <w:p>
            <w:pPr>
              <w:spacing w:after="0"/>
              <w:rPr>
                <w:sz w:val="12"/>
                <w:szCs w:val="12"/>
                <w:color w:val="auto"/>
              </w:rPr>
            </w:pPr>
          </w:p>
        </w:tc>
        <w:tc>
          <w:tcPr>
            <w:tcW w:w="740" w:type="dxa"/>
            <w:vAlign w:val="bottom"/>
            <w:gridSpan w:val="2"/>
          </w:tcPr>
          <w:p>
            <w:pPr>
              <w:jc w:val="right"/>
              <w:ind w:right="380"/>
              <w:spacing w:after="0" w:line="149" w:lineRule="exact"/>
              <w:rPr>
                <w:sz w:val="20"/>
                <w:szCs w:val="20"/>
                <w:color w:val="auto"/>
              </w:rPr>
            </w:pPr>
            <w:r>
              <w:rPr>
                <w:rFonts w:ascii="Arial" w:cs="Arial" w:eastAsia="Arial" w:hAnsi="Arial"/>
                <w:sz w:val="13"/>
                <w:szCs w:val="13"/>
                <w:color w:val="auto"/>
              </w:rPr>
              <w:t>2006</w:t>
            </w:r>
          </w:p>
        </w:tc>
        <w:tc>
          <w:tcPr>
            <w:tcW w:w="1000" w:type="dxa"/>
            <w:vAlign w:val="bottom"/>
            <w:gridSpan w:val="2"/>
          </w:tcPr>
          <w:p>
            <w:pPr>
              <w:ind w:left="180"/>
              <w:spacing w:after="0" w:line="149" w:lineRule="exact"/>
              <w:rPr>
                <w:sz w:val="20"/>
                <w:szCs w:val="20"/>
                <w:color w:val="auto"/>
              </w:rPr>
            </w:pPr>
            <w:r>
              <w:rPr>
                <w:rFonts w:ascii="Arial" w:cs="Arial" w:eastAsia="Arial" w:hAnsi="Arial"/>
                <w:sz w:val="13"/>
                <w:szCs w:val="13"/>
                <w:color w:val="auto"/>
              </w:rPr>
              <w:t>379,616</w:t>
            </w:r>
          </w:p>
        </w:tc>
        <w:tc>
          <w:tcPr>
            <w:tcW w:w="980" w:type="dxa"/>
            <w:vAlign w:val="bottom"/>
            <w:gridSpan w:val="2"/>
          </w:tcPr>
          <w:p>
            <w:pPr>
              <w:ind w:left="160"/>
              <w:spacing w:after="0" w:line="149" w:lineRule="exact"/>
              <w:rPr>
                <w:sz w:val="20"/>
                <w:szCs w:val="20"/>
                <w:color w:val="auto"/>
              </w:rPr>
            </w:pPr>
            <w:r>
              <w:rPr>
                <w:rFonts w:ascii="Arial" w:cs="Arial" w:eastAsia="Arial" w:hAnsi="Arial"/>
                <w:sz w:val="13"/>
                <w:szCs w:val="13"/>
                <w:color w:val="auto"/>
              </w:rPr>
              <w:t>418,596</w:t>
            </w:r>
          </w:p>
        </w:tc>
        <w:tc>
          <w:tcPr>
            <w:tcW w:w="2180" w:type="dxa"/>
            <w:vAlign w:val="bottom"/>
            <w:gridSpan w:val="2"/>
          </w:tcPr>
          <w:p>
            <w:pPr>
              <w:jc w:val="right"/>
              <w:ind w:right="400"/>
              <w:spacing w:after="0" w:line="149" w:lineRule="exact"/>
              <w:rPr>
                <w:sz w:val="20"/>
                <w:szCs w:val="20"/>
                <w:color w:val="auto"/>
              </w:rPr>
            </w:pPr>
            <w:r>
              <w:rPr>
                <w:rFonts w:ascii="Arial" w:cs="Arial" w:eastAsia="Arial" w:hAnsi="Arial"/>
                <w:sz w:val="13"/>
                <w:szCs w:val="13"/>
                <w:color w:val="auto"/>
              </w:rPr>
              <w:t>55,000</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63,072</w:t>
            </w:r>
          </w:p>
        </w:tc>
        <w:tc>
          <w:tcPr>
            <w:tcW w:w="0" w:type="dxa"/>
            <w:vAlign w:val="bottom"/>
          </w:tcPr>
          <w:p>
            <w:pPr>
              <w:spacing w:after="0"/>
              <w:rPr>
                <w:sz w:val="1"/>
                <w:szCs w:val="1"/>
                <w:color w:val="auto"/>
              </w:rPr>
            </w:pPr>
          </w:p>
        </w:tc>
      </w:tr>
      <w:tr>
        <w:trPr>
          <w:trHeight w:val="157"/>
        </w:trPr>
        <w:tc>
          <w:tcPr>
            <w:tcW w:w="4200" w:type="dxa"/>
            <w:vAlign w:val="bottom"/>
            <w:gridSpan w:val="2"/>
          </w:tcPr>
          <w:p>
            <w:pPr>
              <w:spacing w:after="0"/>
              <w:rPr>
                <w:sz w:val="20"/>
                <w:szCs w:val="20"/>
                <w:color w:val="auto"/>
              </w:rPr>
            </w:pPr>
            <w:r>
              <w:rPr>
                <w:rFonts w:ascii="Arial" w:cs="Arial" w:eastAsia="Arial" w:hAnsi="Arial"/>
                <w:sz w:val="13"/>
                <w:szCs w:val="13"/>
                <w:color w:val="auto"/>
              </w:rPr>
              <w:t>Executive Vice President</w:t>
            </w:r>
          </w:p>
        </w:tc>
        <w:tc>
          <w:tcPr>
            <w:tcW w:w="940" w:type="dxa"/>
            <w:vAlign w:val="bottom"/>
            <w:gridSpan w:val="3"/>
          </w:tcPr>
          <w:p>
            <w:pPr>
              <w:jc w:val="right"/>
              <w:ind w:right="380"/>
              <w:spacing w:after="0"/>
              <w:rPr>
                <w:sz w:val="20"/>
                <w:szCs w:val="20"/>
                <w:color w:val="auto"/>
              </w:rPr>
            </w:pPr>
            <w:r>
              <w:rPr>
                <w:rFonts w:ascii="Arial" w:cs="Arial" w:eastAsia="Arial" w:hAnsi="Arial"/>
                <w:sz w:val="13"/>
                <w:szCs w:val="13"/>
                <w:color w:val="auto"/>
              </w:rPr>
              <w:t>2005</w:t>
            </w:r>
          </w:p>
        </w:tc>
        <w:tc>
          <w:tcPr>
            <w:tcW w:w="1000" w:type="dxa"/>
            <w:vAlign w:val="bottom"/>
            <w:gridSpan w:val="2"/>
          </w:tcPr>
          <w:p>
            <w:pPr>
              <w:ind w:left="180"/>
              <w:spacing w:after="0"/>
              <w:rPr>
                <w:sz w:val="20"/>
                <w:szCs w:val="20"/>
                <w:color w:val="auto"/>
              </w:rPr>
            </w:pPr>
            <w:r>
              <w:rPr>
                <w:rFonts w:ascii="Arial" w:cs="Arial" w:eastAsia="Arial" w:hAnsi="Arial"/>
                <w:sz w:val="13"/>
                <w:szCs w:val="13"/>
                <w:color w:val="auto"/>
              </w:rPr>
              <w:t>362,304</w:t>
            </w:r>
          </w:p>
        </w:tc>
        <w:tc>
          <w:tcPr>
            <w:tcW w:w="980" w:type="dxa"/>
            <w:vAlign w:val="bottom"/>
            <w:gridSpan w:val="2"/>
          </w:tcPr>
          <w:p>
            <w:pPr>
              <w:ind w:left="160"/>
              <w:spacing w:after="0"/>
              <w:rPr>
                <w:sz w:val="20"/>
                <w:szCs w:val="20"/>
                <w:color w:val="auto"/>
              </w:rPr>
            </w:pPr>
            <w:r>
              <w:rPr>
                <w:rFonts w:ascii="Arial" w:cs="Arial" w:eastAsia="Arial" w:hAnsi="Arial"/>
                <w:sz w:val="13"/>
                <w:szCs w:val="13"/>
                <w:color w:val="auto"/>
              </w:rPr>
              <w:t>363,714</w:t>
            </w:r>
          </w:p>
        </w:tc>
        <w:tc>
          <w:tcPr>
            <w:tcW w:w="2180" w:type="dxa"/>
            <w:vAlign w:val="bottom"/>
            <w:gridSpan w:val="2"/>
          </w:tcPr>
          <w:p>
            <w:pPr>
              <w:jc w:val="right"/>
              <w:ind w:right="400"/>
              <w:spacing w:after="0"/>
              <w:rPr>
                <w:sz w:val="20"/>
                <w:szCs w:val="20"/>
                <w:color w:val="auto"/>
              </w:rPr>
            </w:pPr>
            <w:r>
              <w:rPr>
                <w:rFonts w:ascii="Arial" w:cs="Arial" w:eastAsia="Arial" w:hAnsi="Arial"/>
                <w:sz w:val="13"/>
                <w:szCs w:val="13"/>
                <w:color w:val="auto"/>
              </w:rPr>
              <w:t>30,000</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65,080</w:t>
            </w:r>
          </w:p>
        </w:tc>
        <w:tc>
          <w:tcPr>
            <w:tcW w:w="0" w:type="dxa"/>
            <w:vAlign w:val="bottom"/>
          </w:tcPr>
          <w:p>
            <w:pPr>
              <w:spacing w:after="0"/>
              <w:rPr>
                <w:sz w:val="1"/>
                <w:szCs w:val="1"/>
                <w:color w:val="auto"/>
              </w:rPr>
            </w:pPr>
          </w:p>
        </w:tc>
      </w:tr>
      <w:tr>
        <w:trPr>
          <w:trHeight w:val="165"/>
        </w:trPr>
        <w:tc>
          <w:tcPr>
            <w:tcW w:w="13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940" w:type="dxa"/>
            <w:vAlign w:val="bottom"/>
            <w:gridSpan w:val="3"/>
          </w:tcPr>
          <w:p>
            <w:pPr>
              <w:jc w:val="right"/>
              <w:ind w:right="380"/>
              <w:spacing w:after="0"/>
              <w:rPr>
                <w:sz w:val="20"/>
                <w:szCs w:val="20"/>
                <w:color w:val="auto"/>
              </w:rPr>
            </w:pPr>
            <w:r>
              <w:rPr>
                <w:rFonts w:ascii="Arial" w:cs="Arial" w:eastAsia="Arial" w:hAnsi="Arial"/>
                <w:sz w:val="13"/>
                <w:szCs w:val="13"/>
                <w:color w:val="auto"/>
              </w:rPr>
              <w:t>2004</w:t>
            </w:r>
          </w:p>
        </w:tc>
        <w:tc>
          <w:tcPr>
            <w:tcW w:w="1000" w:type="dxa"/>
            <w:vAlign w:val="bottom"/>
            <w:gridSpan w:val="2"/>
          </w:tcPr>
          <w:p>
            <w:pPr>
              <w:ind w:left="180"/>
              <w:spacing w:after="0"/>
              <w:rPr>
                <w:sz w:val="20"/>
                <w:szCs w:val="20"/>
                <w:color w:val="auto"/>
              </w:rPr>
            </w:pPr>
            <w:r>
              <w:rPr>
                <w:rFonts w:ascii="Arial" w:cs="Arial" w:eastAsia="Arial" w:hAnsi="Arial"/>
                <w:sz w:val="13"/>
                <w:szCs w:val="13"/>
                <w:color w:val="auto"/>
              </w:rPr>
              <w:t>350,000</w:t>
            </w:r>
          </w:p>
        </w:tc>
        <w:tc>
          <w:tcPr>
            <w:tcW w:w="980" w:type="dxa"/>
            <w:vAlign w:val="bottom"/>
            <w:gridSpan w:val="2"/>
          </w:tcPr>
          <w:p>
            <w:pPr>
              <w:ind w:left="160"/>
              <w:spacing w:after="0"/>
              <w:rPr>
                <w:sz w:val="20"/>
                <w:szCs w:val="20"/>
                <w:color w:val="auto"/>
              </w:rPr>
            </w:pPr>
            <w:r>
              <w:rPr>
                <w:rFonts w:ascii="Arial" w:cs="Arial" w:eastAsia="Arial" w:hAnsi="Arial"/>
                <w:sz w:val="13"/>
                <w:szCs w:val="13"/>
                <w:color w:val="auto"/>
              </w:rPr>
              <w:t>317,100</w:t>
            </w:r>
          </w:p>
        </w:tc>
        <w:tc>
          <w:tcPr>
            <w:tcW w:w="2180" w:type="dxa"/>
            <w:vAlign w:val="bottom"/>
            <w:gridSpan w:val="2"/>
          </w:tcPr>
          <w:p>
            <w:pPr>
              <w:jc w:val="right"/>
              <w:ind w:right="400"/>
              <w:spacing w:after="0"/>
              <w:rPr>
                <w:sz w:val="20"/>
                <w:szCs w:val="20"/>
                <w:color w:val="auto"/>
              </w:rPr>
            </w:pPr>
            <w:r>
              <w:rPr>
                <w:rFonts w:ascii="Arial" w:cs="Arial" w:eastAsia="Arial" w:hAnsi="Arial"/>
                <w:sz w:val="13"/>
                <w:szCs w:val="13"/>
                <w:color w:val="auto"/>
              </w:rPr>
              <w:t>130,000</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31,759</w:t>
            </w:r>
          </w:p>
        </w:tc>
        <w:tc>
          <w:tcPr>
            <w:tcW w:w="0" w:type="dxa"/>
            <w:vAlign w:val="bottom"/>
          </w:tcPr>
          <w:p>
            <w:pPr>
              <w:spacing w:after="0"/>
              <w:rPr>
                <w:sz w:val="1"/>
                <w:szCs w:val="1"/>
                <w:color w:val="auto"/>
              </w:rPr>
            </w:pPr>
          </w:p>
        </w:tc>
      </w:tr>
      <w:tr>
        <w:trPr>
          <w:trHeight w:val="158"/>
        </w:trPr>
        <w:tc>
          <w:tcPr>
            <w:tcW w:w="4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P.C. Sephton</w:t>
            </w: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2006</w:t>
            </w:r>
          </w:p>
        </w:tc>
        <w:tc>
          <w:tcPr>
            <w:tcW w:w="10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297,786</w:t>
            </w:r>
          </w:p>
        </w:tc>
        <w:tc>
          <w:tcPr>
            <w:tcW w:w="9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288,247</w:t>
            </w:r>
          </w:p>
        </w:tc>
        <w:tc>
          <w:tcPr>
            <w:tcW w:w="2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55,000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47,827</w:t>
            </w:r>
          </w:p>
        </w:tc>
        <w:tc>
          <w:tcPr>
            <w:tcW w:w="0" w:type="dxa"/>
            <w:vAlign w:val="bottom"/>
          </w:tcPr>
          <w:p>
            <w:pPr>
              <w:spacing w:after="0"/>
              <w:rPr>
                <w:sz w:val="1"/>
                <w:szCs w:val="1"/>
                <w:color w:val="auto"/>
              </w:rPr>
            </w:pPr>
          </w:p>
        </w:tc>
      </w:tr>
      <w:tr>
        <w:trPr>
          <w:trHeight w:val="157"/>
        </w:trPr>
        <w:tc>
          <w:tcPr>
            <w:tcW w:w="4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Vice President — Brady Europe</w:t>
            </w:r>
          </w:p>
        </w:tc>
        <w:tc>
          <w:tcPr>
            <w:tcW w:w="2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2005</w:t>
            </w:r>
          </w:p>
        </w:tc>
        <w:tc>
          <w:tcPr>
            <w:tcW w:w="10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290,714</w:t>
            </w:r>
          </w:p>
        </w:tc>
        <w:tc>
          <w:tcPr>
            <w:tcW w:w="9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281,633</w:t>
            </w:r>
          </w:p>
        </w:tc>
        <w:tc>
          <w:tcPr>
            <w:tcW w:w="2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60,000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49,584</w:t>
            </w:r>
          </w:p>
        </w:tc>
        <w:tc>
          <w:tcPr>
            <w:tcW w:w="0" w:type="dxa"/>
            <w:vAlign w:val="bottom"/>
          </w:tcPr>
          <w:p>
            <w:pPr>
              <w:spacing w:after="0"/>
              <w:rPr>
                <w:sz w:val="1"/>
                <w:szCs w:val="1"/>
                <w:color w:val="auto"/>
              </w:rPr>
            </w:pPr>
          </w:p>
        </w:tc>
      </w:tr>
      <w:tr>
        <w:trPr>
          <w:trHeight w:val="157"/>
        </w:trPr>
        <w:tc>
          <w:tcPr>
            <w:tcW w:w="1300" w:type="dxa"/>
            <w:vAlign w:val="bottom"/>
            <w:shd w:val="clear" w:color="auto" w:fill="CCEEFF"/>
          </w:tcPr>
          <w:p>
            <w:pPr>
              <w:spacing w:after="0"/>
              <w:rPr>
                <w:sz w:val="13"/>
                <w:szCs w:val="13"/>
                <w:color w:val="auto"/>
              </w:rPr>
            </w:pPr>
          </w:p>
        </w:tc>
        <w:tc>
          <w:tcPr>
            <w:tcW w:w="2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2004</w:t>
            </w:r>
          </w:p>
        </w:tc>
        <w:tc>
          <w:tcPr>
            <w:tcW w:w="10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257,279</w:t>
            </w:r>
          </w:p>
        </w:tc>
        <w:tc>
          <w:tcPr>
            <w:tcW w:w="9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240,330</w:t>
            </w:r>
          </w:p>
        </w:tc>
        <w:tc>
          <w:tcPr>
            <w:tcW w:w="2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44,000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41,165</w:t>
            </w:r>
          </w:p>
        </w:tc>
        <w:tc>
          <w:tcPr>
            <w:tcW w:w="0" w:type="dxa"/>
            <w:vAlign w:val="bottom"/>
          </w:tcPr>
          <w:p>
            <w:pPr>
              <w:spacing w:after="0"/>
              <w:rPr>
                <w:sz w:val="1"/>
                <w:szCs w:val="1"/>
                <w:color w:val="auto"/>
              </w:rPr>
            </w:pPr>
          </w:p>
        </w:tc>
      </w:tr>
      <w:tr>
        <w:trPr>
          <w:trHeight w:val="148"/>
        </w:trPr>
        <w:tc>
          <w:tcPr>
            <w:tcW w:w="4200" w:type="dxa"/>
            <w:vAlign w:val="bottom"/>
            <w:gridSpan w:val="2"/>
          </w:tcPr>
          <w:p>
            <w:pPr>
              <w:spacing w:after="0" w:line="149" w:lineRule="exact"/>
              <w:rPr>
                <w:sz w:val="20"/>
                <w:szCs w:val="20"/>
                <w:color w:val="auto"/>
              </w:rPr>
            </w:pPr>
            <w:r>
              <w:rPr>
                <w:rFonts w:ascii="Arial" w:cs="Arial" w:eastAsia="Arial" w:hAnsi="Arial"/>
                <w:sz w:val="13"/>
                <w:szCs w:val="13"/>
                <w:color w:val="auto"/>
              </w:rPr>
              <w:t>D. Mathieson</w:t>
            </w:r>
          </w:p>
        </w:tc>
        <w:tc>
          <w:tcPr>
            <w:tcW w:w="200" w:type="dxa"/>
            <w:vAlign w:val="bottom"/>
          </w:tcPr>
          <w:p>
            <w:pPr>
              <w:spacing w:after="0"/>
              <w:rPr>
                <w:sz w:val="12"/>
                <w:szCs w:val="12"/>
                <w:color w:val="auto"/>
              </w:rPr>
            </w:pPr>
          </w:p>
        </w:tc>
        <w:tc>
          <w:tcPr>
            <w:tcW w:w="740" w:type="dxa"/>
            <w:vAlign w:val="bottom"/>
            <w:gridSpan w:val="2"/>
          </w:tcPr>
          <w:p>
            <w:pPr>
              <w:jc w:val="right"/>
              <w:ind w:right="380"/>
              <w:spacing w:after="0" w:line="149" w:lineRule="exact"/>
              <w:rPr>
                <w:sz w:val="20"/>
                <w:szCs w:val="20"/>
                <w:color w:val="auto"/>
              </w:rPr>
            </w:pPr>
            <w:r>
              <w:rPr>
                <w:rFonts w:ascii="Arial" w:cs="Arial" w:eastAsia="Arial" w:hAnsi="Arial"/>
                <w:sz w:val="13"/>
                <w:szCs w:val="13"/>
                <w:color w:val="auto"/>
              </w:rPr>
              <w:t>2006</w:t>
            </w:r>
          </w:p>
        </w:tc>
        <w:tc>
          <w:tcPr>
            <w:tcW w:w="1000" w:type="dxa"/>
            <w:vAlign w:val="bottom"/>
            <w:gridSpan w:val="2"/>
          </w:tcPr>
          <w:p>
            <w:pPr>
              <w:ind w:left="180"/>
              <w:spacing w:after="0" w:line="149" w:lineRule="exact"/>
              <w:rPr>
                <w:sz w:val="20"/>
                <w:szCs w:val="20"/>
                <w:color w:val="auto"/>
              </w:rPr>
            </w:pPr>
            <w:r>
              <w:rPr>
                <w:rFonts w:ascii="Arial" w:cs="Arial" w:eastAsia="Arial" w:hAnsi="Arial"/>
                <w:sz w:val="13"/>
                <w:szCs w:val="13"/>
                <w:color w:val="auto"/>
              </w:rPr>
              <w:t>264,616</w:t>
            </w:r>
          </w:p>
        </w:tc>
        <w:tc>
          <w:tcPr>
            <w:tcW w:w="980" w:type="dxa"/>
            <w:vAlign w:val="bottom"/>
            <w:gridSpan w:val="2"/>
          </w:tcPr>
          <w:p>
            <w:pPr>
              <w:ind w:left="160"/>
              <w:spacing w:after="0" w:line="149" w:lineRule="exact"/>
              <w:rPr>
                <w:sz w:val="20"/>
                <w:szCs w:val="20"/>
                <w:color w:val="auto"/>
              </w:rPr>
            </w:pPr>
            <w:r>
              <w:rPr>
                <w:rFonts w:ascii="Arial" w:cs="Arial" w:eastAsia="Arial" w:hAnsi="Arial"/>
                <w:sz w:val="13"/>
                <w:szCs w:val="13"/>
                <w:color w:val="auto"/>
              </w:rPr>
              <w:t>279,323</w:t>
            </w:r>
          </w:p>
        </w:tc>
        <w:tc>
          <w:tcPr>
            <w:tcW w:w="2180" w:type="dxa"/>
            <w:vAlign w:val="bottom"/>
            <w:gridSpan w:val="2"/>
          </w:tcPr>
          <w:p>
            <w:pPr>
              <w:jc w:val="right"/>
              <w:ind w:right="400"/>
              <w:spacing w:after="0" w:line="149" w:lineRule="exact"/>
              <w:rPr>
                <w:sz w:val="20"/>
                <w:szCs w:val="20"/>
                <w:color w:val="auto"/>
              </w:rPr>
            </w:pPr>
            <w:r>
              <w:rPr>
                <w:rFonts w:ascii="Arial" w:cs="Arial" w:eastAsia="Arial" w:hAnsi="Arial"/>
                <w:sz w:val="13"/>
                <w:szCs w:val="13"/>
                <w:color w:val="auto"/>
              </w:rPr>
              <w:t>55,000</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41,572</w:t>
            </w:r>
          </w:p>
        </w:tc>
        <w:tc>
          <w:tcPr>
            <w:tcW w:w="0" w:type="dxa"/>
            <w:vAlign w:val="bottom"/>
          </w:tcPr>
          <w:p>
            <w:pPr>
              <w:spacing w:after="0"/>
              <w:rPr>
                <w:sz w:val="1"/>
                <w:szCs w:val="1"/>
                <w:color w:val="auto"/>
              </w:rPr>
            </w:pPr>
          </w:p>
        </w:tc>
      </w:tr>
      <w:tr>
        <w:trPr>
          <w:trHeight w:val="157"/>
        </w:trPr>
        <w:tc>
          <w:tcPr>
            <w:tcW w:w="4200" w:type="dxa"/>
            <w:vAlign w:val="bottom"/>
            <w:gridSpan w:val="2"/>
          </w:tcPr>
          <w:p>
            <w:pPr>
              <w:spacing w:after="0"/>
              <w:rPr>
                <w:sz w:val="20"/>
                <w:szCs w:val="20"/>
                <w:color w:val="auto"/>
              </w:rPr>
            </w:pPr>
            <w:r>
              <w:rPr>
                <w:rFonts w:ascii="Arial" w:cs="Arial" w:eastAsia="Arial" w:hAnsi="Arial"/>
                <w:sz w:val="13"/>
                <w:szCs w:val="13"/>
                <w:color w:val="auto"/>
              </w:rPr>
              <w:t>Vice President &amp; Chief Financial</w:t>
            </w:r>
          </w:p>
        </w:tc>
        <w:tc>
          <w:tcPr>
            <w:tcW w:w="940" w:type="dxa"/>
            <w:vAlign w:val="bottom"/>
            <w:gridSpan w:val="3"/>
          </w:tcPr>
          <w:p>
            <w:pPr>
              <w:jc w:val="right"/>
              <w:ind w:right="380"/>
              <w:spacing w:after="0"/>
              <w:rPr>
                <w:sz w:val="20"/>
                <w:szCs w:val="20"/>
                <w:color w:val="auto"/>
              </w:rPr>
            </w:pPr>
            <w:r>
              <w:rPr>
                <w:rFonts w:ascii="Arial" w:cs="Arial" w:eastAsia="Arial" w:hAnsi="Arial"/>
                <w:sz w:val="13"/>
                <w:szCs w:val="13"/>
                <w:color w:val="auto"/>
              </w:rPr>
              <w:t>2005</w:t>
            </w:r>
          </w:p>
        </w:tc>
        <w:tc>
          <w:tcPr>
            <w:tcW w:w="1000" w:type="dxa"/>
            <w:vAlign w:val="bottom"/>
            <w:gridSpan w:val="2"/>
          </w:tcPr>
          <w:p>
            <w:pPr>
              <w:ind w:left="180"/>
              <w:spacing w:after="0"/>
              <w:rPr>
                <w:sz w:val="20"/>
                <w:szCs w:val="20"/>
                <w:color w:val="auto"/>
              </w:rPr>
            </w:pPr>
            <w:r>
              <w:rPr>
                <w:rFonts w:ascii="Arial" w:cs="Arial" w:eastAsia="Arial" w:hAnsi="Arial"/>
                <w:sz w:val="13"/>
                <w:szCs w:val="13"/>
                <w:color w:val="auto"/>
              </w:rPr>
              <w:t>244,616</w:t>
            </w:r>
          </w:p>
        </w:tc>
        <w:tc>
          <w:tcPr>
            <w:tcW w:w="980" w:type="dxa"/>
            <w:vAlign w:val="bottom"/>
            <w:gridSpan w:val="2"/>
          </w:tcPr>
          <w:p>
            <w:pPr>
              <w:ind w:left="160"/>
              <w:spacing w:after="0"/>
              <w:rPr>
                <w:sz w:val="20"/>
                <w:szCs w:val="20"/>
                <w:color w:val="auto"/>
              </w:rPr>
            </w:pPr>
            <w:r>
              <w:rPr>
                <w:rFonts w:ascii="Arial" w:cs="Arial" w:eastAsia="Arial" w:hAnsi="Arial"/>
                <w:sz w:val="13"/>
                <w:szCs w:val="13"/>
                <w:color w:val="auto"/>
              </w:rPr>
              <w:t>248,285</w:t>
            </w:r>
          </w:p>
        </w:tc>
        <w:tc>
          <w:tcPr>
            <w:tcW w:w="2180" w:type="dxa"/>
            <w:vAlign w:val="bottom"/>
            <w:gridSpan w:val="2"/>
          </w:tcPr>
          <w:p>
            <w:pPr>
              <w:jc w:val="right"/>
              <w:ind w:right="400"/>
              <w:spacing w:after="0"/>
              <w:rPr>
                <w:sz w:val="20"/>
                <w:szCs w:val="20"/>
                <w:color w:val="auto"/>
              </w:rPr>
            </w:pPr>
            <w:r>
              <w:rPr>
                <w:rFonts w:ascii="Arial" w:cs="Arial" w:eastAsia="Arial" w:hAnsi="Arial"/>
                <w:sz w:val="13"/>
                <w:szCs w:val="13"/>
                <w:color w:val="auto"/>
              </w:rPr>
              <w:t>60,000</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33,712</w:t>
            </w:r>
          </w:p>
        </w:tc>
        <w:tc>
          <w:tcPr>
            <w:tcW w:w="0" w:type="dxa"/>
            <w:vAlign w:val="bottom"/>
          </w:tcPr>
          <w:p>
            <w:pPr>
              <w:spacing w:after="0"/>
              <w:rPr>
                <w:sz w:val="1"/>
                <w:szCs w:val="1"/>
                <w:color w:val="auto"/>
              </w:rPr>
            </w:pPr>
          </w:p>
        </w:tc>
      </w:tr>
      <w:tr>
        <w:trPr>
          <w:trHeight w:val="165"/>
        </w:trPr>
        <w:tc>
          <w:tcPr>
            <w:tcW w:w="4200" w:type="dxa"/>
            <w:vAlign w:val="bottom"/>
            <w:gridSpan w:val="2"/>
          </w:tcPr>
          <w:p>
            <w:pPr>
              <w:spacing w:after="0"/>
              <w:rPr>
                <w:sz w:val="20"/>
                <w:szCs w:val="20"/>
                <w:color w:val="auto"/>
              </w:rPr>
            </w:pPr>
            <w:r>
              <w:rPr>
                <w:rFonts w:ascii="Arial" w:cs="Arial" w:eastAsia="Arial" w:hAnsi="Arial"/>
                <w:sz w:val="13"/>
                <w:szCs w:val="13"/>
                <w:color w:val="auto"/>
              </w:rPr>
              <w:t>Officer</w:t>
            </w:r>
          </w:p>
        </w:tc>
        <w:tc>
          <w:tcPr>
            <w:tcW w:w="940" w:type="dxa"/>
            <w:vAlign w:val="bottom"/>
            <w:gridSpan w:val="3"/>
          </w:tcPr>
          <w:p>
            <w:pPr>
              <w:jc w:val="right"/>
              <w:ind w:right="380"/>
              <w:spacing w:after="0"/>
              <w:rPr>
                <w:sz w:val="20"/>
                <w:szCs w:val="20"/>
                <w:color w:val="auto"/>
              </w:rPr>
            </w:pPr>
            <w:r>
              <w:rPr>
                <w:rFonts w:ascii="Arial" w:cs="Arial" w:eastAsia="Arial" w:hAnsi="Arial"/>
                <w:sz w:val="13"/>
                <w:szCs w:val="13"/>
                <w:color w:val="auto"/>
              </w:rPr>
              <w:t>2004</w:t>
            </w:r>
          </w:p>
        </w:tc>
        <w:tc>
          <w:tcPr>
            <w:tcW w:w="1000" w:type="dxa"/>
            <w:vAlign w:val="bottom"/>
            <w:gridSpan w:val="2"/>
          </w:tcPr>
          <w:p>
            <w:pPr>
              <w:ind w:left="180"/>
              <w:spacing w:after="0"/>
              <w:rPr>
                <w:sz w:val="20"/>
                <w:szCs w:val="20"/>
                <w:color w:val="auto"/>
              </w:rPr>
            </w:pPr>
            <w:r>
              <w:rPr>
                <w:rFonts w:ascii="Arial" w:cs="Arial" w:eastAsia="Arial" w:hAnsi="Arial"/>
                <w:sz w:val="13"/>
                <w:szCs w:val="13"/>
                <w:color w:val="auto"/>
              </w:rPr>
              <w:t>200,277</w:t>
            </w:r>
          </w:p>
        </w:tc>
        <w:tc>
          <w:tcPr>
            <w:tcW w:w="980" w:type="dxa"/>
            <w:vAlign w:val="bottom"/>
            <w:gridSpan w:val="2"/>
          </w:tcPr>
          <w:p>
            <w:pPr>
              <w:ind w:left="160"/>
              <w:spacing w:after="0"/>
              <w:rPr>
                <w:sz w:val="20"/>
                <w:szCs w:val="20"/>
                <w:color w:val="auto"/>
              </w:rPr>
            </w:pPr>
            <w:r>
              <w:rPr>
                <w:rFonts w:ascii="Arial" w:cs="Arial" w:eastAsia="Arial" w:hAnsi="Arial"/>
                <w:sz w:val="13"/>
                <w:szCs w:val="13"/>
                <w:color w:val="auto"/>
              </w:rPr>
              <w:t>178,148</w:t>
            </w:r>
          </w:p>
        </w:tc>
        <w:tc>
          <w:tcPr>
            <w:tcW w:w="2180" w:type="dxa"/>
            <w:vAlign w:val="bottom"/>
            <w:gridSpan w:val="2"/>
          </w:tcPr>
          <w:p>
            <w:pPr>
              <w:jc w:val="right"/>
              <w:ind w:right="400"/>
              <w:spacing w:after="0"/>
              <w:rPr>
                <w:sz w:val="20"/>
                <w:szCs w:val="20"/>
                <w:color w:val="auto"/>
              </w:rPr>
            </w:pPr>
            <w:r>
              <w:rPr>
                <w:rFonts w:ascii="Arial" w:cs="Arial" w:eastAsia="Arial" w:hAnsi="Arial"/>
                <w:sz w:val="13"/>
                <w:szCs w:val="13"/>
                <w:color w:val="auto"/>
              </w:rPr>
              <w:t>44,000</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85,390</w:t>
            </w:r>
          </w:p>
        </w:tc>
        <w:tc>
          <w:tcPr>
            <w:tcW w:w="0" w:type="dxa"/>
            <w:vAlign w:val="bottom"/>
          </w:tcPr>
          <w:p>
            <w:pPr>
              <w:spacing w:after="0"/>
              <w:rPr>
                <w:sz w:val="1"/>
                <w:szCs w:val="1"/>
                <w:color w:val="auto"/>
              </w:rPr>
            </w:pPr>
          </w:p>
        </w:tc>
      </w:tr>
      <w:tr>
        <w:trPr>
          <w:trHeight w:val="158"/>
        </w:trPr>
        <w:tc>
          <w:tcPr>
            <w:tcW w:w="4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 O. Williamson</w:t>
            </w: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2006</w:t>
            </w:r>
          </w:p>
        </w:tc>
        <w:tc>
          <w:tcPr>
            <w:tcW w:w="10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254,616</w:t>
            </w:r>
          </w:p>
        </w:tc>
        <w:tc>
          <w:tcPr>
            <w:tcW w:w="9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269,523</w:t>
            </w:r>
          </w:p>
        </w:tc>
        <w:tc>
          <w:tcPr>
            <w:tcW w:w="2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55,000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39,881</w:t>
            </w:r>
          </w:p>
        </w:tc>
        <w:tc>
          <w:tcPr>
            <w:tcW w:w="0" w:type="dxa"/>
            <w:vAlign w:val="bottom"/>
          </w:tcPr>
          <w:p>
            <w:pPr>
              <w:spacing w:after="0"/>
              <w:rPr>
                <w:sz w:val="1"/>
                <w:szCs w:val="1"/>
                <w:color w:val="auto"/>
              </w:rPr>
            </w:pPr>
          </w:p>
        </w:tc>
      </w:tr>
      <w:tr>
        <w:trPr>
          <w:trHeight w:val="157"/>
        </w:trPr>
        <w:tc>
          <w:tcPr>
            <w:tcW w:w="4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Vice President — Brady Americas</w:t>
            </w:r>
          </w:p>
        </w:tc>
        <w:tc>
          <w:tcPr>
            <w:tcW w:w="2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2005</w:t>
            </w:r>
          </w:p>
        </w:tc>
        <w:tc>
          <w:tcPr>
            <w:tcW w:w="10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237,308</w:t>
            </w:r>
          </w:p>
        </w:tc>
        <w:tc>
          <w:tcPr>
            <w:tcW w:w="9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237,545</w:t>
            </w:r>
          </w:p>
        </w:tc>
        <w:tc>
          <w:tcPr>
            <w:tcW w:w="2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60,000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35,050</w:t>
            </w:r>
          </w:p>
        </w:tc>
        <w:tc>
          <w:tcPr>
            <w:tcW w:w="0" w:type="dxa"/>
            <w:vAlign w:val="bottom"/>
          </w:tcPr>
          <w:p>
            <w:pPr>
              <w:spacing w:after="0"/>
              <w:rPr>
                <w:sz w:val="1"/>
                <w:szCs w:val="1"/>
                <w:color w:val="auto"/>
              </w:rPr>
            </w:pPr>
          </w:p>
        </w:tc>
      </w:tr>
      <w:tr>
        <w:trPr>
          <w:trHeight w:val="157"/>
        </w:trPr>
        <w:tc>
          <w:tcPr>
            <w:tcW w:w="1300" w:type="dxa"/>
            <w:vAlign w:val="bottom"/>
            <w:shd w:val="clear" w:color="auto" w:fill="CCEEFF"/>
          </w:tcPr>
          <w:p>
            <w:pPr>
              <w:spacing w:after="0"/>
              <w:rPr>
                <w:sz w:val="13"/>
                <w:szCs w:val="13"/>
                <w:color w:val="auto"/>
              </w:rPr>
            </w:pPr>
          </w:p>
        </w:tc>
        <w:tc>
          <w:tcPr>
            <w:tcW w:w="2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2004</w:t>
            </w:r>
          </w:p>
        </w:tc>
        <w:tc>
          <w:tcPr>
            <w:tcW w:w="10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228,626</w:t>
            </w:r>
          </w:p>
        </w:tc>
        <w:tc>
          <w:tcPr>
            <w:tcW w:w="98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194,236</w:t>
            </w:r>
          </w:p>
        </w:tc>
        <w:tc>
          <w:tcPr>
            <w:tcW w:w="2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44,000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21,778</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2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-1597025</wp:posOffset>
            </wp:positionV>
            <wp:extent cx="24765"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4765" cy="6350"/>
                    </a:xfrm>
                    <a:prstGeom prst="rect">
                      <a:avLst/>
                    </a:prstGeom>
                    <a:noFill/>
                  </pic:spPr>
                </pic:pic>
              </a:graphicData>
            </a:graphic>
          </wp:anchor>
        </w:drawing>
      </w:r>
    </w:p>
    <w:p>
      <w:pPr>
        <w:spacing w:after="0" w:line="20" w:lineRule="exact"/>
        <w:rPr>
          <w:sz w:val="20"/>
          <w:szCs w:val="20"/>
          <w:color w:val="auto"/>
        </w:rPr>
      </w:pPr>
    </w:p>
    <w:p>
      <w:pPr>
        <w:ind w:left="1000" w:right="260"/>
        <w:spacing w:after="0" w:line="276" w:lineRule="auto"/>
        <w:rPr>
          <w:sz w:val="20"/>
          <w:szCs w:val="20"/>
          <w:color w:val="auto"/>
        </w:rPr>
      </w:pPr>
      <w:r>
        <w:rPr>
          <w:rFonts w:ascii="Arial" w:cs="Arial" w:eastAsia="Arial" w:hAnsi="Arial"/>
          <w:sz w:val="13"/>
          <w:szCs w:val="13"/>
          <w:color w:val="auto"/>
        </w:rPr>
        <w:t>No perquisites or other personal benefits received from the Company by any of the named executives exceeded the reporting thresholds established by the Securities and Exchange Commission (the lesser of $50,000 or 10% of the individual’s cash compensation).</w:t>
      </w:r>
    </w:p>
    <w:p>
      <w:pPr>
        <w:spacing w:after="0" w:line="10" w:lineRule="exact"/>
        <w:rPr>
          <w:sz w:val="20"/>
          <w:szCs w:val="20"/>
          <w:color w:val="auto"/>
        </w:rPr>
      </w:pPr>
    </w:p>
    <w:p>
      <w:pPr>
        <w:ind w:left="1000" w:hanging="259"/>
        <w:spacing w:after="0"/>
        <w:tabs>
          <w:tab w:leader="none" w:pos="10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Reflects bonus earned during the listed fiscal year, which was paid during the next fiscal year.</w:t>
      </w:r>
    </w:p>
    <w:p>
      <w:pPr>
        <w:spacing w:after="0" w:line="47" w:lineRule="exact"/>
        <w:rPr>
          <w:rFonts w:ascii="Arial" w:cs="Arial" w:eastAsia="Arial" w:hAnsi="Arial"/>
          <w:sz w:val="13"/>
          <w:szCs w:val="13"/>
          <w:color w:val="auto"/>
        </w:rPr>
      </w:pPr>
    </w:p>
    <w:p>
      <w:pPr>
        <w:ind w:left="1000" w:right="180" w:hanging="259"/>
        <w:spacing w:after="0" w:line="264" w:lineRule="auto"/>
        <w:tabs>
          <w:tab w:leader="none" w:pos="10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All other compensation for fiscal 2006 for Messrs. Jaehnert, Hawke, Mathieson and Williamson, respectively, includes: (i) matching contributions to the Company’s Matched 401(k) Plan, Funded Retirement Plan and Restoration Plan for each named executive officer of $100,993, $58,813, $40,509, and $38,850, respectively and (ii) the cost of group term life insurance for each named executive officer of $3,042, $4,259, $1,063 and $1,032, respectively.</w:t>
      </w:r>
    </w:p>
    <w:p>
      <w:pPr>
        <w:spacing w:after="0" w:line="17" w:lineRule="exact"/>
        <w:rPr>
          <w:rFonts w:ascii="Arial" w:cs="Arial" w:eastAsia="Arial" w:hAnsi="Arial"/>
          <w:sz w:val="13"/>
          <w:szCs w:val="13"/>
          <w:color w:val="auto"/>
        </w:rPr>
      </w:pPr>
    </w:p>
    <w:p>
      <w:pPr>
        <w:ind w:left="1000" w:right="40"/>
        <w:spacing w:after="0" w:line="276" w:lineRule="auto"/>
        <w:rPr>
          <w:rFonts w:ascii="Arial" w:cs="Arial" w:eastAsia="Arial" w:hAnsi="Arial"/>
          <w:sz w:val="13"/>
          <w:szCs w:val="13"/>
          <w:color w:val="auto"/>
        </w:rPr>
      </w:pPr>
      <w:r>
        <w:rPr>
          <w:rFonts w:ascii="Arial" w:cs="Arial" w:eastAsia="Arial" w:hAnsi="Arial"/>
          <w:sz w:val="13"/>
          <w:szCs w:val="13"/>
          <w:color w:val="auto"/>
        </w:rPr>
        <w:t>All other compensation for fiscal 2006 for Mr. Sephton includes: (i) matching contributions for the Brady U.K. Pension Plan of $47,646 and (ii) the cost of group term life insurance of $181.</w:t>
      </w:r>
    </w:p>
    <w:p>
      <w:pPr>
        <w:spacing w:after="0" w:line="10" w:lineRule="exact"/>
        <w:rPr>
          <w:rFonts w:ascii="Arial" w:cs="Arial" w:eastAsia="Arial" w:hAnsi="Arial"/>
          <w:sz w:val="13"/>
          <w:szCs w:val="13"/>
          <w:color w:val="auto"/>
        </w:rPr>
      </w:pPr>
    </w:p>
    <w:p>
      <w:pPr>
        <w:ind w:left="1000" w:right="180"/>
        <w:spacing w:after="0" w:line="264" w:lineRule="auto"/>
        <w:rPr>
          <w:rFonts w:ascii="Arial" w:cs="Arial" w:eastAsia="Arial" w:hAnsi="Arial"/>
          <w:sz w:val="13"/>
          <w:szCs w:val="13"/>
          <w:color w:val="auto"/>
        </w:rPr>
      </w:pPr>
      <w:r>
        <w:rPr>
          <w:rFonts w:ascii="Arial" w:cs="Arial" w:eastAsia="Arial" w:hAnsi="Arial"/>
          <w:sz w:val="13"/>
          <w:szCs w:val="13"/>
          <w:color w:val="auto"/>
        </w:rPr>
        <w:t>All other compensation for fiscal 2005 for Messrs. Jaehnert, Hawke, Mathieson and Williamson, respectively, includes: (i) matching contributions to the Company’s Matched 401(k) Plan, Funded Retirement Plan and Restoration Plan for each named executive officer of $102,706, $61,506, $32,944, and $34,314, respectively and (ii) the cost of group term life insurance for each named executive officer of $4,926, $3,574, $768 and $736, respectively.</w:t>
      </w:r>
    </w:p>
    <w:p>
      <w:pPr>
        <w:spacing w:after="0" w:line="17" w:lineRule="exact"/>
        <w:rPr>
          <w:rFonts w:ascii="Arial" w:cs="Arial" w:eastAsia="Arial" w:hAnsi="Arial"/>
          <w:sz w:val="13"/>
          <w:szCs w:val="13"/>
          <w:color w:val="auto"/>
        </w:rPr>
      </w:pPr>
    </w:p>
    <w:p>
      <w:pPr>
        <w:ind w:left="1000" w:right="40"/>
        <w:spacing w:after="0" w:line="276" w:lineRule="auto"/>
        <w:rPr>
          <w:rFonts w:ascii="Arial" w:cs="Arial" w:eastAsia="Arial" w:hAnsi="Arial"/>
          <w:sz w:val="13"/>
          <w:szCs w:val="13"/>
          <w:color w:val="auto"/>
        </w:rPr>
      </w:pPr>
      <w:r>
        <w:rPr>
          <w:rFonts w:ascii="Arial" w:cs="Arial" w:eastAsia="Arial" w:hAnsi="Arial"/>
          <w:sz w:val="13"/>
          <w:szCs w:val="13"/>
          <w:color w:val="auto"/>
        </w:rPr>
        <w:t>All other compensation for fiscal 2005 for Mr. Sephton includes: (i) matching contributions for the Brady U.K. Pension Plan of $46,514 and (ii) the cost of group term life insurance of $3,070.</w:t>
      </w:r>
    </w:p>
    <w:p>
      <w:pPr>
        <w:spacing w:after="0" w:line="10" w:lineRule="exact"/>
        <w:rPr>
          <w:rFonts w:ascii="Arial" w:cs="Arial" w:eastAsia="Arial" w:hAnsi="Arial"/>
          <w:sz w:val="13"/>
          <w:szCs w:val="13"/>
          <w:color w:val="auto"/>
        </w:rPr>
      </w:pPr>
    </w:p>
    <w:p>
      <w:pPr>
        <w:ind w:left="1000" w:right="180"/>
        <w:spacing w:after="0" w:line="296" w:lineRule="auto"/>
        <w:rPr>
          <w:rFonts w:ascii="Arial" w:cs="Arial" w:eastAsia="Arial" w:hAnsi="Arial"/>
          <w:sz w:val="13"/>
          <w:szCs w:val="13"/>
          <w:color w:val="auto"/>
        </w:rPr>
      </w:pPr>
      <w:r>
        <w:rPr>
          <w:rFonts w:ascii="Arial" w:cs="Arial" w:eastAsia="Arial" w:hAnsi="Arial"/>
          <w:sz w:val="12"/>
          <w:szCs w:val="12"/>
          <w:color w:val="auto"/>
        </w:rPr>
        <w:t>All other compensation for fiscal 2004 for Messrs. Jaehnert, Hawke, Mathieson and Williamson, respectively, includes: (i) matching contributions to the Company’s Matched 401(k) Plan, Funded Retirement Plan and Restoration Plan for each named executive officer of $34,191, $27,462, $13,298 and $21,082, respectively and (ii) the cost of group term life insurance for each named executive officer of $3,338, $4,297, $509 and $696, respectively and (iii) costs related to relocation for Mr. Mathieson of $71,583.</w:t>
      </w:r>
    </w:p>
    <w:p>
      <w:pPr>
        <w:ind w:left="1000"/>
        <w:spacing w:after="0"/>
        <w:rPr>
          <w:rFonts w:ascii="Arial" w:cs="Arial" w:eastAsia="Arial" w:hAnsi="Arial"/>
          <w:sz w:val="13"/>
          <w:szCs w:val="13"/>
          <w:color w:val="auto"/>
        </w:rPr>
      </w:pPr>
      <w:r>
        <w:rPr>
          <w:rFonts w:ascii="Arial" w:cs="Arial" w:eastAsia="Arial" w:hAnsi="Arial"/>
          <w:sz w:val="13"/>
          <w:szCs w:val="13"/>
          <w:color w:val="auto"/>
        </w:rPr>
        <w:t>All other compensation for fiscal 2004 for Mr. Sephton includes matching contributions for the Brady U.K. Pension Plan of $41,165.</w:t>
      </w:r>
    </w:p>
    <w:p>
      <w:pPr>
        <w:spacing w:after="0" w:line="47" w:lineRule="exact"/>
        <w:rPr>
          <w:rFonts w:ascii="Arial" w:cs="Arial" w:eastAsia="Arial" w:hAnsi="Arial"/>
          <w:sz w:val="13"/>
          <w:szCs w:val="13"/>
          <w:color w:val="auto"/>
        </w:rPr>
      </w:pPr>
    </w:p>
    <w:p>
      <w:pPr>
        <w:ind w:left="1000" w:hanging="259"/>
        <w:spacing w:after="0"/>
        <w:tabs>
          <w:tab w:leader="none" w:pos="10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Adjusted for two-for-one stock split in the form of a 100% stock dividend, effective December 31, 2004.</w:t>
      </w:r>
    </w:p>
    <w:p>
      <w:pPr>
        <w:spacing w:after="0" w:line="29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III-5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 Options</w:t>
      </w:r>
    </w:p>
    <w:p>
      <w:pPr>
        <w:spacing w:after="0" w:line="100"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The following tables summarize option grants and exercises during fiscal 2006 to or by the executive officers named in the Summary Compensation Table above, and the value of unexercised options held by such persons at July 31, 2006. Stock Appreciation Rights are not available under any of the Company’s plans.</w:t>
      </w:r>
    </w:p>
    <w:p>
      <w:pPr>
        <w:spacing w:after="0" w:line="13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Option Grants in Fiscal 2006</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Individual Grants</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0"/>
              </w:rPr>
              <w:t># of Securities</w:t>
            </w:r>
          </w:p>
        </w:tc>
        <w:tc>
          <w:tcPr>
            <w:tcW w:w="1060" w:type="dxa"/>
            <w:vAlign w:val="bottom"/>
            <w:gridSpan w:val="4"/>
          </w:tcPr>
          <w:p>
            <w:pPr>
              <w:jc w:val="center"/>
              <w:ind w:right="140"/>
              <w:spacing w:after="0"/>
              <w:rPr>
                <w:sz w:val="20"/>
                <w:szCs w:val="20"/>
                <w:color w:val="auto"/>
              </w:rPr>
            </w:pPr>
            <w:r>
              <w:rPr>
                <w:rFonts w:ascii="Arial" w:cs="Arial" w:eastAsia="Arial" w:hAnsi="Arial"/>
                <w:sz w:val="10"/>
                <w:szCs w:val="10"/>
                <w:b w:val="1"/>
                <w:bCs w:val="1"/>
                <w:color w:val="auto"/>
              </w:rPr>
              <w:t>% of Total</w:t>
            </w: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8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5"/>
              </w:rPr>
              <w:t>Underlying</w:t>
            </w:r>
          </w:p>
        </w:tc>
        <w:tc>
          <w:tcPr>
            <w:tcW w:w="1060" w:type="dxa"/>
            <w:vAlign w:val="bottom"/>
            <w:gridSpan w:val="4"/>
          </w:tcPr>
          <w:p>
            <w:pPr>
              <w:jc w:val="center"/>
              <w:ind w:right="140"/>
              <w:spacing w:after="0" w:line="108" w:lineRule="exact"/>
              <w:rPr>
                <w:sz w:val="20"/>
                <w:szCs w:val="20"/>
                <w:color w:val="auto"/>
              </w:rPr>
            </w:pPr>
            <w:r>
              <w:rPr>
                <w:rFonts w:ascii="Arial" w:cs="Arial" w:eastAsia="Arial" w:hAnsi="Arial"/>
                <w:sz w:val="10"/>
                <w:szCs w:val="10"/>
                <w:b w:val="1"/>
                <w:bCs w:val="1"/>
                <w:color w:val="auto"/>
                <w:w w:val="95"/>
              </w:rPr>
              <w:t>Options</w:t>
            </w:r>
          </w:p>
        </w:tc>
        <w:tc>
          <w:tcPr>
            <w:tcW w:w="260" w:type="dxa"/>
            <w:vAlign w:val="bottom"/>
          </w:tcPr>
          <w:p>
            <w:pPr>
              <w:spacing w:after="0"/>
              <w:rPr>
                <w:sz w:val="9"/>
                <w:szCs w:val="9"/>
                <w:color w:val="auto"/>
              </w:rPr>
            </w:pPr>
          </w:p>
        </w:tc>
        <w:tc>
          <w:tcPr>
            <w:tcW w:w="1240" w:type="dxa"/>
            <w:vAlign w:val="bottom"/>
            <w:gridSpan w:val="5"/>
            <w:vMerge w:val="restart"/>
          </w:tcPr>
          <w:p>
            <w:pPr>
              <w:jc w:val="center"/>
              <w:ind w:right="560"/>
              <w:spacing w:after="0"/>
              <w:rPr>
                <w:sz w:val="20"/>
                <w:szCs w:val="20"/>
                <w:color w:val="auto"/>
              </w:rPr>
            </w:pPr>
            <w:r>
              <w:rPr>
                <w:rFonts w:ascii="Arial" w:cs="Arial" w:eastAsia="Arial" w:hAnsi="Arial"/>
                <w:sz w:val="10"/>
                <w:szCs w:val="10"/>
                <w:b w:val="1"/>
                <w:bCs w:val="1"/>
                <w:color w:val="auto"/>
                <w:w w:val="87"/>
              </w:rPr>
              <w:t>Exercise</w:t>
            </w: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8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5"/>
              </w:rPr>
              <w:t>Options</w:t>
            </w:r>
          </w:p>
        </w:tc>
        <w:tc>
          <w:tcPr>
            <w:tcW w:w="1060" w:type="dxa"/>
            <w:vAlign w:val="bottom"/>
            <w:gridSpan w:val="4"/>
          </w:tcPr>
          <w:p>
            <w:pPr>
              <w:jc w:val="center"/>
              <w:ind w:right="160"/>
              <w:spacing w:after="0" w:line="108" w:lineRule="exact"/>
              <w:rPr>
                <w:sz w:val="20"/>
                <w:szCs w:val="20"/>
                <w:color w:val="auto"/>
              </w:rPr>
            </w:pPr>
            <w:r>
              <w:rPr>
                <w:rFonts w:ascii="Arial" w:cs="Arial" w:eastAsia="Arial" w:hAnsi="Arial"/>
                <w:sz w:val="10"/>
                <w:szCs w:val="10"/>
                <w:b w:val="1"/>
                <w:bCs w:val="1"/>
                <w:color w:val="auto"/>
                <w:w w:val="98"/>
              </w:rPr>
              <w:t>Granted to</w:t>
            </w:r>
          </w:p>
        </w:tc>
        <w:tc>
          <w:tcPr>
            <w:tcW w:w="260" w:type="dxa"/>
            <w:vAlign w:val="bottom"/>
          </w:tcPr>
          <w:p>
            <w:pPr>
              <w:spacing w:after="0"/>
              <w:rPr>
                <w:sz w:val="9"/>
                <w:szCs w:val="9"/>
                <w:color w:val="auto"/>
              </w:rPr>
            </w:pPr>
          </w:p>
        </w:tc>
        <w:tc>
          <w:tcPr>
            <w:tcW w:w="1240" w:type="dxa"/>
            <w:vAlign w:val="bottom"/>
            <w:gridSpan w:val="5"/>
            <w:vMerge w:val="continue"/>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362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Name</w:t>
            </w:r>
          </w:p>
        </w:tc>
        <w:tc>
          <w:tcPr>
            <w:tcW w:w="1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8"/>
              </w:rPr>
              <w:t>Granted</w:t>
            </w:r>
          </w:p>
        </w:tc>
        <w:tc>
          <w:tcPr>
            <w:tcW w:w="1060" w:type="dxa"/>
            <w:vAlign w:val="bottom"/>
            <w:gridSpan w:val="4"/>
          </w:tcPr>
          <w:p>
            <w:pPr>
              <w:jc w:val="center"/>
              <w:ind w:right="140"/>
              <w:spacing w:after="0"/>
              <w:rPr>
                <w:sz w:val="20"/>
                <w:szCs w:val="20"/>
                <w:color w:val="auto"/>
              </w:rPr>
            </w:pPr>
            <w:r>
              <w:rPr>
                <w:rFonts w:ascii="Arial" w:cs="Arial" w:eastAsia="Arial" w:hAnsi="Arial"/>
                <w:sz w:val="10"/>
                <w:szCs w:val="10"/>
                <w:b w:val="1"/>
                <w:bCs w:val="1"/>
                <w:color w:val="auto"/>
                <w:w w:val="92"/>
              </w:rPr>
              <w:t>Employees in</w:t>
            </w:r>
          </w:p>
        </w:tc>
        <w:tc>
          <w:tcPr>
            <w:tcW w:w="260" w:type="dxa"/>
            <w:vAlign w:val="bottom"/>
          </w:tcPr>
          <w:p>
            <w:pPr>
              <w:spacing w:after="0"/>
              <w:rPr>
                <w:sz w:val="10"/>
                <w:szCs w:val="10"/>
                <w:color w:val="auto"/>
              </w:rPr>
            </w:pPr>
          </w:p>
        </w:tc>
        <w:tc>
          <w:tcPr>
            <w:tcW w:w="1240" w:type="dxa"/>
            <w:vAlign w:val="bottom"/>
            <w:gridSpan w:val="5"/>
          </w:tcPr>
          <w:p>
            <w:pPr>
              <w:jc w:val="center"/>
              <w:ind w:right="560"/>
              <w:spacing w:after="0"/>
              <w:rPr>
                <w:sz w:val="20"/>
                <w:szCs w:val="20"/>
                <w:color w:val="auto"/>
              </w:rPr>
            </w:pPr>
            <w:r>
              <w:rPr>
                <w:rFonts w:ascii="Arial" w:cs="Arial" w:eastAsia="Arial" w:hAnsi="Arial"/>
                <w:sz w:val="10"/>
                <w:szCs w:val="10"/>
                <w:b w:val="1"/>
                <w:bCs w:val="1"/>
                <w:color w:val="auto"/>
                <w:w w:val="97"/>
              </w:rPr>
              <w:t>Price</w:t>
            </w: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620" w:type="dxa"/>
            <w:vAlign w:val="bottom"/>
            <w:gridSpan w:val="3"/>
            <w:vMerge w:val="continue"/>
          </w:tcPr>
          <w:p>
            <w:pPr>
              <w:spacing w:after="0"/>
              <w:rPr>
                <w:sz w:val="10"/>
                <w:szCs w:val="10"/>
                <w:color w:val="auto"/>
              </w:rPr>
            </w:pPr>
          </w:p>
        </w:tc>
        <w:tc>
          <w:tcPr>
            <w:tcW w:w="1200" w:type="dxa"/>
            <w:vAlign w:val="bottom"/>
          </w:tcPr>
          <w:p>
            <w:pPr>
              <w:ind w:left="340"/>
              <w:spacing w:after="0"/>
              <w:rPr>
                <w:sz w:val="20"/>
                <w:szCs w:val="20"/>
                <w:color w:val="auto"/>
              </w:rPr>
            </w:pPr>
            <w:r>
              <w:rPr>
                <w:rFonts w:ascii="Arial" w:cs="Arial" w:eastAsia="Arial" w:hAnsi="Arial"/>
                <w:sz w:val="10"/>
                <w:szCs w:val="10"/>
                <w:b w:val="1"/>
                <w:bCs w:val="1"/>
                <w:color w:val="auto"/>
              </w:rPr>
              <w:t>Grant Date</w:t>
            </w:r>
          </w:p>
        </w:tc>
        <w:tc>
          <w:tcPr>
            <w:tcW w:w="1200" w:type="dxa"/>
            <w:vAlign w:val="bottom"/>
            <w:gridSpan w:val="2"/>
          </w:tcPr>
          <w:p>
            <w:pPr>
              <w:jc w:val="center"/>
              <w:ind w:left="216"/>
              <w:spacing w:after="0"/>
              <w:rPr>
                <w:sz w:val="20"/>
                <w:szCs w:val="20"/>
                <w:color w:val="auto"/>
              </w:rPr>
            </w:pPr>
            <w:r>
              <w:rPr>
                <w:rFonts w:ascii="Arial" w:cs="Arial" w:eastAsia="Arial" w:hAnsi="Arial"/>
                <w:sz w:val="10"/>
                <w:szCs w:val="10"/>
                <w:b w:val="1"/>
                <w:bCs w:val="1"/>
                <w:color w:val="auto"/>
                <w:w w:val="97"/>
              </w:rPr>
              <w:t>(#)(1)</w:t>
            </w:r>
          </w:p>
        </w:tc>
        <w:tc>
          <w:tcPr>
            <w:tcW w:w="380" w:type="dxa"/>
            <w:vAlign w:val="bottom"/>
          </w:tcPr>
          <w:p>
            <w:pPr>
              <w:spacing w:after="0"/>
              <w:rPr>
                <w:sz w:val="10"/>
                <w:szCs w:val="10"/>
                <w:color w:val="auto"/>
              </w:rPr>
            </w:pPr>
          </w:p>
        </w:tc>
        <w:tc>
          <w:tcPr>
            <w:tcW w:w="1060" w:type="dxa"/>
            <w:vAlign w:val="bottom"/>
            <w:gridSpan w:val="4"/>
          </w:tcPr>
          <w:p>
            <w:pPr>
              <w:jc w:val="center"/>
              <w:ind w:right="160"/>
              <w:spacing w:after="0"/>
              <w:rPr>
                <w:sz w:val="20"/>
                <w:szCs w:val="20"/>
                <w:color w:val="auto"/>
              </w:rPr>
            </w:pPr>
            <w:r>
              <w:rPr>
                <w:rFonts w:ascii="Arial" w:cs="Arial" w:eastAsia="Arial" w:hAnsi="Arial"/>
                <w:sz w:val="10"/>
                <w:szCs w:val="10"/>
                <w:b w:val="1"/>
                <w:bCs w:val="1"/>
                <w:color w:val="auto"/>
                <w:w w:val="93"/>
              </w:rPr>
              <w:t>Fiscal 2006</w:t>
            </w:r>
          </w:p>
        </w:tc>
        <w:tc>
          <w:tcPr>
            <w:tcW w:w="260" w:type="dxa"/>
            <w:vAlign w:val="bottom"/>
          </w:tcPr>
          <w:p>
            <w:pPr>
              <w:spacing w:after="0"/>
              <w:rPr>
                <w:sz w:val="10"/>
                <w:szCs w:val="10"/>
                <w:color w:val="auto"/>
              </w:rPr>
            </w:pPr>
          </w:p>
        </w:tc>
        <w:tc>
          <w:tcPr>
            <w:tcW w:w="1240" w:type="dxa"/>
            <w:vAlign w:val="bottom"/>
            <w:gridSpan w:val="5"/>
          </w:tcPr>
          <w:p>
            <w:pPr>
              <w:jc w:val="center"/>
              <w:ind w:right="560"/>
              <w:spacing w:after="0"/>
              <w:rPr>
                <w:sz w:val="20"/>
                <w:szCs w:val="20"/>
                <w:color w:val="auto"/>
              </w:rPr>
            </w:pPr>
            <w:r>
              <w:rPr>
                <w:rFonts w:ascii="Arial" w:cs="Arial" w:eastAsia="Arial" w:hAnsi="Arial"/>
                <w:sz w:val="10"/>
                <w:szCs w:val="10"/>
                <w:b w:val="1"/>
                <w:bCs w:val="1"/>
                <w:color w:val="auto"/>
                <w:w w:val="94"/>
              </w:rPr>
              <w:t>($/Share)(2)</w:t>
            </w:r>
          </w:p>
        </w:tc>
        <w:tc>
          <w:tcPr>
            <w:tcW w:w="1020" w:type="dxa"/>
            <w:vAlign w:val="bottom"/>
            <w:gridSpan w:val="3"/>
          </w:tcPr>
          <w:p>
            <w:pPr>
              <w:jc w:val="right"/>
              <w:ind w:right="280"/>
              <w:spacing w:after="0"/>
              <w:rPr>
                <w:sz w:val="20"/>
                <w:szCs w:val="20"/>
                <w:color w:val="auto"/>
              </w:rPr>
            </w:pPr>
            <w:r>
              <w:rPr>
                <w:rFonts w:ascii="Arial" w:cs="Arial" w:eastAsia="Arial" w:hAnsi="Arial"/>
                <w:sz w:val="10"/>
                <w:szCs w:val="10"/>
                <w:b w:val="1"/>
                <w:bCs w:val="1"/>
                <w:color w:val="auto"/>
                <w:w w:val="98"/>
              </w:rPr>
              <w:t>Expiration Date</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6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F.M. Jaehnert</w:t>
            </w:r>
          </w:p>
        </w:tc>
        <w:tc>
          <w:tcPr>
            <w:tcW w:w="1200" w:type="dxa"/>
            <w:vAlign w:val="bottom"/>
            <w:shd w:val="clear" w:color="auto" w:fill="CCEEFF"/>
          </w:tcPr>
          <w:p>
            <w:pPr>
              <w:spacing w:after="0"/>
              <w:rPr>
                <w:sz w:val="20"/>
                <w:szCs w:val="20"/>
                <w:color w:val="auto"/>
              </w:rPr>
            </w:pPr>
            <w:r>
              <w:rPr>
                <w:rFonts w:ascii="Arial" w:cs="Arial" w:eastAsia="Arial" w:hAnsi="Arial"/>
                <w:sz w:val="13"/>
                <w:szCs w:val="13"/>
                <w:color w:val="auto"/>
              </w:rPr>
              <w:t>Aug. 1, 2005</w:t>
            </w:r>
          </w:p>
        </w:tc>
        <w:tc>
          <w:tcPr>
            <w:tcW w:w="158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60,000</w:t>
            </w:r>
          </w:p>
        </w:tc>
        <w:tc>
          <w:tcPr>
            <w:tcW w:w="106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6.3%</w:t>
            </w:r>
          </w:p>
        </w:tc>
        <w:tc>
          <w:tcPr>
            <w:tcW w:w="1320" w:type="dxa"/>
            <w:vAlign w:val="bottom"/>
            <w:gridSpan w:val="4"/>
            <w:shd w:val="clear" w:color="auto" w:fill="CCEEFF"/>
          </w:tcPr>
          <w:p>
            <w:pPr>
              <w:jc w:val="right"/>
              <w:ind w:right="380"/>
              <w:spacing w:after="0"/>
              <w:rPr>
                <w:sz w:val="20"/>
                <w:szCs w:val="20"/>
                <w:color w:val="auto"/>
              </w:rPr>
            </w:pPr>
            <w:r>
              <w:rPr>
                <w:rFonts w:ascii="Arial" w:cs="Arial" w:eastAsia="Arial" w:hAnsi="Arial"/>
                <w:sz w:val="13"/>
                <w:szCs w:val="13"/>
                <w:color w:val="auto"/>
              </w:rPr>
              <w:t>33.8900</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Aug. 1, 2010</w:t>
            </w:r>
          </w:p>
        </w:tc>
        <w:tc>
          <w:tcPr>
            <w:tcW w:w="0" w:type="dxa"/>
            <w:vAlign w:val="bottom"/>
          </w:tcPr>
          <w:p>
            <w:pPr>
              <w:spacing w:after="0"/>
              <w:rPr>
                <w:sz w:val="1"/>
                <w:szCs w:val="1"/>
                <w:color w:val="auto"/>
              </w:rPr>
            </w:pPr>
          </w:p>
        </w:tc>
      </w:tr>
      <w:tr>
        <w:trPr>
          <w:trHeight w:val="157"/>
        </w:trPr>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3"/>
                <w:szCs w:val="13"/>
                <w:color w:val="auto"/>
              </w:rPr>
              <w:t>Nov. 30, 2005</w:t>
            </w:r>
          </w:p>
        </w:tc>
        <w:tc>
          <w:tcPr>
            <w:tcW w:w="158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50,000</w:t>
            </w:r>
          </w:p>
        </w:tc>
        <w:tc>
          <w:tcPr>
            <w:tcW w:w="106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5.2%</w:t>
            </w:r>
          </w:p>
        </w:tc>
        <w:tc>
          <w:tcPr>
            <w:tcW w:w="1320" w:type="dxa"/>
            <w:vAlign w:val="bottom"/>
            <w:gridSpan w:val="4"/>
            <w:shd w:val="clear" w:color="auto" w:fill="CCEEFF"/>
          </w:tcPr>
          <w:p>
            <w:pPr>
              <w:jc w:val="right"/>
              <w:ind w:right="380"/>
              <w:spacing w:after="0"/>
              <w:rPr>
                <w:sz w:val="20"/>
                <w:szCs w:val="20"/>
                <w:color w:val="auto"/>
              </w:rPr>
            </w:pPr>
            <w:r>
              <w:rPr>
                <w:rFonts w:ascii="Arial" w:cs="Arial" w:eastAsia="Arial" w:hAnsi="Arial"/>
                <w:sz w:val="13"/>
                <w:szCs w:val="13"/>
                <w:color w:val="auto"/>
              </w:rPr>
              <w:t>37.8300</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Nov. 30, 2015</w:t>
            </w:r>
          </w:p>
        </w:tc>
        <w:tc>
          <w:tcPr>
            <w:tcW w:w="0" w:type="dxa"/>
            <w:vAlign w:val="bottom"/>
          </w:tcPr>
          <w:p>
            <w:pPr>
              <w:spacing w:after="0"/>
              <w:rPr>
                <w:sz w:val="1"/>
                <w:szCs w:val="1"/>
                <w:color w:val="auto"/>
              </w:rPr>
            </w:pPr>
          </w:p>
        </w:tc>
      </w:tr>
      <w:tr>
        <w:trPr>
          <w:trHeight w:val="148"/>
        </w:trPr>
        <w:tc>
          <w:tcPr>
            <w:tcW w:w="3620" w:type="dxa"/>
            <w:vAlign w:val="bottom"/>
            <w:gridSpan w:val="3"/>
          </w:tcPr>
          <w:p>
            <w:pPr>
              <w:spacing w:after="0" w:line="149" w:lineRule="exact"/>
              <w:rPr>
                <w:sz w:val="20"/>
                <w:szCs w:val="20"/>
                <w:color w:val="auto"/>
              </w:rPr>
            </w:pPr>
            <w:r>
              <w:rPr>
                <w:rFonts w:ascii="Arial" w:cs="Arial" w:eastAsia="Arial" w:hAnsi="Arial"/>
                <w:sz w:val="13"/>
                <w:szCs w:val="13"/>
                <w:color w:val="auto"/>
              </w:rPr>
              <w:t>D.R. Hawke</w:t>
            </w:r>
          </w:p>
        </w:tc>
        <w:tc>
          <w:tcPr>
            <w:tcW w:w="1200" w:type="dxa"/>
            <w:vAlign w:val="bottom"/>
          </w:tcPr>
          <w:p>
            <w:pPr>
              <w:spacing w:after="0" w:line="149" w:lineRule="exact"/>
              <w:rPr>
                <w:sz w:val="20"/>
                <w:szCs w:val="20"/>
                <w:color w:val="auto"/>
              </w:rPr>
            </w:pPr>
            <w:r>
              <w:rPr>
                <w:rFonts w:ascii="Arial" w:cs="Arial" w:eastAsia="Arial" w:hAnsi="Arial"/>
                <w:sz w:val="13"/>
                <w:szCs w:val="13"/>
                <w:color w:val="auto"/>
              </w:rPr>
              <w:t>Aug. 1, 2005</w:t>
            </w:r>
          </w:p>
        </w:tc>
        <w:tc>
          <w:tcPr>
            <w:tcW w:w="1580" w:type="dxa"/>
            <w:vAlign w:val="bottom"/>
            <w:gridSpan w:val="3"/>
          </w:tcPr>
          <w:p>
            <w:pPr>
              <w:jc w:val="right"/>
              <w:ind w:right="380"/>
              <w:spacing w:after="0" w:line="149" w:lineRule="exact"/>
              <w:rPr>
                <w:sz w:val="20"/>
                <w:szCs w:val="20"/>
                <w:color w:val="auto"/>
              </w:rPr>
            </w:pPr>
            <w:r>
              <w:rPr>
                <w:rFonts w:ascii="Arial" w:cs="Arial" w:eastAsia="Arial" w:hAnsi="Arial"/>
                <w:sz w:val="13"/>
                <w:szCs w:val="13"/>
                <w:color w:val="auto"/>
              </w:rPr>
              <w:t>30,000</w:t>
            </w:r>
          </w:p>
        </w:tc>
        <w:tc>
          <w:tcPr>
            <w:tcW w:w="1060" w:type="dxa"/>
            <w:vAlign w:val="bottom"/>
            <w:gridSpan w:val="4"/>
          </w:tcPr>
          <w:p>
            <w:pPr>
              <w:jc w:val="right"/>
              <w:ind w:right="40"/>
              <w:spacing w:after="0" w:line="149" w:lineRule="exact"/>
              <w:rPr>
                <w:sz w:val="20"/>
                <w:szCs w:val="20"/>
                <w:color w:val="auto"/>
              </w:rPr>
            </w:pPr>
            <w:r>
              <w:rPr>
                <w:rFonts w:ascii="Arial" w:cs="Arial" w:eastAsia="Arial" w:hAnsi="Arial"/>
                <w:sz w:val="13"/>
                <w:szCs w:val="13"/>
                <w:color w:val="auto"/>
              </w:rPr>
              <w:t>3.1%</w:t>
            </w:r>
          </w:p>
        </w:tc>
        <w:tc>
          <w:tcPr>
            <w:tcW w:w="1320" w:type="dxa"/>
            <w:vAlign w:val="bottom"/>
            <w:gridSpan w:val="4"/>
          </w:tcPr>
          <w:p>
            <w:pPr>
              <w:jc w:val="right"/>
              <w:ind w:right="380"/>
              <w:spacing w:after="0" w:line="149" w:lineRule="exact"/>
              <w:rPr>
                <w:sz w:val="20"/>
                <w:szCs w:val="20"/>
                <w:color w:val="auto"/>
              </w:rPr>
            </w:pPr>
            <w:r>
              <w:rPr>
                <w:rFonts w:ascii="Arial" w:cs="Arial" w:eastAsia="Arial" w:hAnsi="Arial"/>
                <w:sz w:val="13"/>
                <w:szCs w:val="13"/>
                <w:color w:val="auto"/>
              </w:rPr>
              <w:t>33.8900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tcPr>
          <w:p>
            <w:pPr>
              <w:jc w:val="right"/>
              <w:ind w:right="100"/>
              <w:spacing w:after="0" w:line="149" w:lineRule="exact"/>
              <w:rPr>
                <w:sz w:val="20"/>
                <w:szCs w:val="20"/>
                <w:color w:val="auto"/>
              </w:rPr>
            </w:pPr>
            <w:r>
              <w:rPr>
                <w:rFonts w:ascii="Arial" w:cs="Arial" w:eastAsia="Arial" w:hAnsi="Arial"/>
                <w:sz w:val="13"/>
                <w:szCs w:val="13"/>
                <w:color w:val="auto"/>
              </w:rPr>
              <w:t>Aug. 1, 2010</w:t>
            </w:r>
          </w:p>
        </w:tc>
        <w:tc>
          <w:tcPr>
            <w:tcW w:w="0" w:type="dxa"/>
            <w:vAlign w:val="bottom"/>
          </w:tcPr>
          <w:p>
            <w:pPr>
              <w:spacing w:after="0"/>
              <w:rPr>
                <w:sz w:val="1"/>
                <w:szCs w:val="1"/>
                <w:color w:val="auto"/>
              </w:rPr>
            </w:pPr>
          </w:p>
        </w:tc>
      </w:tr>
      <w:tr>
        <w:trPr>
          <w:trHeight w:val="165"/>
        </w:trPr>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Nov. 30, 2005</w:t>
            </w:r>
          </w:p>
        </w:tc>
        <w:tc>
          <w:tcPr>
            <w:tcW w:w="1580" w:type="dxa"/>
            <w:vAlign w:val="bottom"/>
            <w:gridSpan w:val="3"/>
          </w:tcPr>
          <w:p>
            <w:pPr>
              <w:jc w:val="right"/>
              <w:ind w:right="380"/>
              <w:spacing w:after="0"/>
              <w:rPr>
                <w:sz w:val="20"/>
                <w:szCs w:val="20"/>
                <w:color w:val="auto"/>
              </w:rPr>
            </w:pPr>
            <w:r>
              <w:rPr>
                <w:rFonts w:ascii="Arial" w:cs="Arial" w:eastAsia="Arial" w:hAnsi="Arial"/>
                <w:sz w:val="13"/>
                <w:szCs w:val="13"/>
                <w:color w:val="auto"/>
              </w:rPr>
              <w:t>25,000</w:t>
            </w:r>
          </w:p>
        </w:tc>
        <w:tc>
          <w:tcPr>
            <w:tcW w:w="1060" w:type="dxa"/>
            <w:vAlign w:val="bottom"/>
            <w:gridSpan w:val="4"/>
          </w:tcPr>
          <w:p>
            <w:pPr>
              <w:jc w:val="right"/>
              <w:ind w:right="40"/>
              <w:spacing w:after="0"/>
              <w:rPr>
                <w:sz w:val="20"/>
                <w:szCs w:val="20"/>
                <w:color w:val="auto"/>
              </w:rPr>
            </w:pPr>
            <w:r>
              <w:rPr>
                <w:rFonts w:ascii="Arial" w:cs="Arial" w:eastAsia="Arial" w:hAnsi="Arial"/>
                <w:sz w:val="13"/>
                <w:szCs w:val="13"/>
                <w:color w:val="auto"/>
              </w:rPr>
              <w:t>2.6%</w:t>
            </w:r>
          </w:p>
        </w:tc>
        <w:tc>
          <w:tcPr>
            <w:tcW w:w="1320" w:type="dxa"/>
            <w:vAlign w:val="bottom"/>
            <w:gridSpan w:val="4"/>
          </w:tcPr>
          <w:p>
            <w:pPr>
              <w:jc w:val="right"/>
              <w:ind w:right="380"/>
              <w:spacing w:after="0"/>
              <w:rPr>
                <w:sz w:val="20"/>
                <w:szCs w:val="20"/>
                <w:color w:val="auto"/>
              </w:rPr>
            </w:pPr>
            <w:r>
              <w:rPr>
                <w:rFonts w:ascii="Arial" w:cs="Arial" w:eastAsia="Arial" w:hAnsi="Arial"/>
                <w:sz w:val="13"/>
                <w:szCs w:val="13"/>
                <w:color w:val="auto"/>
              </w:rPr>
              <w:t>37.8300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3"/>
                <w:szCs w:val="13"/>
                <w:color w:val="auto"/>
              </w:rPr>
              <w:t>Nov. 30, 2015</w:t>
            </w:r>
          </w:p>
        </w:tc>
        <w:tc>
          <w:tcPr>
            <w:tcW w:w="0" w:type="dxa"/>
            <w:vAlign w:val="bottom"/>
          </w:tcPr>
          <w:p>
            <w:pPr>
              <w:spacing w:after="0"/>
              <w:rPr>
                <w:sz w:val="1"/>
                <w:szCs w:val="1"/>
                <w:color w:val="auto"/>
              </w:rPr>
            </w:pPr>
          </w:p>
        </w:tc>
      </w:tr>
      <w:tr>
        <w:trPr>
          <w:trHeight w:val="158"/>
        </w:trPr>
        <w:tc>
          <w:tcPr>
            <w:tcW w:w="36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 Mathieson</w:t>
            </w:r>
          </w:p>
        </w:tc>
        <w:tc>
          <w:tcPr>
            <w:tcW w:w="1200" w:type="dxa"/>
            <w:vAlign w:val="bottom"/>
            <w:shd w:val="clear" w:color="auto" w:fill="CCEEFF"/>
          </w:tcPr>
          <w:p>
            <w:pPr>
              <w:spacing w:after="0"/>
              <w:rPr>
                <w:sz w:val="20"/>
                <w:szCs w:val="20"/>
                <w:color w:val="auto"/>
              </w:rPr>
            </w:pPr>
            <w:r>
              <w:rPr>
                <w:rFonts w:ascii="Arial" w:cs="Arial" w:eastAsia="Arial" w:hAnsi="Arial"/>
                <w:sz w:val="13"/>
                <w:szCs w:val="13"/>
                <w:color w:val="auto"/>
              </w:rPr>
              <w:t>Aug. 1, 2005</w:t>
            </w:r>
          </w:p>
        </w:tc>
        <w:tc>
          <w:tcPr>
            <w:tcW w:w="158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30,000</w:t>
            </w:r>
          </w:p>
        </w:tc>
        <w:tc>
          <w:tcPr>
            <w:tcW w:w="106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3.1%</w:t>
            </w:r>
          </w:p>
        </w:tc>
        <w:tc>
          <w:tcPr>
            <w:tcW w:w="1320" w:type="dxa"/>
            <w:vAlign w:val="bottom"/>
            <w:gridSpan w:val="4"/>
            <w:shd w:val="clear" w:color="auto" w:fill="CCEEFF"/>
          </w:tcPr>
          <w:p>
            <w:pPr>
              <w:jc w:val="right"/>
              <w:ind w:right="380"/>
              <w:spacing w:after="0"/>
              <w:rPr>
                <w:sz w:val="20"/>
                <w:szCs w:val="20"/>
                <w:color w:val="auto"/>
              </w:rPr>
            </w:pPr>
            <w:r>
              <w:rPr>
                <w:rFonts w:ascii="Arial" w:cs="Arial" w:eastAsia="Arial" w:hAnsi="Arial"/>
                <w:sz w:val="13"/>
                <w:szCs w:val="13"/>
                <w:color w:val="auto"/>
              </w:rPr>
              <w:t>33.8900</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Aug. 1, 2010</w:t>
            </w:r>
          </w:p>
        </w:tc>
        <w:tc>
          <w:tcPr>
            <w:tcW w:w="0" w:type="dxa"/>
            <w:vAlign w:val="bottom"/>
          </w:tcPr>
          <w:p>
            <w:pPr>
              <w:spacing w:after="0"/>
              <w:rPr>
                <w:sz w:val="1"/>
                <w:szCs w:val="1"/>
                <w:color w:val="auto"/>
              </w:rPr>
            </w:pPr>
          </w:p>
        </w:tc>
      </w:tr>
      <w:tr>
        <w:trPr>
          <w:trHeight w:val="157"/>
        </w:trPr>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3"/>
                <w:szCs w:val="13"/>
                <w:color w:val="auto"/>
              </w:rPr>
              <w:t>Nov. 30, 2005</w:t>
            </w:r>
          </w:p>
        </w:tc>
        <w:tc>
          <w:tcPr>
            <w:tcW w:w="158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25,000</w:t>
            </w:r>
          </w:p>
        </w:tc>
        <w:tc>
          <w:tcPr>
            <w:tcW w:w="106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2.6%</w:t>
            </w:r>
          </w:p>
        </w:tc>
        <w:tc>
          <w:tcPr>
            <w:tcW w:w="1320" w:type="dxa"/>
            <w:vAlign w:val="bottom"/>
            <w:gridSpan w:val="4"/>
            <w:shd w:val="clear" w:color="auto" w:fill="CCEEFF"/>
          </w:tcPr>
          <w:p>
            <w:pPr>
              <w:jc w:val="right"/>
              <w:ind w:right="380"/>
              <w:spacing w:after="0"/>
              <w:rPr>
                <w:sz w:val="20"/>
                <w:szCs w:val="20"/>
                <w:color w:val="auto"/>
              </w:rPr>
            </w:pPr>
            <w:r>
              <w:rPr>
                <w:rFonts w:ascii="Arial" w:cs="Arial" w:eastAsia="Arial" w:hAnsi="Arial"/>
                <w:sz w:val="13"/>
                <w:szCs w:val="13"/>
                <w:color w:val="auto"/>
              </w:rPr>
              <w:t>37.8300</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Nov. 30, 2015</w:t>
            </w:r>
          </w:p>
        </w:tc>
        <w:tc>
          <w:tcPr>
            <w:tcW w:w="0" w:type="dxa"/>
            <w:vAlign w:val="bottom"/>
          </w:tcPr>
          <w:p>
            <w:pPr>
              <w:spacing w:after="0"/>
              <w:rPr>
                <w:sz w:val="1"/>
                <w:szCs w:val="1"/>
                <w:color w:val="auto"/>
              </w:rPr>
            </w:pPr>
          </w:p>
        </w:tc>
      </w:tr>
      <w:tr>
        <w:trPr>
          <w:trHeight w:val="148"/>
        </w:trPr>
        <w:tc>
          <w:tcPr>
            <w:tcW w:w="3620" w:type="dxa"/>
            <w:vAlign w:val="bottom"/>
            <w:gridSpan w:val="3"/>
          </w:tcPr>
          <w:p>
            <w:pPr>
              <w:spacing w:after="0" w:line="149" w:lineRule="exact"/>
              <w:rPr>
                <w:sz w:val="20"/>
                <w:szCs w:val="20"/>
                <w:color w:val="auto"/>
              </w:rPr>
            </w:pPr>
            <w:r>
              <w:rPr>
                <w:rFonts w:ascii="Arial" w:cs="Arial" w:eastAsia="Arial" w:hAnsi="Arial"/>
                <w:sz w:val="13"/>
                <w:szCs w:val="13"/>
                <w:color w:val="auto"/>
              </w:rPr>
              <w:t>P.C. Sephton</w:t>
            </w:r>
          </w:p>
        </w:tc>
        <w:tc>
          <w:tcPr>
            <w:tcW w:w="1200" w:type="dxa"/>
            <w:vAlign w:val="bottom"/>
          </w:tcPr>
          <w:p>
            <w:pPr>
              <w:spacing w:after="0" w:line="149" w:lineRule="exact"/>
              <w:rPr>
                <w:sz w:val="20"/>
                <w:szCs w:val="20"/>
                <w:color w:val="auto"/>
              </w:rPr>
            </w:pPr>
            <w:r>
              <w:rPr>
                <w:rFonts w:ascii="Arial" w:cs="Arial" w:eastAsia="Arial" w:hAnsi="Arial"/>
                <w:sz w:val="13"/>
                <w:szCs w:val="13"/>
                <w:color w:val="auto"/>
              </w:rPr>
              <w:t>Aug. 1, 2005</w:t>
            </w:r>
          </w:p>
        </w:tc>
        <w:tc>
          <w:tcPr>
            <w:tcW w:w="1580" w:type="dxa"/>
            <w:vAlign w:val="bottom"/>
            <w:gridSpan w:val="3"/>
          </w:tcPr>
          <w:p>
            <w:pPr>
              <w:jc w:val="right"/>
              <w:ind w:right="380"/>
              <w:spacing w:after="0" w:line="149" w:lineRule="exact"/>
              <w:rPr>
                <w:sz w:val="20"/>
                <w:szCs w:val="20"/>
                <w:color w:val="auto"/>
              </w:rPr>
            </w:pPr>
            <w:r>
              <w:rPr>
                <w:rFonts w:ascii="Arial" w:cs="Arial" w:eastAsia="Arial" w:hAnsi="Arial"/>
                <w:sz w:val="13"/>
                <w:szCs w:val="13"/>
                <w:color w:val="auto"/>
              </w:rPr>
              <w:t>30,000</w:t>
            </w:r>
          </w:p>
        </w:tc>
        <w:tc>
          <w:tcPr>
            <w:tcW w:w="1060" w:type="dxa"/>
            <w:vAlign w:val="bottom"/>
            <w:gridSpan w:val="4"/>
          </w:tcPr>
          <w:p>
            <w:pPr>
              <w:jc w:val="right"/>
              <w:ind w:right="40"/>
              <w:spacing w:after="0" w:line="149" w:lineRule="exact"/>
              <w:rPr>
                <w:sz w:val="20"/>
                <w:szCs w:val="20"/>
                <w:color w:val="auto"/>
              </w:rPr>
            </w:pPr>
            <w:r>
              <w:rPr>
                <w:rFonts w:ascii="Arial" w:cs="Arial" w:eastAsia="Arial" w:hAnsi="Arial"/>
                <w:sz w:val="13"/>
                <w:szCs w:val="13"/>
                <w:color w:val="auto"/>
              </w:rPr>
              <w:t>3.1%</w:t>
            </w:r>
          </w:p>
        </w:tc>
        <w:tc>
          <w:tcPr>
            <w:tcW w:w="1320" w:type="dxa"/>
            <w:vAlign w:val="bottom"/>
            <w:gridSpan w:val="4"/>
          </w:tcPr>
          <w:p>
            <w:pPr>
              <w:jc w:val="right"/>
              <w:ind w:right="380"/>
              <w:spacing w:after="0" w:line="149" w:lineRule="exact"/>
              <w:rPr>
                <w:sz w:val="20"/>
                <w:szCs w:val="20"/>
                <w:color w:val="auto"/>
              </w:rPr>
            </w:pPr>
            <w:r>
              <w:rPr>
                <w:rFonts w:ascii="Arial" w:cs="Arial" w:eastAsia="Arial" w:hAnsi="Arial"/>
                <w:sz w:val="13"/>
                <w:szCs w:val="13"/>
                <w:color w:val="auto"/>
              </w:rPr>
              <w:t>33.8900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tcPr>
          <w:p>
            <w:pPr>
              <w:jc w:val="right"/>
              <w:ind w:right="100"/>
              <w:spacing w:after="0" w:line="149" w:lineRule="exact"/>
              <w:rPr>
                <w:sz w:val="20"/>
                <w:szCs w:val="20"/>
                <w:color w:val="auto"/>
              </w:rPr>
            </w:pPr>
            <w:r>
              <w:rPr>
                <w:rFonts w:ascii="Arial" w:cs="Arial" w:eastAsia="Arial" w:hAnsi="Arial"/>
                <w:sz w:val="13"/>
                <w:szCs w:val="13"/>
                <w:color w:val="auto"/>
              </w:rPr>
              <w:t>Aug. 1, 2010</w:t>
            </w:r>
          </w:p>
        </w:tc>
        <w:tc>
          <w:tcPr>
            <w:tcW w:w="0" w:type="dxa"/>
            <w:vAlign w:val="bottom"/>
          </w:tcPr>
          <w:p>
            <w:pPr>
              <w:spacing w:after="0"/>
              <w:rPr>
                <w:sz w:val="1"/>
                <w:szCs w:val="1"/>
                <w:color w:val="auto"/>
              </w:rPr>
            </w:pPr>
          </w:p>
        </w:tc>
      </w:tr>
      <w:tr>
        <w:trPr>
          <w:trHeight w:val="165"/>
        </w:trPr>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Nov. 30, 2005</w:t>
            </w:r>
          </w:p>
        </w:tc>
        <w:tc>
          <w:tcPr>
            <w:tcW w:w="1580" w:type="dxa"/>
            <w:vAlign w:val="bottom"/>
            <w:gridSpan w:val="3"/>
          </w:tcPr>
          <w:p>
            <w:pPr>
              <w:jc w:val="right"/>
              <w:ind w:right="380"/>
              <w:spacing w:after="0"/>
              <w:rPr>
                <w:sz w:val="20"/>
                <w:szCs w:val="20"/>
                <w:color w:val="auto"/>
              </w:rPr>
            </w:pPr>
            <w:r>
              <w:rPr>
                <w:rFonts w:ascii="Arial" w:cs="Arial" w:eastAsia="Arial" w:hAnsi="Arial"/>
                <w:sz w:val="13"/>
                <w:szCs w:val="13"/>
                <w:color w:val="auto"/>
              </w:rPr>
              <w:t>25,000</w:t>
            </w:r>
          </w:p>
        </w:tc>
        <w:tc>
          <w:tcPr>
            <w:tcW w:w="1060" w:type="dxa"/>
            <w:vAlign w:val="bottom"/>
            <w:gridSpan w:val="4"/>
          </w:tcPr>
          <w:p>
            <w:pPr>
              <w:jc w:val="right"/>
              <w:ind w:right="40"/>
              <w:spacing w:after="0"/>
              <w:rPr>
                <w:sz w:val="20"/>
                <w:szCs w:val="20"/>
                <w:color w:val="auto"/>
              </w:rPr>
            </w:pPr>
            <w:r>
              <w:rPr>
                <w:rFonts w:ascii="Arial" w:cs="Arial" w:eastAsia="Arial" w:hAnsi="Arial"/>
                <w:sz w:val="13"/>
                <w:szCs w:val="13"/>
                <w:color w:val="auto"/>
              </w:rPr>
              <w:t>2.6%</w:t>
            </w:r>
          </w:p>
        </w:tc>
        <w:tc>
          <w:tcPr>
            <w:tcW w:w="1320" w:type="dxa"/>
            <w:vAlign w:val="bottom"/>
            <w:gridSpan w:val="4"/>
          </w:tcPr>
          <w:p>
            <w:pPr>
              <w:jc w:val="right"/>
              <w:ind w:right="380"/>
              <w:spacing w:after="0"/>
              <w:rPr>
                <w:sz w:val="20"/>
                <w:szCs w:val="20"/>
                <w:color w:val="auto"/>
              </w:rPr>
            </w:pPr>
            <w:r>
              <w:rPr>
                <w:rFonts w:ascii="Arial" w:cs="Arial" w:eastAsia="Arial" w:hAnsi="Arial"/>
                <w:sz w:val="13"/>
                <w:szCs w:val="13"/>
                <w:color w:val="auto"/>
              </w:rPr>
              <w:t>37.8300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3"/>
                <w:szCs w:val="13"/>
                <w:color w:val="auto"/>
              </w:rPr>
              <w:t>Nov. 30, 2015</w:t>
            </w:r>
          </w:p>
        </w:tc>
        <w:tc>
          <w:tcPr>
            <w:tcW w:w="0" w:type="dxa"/>
            <w:vAlign w:val="bottom"/>
          </w:tcPr>
          <w:p>
            <w:pPr>
              <w:spacing w:after="0"/>
              <w:rPr>
                <w:sz w:val="1"/>
                <w:szCs w:val="1"/>
                <w:color w:val="auto"/>
              </w:rPr>
            </w:pPr>
          </w:p>
        </w:tc>
      </w:tr>
      <w:tr>
        <w:trPr>
          <w:trHeight w:val="158"/>
        </w:trPr>
        <w:tc>
          <w:tcPr>
            <w:tcW w:w="36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M.O. Williamson</w:t>
            </w:r>
          </w:p>
        </w:tc>
        <w:tc>
          <w:tcPr>
            <w:tcW w:w="1200" w:type="dxa"/>
            <w:vAlign w:val="bottom"/>
            <w:shd w:val="clear" w:color="auto" w:fill="CCEEFF"/>
          </w:tcPr>
          <w:p>
            <w:pPr>
              <w:spacing w:after="0"/>
              <w:rPr>
                <w:sz w:val="20"/>
                <w:szCs w:val="20"/>
                <w:color w:val="auto"/>
              </w:rPr>
            </w:pPr>
            <w:r>
              <w:rPr>
                <w:rFonts w:ascii="Arial" w:cs="Arial" w:eastAsia="Arial" w:hAnsi="Arial"/>
                <w:sz w:val="13"/>
                <w:szCs w:val="13"/>
                <w:color w:val="auto"/>
              </w:rPr>
              <w:t>Aug. 1, 2005</w:t>
            </w:r>
          </w:p>
        </w:tc>
        <w:tc>
          <w:tcPr>
            <w:tcW w:w="158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30,000</w:t>
            </w:r>
          </w:p>
        </w:tc>
        <w:tc>
          <w:tcPr>
            <w:tcW w:w="106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3.1%</w:t>
            </w:r>
          </w:p>
        </w:tc>
        <w:tc>
          <w:tcPr>
            <w:tcW w:w="1320" w:type="dxa"/>
            <w:vAlign w:val="bottom"/>
            <w:gridSpan w:val="4"/>
            <w:shd w:val="clear" w:color="auto" w:fill="CCEEFF"/>
          </w:tcPr>
          <w:p>
            <w:pPr>
              <w:jc w:val="right"/>
              <w:ind w:right="380"/>
              <w:spacing w:after="0"/>
              <w:rPr>
                <w:sz w:val="20"/>
                <w:szCs w:val="20"/>
                <w:color w:val="auto"/>
              </w:rPr>
            </w:pPr>
            <w:r>
              <w:rPr>
                <w:rFonts w:ascii="Arial" w:cs="Arial" w:eastAsia="Arial" w:hAnsi="Arial"/>
                <w:sz w:val="13"/>
                <w:szCs w:val="13"/>
                <w:color w:val="auto"/>
              </w:rPr>
              <w:t>33.8900</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Aug. 1, 2010</w:t>
            </w:r>
          </w:p>
        </w:tc>
        <w:tc>
          <w:tcPr>
            <w:tcW w:w="0" w:type="dxa"/>
            <w:vAlign w:val="bottom"/>
          </w:tcPr>
          <w:p>
            <w:pPr>
              <w:spacing w:after="0"/>
              <w:rPr>
                <w:sz w:val="1"/>
                <w:szCs w:val="1"/>
                <w:color w:val="auto"/>
              </w:rPr>
            </w:pPr>
          </w:p>
        </w:tc>
      </w:tr>
      <w:tr>
        <w:trPr>
          <w:trHeight w:val="157"/>
        </w:trPr>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3"/>
                <w:szCs w:val="13"/>
                <w:color w:val="auto"/>
              </w:rPr>
              <w:t>Nov. 30, 2005</w:t>
            </w:r>
          </w:p>
        </w:tc>
        <w:tc>
          <w:tcPr>
            <w:tcW w:w="158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25,000</w:t>
            </w:r>
          </w:p>
        </w:tc>
        <w:tc>
          <w:tcPr>
            <w:tcW w:w="106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2.6%</w:t>
            </w:r>
          </w:p>
        </w:tc>
        <w:tc>
          <w:tcPr>
            <w:tcW w:w="1320" w:type="dxa"/>
            <w:vAlign w:val="bottom"/>
            <w:gridSpan w:val="4"/>
            <w:shd w:val="clear" w:color="auto" w:fill="CCEEFF"/>
          </w:tcPr>
          <w:p>
            <w:pPr>
              <w:jc w:val="right"/>
              <w:ind w:right="380"/>
              <w:spacing w:after="0"/>
              <w:rPr>
                <w:sz w:val="20"/>
                <w:szCs w:val="20"/>
                <w:color w:val="auto"/>
              </w:rPr>
            </w:pPr>
            <w:r>
              <w:rPr>
                <w:rFonts w:ascii="Arial" w:cs="Arial" w:eastAsia="Arial" w:hAnsi="Arial"/>
                <w:sz w:val="13"/>
                <w:szCs w:val="13"/>
                <w:color w:val="auto"/>
              </w:rPr>
              <w:t>37.8300</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Nov. 30, 2015</w:t>
            </w:r>
          </w:p>
        </w:tc>
        <w:tc>
          <w:tcPr>
            <w:tcW w:w="0" w:type="dxa"/>
            <w:vAlign w:val="bottom"/>
          </w:tcPr>
          <w:p>
            <w:pPr>
              <w:spacing w:after="0"/>
              <w:rPr>
                <w:sz w:val="1"/>
                <w:szCs w:val="1"/>
                <w:color w:val="auto"/>
              </w:rPr>
            </w:pPr>
          </w:p>
        </w:tc>
      </w:tr>
      <w:tr>
        <w:trPr>
          <w:trHeight w:val="268"/>
        </w:trPr>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gridSpan w:val="5"/>
          </w:tcPr>
          <w:p>
            <w:pPr>
              <w:jc w:val="center"/>
              <w:ind w:right="40"/>
              <w:spacing w:after="0"/>
              <w:rPr>
                <w:sz w:val="20"/>
                <w:szCs w:val="20"/>
                <w:color w:val="auto"/>
              </w:rPr>
            </w:pPr>
            <w:r>
              <w:rPr>
                <w:rFonts w:ascii="Arial" w:cs="Arial" w:eastAsia="Arial" w:hAnsi="Arial"/>
                <w:sz w:val="10"/>
                <w:szCs w:val="10"/>
                <w:b w:val="1"/>
                <w:bCs w:val="1"/>
                <w:color w:val="auto"/>
                <w:w w:val="93"/>
              </w:rPr>
              <w:t>Potential Realizable Value</w:t>
            </w: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gridSpan w:val="5"/>
          </w:tcPr>
          <w:p>
            <w:pPr>
              <w:jc w:val="center"/>
              <w:ind w:right="40"/>
              <w:spacing w:after="0" w:line="108" w:lineRule="exact"/>
              <w:rPr>
                <w:sz w:val="20"/>
                <w:szCs w:val="20"/>
                <w:color w:val="auto"/>
              </w:rPr>
            </w:pPr>
            <w:r>
              <w:rPr>
                <w:rFonts w:ascii="Arial" w:cs="Arial" w:eastAsia="Arial" w:hAnsi="Arial"/>
                <w:sz w:val="10"/>
                <w:szCs w:val="10"/>
                <w:b w:val="1"/>
                <w:bCs w:val="1"/>
                <w:color w:val="auto"/>
                <w:w w:val="92"/>
              </w:rPr>
              <w:t>at Assumed Rates of</w:t>
            </w: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362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Name</w:t>
            </w:r>
          </w:p>
        </w:tc>
        <w:tc>
          <w:tcPr>
            <w:tcW w:w="1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6"/>
          </w:tcPr>
          <w:p>
            <w:pPr>
              <w:jc w:val="center"/>
              <w:ind w:left="156"/>
              <w:spacing w:after="0"/>
              <w:rPr>
                <w:sz w:val="20"/>
                <w:szCs w:val="20"/>
                <w:color w:val="auto"/>
              </w:rPr>
            </w:pPr>
            <w:r>
              <w:rPr>
                <w:rFonts w:ascii="Arial" w:cs="Arial" w:eastAsia="Arial" w:hAnsi="Arial"/>
                <w:sz w:val="10"/>
                <w:szCs w:val="10"/>
                <w:b w:val="1"/>
                <w:bCs w:val="1"/>
                <w:color w:val="auto"/>
                <w:w w:val="94"/>
              </w:rPr>
              <w:t>Stock Price Appreciation(3)</w:t>
            </w:r>
          </w:p>
        </w:tc>
        <w:tc>
          <w:tcPr>
            <w:tcW w:w="9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620" w:type="dxa"/>
            <w:vAlign w:val="bottom"/>
            <w:gridSpan w:val="3"/>
            <w:vMerge w:val="continue"/>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jc w:val="right"/>
              <w:spacing w:after="0" w:line="108" w:lineRule="exact"/>
              <w:rPr>
                <w:sz w:val="20"/>
                <w:szCs w:val="20"/>
                <w:color w:val="auto"/>
              </w:rPr>
            </w:pPr>
            <w:r>
              <w:rPr>
                <w:rFonts w:ascii="Arial" w:cs="Arial" w:eastAsia="Arial" w:hAnsi="Arial"/>
                <w:sz w:val="10"/>
                <w:szCs w:val="10"/>
                <w:b w:val="1"/>
                <w:bCs w:val="1"/>
                <w:u w:val="single" w:color="auto"/>
                <w:color w:val="auto"/>
                <w:w w:val="97"/>
              </w:rPr>
              <w:t>0%($</w:t>
            </w:r>
            <w:r>
              <w:rPr>
                <w:rFonts w:ascii="Arial" w:cs="Arial" w:eastAsia="Arial" w:hAnsi="Arial"/>
                <w:sz w:val="10"/>
                <w:szCs w:val="10"/>
                <w:b w:val="1"/>
                <w:bCs w:val="1"/>
                <w:color w:val="auto"/>
                <w:w w:val="97"/>
              </w:rPr>
              <w:t>)</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gridSpan w:val="2"/>
          </w:tcPr>
          <w:p>
            <w:pPr>
              <w:jc w:val="right"/>
              <w:ind w:right="188"/>
              <w:spacing w:after="0" w:line="108" w:lineRule="exact"/>
              <w:rPr>
                <w:sz w:val="20"/>
                <w:szCs w:val="20"/>
                <w:color w:val="auto"/>
              </w:rPr>
            </w:pPr>
            <w:r>
              <w:rPr>
                <w:rFonts w:ascii="Arial" w:cs="Arial" w:eastAsia="Arial" w:hAnsi="Arial"/>
                <w:sz w:val="10"/>
                <w:szCs w:val="10"/>
                <w:b w:val="1"/>
                <w:bCs w:val="1"/>
                <w:color w:val="auto"/>
              </w:rPr>
              <w:t>5%($)(6)</w:t>
            </w: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jc w:val="right"/>
              <w:ind w:right="256"/>
              <w:spacing w:after="0" w:line="108" w:lineRule="exact"/>
              <w:rPr>
                <w:sz w:val="20"/>
                <w:szCs w:val="20"/>
                <w:color w:val="auto"/>
              </w:rPr>
            </w:pPr>
            <w:r>
              <w:rPr>
                <w:rFonts w:ascii="Arial" w:cs="Arial" w:eastAsia="Arial" w:hAnsi="Arial"/>
                <w:sz w:val="10"/>
                <w:szCs w:val="10"/>
                <w:b w:val="1"/>
                <w:bCs w:val="1"/>
                <w:color w:val="auto"/>
              </w:rPr>
              <w:t>10%($)(6)</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6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F.M. Jaehnert</w:t>
            </w:r>
          </w:p>
        </w:tc>
        <w:tc>
          <w:tcPr>
            <w:tcW w:w="1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0</w:t>
            </w:r>
          </w:p>
        </w:tc>
        <w:tc>
          <w:tcPr>
            <w:tcW w:w="16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2,057,653</w:t>
            </w: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4,642,497</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620" w:type="dxa"/>
            <w:vAlign w:val="bottom"/>
            <w:gridSpan w:val="3"/>
          </w:tcPr>
          <w:p>
            <w:pPr>
              <w:spacing w:after="0"/>
              <w:rPr>
                <w:sz w:val="20"/>
                <w:szCs w:val="20"/>
                <w:color w:val="auto"/>
              </w:rPr>
            </w:pPr>
            <w:r>
              <w:rPr>
                <w:rFonts w:ascii="Arial" w:cs="Arial" w:eastAsia="Arial" w:hAnsi="Arial"/>
                <w:sz w:val="13"/>
                <w:szCs w:val="13"/>
                <w:color w:val="auto"/>
              </w:rPr>
              <w:t>D.R. Hawke</w:t>
            </w: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13"/>
                <w:szCs w:val="13"/>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3"/>
                <w:szCs w:val="13"/>
                <w:color w:val="auto"/>
              </w:rPr>
              <w:t>1,028,826</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3"/>
                <w:szCs w:val="13"/>
                <w:color w:val="auto"/>
              </w:rPr>
              <w:t>2,321,249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6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 Mathieson</w:t>
            </w:r>
          </w:p>
        </w:tc>
        <w:tc>
          <w:tcPr>
            <w:tcW w:w="1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0</w:t>
            </w:r>
          </w:p>
        </w:tc>
        <w:tc>
          <w:tcPr>
            <w:tcW w:w="16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1,028,826</w:t>
            </w: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2,321,249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620" w:type="dxa"/>
            <w:vAlign w:val="bottom"/>
            <w:gridSpan w:val="3"/>
          </w:tcPr>
          <w:p>
            <w:pPr>
              <w:spacing w:after="0"/>
              <w:rPr>
                <w:sz w:val="20"/>
                <w:szCs w:val="20"/>
                <w:color w:val="auto"/>
              </w:rPr>
            </w:pPr>
            <w:r>
              <w:rPr>
                <w:rFonts w:ascii="Arial" w:cs="Arial" w:eastAsia="Arial" w:hAnsi="Arial"/>
                <w:sz w:val="13"/>
                <w:szCs w:val="13"/>
                <w:color w:val="auto"/>
              </w:rPr>
              <w:t>P.C. Sephton</w:t>
            </w: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13"/>
                <w:szCs w:val="13"/>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3"/>
                <w:szCs w:val="13"/>
                <w:color w:val="auto"/>
              </w:rPr>
              <w:t>1,028,826</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3"/>
                <w:szCs w:val="13"/>
                <w:color w:val="auto"/>
              </w:rPr>
              <w:t>2,321,249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6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M. O. Williamson</w:t>
            </w:r>
          </w:p>
        </w:tc>
        <w:tc>
          <w:tcPr>
            <w:tcW w:w="1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0</w:t>
            </w:r>
          </w:p>
        </w:tc>
        <w:tc>
          <w:tcPr>
            <w:tcW w:w="16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1,028,826</w:t>
            </w: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2,321,249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460" w:type="dxa"/>
            <w:vAlign w:val="bottom"/>
            <w:gridSpan w:val="11"/>
          </w:tcPr>
          <w:p>
            <w:pPr>
              <w:spacing w:after="0" w:line="149" w:lineRule="exact"/>
              <w:rPr>
                <w:sz w:val="20"/>
                <w:szCs w:val="20"/>
                <w:color w:val="auto"/>
              </w:rPr>
            </w:pPr>
            <w:r>
              <w:rPr>
                <w:rFonts w:ascii="Arial" w:cs="Arial" w:eastAsia="Arial" w:hAnsi="Arial"/>
                <w:sz w:val="13"/>
                <w:szCs w:val="13"/>
                <w:color w:val="auto"/>
                <w:w w:val="95"/>
              </w:rPr>
              <w:t>All Stockholders’ Gains (increase in market value of Brady Corporation Common Stock at assumed rates of stock price appreciation)(4)</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300" w:type="dxa"/>
            <w:vAlign w:val="bottom"/>
            <w:gridSpan w:val="2"/>
          </w:tcPr>
          <w:p>
            <w:pPr>
              <w:ind w:left="140"/>
              <w:spacing w:after="0"/>
              <w:rPr>
                <w:sz w:val="20"/>
                <w:szCs w:val="20"/>
                <w:color w:val="auto"/>
              </w:rPr>
            </w:pPr>
            <w:r>
              <w:rPr>
                <w:rFonts w:ascii="Arial" w:cs="Arial" w:eastAsia="Arial" w:hAnsi="Arial"/>
                <w:sz w:val="13"/>
                <w:szCs w:val="13"/>
                <w:color w:val="auto"/>
              </w:rPr>
              <w:t>(6)</w:t>
            </w:r>
          </w:p>
        </w:tc>
        <w:tc>
          <w:tcPr>
            <w:tcW w:w="2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3"/>
                <w:szCs w:val="13"/>
                <w:color w:val="auto"/>
              </w:rPr>
              <w:t>938,829,144</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3"/>
                <w:szCs w:val="13"/>
                <w:color w:val="auto"/>
              </w:rPr>
              <w:t>2,118,196,030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620" w:type="dxa"/>
            <w:vAlign w:val="bottom"/>
            <w:gridSpan w:val="3"/>
            <w:shd w:val="clear" w:color="auto" w:fill="CCEEFF"/>
          </w:tcPr>
          <w:p>
            <w:pPr>
              <w:spacing w:after="0"/>
              <w:rPr>
                <w:sz w:val="20"/>
                <w:szCs w:val="20"/>
                <w:color w:val="auto"/>
              </w:rPr>
            </w:pPr>
            <w:r>
              <w:rPr>
                <w:rFonts w:ascii="Arial" w:cs="Arial" w:eastAsia="Arial" w:hAnsi="Arial"/>
                <w:sz w:val="13"/>
                <w:szCs w:val="13"/>
                <w:color w:val="auto"/>
                <w:w w:val="94"/>
              </w:rPr>
              <w:t>All Optionees’ Gains (as a percent of all shareholders’ gains)(5)(6)</w:t>
            </w:r>
          </w:p>
        </w:tc>
        <w:tc>
          <w:tcPr>
            <w:tcW w:w="1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gridSpan w:val="4"/>
            <w:shd w:val="clear" w:color="auto" w:fill="CCEEFF"/>
          </w:tcPr>
          <w:p>
            <w:pPr>
              <w:jc w:val="right"/>
              <w:ind w:right="300"/>
              <w:spacing w:after="0"/>
              <w:rPr>
                <w:sz w:val="20"/>
                <w:szCs w:val="20"/>
                <w:color w:val="auto"/>
              </w:rPr>
            </w:pPr>
            <w:r>
              <w:rPr>
                <w:rFonts w:ascii="Arial" w:cs="Arial" w:eastAsia="Arial" w:hAnsi="Arial"/>
                <w:sz w:val="13"/>
                <w:szCs w:val="13"/>
                <w:color w:val="auto"/>
              </w:rPr>
              <w:t>1.94%</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1.93%</w:t>
            </w:r>
          </w:p>
        </w:tc>
        <w:tc>
          <w:tcPr>
            <w:tcW w:w="0" w:type="dxa"/>
            <w:vAlign w:val="bottom"/>
          </w:tcPr>
          <w:p>
            <w:pPr>
              <w:spacing w:after="0"/>
              <w:rPr>
                <w:sz w:val="1"/>
                <w:szCs w:val="1"/>
                <w:color w:val="auto"/>
              </w:rPr>
            </w:pPr>
          </w:p>
        </w:tc>
      </w:tr>
      <w:tr>
        <w:trPr>
          <w:trHeight w:val="98"/>
        </w:trPr>
        <w:tc>
          <w:tcPr>
            <w:tcW w:w="8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3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-2327275</wp:posOffset>
            </wp:positionV>
            <wp:extent cx="24765"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4765" cy="6350"/>
                    </a:xfrm>
                    <a:prstGeom prst="rect">
                      <a:avLst/>
                    </a:prstGeom>
                    <a:noFill/>
                  </pic:spPr>
                </pic:pic>
              </a:graphicData>
            </a:graphic>
          </wp:anchor>
        </w:drawing>
      </w:r>
    </w:p>
    <w:p>
      <w:pPr>
        <w:spacing w:after="0" w:line="20" w:lineRule="exact"/>
        <w:rPr>
          <w:sz w:val="20"/>
          <w:szCs w:val="20"/>
          <w:color w:val="auto"/>
        </w:rPr>
      </w:pPr>
    </w:p>
    <w:p>
      <w:pPr>
        <w:ind w:left="1000" w:right="240" w:hanging="259"/>
        <w:spacing w:after="0" w:line="276" w:lineRule="auto"/>
        <w:tabs>
          <w:tab w:leader="none" w:pos="10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options granted August 1, 2005 equally vest upon meeting certain financial goals in fiscal 2006, 2007 and 2008. The financial goals in 2006 have been met and one-third of the options have vested. The options have a term of five years.</w:t>
      </w:r>
    </w:p>
    <w:p>
      <w:pPr>
        <w:spacing w:after="0" w:line="10" w:lineRule="exact"/>
        <w:rPr>
          <w:rFonts w:ascii="Arial" w:cs="Arial" w:eastAsia="Arial" w:hAnsi="Arial"/>
          <w:sz w:val="13"/>
          <w:szCs w:val="13"/>
          <w:color w:val="auto"/>
        </w:rPr>
      </w:pPr>
    </w:p>
    <w:p>
      <w:pPr>
        <w:ind w:left="1000" w:right="40"/>
        <w:spacing w:after="0" w:line="276" w:lineRule="auto"/>
        <w:rPr>
          <w:rFonts w:ascii="Arial" w:cs="Arial" w:eastAsia="Arial" w:hAnsi="Arial"/>
          <w:sz w:val="13"/>
          <w:szCs w:val="13"/>
          <w:color w:val="auto"/>
        </w:rPr>
      </w:pPr>
      <w:r>
        <w:rPr>
          <w:rFonts w:ascii="Arial" w:cs="Arial" w:eastAsia="Arial" w:hAnsi="Arial"/>
          <w:sz w:val="13"/>
          <w:szCs w:val="13"/>
          <w:color w:val="auto"/>
        </w:rPr>
        <w:t>The options granted November 30, 2005, become exercisable as follows: one-third of the shares on November 30, 2006, one-third of the shares on November 30, 2007 and one-third of the shares on November 30, 2008. These options have a term of ten years.</w:t>
      </w:r>
    </w:p>
    <w:p>
      <w:pPr>
        <w:spacing w:after="0" w:line="10" w:lineRule="exact"/>
        <w:rPr>
          <w:rFonts w:ascii="Arial" w:cs="Arial" w:eastAsia="Arial" w:hAnsi="Arial"/>
          <w:sz w:val="13"/>
          <w:szCs w:val="13"/>
          <w:color w:val="auto"/>
        </w:rPr>
      </w:pPr>
    </w:p>
    <w:p>
      <w:pPr>
        <w:ind w:left="1000" w:hanging="259"/>
        <w:spacing w:after="0"/>
        <w:tabs>
          <w:tab w:leader="none" w:pos="1000" w:val="left"/>
        </w:tabs>
        <w:numPr>
          <w:ilvl w:val="0"/>
          <w:numId w:val="32"/>
        </w:numPr>
        <w:rPr>
          <w:rFonts w:ascii="Arial" w:cs="Arial" w:eastAsia="Arial" w:hAnsi="Arial"/>
          <w:sz w:val="11"/>
          <w:szCs w:val="11"/>
          <w:color w:val="auto"/>
        </w:rPr>
      </w:pPr>
      <w:r>
        <w:rPr>
          <w:rFonts w:ascii="Arial" w:cs="Arial" w:eastAsia="Arial" w:hAnsi="Arial"/>
          <w:sz w:val="11"/>
          <w:szCs w:val="11"/>
          <w:color w:val="auto"/>
        </w:rPr>
        <w:t>The exercise price is the average of the highest and lowest sale prices of the Company’s Class A Common Stock as reported by the New York Stock Exchange on the date of the grant</w:t>
      </w:r>
    </w:p>
    <w:p>
      <w:pPr>
        <w:spacing w:after="0" w:line="70" w:lineRule="exact"/>
        <w:rPr>
          <w:rFonts w:ascii="Arial" w:cs="Arial" w:eastAsia="Arial" w:hAnsi="Arial"/>
          <w:sz w:val="11"/>
          <w:szCs w:val="11"/>
          <w:color w:val="auto"/>
        </w:rPr>
      </w:pPr>
    </w:p>
    <w:p>
      <w:pPr>
        <w:ind w:left="1000" w:right="40" w:hanging="259"/>
        <w:spacing w:after="0" w:line="276" w:lineRule="auto"/>
        <w:tabs>
          <w:tab w:leader="none" w:pos="10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For options with a ten-year life, represents total potential appreciation of approximately 0%, 63% and 159% for assumed annual rates of appreciation of 0%, 5% and 10%, respectively, compounded annually for ten years.</w:t>
      </w:r>
    </w:p>
    <w:p>
      <w:pPr>
        <w:spacing w:after="0" w:line="10" w:lineRule="exact"/>
        <w:rPr>
          <w:rFonts w:ascii="Arial" w:cs="Arial" w:eastAsia="Arial" w:hAnsi="Arial"/>
          <w:sz w:val="13"/>
          <w:szCs w:val="13"/>
          <w:color w:val="auto"/>
        </w:rPr>
      </w:pPr>
    </w:p>
    <w:p>
      <w:pPr>
        <w:ind w:left="1000" w:right="60"/>
        <w:spacing w:after="0" w:line="276" w:lineRule="auto"/>
        <w:rPr>
          <w:rFonts w:ascii="Arial" w:cs="Arial" w:eastAsia="Arial" w:hAnsi="Arial"/>
          <w:sz w:val="13"/>
          <w:szCs w:val="13"/>
          <w:color w:val="auto"/>
        </w:rPr>
      </w:pPr>
      <w:r>
        <w:rPr>
          <w:rFonts w:ascii="Arial" w:cs="Arial" w:eastAsia="Arial" w:hAnsi="Arial"/>
          <w:sz w:val="13"/>
          <w:szCs w:val="13"/>
          <w:color w:val="auto"/>
        </w:rPr>
        <w:t>For options with a five-year life, represents total potential appreciation of approximately 0%, 28% and 61% for assumed annual rates of appreciation of 0%, 5% and 10%, respectively, compounded annually for five years.</w:t>
      </w:r>
    </w:p>
    <w:p>
      <w:pPr>
        <w:spacing w:after="0" w:line="25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III-6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00" w:right="220" w:hanging="259"/>
        <w:spacing w:after="0" w:line="276" w:lineRule="auto"/>
        <w:tabs>
          <w:tab w:leader="none" w:pos="10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Calculated from the $33.8900 exercise price applicable to the options granted on August 1, 2005 and the $37.8300 exercise price applicable to the options granted on November 30, 2005 based on the fiscal 2006 average of Class A Common Stock outstanding of 45,473,676.</w:t>
      </w:r>
    </w:p>
    <w:p>
      <w:pPr>
        <w:spacing w:after="0" w:line="10" w:lineRule="exact"/>
        <w:rPr>
          <w:rFonts w:ascii="Arial" w:cs="Arial" w:eastAsia="Arial" w:hAnsi="Arial"/>
          <w:sz w:val="13"/>
          <w:szCs w:val="13"/>
          <w:color w:val="auto"/>
        </w:rPr>
      </w:pPr>
    </w:p>
    <w:p>
      <w:pPr>
        <w:ind w:left="1000" w:right="140" w:hanging="259"/>
        <w:spacing w:after="0" w:line="276" w:lineRule="auto"/>
        <w:tabs>
          <w:tab w:leader="none" w:pos="10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Represents potential realizable value for all options granted in fiscal 2006 compared to the increase in market value of Brady Corporation Class A Common Stock at assumed rates of stock price appreciation.</w:t>
      </w:r>
    </w:p>
    <w:p>
      <w:pPr>
        <w:spacing w:after="0" w:line="10" w:lineRule="exact"/>
        <w:rPr>
          <w:rFonts w:ascii="Arial" w:cs="Arial" w:eastAsia="Arial" w:hAnsi="Arial"/>
          <w:sz w:val="13"/>
          <w:szCs w:val="13"/>
          <w:color w:val="auto"/>
        </w:rPr>
      </w:pPr>
    </w:p>
    <w:p>
      <w:pPr>
        <w:ind w:left="1000" w:right="320" w:hanging="259"/>
        <w:spacing w:after="0" w:line="276" w:lineRule="auto"/>
        <w:tabs>
          <w:tab w:leader="none" w:pos="10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Company disavows the ability of any valuation model to predict or estimate the Company’s future stock price or to place a reasonably accurate present value on these options because any model depends on assumptions about the stock’s future price movement that the Company is unable to predict.</w:t>
      </w:r>
    </w:p>
    <w:p>
      <w:pPr>
        <w:spacing w:after="0" w:line="13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AGGREGATED OPTION EXERCISES IN FISCAL 2006</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AND VALUE OF OPTIONS AT END OF FISCAL 2006</w:t>
      </w:r>
    </w:p>
    <w:p>
      <w:pPr>
        <w:spacing w:after="0" w:line="8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420" w:type="dxa"/>
            <w:vAlign w:val="bottom"/>
            <w:gridSpan w:val="2"/>
            <w:vMerge w:val="restart"/>
          </w:tcPr>
          <w:p>
            <w:pPr>
              <w:jc w:val="center"/>
              <w:ind w:right="400"/>
              <w:spacing w:after="0"/>
              <w:rPr>
                <w:sz w:val="20"/>
                <w:szCs w:val="20"/>
                <w:color w:val="auto"/>
              </w:rPr>
            </w:pPr>
            <w:r>
              <w:rPr>
                <w:rFonts w:ascii="Arial" w:cs="Arial" w:eastAsia="Arial" w:hAnsi="Arial"/>
                <w:sz w:val="10"/>
                <w:szCs w:val="10"/>
                <w:b w:val="1"/>
                <w:bCs w:val="1"/>
                <w:color w:val="auto"/>
                <w:w w:val="89"/>
              </w:rPr>
              <w:t>Shares</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60" w:type="dxa"/>
            <w:vAlign w:val="bottom"/>
            <w:gridSpan w:val="4"/>
          </w:tcPr>
          <w:p>
            <w:pPr>
              <w:jc w:val="center"/>
              <w:ind w:right="100"/>
              <w:spacing w:after="0"/>
              <w:rPr>
                <w:sz w:val="20"/>
                <w:szCs w:val="20"/>
                <w:color w:val="auto"/>
              </w:rPr>
            </w:pPr>
            <w:r>
              <w:rPr>
                <w:rFonts w:ascii="Arial" w:cs="Arial" w:eastAsia="Arial" w:hAnsi="Arial"/>
                <w:sz w:val="10"/>
                <w:szCs w:val="10"/>
                <w:b w:val="1"/>
                <w:bCs w:val="1"/>
                <w:color w:val="auto"/>
                <w:w w:val="95"/>
              </w:rPr>
              <w:t>Number of Securities Underlying</w:t>
            </w: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60" w:type="dxa"/>
            <w:vAlign w:val="bottom"/>
            <w:gridSpan w:val="4"/>
          </w:tcPr>
          <w:p>
            <w:pPr>
              <w:jc w:val="center"/>
              <w:ind w:right="100"/>
              <w:spacing w:after="0" w:line="108" w:lineRule="exact"/>
              <w:rPr>
                <w:sz w:val="20"/>
                <w:szCs w:val="20"/>
                <w:color w:val="auto"/>
              </w:rPr>
            </w:pPr>
            <w:r>
              <w:rPr>
                <w:rFonts w:ascii="Arial" w:cs="Arial" w:eastAsia="Arial" w:hAnsi="Arial"/>
                <w:sz w:val="10"/>
                <w:szCs w:val="10"/>
                <w:b w:val="1"/>
                <w:bCs w:val="1"/>
                <w:color w:val="auto"/>
                <w:w w:val="93"/>
              </w:rPr>
              <w:t>Unexercised Options at</w:t>
            </w:r>
          </w:p>
        </w:tc>
        <w:tc>
          <w:tcPr>
            <w:tcW w:w="0" w:type="dxa"/>
            <w:vAlign w:val="bottom"/>
          </w:tcPr>
          <w:p>
            <w:pPr>
              <w:spacing w:after="0"/>
              <w:rPr>
                <w:sz w:val="1"/>
                <w:szCs w:val="1"/>
                <w:color w:val="auto"/>
              </w:rPr>
            </w:pPr>
          </w:p>
        </w:tc>
      </w:tr>
      <w:tr>
        <w:trPr>
          <w:trHeight w:val="125"/>
        </w:trPr>
        <w:tc>
          <w:tcPr>
            <w:tcW w:w="4700" w:type="dxa"/>
            <w:vAlign w:val="bottom"/>
            <w:gridSpan w:val="3"/>
            <w:vMerge w:val="restart"/>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w:t>
            </w:r>
          </w:p>
        </w:tc>
        <w:tc>
          <w:tcPr>
            <w:tcW w:w="14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2"/>
              </w:rPr>
              <w:t>Acquired on</w:t>
            </w:r>
          </w:p>
        </w:tc>
        <w:tc>
          <w:tcPr>
            <w:tcW w:w="1200" w:type="dxa"/>
            <w:vAlign w:val="bottom"/>
            <w:gridSpan w:val="3"/>
          </w:tcPr>
          <w:p>
            <w:pPr>
              <w:jc w:val="center"/>
              <w:ind w:right="400"/>
              <w:spacing w:after="0"/>
              <w:rPr>
                <w:sz w:val="20"/>
                <w:szCs w:val="20"/>
                <w:color w:val="auto"/>
              </w:rPr>
            </w:pPr>
            <w:r>
              <w:rPr>
                <w:rFonts w:ascii="Arial" w:cs="Arial" w:eastAsia="Arial" w:hAnsi="Arial"/>
                <w:sz w:val="10"/>
                <w:szCs w:val="10"/>
                <w:b w:val="1"/>
                <w:bCs w:val="1"/>
                <w:color w:val="auto"/>
                <w:w w:val="89"/>
              </w:rPr>
              <w:t>Value</w:t>
            </w:r>
          </w:p>
        </w:tc>
        <w:tc>
          <w:tcPr>
            <w:tcW w:w="980" w:type="dxa"/>
            <w:vAlign w:val="bottom"/>
          </w:tcPr>
          <w:p>
            <w:pPr>
              <w:spacing w:after="0"/>
              <w:rPr>
                <w:sz w:val="10"/>
                <w:szCs w:val="10"/>
                <w:color w:val="auto"/>
              </w:rPr>
            </w:pPr>
          </w:p>
        </w:tc>
        <w:tc>
          <w:tcPr>
            <w:tcW w:w="1680" w:type="dxa"/>
            <w:vAlign w:val="bottom"/>
            <w:gridSpan w:val="3"/>
          </w:tcPr>
          <w:p>
            <w:pPr>
              <w:jc w:val="center"/>
              <w:ind w:right="1080"/>
              <w:spacing w:after="0"/>
              <w:rPr>
                <w:sz w:val="20"/>
                <w:szCs w:val="20"/>
                <w:color w:val="auto"/>
              </w:rPr>
            </w:pPr>
            <w:r>
              <w:rPr>
                <w:rFonts w:ascii="Arial" w:cs="Arial" w:eastAsia="Arial" w:hAnsi="Arial"/>
                <w:sz w:val="10"/>
                <w:szCs w:val="10"/>
                <w:b w:val="1"/>
                <w:bCs w:val="1"/>
                <w:color w:val="auto"/>
                <w:w w:val="97"/>
              </w:rPr>
              <w:t>July 31, 2006</w:t>
            </w:r>
          </w:p>
        </w:tc>
        <w:tc>
          <w:tcPr>
            <w:tcW w:w="0" w:type="dxa"/>
            <w:vAlign w:val="bottom"/>
          </w:tcPr>
          <w:p>
            <w:pPr>
              <w:spacing w:after="0"/>
              <w:rPr>
                <w:sz w:val="1"/>
                <w:szCs w:val="1"/>
                <w:color w:val="auto"/>
              </w:rPr>
            </w:pPr>
          </w:p>
        </w:tc>
      </w:tr>
      <w:tr>
        <w:trPr>
          <w:trHeight w:val="108"/>
        </w:trPr>
        <w:tc>
          <w:tcPr>
            <w:tcW w:w="4700" w:type="dxa"/>
            <w:vAlign w:val="bottom"/>
            <w:gridSpan w:val="3"/>
            <w:vMerge w:val="continue"/>
          </w:tcPr>
          <w:p>
            <w:pPr>
              <w:spacing w:after="0"/>
              <w:rPr>
                <w:sz w:val="9"/>
                <w:szCs w:val="9"/>
                <w:color w:val="auto"/>
              </w:rPr>
            </w:pPr>
          </w:p>
        </w:tc>
        <w:tc>
          <w:tcPr>
            <w:tcW w:w="142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4"/>
              </w:rPr>
              <w:t>Exercise(#)(2)</w:t>
            </w:r>
          </w:p>
        </w:tc>
        <w:tc>
          <w:tcPr>
            <w:tcW w:w="1200" w:type="dxa"/>
            <w:vAlign w:val="bottom"/>
            <w:gridSpan w:val="3"/>
          </w:tcPr>
          <w:p>
            <w:pPr>
              <w:jc w:val="center"/>
              <w:ind w:right="400"/>
              <w:spacing w:after="0" w:line="108" w:lineRule="exact"/>
              <w:rPr>
                <w:sz w:val="20"/>
                <w:szCs w:val="20"/>
                <w:color w:val="auto"/>
              </w:rPr>
            </w:pPr>
            <w:r>
              <w:rPr>
                <w:rFonts w:ascii="Arial" w:cs="Arial" w:eastAsia="Arial" w:hAnsi="Arial"/>
                <w:sz w:val="10"/>
                <w:szCs w:val="10"/>
                <w:b w:val="1"/>
                <w:bCs w:val="1"/>
                <w:color w:val="auto"/>
                <w:w w:val="98"/>
              </w:rPr>
              <w:t>Realized($)</w:t>
            </w:r>
          </w:p>
        </w:tc>
        <w:tc>
          <w:tcPr>
            <w:tcW w:w="980" w:type="dxa"/>
            <w:vAlign w:val="bottom"/>
            <w:tcBorders>
              <w:top w:val="single" w:sz="8" w:color="auto"/>
            </w:tcBorders>
          </w:tcPr>
          <w:p>
            <w:pPr>
              <w:jc w:val="right"/>
              <w:ind w:right="119"/>
              <w:spacing w:after="0" w:line="108" w:lineRule="exact"/>
              <w:rPr>
                <w:sz w:val="20"/>
                <w:szCs w:val="20"/>
                <w:color w:val="auto"/>
              </w:rPr>
            </w:pPr>
            <w:r>
              <w:rPr>
                <w:rFonts w:ascii="Arial" w:cs="Arial" w:eastAsia="Arial" w:hAnsi="Arial"/>
                <w:sz w:val="10"/>
                <w:szCs w:val="10"/>
                <w:b w:val="1"/>
                <w:bCs w:val="1"/>
                <w:color w:val="auto"/>
              </w:rPr>
              <w:t>Exercisable(#)</w:t>
            </w:r>
          </w:p>
        </w:tc>
        <w:tc>
          <w:tcPr>
            <w:tcW w:w="400" w:type="dxa"/>
            <w:vAlign w:val="bottom"/>
            <w:tcBorders>
              <w:top w:val="single" w:sz="8" w:color="auto"/>
            </w:tcBorders>
          </w:tcPr>
          <w:p>
            <w:pPr>
              <w:spacing w:after="0"/>
              <w:rPr>
                <w:sz w:val="9"/>
                <w:szCs w:val="9"/>
                <w:color w:val="auto"/>
              </w:rPr>
            </w:pPr>
          </w:p>
        </w:tc>
        <w:tc>
          <w:tcPr>
            <w:tcW w:w="1180" w:type="dxa"/>
            <w:vAlign w:val="bottom"/>
            <w:tcBorders>
              <w:top w:val="single" w:sz="8" w:color="auto"/>
            </w:tcBorders>
          </w:tcPr>
          <w:p>
            <w:pPr>
              <w:ind w:left="220"/>
              <w:spacing w:after="0" w:line="108" w:lineRule="exact"/>
              <w:rPr>
                <w:sz w:val="20"/>
                <w:szCs w:val="20"/>
                <w:color w:val="auto"/>
              </w:rPr>
            </w:pPr>
            <w:r>
              <w:rPr>
                <w:rFonts w:ascii="Arial" w:cs="Arial" w:eastAsia="Arial" w:hAnsi="Arial"/>
                <w:sz w:val="10"/>
                <w:szCs w:val="10"/>
                <w:b w:val="1"/>
                <w:bCs w:val="1"/>
                <w:color w:val="auto"/>
              </w:rPr>
              <w:t>Unexercisable(#)</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F.M. Jaehnert</w:t>
            </w: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45,200</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1,309,477</w:t>
            </w:r>
          </w:p>
        </w:tc>
        <w:tc>
          <w:tcPr>
            <w:tcW w:w="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286,000</w:t>
            </w: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414,000</w:t>
            </w:r>
          </w:p>
        </w:tc>
        <w:tc>
          <w:tcPr>
            <w:tcW w:w="0" w:type="dxa"/>
            <w:vAlign w:val="bottom"/>
          </w:tcPr>
          <w:p>
            <w:pPr>
              <w:spacing w:after="0"/>
              <w:rPr>
                <w:sz w:val="1"/>
                <w:szCs w:val="1"/>
                <w:color w:val="auto"/>
              </w:rPr>
            </w:pPr>
          </w:p>
        </w:tc>
      </w:tr>
      <w:tr>
        <w:trPr>
          <w:trHeight w:val="157"/>
        </w:trPr>
        <w:tc>
          <w:tcPr>
            <w:tcW w:w="4700" w:type="dxa"/>
            <w:vAlign w:val="bottom"/>
            <w:gridSpan w:val="3"/>
          </w:tcPr>
          <w:p>
            <w:pPr>
              <w:spacing w:after="0"/>
              <w:rPr>
                <w:sz w:val="20"/>
                <w:szCs w:val="20"/>
                <w:color w:val="auto"/>
              </w:rPr>
            </w:pPr>
            <w:r>
              <w:rPr>
                <w:rFonts w:ascii="Arial" w:cs="Arial" w:eastAsia="Arial" w:hAnsi="Arial"/>
                <w:sz w:val="13"/>
                <w:szCs w:val="13"/>
                <w:color w:val="auto"/>
              </w:rPr>
              <w:t>D.R. Hawke</w:t>
            </w:r>
          </w:p>
        </w:tc>
        <w:tc>
          <w:tcPr>
            <w:tcW w:w="1420" w:type="dxa"/>
            <w:vAlign w:val="bottom"/>
            <w:gridSpan w:val="2"/>
          </w:tcPr>
          <w:p>
            <w:pPr>
              <w:jc w:val="right"/>
              <w:ind w:right="400"/>
              <w:spacing w:after="0"/>
              <w:rPr>
                <w:sz w:val="20"/>
                <w:szCs w:val="20"/>
                <w:color w:val="auto"/>
              </w:rPr>
            </w:pPr>
            <w:r>
              <w:rPr>
                <w:rFonts w:ascii="Arial" w:cs="Arial" w:eastAsia="Arial" w:hAnsi="Arial"/>
                <w:sz w:val="13"/>
                <w:szCs w:val="13"/>
                <w:color w:val="auto"/>
              </w:rPr>
              <w:t>178,000</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4,400,288</w:t>
            </w:r>
          </w:p>
        </w:tc>
        <w:tc>
          <w:tcPr>
            <w:tcW w:w="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66,667</w:t>
            </w:r>
          </w:p>
        </w:tc>
        <w:tc>
          <w:tcPr>
            <w:tcW w:w="1680" w:type="dxa"/>
            <w:vAlign w:val="bottom"/>
            <w:gridSpan w:val="3"/>
          </w:tcPr>
          <w:p>
            <w:pPr>
              <w:jc w:val="right"/>
              <w:ind w:right="100"/>
              <w:spacing w:after="0"/>
              <w:rPr>
                <w:sz w:val="20"/>
                <w:szCs w:val="20"/>
                <w:color w:val="auto"/>
              </w:rPr>
            </w:pPr>
            <w:r>
              <w:rPr>
                <w:rFonts w:ascii="Arial" w:cs="Arial" w:eastAsia="Arial" w:hAnsi="Arial"/>
                <w:sz w:val="13"/>
                <w:szCs w:val="13"/>
                <w:color w:val="auto"/>
              </w:rPr>
              <w:t>118,333</w:t>
            </w:r>
          </w:p>
        </w:tc>
        <w:tc>
          <w:tcPr>
            <w:tcW w:w="0" w:type="dxa"/>
            <w:vAlign w:val="bottom"/>
          </w:tcPr>
          <w:p>
            <w:pPr>
              <w:spacing w:after="0"/>
              <w:rPr>
                <w:sz w:val="1"/>
                <w:szCs w:val="1"/>
                <w:color w:val="auto"/>
              </w:rPr>
            </w:pPr>
          </w:p>
        </w:tc>
      </w:tr>
      <w:tr>
        <w:trPr>
          <w:trHeight w:val="157"/>
        </w:trPr>
        <w:tc>
          <w:tcPr>
            <w:tcW w:w="4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 Mathieson</w:t>
            </w: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w:t>
            </w:r>
          </w:p>
        </w:tc>
        <w:tc>
          <w:tcPr>
            <w:tcW w:w="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60,933</w:t>
            </w: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109,667</w:t>
            </w:r>
          </w:p>
        </w:tc>
        <w:tc>
          <w:tcPr>
            <w:tcW w:w="0" w:type="dxa"/>
            <w:vAlign w:val="bottom"/>
          </w:tcPr>
          <w:p>
            <w:pPr>
              <w:spacing w:after="0"/>
              <w:rPr>
                <w:sz w:val="1"/>
                <w:szCs w:val="1"/>
                <w:color w:val="auto"/>
              </w:rPr>
            </w:pPr>
          </w:p>
        </w:tc>
      </w:tr>
      <w:tr>
        <w:trPr>
          <w:trHeight w:val="157"/>
        </w:trPr>
        <w:tc>
          <w:tcPr>
            <w:tcW w:w="4700" w:type="dxa"/>
            <w:vAlign w:val="bottom"/>
            <w:gridSpan w:val="3"/>
          </w:tcPr>
          <w:p>
            <w:pPr>
              <w:spacing w:after="0"/>
              <w:rPr>
                <w:sz w:val="20"/>
                <w:szCs w:val="20"/>
                <w:color w:val="auto"/>
              </w:rPr>
            </w:pPr>
            <w:r>
              <w:rPr>
                <w:rFonts w:ascii="Arial" w:cs="Arial" w:eastAsia="Arial" w:hAnsi="Arial"/>
                <w:sz w:val="13"/>
                <w:szCs w:val="13"/>
                <w:color w:val="auto"/>
              </w:rPr>
              <w:t>P.C. Sephton</w:t>
            </w:r>
          </w:p>
        </w:tc>
        <w:tc>
          <w:tcPr>
            <w:tcW w:w="1420" w:type="dxa"/>
            <w:vAlign w:val="bottom"/>
            <w:gridSpan w:val="2"/>
          </w:tcPr>
          <w:p>
            <w:pPr>
              <w:jc w:val="right"/>
              <w:ind w:right="400"/>
              <w:spacing w:after="0"/>
              <w:rPr>
                <w:sz w:val="20"/>
                <w:szCs w:val="20"/>
                <w:color w:val="auto"/>
              </w:rPr>
            </w:pPr>
            <w:r>
              <w:rPr>
                <w:rFonts w:ascii="Arial" w:cs="Arial" w:eastAsia="Arial" w:hAnsi="Arial"/>
                <w:sz w:val="13"/>
                <w:szCs w:val="13"/>
                <w:color w:val="auto"/>
              </w:rPr>
              <w:t>0</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0</w:t>
            </w:r>
          </w:p>
        </w:tc>
        <w:tc>
          <w:tcPr>
            <w:tcW w:w="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90,333</w:t>
            </w:r>
          </w:p>
        </w:tc>
        <w:tc>
          <w:tcPr>
            <w:tcW w:w="1680" w:type="dxa"/>
            <w:vAlign w:val="bottom"/>
            <w:gridSpan w:val="3"/>
          </w:tcPr>
          <w:p>
            <w:pPr>
              <w:jc w:val="right"/>
              <w:ind w:right="100"/>
              <w:spacing w:after="0"/>
              <w:rPr>
                <w:sz w:val="20"/>
                <w:szCs w:val="20"/>
                <w:color w:val="auto"/>
              </w:rPr>
            </w:pPr>
            <w:r>
              <w:rPr>
                <w:rFonts w:ascii="Arial" w:cs="Arial" w:eastAsia="Arial" w:hAnsi="Arial"/>
                <w:sz w:val="13"/>
                <w:szCs w:val="13"/>
                <w:color w:val="auto"/>
              </w:rPr>
              <w:t>109,667</w:t>
            </w:r>
          </w:p>
        </w:tc>
        <w:tc>
          <w:tcPr>
            <w:tcW w:w="0" w:type="dxa"/>
            <w:vAlign w:val="bottom"/>
          </w:tcPr>
          <w:p>
            <w:pPr>
              <w:spacing w:after="0"/>
              <w:rPr>
                <w:sz w:val="1"/>
                <w:szCs w:val="1"/>
                <w:color w:val="auto"/>
              </w:rPr>
            </w:pPr>
          </w:p>
        </w:tc>
      </w:tr>
      <w:tr>
        <w:trPr>
          <w:trHeight w:val="157"/>
        </w:trPr>
        <w:tc>
          <w:tcPr>
            <w:tcW w:w="4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M.O. Williamson</w:t>
            </w: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8,000</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176,100</w:t>
            </w:r>
          </w:p>
        </w:tc>
        <w:tc>
          <w:tcPr>
            <w:tcW w:w="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77,333</w:t>
            </w: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109,667</w:t>
            </w:r>
          </w:p>
        </w:tc>
        <w:tc>
          <w:tcPr>
            <w:tcW w:w="0" w:type="dxa"/>
            <w:vAlign w:val="bottom"/>
          </w:tcPr>
          <w:p>
            <w:pPr>
              <w:spacing w:after="0"/>
              <w:rPr>
                <w:sz w:val="1"/>
                <w:szCs w:val="1"/>
                <w:color w:val="auto"/>
              </w:rPr>
            </w:pPr>
          </w:p>
        </w:tc>
      </w:tr>
      <w:tr>
        <w:trPr>
          <w:trHeight w:val="268"/>
        </w:trPr>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60" w:type="dxa"/>
            <w:vAlign w:val="bottom"/>
            <w:gridSpan w:val="4"/>
          </w:tcPr>
          <w:p>
            <w:pPr>
              <w:jc w:val="center"/>
              <w:ind w:right="120"/>
              <w:spacing w:after="0"/>
              <w:rPr>
                <w:sz w:val="20"/>
                <w:szCs w:val="20"/>
                <w:color w:val="auto"/>
              </w:rPr>
            </w:pPr>
            <w:r>
              <w:rPr>
                <w:rFonts w:ascii="Arial" w:cs="Arial" w:eastAsia="Arial" w:hAnsi="Arial"/>
                <w:sz w:val="10"/>
                <w:szCs w:val="10"/>
                <w:b w:val="1"/>
                <w:bCs w:val="1"/>
                <w:color w:val="auto"/>
                <w:w w:val="95"/>
              </w:rPr>
              <w:t>Value of Unexercised In-the-Money Options at July 31,</w:t>
            </w:r>
          </w:p>
        </w:tc>
        <w:tc>
          <w:tcPr>
            <w:tcW w:w="0" w:type="dxa"/>
            <w:vAlign w:val="bottom"/>
          </w:tcPr>
          <w:p>
            <w:pPr>
              <w:spacing w:after="0"/>
              <w:rPr>
                <w:sz w:val="1"/>
                <w:szCs w:val="1"/>
                <w:color w:val="auto"/>
              </w:rPr>
            </w:pPr>
          </w:p>
        </w:tc>
      </w:tr>
      <w:tr>
        <w:trPr>
          <w:trHeight w:val="125"/>
        </w:trPr>
        <w:tc>
          <w:tcPr>
            <w:tcW w:w="470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Name</w:t>
            </w:r>
          </w:p>
        </w:tc>
        <w:tc>
          <w:tcPr>
            <w:tcW w:w="10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gridSpan w:val="2"/>
          </w:tcPr>
          <w:p>
            <w:pPr>
              <w:jc w:val="center"/>
              <w:ind w:right="948"/>
              <w:spacing w:after="0"/>
              <w:rPr>
                <w:sz w:val="20"/>
                <w:szCs w:val="20"/>
                <w:color w:val="auto"/>
              </w:rPr>
            </w:pPr>
            <w:r>
              <w:rPr>
                <w:rFonts w:ascii="Arial" w:cs="Arial" w:eastAsia="Arial" w:hAnsi="Arial"/>
                <w:sz w:val="10"/>
                <w:szCs w:val="10"/>
                <w:b w:val="1"/>
                <w:bCs w:val="1"/>
                <w:color w:val="auto"/>
                <w:w w:val="98"/>
              </w:rPr>
              <w:t>2006(1)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700" w:type="dxa"/>
            <w:vAlign w:val="bottom"/>
            <w:gridSpan w:val="3"/>
            <w:vMerge w:val="continue"/>
          </w:tcPr>
          <w:p>
            <w:pPr>
              <w:spacing w:after="0"/>
              <w:rPr>
                <w:sz w:val="9"/>
                <w:szCs w:val="9"/>
                <w:color w:val="auto"/>
              </w:rPr>
            </w:pPr>
          </w:p>
        </w:tc>
        <w:tc>
          <w:tcPr>
            <w:tcW w:w="10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tcPr>
          <w:p>
            <w:pPr>
              <w:jc w:val="right"/>
              <w:ind w:right="119"/>
              <w:spacing w:after="0" w:line="108" w:lineRule="exact"/>
              <w:rPr>
                <w:sz w:val="20"/>
                <w:szCs w:val="20"/>
                <w:color w:val="auto"/>
              </w:rPr>
            </w:pPr>
            <w:r>
              <w:rPr>
                <w:rFonts w:ascii="Arial" w:cs="Arial" w:eastAsia="Arial" w:hAnsi="Arial"/>
                <w:sz w:val="10"/>
                <w:szCs w:val="10"/>
                <w:b w:val="1"/>
                <w:bCs w:val="1"/>
                <w:color w:val="auto"/>
              </w:rPr>
              <w:t>Exercisable($)</w:t>
            </w:r>
          </w:p>
        </w:tc>
        <w:tc>
          <w:tcPr>
            <w:tcW w:w="400" w:type="dxa"/>
            <w:vAlign w:val="bottom"/>
          </w:tcPr>
          <w:p>
            <w:pPr>
              <w:spacing w:after="0"/>
              <w:rPr>
                <w:sz w:val="9"/>
                <w:szCs w:val="9"/>
                <w:color w:val="auto"/>
              </w:rPr>
            </w:pPr>
          </w:p>
        </w:tc>
        <w:tc>
          <w:tcPr>
            <w:tcW w:w="1180" w:type="dxa"/>
            <w:vAlign w:val="bottom"/>
          </w:tcPr>
          <w:p>
            <w:pPr>
              <w:ind w:left="220"/>
              <w:spacing w:after="0" w:line="108" w:lineRule="exact"/>
              <w:rPr>
                <w:sz w:val="20"/>
                <w:szCs w:val="20"/>
                <w:color w:val="auto"/>
              </w:rPr>
            </w:pPr>
            <w:r>
              <w:rPr>
                <w:rFonts w:ascii="Arial" w:cs="Arial" w:eastAsia="Arial" w:hAnsi="Arial"/>
                <w:sz w:val="10"/>
                <w:szCs w:val="10"/>
                <w:b w:val="1"/>
                <w:bCs w:val="1"/>
                <w:color w:val="auto"/>
              </w:rPr>
              <w:t>Unexercisable($)</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F.M. Jaehnert</w:t>
            </w:r>
          </w:p>
        </w:tc>
        <w:tc>
          <w:tcPr>
            <w:tcW w:w="10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5,274,632</w:t>
            </w: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4,914,940</w:t>
            </w:r>
          </w:p>
        </w:tc>
        <w:tc>
          <w:tcPr>
            <w:tcW w:w="0" w:type="dxa"/>
            <w:vAlign w:val="bottom"/>
          </w:tcPr>
          <w:p>
            <w:pPr>
              <w:spacing w:after="0"/>
              <w:rPr>
                <w:sz w:val="1"/>
                <w:szCs w:val="1"/>
                <w:color w:val="auto"/>
              </w:rPr>
            </w:pPr>
          </w:p>
        </w:tc>
      </w:tr>
      <w:tr>
        <w:trPr>
          <w:trHeight w:val="157"/>
        </w:trPr>
        <w:tc>
          <w:tcPr>
            <w:tcW w:w="4700" w:type="dxa"/>
            <w:vAlign w:val="bottom"/>
            <w:gridSpan w:val="3"/>
          </w:tcPr>
          <w:p>
            <w:pPr>
              <w:spacing w:after="0"/>
              <w:rPr>
                <w:sz w:val="20"/>
                <w:szCs w:val="20"/>
                <w:color w:val="auto"/>
              </w:rPr>
            </w:pPr>
            <w:r>
              <w:rPr>
                <w:rFonts w:ascii="Arial" w:cs="Arial" w:eastAsia="Arial" w:hAnsi="Arial"/>
                <w:sz w:val="13"/>
                <w:szCs w:val="13"/>
                <w:color w:val="auto"/>
              </w:rPr>
              <w:t>D.R. Hawke</w:t>
            </w: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989,872</w:t>
            </w:r>
          </w:p>
        </w:tc>
        <w:tc>
          <w:tcPr>
            <w:tcW w:w="1680" w:type="dxa"/>
            <w:vAlign w:val="bottom"/>
            <w:gridSpan w:val="3"/>
          </w:tcPr>
          <w:p>
            <w:pPr>
              <w:jc w:val="right"/>
              <w:ind w:right="100"/>
              <w:spacing w:after="0"/>
              <w:rPr>
                <w:sz w:val="20"/>
                <w:szCs w:val="20"/>
                <w:color w:val="auto"/>
              </w:rPr>
            </w:pPr>
            <w:r>
              <w:rPr>
                <w:rFonts w:ascii="Arial" w:cs="Arial" w:eastAsia="Arial" w:hAnsi="Arial"/>
                <w:sz w:val="13"/>
                <w:szCs w:val="13"/>
                <w:color w:val="auto"/>
              </w:rPr>
              <w:t>714,253</w:t>
            </w:r>
          </w:p>
        </w:tc>
        <w:tc>
          <w:tcPr>
            <w:tcW w:w="0" w:type="dxa"/>
            <w:vAlign w:val="bottom"/>
          </w:tcPr>
          <w:p>
            <w:pPr>
              <w:spacing w:after="0"/>
              <w:rPr>
                <w:sz w:val="1"/>
                <w:szCs w:val="1"/>
                <w:color w:val="auto"/>
              </w:rPr>
            </w:pPr>
          </w:p>
        </w:tc>
      </w:tr>
      <w:tr>
        <w:trPr>
          <w:trHeight w:val="157"/>
        </w:trPr>
        <w:tc>
          <w:tcPr>
            <w:tcW w:w="4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 Mathieson</w:t>
            </w:r>
          </w:p>
        </w:tc>
        <w:tc>
          <w:tcPr>
            <w:tcW w:w="10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777,386</w:t>
            </w: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422,462</w:t>
            </w:r>
          </w:p>
        </w:tc>
        <w:tc>
          <w:tcPr>
            <w:tcW w:w="0" w:type="dxa"/>
            <w:vAlign w:val="bottom"/>
          </w:tcPr>
          <w:p>
            <w:pPr>
              <w:spacing w:after="0"/>
              <w:rPr>
                <w:sz w:val="1"/>
                <w:szCs w:val="1"/>
                <w:color w:val="auto"/>
              </w:rPr>
            </w:pPr>
          </w:p>
        </w:tc>
      </w:tr>
      <w:tr>
        <w:trPr>
          <w:trHeight w:val="157"/>
        </w:trPr>
        <w:tc>
          <w:tcPr>
            <w:tcW w:w="4700" w:type="dxa"/>
            <w:vAlign w:val="bottom"/>
            <w:gridSpan w:val="3"/>
          </w:tcPr>
          <w:p>
            <w:pPr>
              <w:spacing w:after="0"/>
              <w:rPr>
                <w:sz w:val="20"/>
                <w:szCs w:val="20"/>
                <w:color w:val="auto"/>
              </w:rPr>
            </w:pPr>
            <w:r>
              <w:rPr>
                <w:rFonts w:ascii="Arial" w:cs="Arial" w:eastAsia="Arial" w:hAnsi="Arial"/>
                <w:sz w:val="13"/>
                <w:szCs w:val="13"/>
                <w:color w:val="auto"/>
              </w:rPr>
              <w:t>P.C. Sephton</w:t>
            </w: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1,409,658</w:t>
            </w:r>
          </w:p>
        </w:tc>
        <w:tc>
          <w:tcPr>
            <w:tcW w:w="1680" w:type="dxa"/>
            <w:vAlign w:val="bottom"/>
            <w:gridSpan w:val="3"/>
          </w:tcPr>
          <w:p>
            <w:pPr>
              <w:jc w:val="right"/>
              <w:ind w:right="100"/>
              <w:spacing w:after="0"/>
              <w:rPr>
                <w:sz w:val="20"/>
                <w:szCs w:val="20"/>
                <w:color w:val="auto"/>
              </w:rPr>
            </w:pPr>
            <w:r>
              <w:rPr>
                <w:rFonts w:ascii="Arial" w:cs="Arial" w:eastAsia="Arial" w:hAnsi="Arial"/>
                <w:sz w:val="13"/>
                <w:szCs w:val="13"/>
                <w:color w:val="auto"/>
              </w:rPr>
              <w:t>459,427</w:t>
            </w:r>
          </w:p>
        </w:tc>
        <w:tc>
          <w:tcPr>
            <w:tcW w:w="0" w:type="dxa"/>
            <w:vAlign w:val="bottom"/>
          </w:tcPr>
          <w:p>
            <w:pPr>
              <w:spacing w:after="0"/>
              <w:rPr>
                <w:sz w:val="1"/>
                <w:szCs w:val="1"/>
                <w:color w:val="auto"/>
              </w:rPr>
            </w:pPr>
          </w:p>
        </w:tc>
      </w:tr>
      <w:tr>
        <w:trPr>
          <w:trHeight w:val="157"/>
        </w:trPr>
        <w:tc>
          <w:tcPr>
            <w:tcW w:w="47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M.O. Williamson</w:t>
            </w:r>
          </w:p>
        </w:tc>
        <w:tc>
          <w:tcPr>
            <w:tcW w:w="10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1,145,943</w:t>
            </w: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459,427</w:t>
            </w:r>
          </w:p>
        </w:tc>
        <w:tc>
          <w:tcPr>
            <w:tcW w:w="0" w:type="dxa"/>
            <w:vAlign w:val="bottom"/>
          </w:tcPr>
          <w:p>
            <w:pPr>
              <w:spacing w:after="0"/>
              <w:rPr>
                <w:sz w:val="1"/>
                <w:szCs w:val="1"/>
                <w:color w:val="auto"/>
              </w:rPr>
            </w:pPr>
          </w:p>
        </w:tc>
      </w:tr>
      <w:tr>
        <w:trPr>
          <w:trHeight w:val="98"/>
        </w:trPr>
        <w:tc>
          <w:tcPr>
            <w:tcW w:w="8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34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60" w:hanging="259"/>
        <w:spacing w:after="0" w:line="276" w:lineRule="auto"/>
        <w:tabs>
          <w:tab w:leader="none" w:pos="10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Represents the closing price for the Company’s Class A Common Stock on July 31, 2006, of $33.76 less the exercise price for all outstanding exercisable and unexercisable options for which the exercise price is less than such closing price.</w:t>
      </w:r>
    </w:p>
    <w:p>
      <w:pPr>
        <w:spacing w:after="0" w:line="10" w:lineRule="exact"/>
        <w:rPr>
          <w:rFonts w:ascii="Arial" w:cs="Arial" w:eastAsia="Arial" w:hAnsi="Arial"/>
          <w:sz w:val="13"/>
          <w:szCs w:val="13"/>
          <w:color w:val="auto"/>
        </w:rPr>
      </w:pPr>
    </w:p>
    <w:p>
      <w:pPr>
        <w:ind w:left="1000" w:hanging="259"/>
        <w:spacing w:after="0"/>
        <w:tabs>
          <w:tab w:leader="none" w:pos="10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Adjusted for a two-for-one stock split in the form of a 100% stock dividend, effective December 31, 2004.</w:t>
      </w:r>
    </w:p>
    <w:p>
      <w:pPr>
        <w:spacing w:after="0" w:line="29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III-7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Common Stock Price Performance Graph</w:t>
      </w:r>
    </w:p>
    <w:p>
      <w:pPr>
        <w:spacing w:after="0" w:line="100" w:lineRule="exact"/>
        <w:rPr>
          <w:sz w:val="20"/>
          <w:szCs w:val="20"/>
          <w:color w:val="auto"/>
        </w:rPr>
      </w:pPr>
    </w:p>
    <w:p>
      <w:pPr>
        <w:ind w:left="680" w:right="420" w:firstLine="399"/>
        <w:spacing w:after="0" w:line="320" w:lineRule="auto"/>
        <w:rPr>
          <w:sz w:val="20"/>
          <w:szCs w:val="20"/>
          <w:color w:val="auto"/>
        </w:rPr>
      </w:pPr>
      <w:r>
        <w:rPr>
          <w:rFonts w:ascii="Arial" w:cs="Arial" w:eastAsia="Arial" w:hAnsi="Arial"/>
          <w:sz w:val="12"/>
          <w:szCs w:val="12"/>
          <w:color w:val="auto"/>
        </w:rPr>
        <w:t>The graph below shows a comparison of the cumulative return over the last five fiscal years had $100 been invested at the close of business on July 31, 2000, in each of Brady Corporation Class A Common Stock, The Standard &amp; Poor’s (S&amp;P) 500 index, the Standard and Poor’s Small Cap 600 index, and the Russell 2000 index.</w:t>
      </w:r>
    </w:p>
    <w:p>
      <w:pPr>
        <w:spacing w:after="0" w:line="188"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Comparison of 5 Year Cumulative Total Return*</w:t>
      </w:r>
    </w:p>
    <w:p>
      <w:pPr>
        <w:spacing w:after="0" w:line="19"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Among Brady Corporation, The S&amp;P 500 Index,</w:t>
      </w:r>
    </w:p>
    <w:p>
      <w:pPr>
        <w:spacing w:after="0" w:line="8"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The S&amp;P Smallcap 600 Index and The Russell 2000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1983740</wp:posOffset>
            </wp:positionH>
            <wp:positionV relativeFrom="paragraph">
              <wp:posOffset>111760</wp:posOffset>
            </wp:positionV>
            <wp:extent cx="3245485" cy="16541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245485" cy="165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720"/>
        <w:spacing w:after="0"/>
        <w:rPr>
          <w:sz w:val="20"/>
          <w:szCs w:val="20"/>
          <w:color w:val="auto"/>
        </w:rPr>
      </w:pPr>
      <w:r>
        <w:rPr>
          <w:rFonts w:ascii="Arial" w:cs="Arial" w:eastAsia="Arial" w:hAnsi="Arial"/>
          <w:sz w:val="13"/>
          <w:szCs w:val="13"/>
          <w:color w:val="auto"/>
        </w:rPr>
        <w:t>*  $100 invested on 7/31/00 in stock or index — including reinvestment of dividends. Fiscal year ended July 31.</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Copyright (C) 2002, Standard &amp; Poor’s, a division of The McGraw-Hill Companies, Inc. All rights reserved. www.researchdatagroup.com/S&amp;P.htm</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Compensation of Directors</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Each director who is also an employee of the Company receives no additional compensation for service on the Board or on any committee of the Board. Effective August 1, 2004, directors who were not also employees of the Company received an annual retainer of $30,000 plus $5,000 for each committee they chaired ($9,000 for the audit committee chair) and $1,250 plus expenses for each meeting of the Board or any committee thereof, which they attended and were a member or $750 for single issue telephonic committee meetings of the Board. Directors also received $750 for each meeting they attended of any committee for which they were not a member.</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Termination of Employment and Change in Control Arrangements</w:t>
      </w:r>
    </w:p>
    <w:p>
      <w:pPr>
        <w:spacing w:after="0" w:line="100"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On November 18, 2004, the Board of Directors of Brady Corporation approved change of control agreements for certain executive officers of the Company including David Mathieson, Peter Sephton, and Matthew Williamson. The agreements call for payment of an amount equal to two times their annual base salary and two times the average bonus payment received in the two years immediately prior to the date the Change of Control occurs in the event of termination or resignation upon a change of control. The agreements also call for reimbursement of any excise taxes imposed and up to $25,000 of attorney fees to enforce the executive’s rights under the agreement. Payments under the agreement will be spread over two years.</w:t>
      </w:r>
    </w:p>
    <w:p>
      <w:pPr>
        <w:spacing w:after="0" w:line="71" w:lineRule="exact"/>
        <w:rPr>
          <w:sz w:val="20"/>
          <w:szCs w:val="20"/>
          <w:color w:val="auto"/>
        </w:rPr>
      </w:pPr>
    </w:p>
    <w:p>
      <w:pPr>
        <w:ind w:left="680" w:right="160" w:firstLine="399"/>
        <w:spacing w:after="0" w:line="320" w:lineRule="auto"/>
        <w:rPr>
          <w:sz w:val="20"/>
          <w:szCs w:val="20"/>
          <w:color w:val="auto"/>
        </w:rPr>
      </w:pPr>
      <w:r>
        <w:rPr>
          <w:rFonts w:ascii="Arial" w:cs="Arial" w:eastAsia="Arial" w:hAnsi="Arial"/>
          <w:sz w:val="12"/>
          <w:szCs w:val="12"/>
          <w:color w:val="auto"/>
        </w:rPr>
        <w:t>In May 2003, the Board approved a Change in Control Agreement for Mr. Jaehnert. The agreement calls for payment of an amount equal to three times the annual salary and bonus for Mr. Jaehnert in the event of termination or resignation upon a change of control. The agreement also calls for reimbursement of any excise taxes imposed</w:t>
      </w:r>
    </w:p>
    <w:p>
      <w:pPr>
        <w:spacing w:after="0" w:line="24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III-8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and up to $25,000 of attorney fees to enforce the executive’s rights under the agreement. Payments under the agreement will be spread over three years.</w:t>
      </w:r>
    </w:p>
    <w:p>
      <w:pPr>
        <w:spacing w:after="0" w:line="96"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In January 2001, the Board approved Change in Control Agreements for certain of its executive officers, including Mr. Hawke. The agreements call for payment of an amount equal to two times their annual salary and bonus in the event of termination or resignation upon a change in control with payments spread over two years. The agreements also call for reimbursement of any excise taxes imposed and up to $25,000 of attorney fees to enforce the executive’s rights under the agreements.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Compensation Committee Interlocks and Insider Participation</w:t>
      </w:r>
    </w:p>
    <w:p>
      <w:pPr>
        <w:spacing w:after="0" w:line="10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During fiscal 2006, the Board’s Compensation Committee was composed of Messrs. Bemis, Buchanan, Nei and Peirce and Ms. Bush. None of these persons has at any time been an employee of the Company or any of its subsidiaries. There are no relationships among the Company’s executive officers, members of the Compensation Committee or entities whose executives serve on the Board that require disclosure under applicable SEC regulations.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Funded Retirement and 401(k) Plans</w:t>
      </w:r>
    </w:p>
    <w:p>
      <w:pPr>
        <w:spacing w:after="0" w:line="100" w:lineRule="exact"/>
        <w:rPr>
          <w:sz w:val="20"/>
          <w:szCs w:val="20"/>
          <w:color w:val="auto"/>
        </w:rPr>
      </w:pPr>
    </w:p>
    <w:p>
      <w:pPr>
        <w:ind w:left="680" w:right="100" w:firstLine="399"/>
        <w:spacing w:after="0" w:line="281" w:lineRule="auto"/>
        <w:rPr>
          <w:sz w:val="20"/>
          <w:szCs w:val="20"/>
          <w:color w:val="auto"/>
        </w:rPr>
      </w:pPr>
      <w:r>
        <w:rPr>
          <w:rFonts w:ascii="Arial" w:cs="Arial" w:eastAsia="Arial" w:hAnsi="Arial"/>
          <w:sz w:val="12"/>
          <w:szCs w:val="12"/>
          <w:color w:val="auto"/>
        </w:rPr>
        <w:t>Substantially all Brady employees in the United States and certain expatriate employees working for its international subsidiaries are eligible to participate in Brady Corporation’s Funded Retirement Plan (“Funded Retirement Plan”) and the Brady Corporation Matched 401(k) Plan (the “employee 401(k) Plan”). Under these plans the Company agrees to contribute certain amounts to both Plans. Under the Funded Retirement Plan, the Company contributes 4% of the eligible earnings of each person covered by the Funded Retirement Plan. In addition, participants may elect to have their annual pay reduced by up to 4% and have the amount of this reduction contributed to the employee 401(k) Plan and matched by an additional, equal contribution by the Company. Participants may also elect to have up to another 21% of their eligible earnings contributed to the employee 401(k) Plan (without an additional matching contribution by the Company). The assets of the employee 401(k) Plan and Funded Retirement Plan credited to each participant are invested by the trustee of the Plans as directed by each plan participant in several investment funds as permitted by the employee 401(k) Plan and Funded Retirement Plan.</w:t>
      </w:r>
    </w:p>
    <w:p>
      <w:pPr>
        <w:spacing w:after="0" w:line="58"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Benefits are generally payable upon the death, disability, or retirement of the participant or upon termination of employment before retirement, although benefits may be withdrawn from the employee 401(k) Plan and paid to the participant if required for certain emergencies. Under certain specified circumstances, the employee 401(k) Plan allows loans to be drawn on a participant’s account. The participant is immediately fully vested with respect to the contributions attributable to reductions in pay; all other contributions become fully vested over a three-year period of continuous service for the employee 401(k) Plan and after five years of continuous service for the Funded Retirement Plan.</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Deferred Compensation Arrangements</w:t>
      </w:r>
    </w:p>
    <w:p>
      <w:pPr>
        <w:spacing w:after="0" w:line="100"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During fiscal 2002, the Company adopted a deferred compensation plan under which executive officers, corporate staff officers and certain key management employees of the Company are permitted to defer portions of their fees, salary and bonus into a plan account, the value of which is measured by the fair value of the underlying investments. The assets of the Plan are held in a Rabbi Trust and are invested by the trustee of the Plan as directed by the participant in several investment funds as permitted by the Plan.</w:t>
      </w:r>
    </w:p>
    <w:p>
      <w:pPr>
        <w:spacing w:after="0" w:line="50" w:lineRule="exact"/>
        <w:rPr>
          <w:sz w:val="20"/>
          <w:szCs w:val="20"/>
          <w:color w:val="auto"/>
        </w:rPr>
      </w:pPr>
    </w:p>
    <w:p>
      <w:pPr>
        <w:ind w:left="680" w:right="80" w:firstLine="399"/>
        <w:spacing w:after="0" w:line="334" w:lineRule="auto"/>
        <w:rPr>
          <w:sz w:val="20"/>
          <w:szCs w:val="20"/>
          <w:color w:val="auto"/>
        </w:rPr>
      </w:pPr>
      <w:r>
        <w:rPr>
          <w:rFonts w:ascii="Arial" w:cs="Arial" w:eastAsia="Arial" w:hAnsi="Arial"/>
          <w:sz w:val="11"/>
          <w:szCs w:val="11"/>
          <w:color w:val="auto"/>
        </w:rPr>
        <w:t>At least one year prior to termination of employment, the Executive shall elect whether to receive his Account balance following termination of employment in a single lump sum in cash or by means of cash distribution under an Annual Installment Method. If the Executive does not submit an election form or has not submitted one timely, then payment shall be made each year for a period of ten years. The first payment must be one-tenth of the balance held; the second one-ninth; and so on, with the balance held in the Trust reduced by each payment.</w:t>
      </w:r>
    </w:p>
    <w:p>
      <w:pPr>
        <w:spacing w:after="0" w:line="23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III-9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Compensation Committee Report on Executive Compensation</w:t>
      </w:r>
    </w:p>
    <w:p>
      <w:pPr>
        <w:spacing w:after="0" w:line="100"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The Company’s Compensation Committee (the “Committee”) is composed entirely of outside directors and is responsible for considering and approving compensation arrangements for senior management of the Company, including the Company’s executive officers and the chief executive officer. It is the philosophy of the Committee to establish a total executive compensation program which is competitive with a broad range of companies that it considers to be of comparable size and complexity.</w:t>
      </w:r>
    </w:p>
    <w:p>
      <w:pPr>
        <w:spacing w:after="0" w:line="5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The primary components of the Company’s executive compensation program are (i) base salary, (ii) annual cash incentive plan and (iii) long-term incentive compensation in the form of stock options and/or restricted stock. These are designed to align shareholder and management interests, to balance the achievement of annual performance targets with actions that focus on the long-term success of the Company, and to attract, motivate and retain key executives who are important to the continued success of the Company. The base salary compensation and the annual cash incentive compensation plan are reviewed and approved by the Compensation Committee.</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Committee believes that:</w:t>
      </w:r>
    </w:p>
    <w:p>
      <w:pPr>
        <w:spacing w:after="0" w:line="96" w:lineRule="exact"/>
        <w:rPr>
          <w:sz w:val="20"/>
          <w:szCs w:val="20"/>
          <w:color w:val="auto"/>
        </w:rPr>
      </w:pPr>
    </w:p>
    <w:p>
      <w:pPr>
        <w:ind w:left="1180" w:hanging="90"/>
        <w:spacing w:after="0"/>
        <w:tabs>
          <w:tab w:leader="none" w:pos="11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Company’s pay levels are appropriately targeted to attract and retain key executives;</w:t>
      </w:r>
    </w:p>
    <w:p>
      <w:pPr>
        <w:spacing w:after="0" w:line="86" w:lineRule="exact"/>
        <w:rPr>
          <w:rFonts w:ascii="Arial" w:cs="Arial" w:eastAsia="Arial" w:hAnsi="Arial"/>
          <w:sz w:val="13"/>
          <w:szCs w:val="13"/>
          <w:color w:val="auto"/>
        </w:rPr>
      </w:pPr>
    </w:p>
    <w:p>
      <w:pPr>
        <w:ind w:left="1180" w:hanging="90"/>
        <w:spacing w:after="0"/>
        <w:tabs>
          <w:tab w:leader="none" w:pos="11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Company’s incentive plan provides strong incentives for management to increase shareholder value; and</w:t>
      </w:r>
    </w:p>
    <w:p>
      <w:pPr>
        <w:spacing w:after="0" w:line="86" w:lineRule="exact"/>
        <w:rPr>
          <w:rFonts w:ascii="Arial" w:cs="Arial" w:eastAsia="Arial" w:hAnsi="Arial"/>
          <w:sz w:val="13"/>
          <w:szCs w:val="13"/>
          <w:color w:val="auto"/>
        </w:rPr>
      </w:pPr>
    </w:p>
    <w:p>
      <w:pPr>
        <w:ind w:left="1180" w:hanging="90"/>
        <w:spacing w:after="0"/>
        <w:tabs>
          <w:tab w:leader="none" w:pos="11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Company’s total executive compensation program is a cost-effective strategy to increase shareholder value.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December 2003 the Committee established stock ownership guidelines for executives. The guidelines allow executives up to five years to achieve the required stock ownership</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levels.</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Base Salary</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Consistent with the Committee’s philosophy, base salaries are generally maintained at or modestly above competitive base salary levels. Competitive salary level is defined as the median base salary for similar responsibilities in a group of companies selected by the Committee that the Committee considers to be of comparable size and complexity. In setting base salaries for fiscal 2006, the Committee reviewed compensation survey data and was satisfied that the base salary levels set would achieve the Company’s objectives. Specific increases reflect the Committee’s subjective evaluation of individual performance.</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Annual Bonus Plan</w:t>
      </w:r>
    </w:p>
    <w:p>
      <w:pPr>
        <w:spacing w:after="0" w:line="96"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The annual cash incentive compensation plan (the “Bonus Plan”) provides for the annual payment of cash bonuses. When viewed together with the Company’s base salary, the purpose of the Bonus Plan is to provide a balance between fixed compensation and variable, results-oriented compensation. The Bonus Plan is 80% objective. It stresses maximization of Company profitability and revenue growth. In fiscal 2006, the Company awarded a special bonus in recognition of achieving consolidated net sales greater than $1 billion and consolidated net income greater than $100 million.</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 Options</w:t>
      </w:r>
    </w:p>
    <w:p>
      <w:pPr>
        <w:spacing w:after="0" w:line="96" w:lineRule="exact"/>
        <w:rPr>
          <w:sz w:val="20"/>
          <w:szCs w:val="20"/>
          <w:color w:val="auto"/>
        </w:rPr>
      </w:pPr>
    </w:p>
    <w:p>
      <w:pPr>
        <w:ind w:left="680" w:right="120" w:firstLine="399"/>
        <w:spacing w:after="0" w:line="256" w:lineRule="auto"/>
        <w:rPr>
          <w:sz w:val="20"/>
          <w:szCs w:val="20"/>
          <w:color w:val="auto"/>
        </w:rPr>
      </w:pPr>
      <w:r>
        <w:rPr>
          <w:rFonts w:ascii="Arial" w:cs="Arial" w:eastAsia="Arial" w:hAnsi="Arial"/>
          <w:sz w:val="13"/>
          <w:szCs w:val="13"/>
          <w:color w:val="auto"/>
        </w:rPr>
        <w:t>In November 2005, the holders of the Corporation’s Class B Common Stock approved the Brady Corporation 2005 Nonqualified Stock Option Plan for Non-employee Directors, under which 300,000 shares of Class A Common Stock were authorized for grant. In November 2004, the holders of the Corporation’s Class B Common Stock approved the Brady Corporation 2004 Omnibus Incentive Stock Plan under which 1,500,000 shares of Class A Common Stock were authorized for grant. In July 2003, the Company’s Class B Voting Common shareholders approved the Brady Corporation 2003 Omnibus Incentive Stock Plan under which 1,500,000 shares of Class A Common Stock were authorized for grant. In October 2001, the Company approved the Brady Corporation 2001 Omnibus Incentive Stock Plan under which 1,000,000 shares of Class A Common Stock were authorized for grant. In May 1997, the Company approved the Brady Corporation 1997 Omnibus Incentive Stock Plan and the Brady Corporation 1997 Nonqualified Stock Option Plan for Non-Employee Directors (the “Option Plans”) under which</w:t>
      </w:r>
    </w:p>
    <w:p>
      <w:pPr>
        <w:spacing w:after="0" w:line="280"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III-10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60"/>
        <w:spacing w:after="0" w:line="280" w:lineRule="auto"/>
        <w:rPr>
          <w:sz w:val="20"/>
          <w:szCs w:val="20"/>
          <w:color w:val="auto"/>
        </w:rPr>
      </w:pPr>
      <w:r>
        <w:rPr>
          <w:rFonts w:ascii="Arial" w:cs="Arial" w:eastAsia="Arial" w:hAnsi="Arial"/>
          <w:sz w:val="12"/>
          <w:szCs w:val="12"/>
          <w:color w:val="auto"/>
        </w:rPr>
        <w:t>4,000,000 shares and 250,000 shares, respectively, of Class A Common Stock were authorized for grant. In 1989, the Board approved the Brady Corporation 1989 Non-Qualified Stock Option Plan (the “Option Plan”) under which 3,000,000 shares of Class A Common Stock were authorized for grant. As of July 31, 2006, the Company had reserved 3,815,052 shares of Class A Common Stock for outstanding stock options and 878,968 shares of Class A Common Stock for future issuance of stock options under the Option Plans. The Option Plans assist directors, executive officers, corporate staff officers and key management employees in becoming shareholders with an important stake in the Company’s future, aligning their personal financial interest with that of all shareholders. Stock options are typically granted annually and have a term of ten years. Generally, the options become one-third exercisable one year after the date of the grant and one-third additional in each of the succeeding two years so that at the end of three years after the date of the grant they are fully exercisable. In August 2004, 2005 and 2006, certain executives and key management employees were issued stock options that vest upon meeting certain financial performance conditions in addition to the vesting schedule described above and have a term of five years. All grants under the Option Plans are at market price on the date of the grant.</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Compliance with Tax Regulations Regarding Executive Compensation</w:t>
      </w:r>
    </w:p>
    <w:p>
      <w:pPr>
        <w:spacing w:after="0" w:line="9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Section 162(m) of the Internal Revenue Code, added by the Omnibus Budget Reconciliation Act of 1993, generally disallows a tax deduction to public companies for compensation over $1 million paid to the corporation’s chief executive officer and the other named executive officers. Qualifying performance-based compensation will not be subject to the deduction limit if certain requirements are met. The Company’s executive compensation program, as currently constructed, is not likely to generate significant nondeductible compensation in excess of these limits. The Compensation Committee will continue to review these tax regulations as they apply to the Company’s executive compensation program. It is the Compensation Committee’s intent to preserve the deductibility of executive compensation to the extent reasonably practicable and to the extent consistent with its other compensation objectives. To that end, the Compensation Committee has recommended that the Class B Common Stock shareholders approve an incentive compensation plan for elected corporate officers at the shareholders’ next annual meeting.</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Compensation of the Chief Executive Officer</w:t>
      </w:r>
    </w:p>
    <w:p>
      <w:pPr>
        <w:spacing w:after="0" w:line="96"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Mr. Jaehnert received $573,077 in base salary in fiscal 2006, an increase of 16.2% from the prior year’s base salary. Based on the terms of the Company’s objective Bonus Plan, discussed above, Mr. Jaehnert earned a bonus attributable to fiscal 2006 of $862,308, of which $60,000 is attributable to the special bonus discussed above. In 2005, Mr. Jaehnert earned a bonus of $734,902 and in 2004, Mr. Jaehnert earned a bonus of $796,800. Mr. Jaehnert’s compensation reflects:</w:t>
      </w:r>
    </w:p>
    <w:p>
      <w:pPr>
        <w:spacing w:after="0" w:line="67" w:lineRule="exact"/>
        <w:rPr>
          <w:sz w:val="20"/>
          <w:szCs w:val="20"/>
          <w:color w:val="auto"/>
        </w:rPr>
      </w:pPr>
    </w:p>
    <w:p>
      <w:pPr>
        <w:ind w:left="1620" w:hanging="151"/>
        <w:spacing w:after="0"/>
        <w:tabs>
          <w:tab w:leader="none" w:pos="1620" w:val="left"/>
        </w:tabs>
        <w:numPr>
          <w:ilvl w:val="0"/>
          <w:numId w:val="36"/>
        </w:numPr>
        <w:rPr>
          <w:rFonts w:ascii="Arial" w:cs="Arial" w:eastAsia="Arial" w:hAnsi="Arial"/>
          <w:sz w:val="13"/>
          <w:szCs w:val="13"/>
          <w:color w:val="auto"/>
        </w:rPr>
      </w:pPr>
      <w:r>
        <w:rPr>
          <w:rFonts w:ascii="Arial" w:cs="Arial" w:eastAsia="Arial" w:hAnsi="Arial"/>
          <w:sz w:val="13"/>
          <w:szCs w:val="13"/>
          <w:color w:val="auto"/>
        </w:rPr>
        <w:t>continued strong performance as compared to its peers with respect to sales, profits and stock price performance;</w:t>
      </w:r>
    </w:p>
    <w:p>
      <w:pPr>
        <w:spacing w:after="0" w:line="96" w:lineRule="exact"/>
        <w:rPr>
          <w:rFonts w:ascii="Arial" w:cs="Arial" w:eastAsia="Arial" w:hAnsi="Arial"/>
          <w:sz w:val="13"/>
          <w:szCs w:val="13"/>
          <w:color w:val="auto"/>
        </w:rPr>
      </w:pPr>
    </w:p>
    <w:p>
      <w:pPr>
        <w:ind w:left="1660" w:hanging="191"/>
        <w:spacing w:after="0"/>
        <w:tabs>
          <w:tab w:leader="none" w:pos="1660" w:val="left"/>
        </w:tabs>
        <w:numPr>
          <w:ilvl w:val="0"/>
          <w:numId w:val="36"/>
        </w:numPr>
        <w:rPr>
          <w:rFonts w:ascii="Arial" w:cs="Arial" w:eastAsia="Arial" w:hAnsi="Arial"/>
          <w:sz w:val="12"/>
          <w:szCs w:val="12"/>
          <w:color w:val="auto"/>
        </w:rPr>
      </w:pPr>
      <w:r>
        <w:rPr>
          <w:rFonts w:ascii="Arial" w:cs="Arial" w:eastAsia="Arial" w:hAnsi="Arial"/>
          <w:sz w:val="12"/>
          <w:szCs w:val="12"/>
          <w:color w:val="auto"/>
        </w:rPr>
        <w:t>continued efforts to focus the Company’s resources on sustainable value-enhancing long-term growth, which includes acquisitions and new product developments; and</w:t>
      </w:r>
    </w:p>
    <w:p>
      <w:pPr>
        <w:spacing w:after="0" w:line="107" w:lineRule="exact"/>
        <w:rPr>
          <w:rFonts w:ascii="Arial" w:cs="Arial" w:eastAsia="Arial" w:hAnsi="Arial"/>
          <w:sz w:val="12"/>
          <w:szCs w:val="12"/>
          <w:color w:val="auto"/>
        </w:rPr>
      </w:pPr>
    </w:p>
    <w:p>
      <w:pPr>
        <w:ind w:left="1700" w:hanging="231"/>
        <w:spacing w:after="0"/>
        <w:tabs>
          <w:tab w:leader="none" w:pos="17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continued involvement in management team development and succession planning.</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During fiscal 2006, Mr. Jaehnert was awarded options to purchase 110,000 shares of Class A Common Stock.</w:t>
      </w:r>
    </w:p>
    <w:p>
      <w:pPr>
        <w:spacing w:after="0" w:line="175"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w:t>
      </w:r>
    </w:p>
    <w:p>
      <w:pPr>
        <w:spacing w:after="0" w:line="96"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The Compensation Committee believes the executive compensation programs and practices described above are competitive. They are designed to provide increased compensation with improved financial performance and to provide additional opportunity for capital accumulation.</w:t>
      </w:r>
    </w:p>
    <w:p>
      <w:pPr>
        <w:spacing w:after="0" w:line="59" w:lineRule="exact"/>
        <w:rPr>
          <w:sz w:val="20"/>
          <w:szCs w:val="20"/>
          <w:color w:val="auto"/>
        </w:rPr>
      </w:pPr>
    </w:p>
    <w:p>
      <w:pPr>
        <w:ind w:left="1680"/>
        <w:spacing w:after="0"/>
        <w:rPr>
          <w:sz w:val="20"/>
          <w:szCs w:val="20"/>
          <w:color w:val="auto"/>
        </w:rPr>
      </w:pPr>
      <w:r>
        <w:rPr>
          <w:rFonts w:ascii="Arial" w:cs="Arial" w:eastAsia="Arial" w:hAnsi="Arial"/>
          <w:sz w:val="13"/>
          <w:szCs w:val="13"/>
          <w:color w:val="auto"/>
        </w:rPr>
        <w:t>Gary E. Nei, Chairman</w:t>
      </w:r>
    </w:p>
    <w:p>
      <w:pPr>
        <w:spacing w:after="0" w:line="15" w:lineRule="exact"/>
        <w:rPr>
          <w:sz w:val="20"/>
          <w:szCs w:val="20"/>
          <w:color w:val="auto"/>
        </w:rPr>
      </w:pPr>
    </w:p>
    <w:p>
      <w:pPr>
        <w:ind w:left="1680"/>
        <w:spacing w:after="0"/>
        <w:rPr>
          <w:sz w:val="20"/>
          <w:szCs w:val="20"/>
          <w:color w:val="auto"/>
        </w:rPr>
      </w:pPr>
      <w:r>
        <w:rPr>
          <w:rFonts w:ascii="Arial" w:cs="Arial" w:eastAsia="Arial" w:hAnsi="Arial"/>
          <w:sz w:val="13"/>
          <w:szCs w:val="13"/>
          <w:color w:val="auto"/>
        </w:rPr>
        <w:t>Richard A. Bemis</w:t>
      </w:r>
    </w:p>
    <w:p>
      <w:pPr>
        <w:spacing w:after="0" w:line="8" w:lineRule="exact"/>
        <w:rPr>
          <w:sz w:val="20"/>
          <w:szCs w:val="20"/>
          <w:color w:val="auto"/>
        </w:rPr>
      </w:pPr>
    </w:p>
    <w:p>
      <w:pPr>
        <w:ind w:left="1680"/>
        <w:spacing w:after="0"/>
        <w:rPr>
          <w:sz w:val="20"/>
          <w:szCs w:val="20"/>
          <w:color w:val="auto"/>
        </w:rPr>
      </w:pPr>
      <w:r>
        <w:rPr>
          <w:rFonts w:ascii="Arial" w:cs="Arial" w:eastAsia="Arial" w:hAnsi="Arial"/>
          <w:sz w:val="13"/>
          <w:szCs w:val="13"/>
          <w:color w:val="auto"/>
        </w:rPr>
        <w:t>Robert C. Buchanan</w:t>
      </w:r>
    </w:p>
    <w:p>
      <w:pPr>
        <w:spacing w:after="0" w:line="8" w:lineRule="exact"/>
        <w:rPr>
          <w:sz w:val="20"/>
          <w:szCs w:val="20"/>
          <w:color w:val="auto"/>
        </w:rPr>
      </w:pPr>
    </w:p>
    <w:p>
      <w:pPr>
        <w:ind w:left="1680"/>
        <w:spacing w:after="0"/>
        <w:rPr>
          <w:sz w:val="20"/>
          <w:szCs w:val="20"/>
          <w:color w:val="auto"/>
        </w:rPr>
      </w:pPr>
      <w:r>
        <w:rPr>
          <w:rFonts w:ascii="Arial" w:cs="Arial" w:eastAsia="Arial" w:hAnsi="Arial"/>
          <w:sz w:val="13"/>
          <w:szCs w:val="13"/>
          <w:color w:val="auto"/>
        </w:rPr>
        <w:t>Mary K. Bush</w:t>
      </w:r>
    </w:p>
    <w:p>
      <w:pPr>
        <w:spacing w:after="0" w:line="8" w:lineRule="exact"/>
        <w:rPr>
          <w:sz w:val="20"/>
          <w:szCs w:val="20"/>
          <w:color w:val="auto"/>
        </w:rPr>
      </w:pPr>
    </w:p>
    <w:p>
      <w:pPr>
        <w:ind w:left="1680"/>
        <w:spacing w:after="0"/>
        <w:rPr>
          <w:sz w:val="20"/>
          <w:szCs w:val="20"/>
          <w:color w:val="auto"/>
        </w:rPr>
      </w:pPr>
      <w:r>
        <w:rPr>
          <w:rFonts w:ascii="Arial" w:cs="Arial" w:eastAsia="Arial" w:hAnsi="Arial"/>
          <w:sz w:val="13"/>
          <w:szCs w:val="13"/>
          <w:color w:val="auto"/>
        </w:rPr>
        <w:t>Roger D. Peirce</w:t>
      </w:r>
    </w:p>
    <w:p>
      <w:pPr>
        <w:spacing w:after="0" w:line="29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III-11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12.</w:t>
      </w:r>
      <w:r>
        <w:rPr>
          <w:sz w:val="20"/>
          <w:szCs w:val="20"/>
          <w:color w:val="auto"/>
        </w:rPr>
        <w:tab/>
      </w:r>
      <w:r>
        <w:rPr>
          <w:rFonts w:ascii="Arial" w:cs="Arial" w:eastAsia="Arial" w:hAnsi="Arial"/>
          <w:sz w:val="11"/>
          <w:szCs w:val="11"/>
          <w:b w:val="1"/>
          <w:bCs w:val="1"/>
          <w:i w:val="1"/>
          <w:iCs w:val="1"/>
          <w:color w:val="auto"/>
        </w:rPr>
        <w:t>Security Ownership of Certain Beneficial Owners and Management and Related Stockholder Matters</w:t>
      </w:r>
    </w:p>
    <w:p>
      <w:pPr>
        <w:spacing w:after="0" w:line="100" w:lineRule="exact"/>
        <w:rPr>
          <w:sz w:val="20"/>
          <w:szCs w:val="20"/>
          <w:color w:val="auto"/>
        </w:rPr>
      </w:pPr>
    </w:p>
    <w:p>
      <w:pPr>
        <w:ind w:left="1000" w:hanging="313"/>
        <w:spacing w:after="0"/>
        <w:tabs>
          <w:tab w:leader="none" w:pos="1000" w:val="left"/>
        </w:tabs>
        <w:numPr>
          <w:ilvl w:val="0"/>
          <w:numId w:val="37"/>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Security Ownership of Certain Beneficial Owners</w:t>
      </w:r>
    </w:p>
    <w:p>
      <w:pPr>
        <w:spacing w:after="0" w:line="96"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The following table sets forth the current beneficial ownership of shareholders who are known by the Company to own more than five percent (5%) of any class of the Company’s voting shares on August 15, 2006. As of that date, nearly all of the voting stock of the Company was held by two trusts controlled by direct descendants of the Company’s founder, William H. Brady, as follows:</w:t>
      </w:r>
    </w:p>
    <w:p>
      <w:pPr>
        <w:spacing w:after="0" w:line="6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94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5"/>
              </w:rPr>
              <w:t>Amount of</w:t>
            </w: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0"/>
                <w:szCs w:val="10"/>
                <w:b w:val="1"/>
                <w:bCs w:val="1"/>
                <w:color w:val="auto"/>
                <w:w w:val="89"/>
              </w:rPr>
              <w:t>Percent of</w:t>
            </w:r>
          </w:p>
        </w:tc>
        <w:tc>
          <w:tcPr>
            <w:tcW w:w="0" w:type="dxa"/>
            <w:vAlign w:val="bottom"/>
          </w:tcPr>
          <w:p>
            <w:pPr>
              <w:spacing w:after="0"/>
              <w:rPr>
                <w:sz w:val="1"/>
                <w:szCs w:val="1"/>
                <w:color w:val="auto"/>
              </w:rPr>
            </w:pPr>
          </w:p>
        </w:tc>
      </w:tr>
      <w:tr>
        <w:trPr>
          <w:trHeight w:val="118"/>
        </w:trPr>
        <w:tc>
          <w:tcPr>
            <w:tcW w:w="1940" w:type="dxa"/>
            <w:vAlign w:val="bottom"/>
            <w:vMerge w:val="restart"/>
          </w:tcPr>
          <w:p>
            <w:pPr>
              <w:spacing w:after="0"/>
              <w:rPr>
                <w:sz w:val="20"/>
                <w:szCs w:val="20"/>
                <w:color w:val="auto"/>
              </w:rPr>
            </w:pPr>
            <w:r>
              <w:rPr>
                <w:rFonts w:ascii="Arial" w:cs="Arial" w:eastAsia="Arial" w:hAnsi="Arial"/>
                <w:sz w:val="10"/>
                <w:szCs w:val="10"/>
                <w:b w:val="1"/>
                <w:bCs w:val="1"/>
                <w:color w:val="auto"/>
              </w:rPr>
              <w:t>Title of Class</w:t>
            </w:r>
          </w:p>
        </w:tc>
        <w:tc>
          <w:tcPr>
            <w:tcW w:w="5940" w:type="dxa"/>
            <w:vAlign w:val="bottom"/>
            <w:vMerge w:val="restart"/>
          </w:tcPr>
          <w:p>
            <w:pPr>
              <w:ind w:left="3140"/>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 and Address of Beneficial Owner</w:t>
            </w:r>
          </w:p>
        </w:tc>
        <w:tc>
          <w:tcPr>
            <w:tcW w:w="11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3"/>
              </w:rPr>
              <w:t>Beneficial</w:t>
            </w: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940" w:type="dxa"/>
            <w:vAlign w:val="bottom"/>
            <w:vMerge w:val="continue"/>
          </w:tcPr>
          <w:p>
            <w:pPr>
              <w:spacing w:after="0"/>
              <w:rPr>
                <w:sz w:val="10"/>
                <w:szCs w:val="10"/>
                <w:color w:val="auto"/>
              </w:rPr>
            </w:pPr>
          </w:p>
        </w:tc>
        <w:tc>
          <w:tcPr>
            <w:tcW w:w="5940" w:type="dxa"/>
            <w:vAlign w:val="bottom"/>
            <w:vMerge w:val="continue"/>
          </w:tcPr>
          <w:p>
            <w:pPr>
              <w:spacing w:after="0"/>
              <w:rPr>
                <w:sz w:val="10"/>
                <w:szCs w:val="10"/>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Ownership</w:t>
            </w:r>
          </w:p>
        </w:tc>
        <w:tc>
          <w:tcPr>
            <w:tcW w:w="400" w:type="dxa"/>
            <w:vAlign w:val="bottom"/>
          </w:tcPr>
          <w:p>
            <w:pPr>
              <w:spacing w:after="0"/>
              <w:rPr>
                <w:sz w:val="10"/>
                <w:szCs w:val="1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Ownership(2)</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940" w:type="dxa"/>
            <w:vAlign w:val="bottom"/>
          </w:tcPr>
          <w:p>
            <w:pPr>
              <w:spacing w:after="0"/>
              <w:rPr>
                <w:sz w:val="20"/>
                <w:szCs w:val="20"/>
                <w:color w:val="auto"/>
              </w:rPr>
            </w:pPr>
            <w:r>
              <w:rPr>
                <w:rFonts w:ascii="Arial" w:cs="Arial" w:eastAsia="Arial" w:hAnsi="Arial"/>
                <w:sz w:val="13"/>
                <w:szCs w:val="13"/>
                <w:color w:val="auto"/>
              </w:rPr>
              <w:t>Class B Common Stock</w:t>
            </w:r>
          </w:p>
        </w:tc>
        <w:tc>
          <w:tcPr>
            <w:tcW w:w="5940" w:type="dxa"/>
            <w:vAlign w:val="bottom"/>
          </w:tcPr>
          <w:p>
            <w:pPr>
              <w:ind w:left="680"/>
              <w:spacing w:after="0"/>
              <w:rPr>
                <w:sz w:val="20"/>
                <w:szCs w:val="20"/>
                <w:color w:val="auto"/>
              </w:rPr>
            </w:pPr>
            <w:r>
              <w:rPr>
                <w:rFonts w:ascii="Arial" w:cs="Arial" w:eastAsia="Arial" w:hAnsi="Arial"/>
                <w:sz w:val="13"/>
                <w:szCs w:val="13"/>
                <w:color w:val="auto"/>
              </w:rPr>
              <w:t>Brady Corporation Class B Common Stock Trust(1)</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1,769,304</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57"/>
        </w:trPr>
        <w:tc>
          <w:tcPr>
            <w:tcW w:w="1940" w:type="dxa"/>
            <w:vAlign w:val="bottom"/>
          </w:tcPr>
          <w:p>
            <w:pPr>
              <w:spacing w:after="0"/>
              <w:rPr>
                <w:sz w:val="13"/>
                <w:szCs w:val="13"/>
                <w:color w:val="auto"/>
              </w:rPr>
            </w:pPr>
          </w:p>
        </w:tc>
        <w:tc>
          <w:tcPr>
            <w:tcW w:w="5940" w:type="dxa"/>
            <w:vAlign w:val="bottom"/>
          </w:tcPr>
          <w:p>
            <w:pPr>
              <w:ind w:left="680"/>
              <w:spacing w:after="0"/>
              <w:rPr>
                <w:sz w:val="20"/>
                <w:szCs w:val="20"/>
                <w:color w:val="auto"/>
              </w:rPr>
            </w:pPr>
            <w:r>
              <w:rPr>
                <w:rFonts w:ascii="Arial" w:cs="Arial" w:eastAsia="Arial" w:hAnsi="Arial"/>
                <w:sz w:val="13"/>
                <w:szCs w:val="13"/>
                <w:color w:val="auto"/>
              </w:rPr>
              <w:t>c/o Elizabeth P. Pungello</w:t>
            </w: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940" w:type="dxa"/>
            <w:vAlign w:val="bottom"/>
          </w:tcPr>
          <w:p>
            <w:pPr>
              <w:spacing w:after="0"/>
              <w:rPr>
                <w:sz w:val="13"/>
                <w:szCs w:val="13"/>
                <w:color w:val="auto"/>
              </w:rPr>
            </w:pPr>
          </w:p>
        </w:tc>
        <w:tc>
          <w:tcPr>
            <w:tcW w:w="5940" w:type="dxa"/>
            <w:vAlign w:val="bottom"/>
          </w:tcPr>
          <w:p>
            <w:pPr>
              <w:ind w:left="680"/>
              <w:spacing w:after="0"/>
              <w:rPr>
                <w:sz w:val="20"/>
                <w:szCs w:val="20"/>
                <w:color w:val="auto"/>
              </w:rPr>
            </w:pPr>
            <w:r>
              <w:rPr>
                <w:rFonts w:ascii="Arial" w:cs="Arial" w:eastAsia="Arial" w:hAnsi="Arial"/>
                <w:sz w:val="13"/>
                <w:szCs w:val="13"/>
                <w:color w:val="auto"/>
              </w:rPr>
              <w:t>2002 S. Hawick Ct.</w:t>
            </w: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940" w:type="dxa"/>
            <w:vAlign w:val="bottom"/>
          </w:tcPr>
          <w:p>
            <w:pPr>
              <w:spacing w:after="0"/>
              <w:rPr>
                <w:sz w:val="13"/>
                <w:szCs w:val="13"/>
                <w:color w:val="auto"/>
              </w:rPr>
            </w:pPr>
          </w:p>
        </w:tc>
        <w:tc>
          <w:tcPr>
            <w:tcW w:w="5940" w:type="dxa"/>
            <w:vAlign w:val="bottom"/>
          </w:tcPr>
          <w:p>
            <w:pPr>
              <w:ind w:left="680"/>
              <w:spacing w:after="0"/>
              <w:rPr>
                <w:sz w:val="20"/>
                <w:szCs w:val="20"/>
                <w:color w:val="auto"/>
              </w:rPr>
            </w:pPr>
            <w:r>
              <w:rPr>
                <w:rFonts w:ascii="Arial" w:cs="Arial" w:eastAsia="Arial" w:hAnsi="Arial"/>
                <w:sz w:val="13"/>
                <w:szCs w:val="13"/>
                <w:color w:val="auto"/>
              </w:rPr>
              <w:t>Chapel Hill, NC 27516</w:t>
            </w: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940" w:type="dxa"/>
            <w:vAlign w:val="bottom"/>
          </w:tcPr>
          <w:p>
            <w:pPr>
              <w:spacing w:after="0"/>
              <w:rPr>
                <w:sz w:val="13"/>
                <w:szCs w:val="13"/>
                <w:color w:val="auto"/>
              </w:rPr>
            </w:pPr>
          </w:p>
        </w:tc>
        <w:tc>
          <w:tcPr>
            <w:tcW w:w="5940" w:type="dxa"/>
            <w:vAlign w:val="bottom"/>
          </w:tcPr>
          <w:p>
            <w:pPr>
              <w:ind w:left="680"/>
              <w:spacing w:after="0"/>
              <w:rPr>
                <w:sz w:val="20"/>
                <w:szCs w:val="20"/>
                <w:color w:val="auto"/>
              </w:rPr>
            </w:pPr>
            <w:r>
              <w:rPr>
                <w:rFonts w:ascii="Arial" w:cs="Arial" w:eastAsia="Arial" w:hAnsi="Arial"/>
                <w:sz w:val="13"/>
                <w:szCs w:val="13"/>
                <w:color w:val="auto"/>
              </w:rPr>
              <w:t>William H. Brady III Revocable Trust of 2003(3)</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1,769,304</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57"/>
        </w:trPr>
        <w:tc>
          <w:tcPr>
            <w:tcW w:w="1940" w:type="dxa"/>
            <w:vAlign w:val="bottom"/>
          </w:tcPr>
          <w:p>
            <w:pPr>
              <w:spacing w:after="0"/>
              <w:rPr>
                <w:sz w:val="13"/>
                <w:szCs w:val="13"/>
                <w:color w:val="auto"/>
              </w:rPr>
            </w:pPr>
          </w:p>
        </w:tc>
        <w:tc>
          <w:tcPr>
            <w:tcW w:w="5940" w:type="dxa"/>
            <w:vAlign w:val="bottom"/>
          </w:tcPr>
          <w:p>
            <w:pPr>
              <w:ind w:left="680"/>
              <w:spacing w:after="0"/>
              <w:rPr>
                <w:sz w:val="20"/>
                <w:szCs w:val="20"/>
                <w:color w:val="auto"/>
              </w:rPr>
            </w:pPr>
            <w:r>
              <w:rPr>
                <w:rFonts w:ascii="Arial" w:cs="Arial" w:eastAsia="Arial" w:hAnsi="Arial"/>
                <w:sz w:val="13"/>
                <w:szCs w:val="13"/>
                <w:color w:val="auto"/>
              </w:rPr>
              <w:t>c/o William H. Brady III</w:t>
            </w: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940" w:type="dxa"/>
            <w:vAlign w:val="bottom"/>
          </w:tcPr>
          <w:p>
            <w:pPr>
              <w:spacing w:after="0"/>
              <w:rPr>
                <w:sz w:val="13"/>
                <w:szCs w:val="13"/>
                <w:color w:val="auto"/>
              </w:rPr>
            </w:pPr>
          </w:p>
        </w:tc>
        <w:tc>
          <w:tcPr>
            <w:tcW w:w="5940" w:type="dxa"/>
            <w:vAlign w:val="bottom"/>
          </w:tcPr>
          <w:p>
            <w:pPr>
              <w:ind w:left="680"/>
              <w:spacing w:after="0"/>
              <w:rPr>
                <w:sz w:val="20"/>
                <w:szCs w:val="20"/>
                <w:color w:val="auto"/>
              </w:rPr>
            </w:pPr>
            <w:r>
              <w:rPr>
                <w:rFonts w:ascii="Arial" w:cs="Arial" w:eastAsia="Arial" w:hAnsi="Arial"/>
                <w:sz w:val="13"/>
                <w:szCs w:val="13"/>
                <w:color w:val="auto"/>
              </w:rPr>
              <w:t>249 Rosemont Ave.</w:t>
            </w: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940" w:type="dxa"/>
            <w:vAlign w:val="bottom"/>
          </w:tcPr>
          <w:p>
            <w:pPr>
              <w:spacing w:after="0"/>
              <w:rPr>
                <w:sz w:val="14"/>
                <w:szCs w:val="14"/>
                <w:color w:val="auto"/>
              </w:rPr>
            </w:pPr>
          </w:p>
        </w:tc>
        <w:tc>
          <w:tcPr>
            <w:tcW w:w="5940" w:type="dxa"/>
            <w:vAlign w:val="bottom"/>
          </w:tcPr>
          <w:p>
            <w:pPr>
              <w:ind w:left="680"/>
              <w:spacing w:after="0"/>
              <w:rPr>
                <w:sz w:val="20"/>
                <w:szCs w:val="20"/>
                <w:color w:val="auto"/>
              </w:rPr>
            </w:pPr>
            <w:r>
              <w:rPr>
                <w:rFonts w:ascii="Arial" w:cs="Arial" w:eastAsia="Arial" w:hAnsi="Arial"/>
                <w:sz w:val="13"/>
                <w:szCs w:val="13"/>
                <w:color w:val="auto"/>
              </w:rPr>
              <w:t>Pasadena, CA 91103</w:t>
            </w: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-828675</wp:posOffset>
            </wp:positionV>
            <wp:extent cx="18415"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1000" w:right="320" w:hanging="259"/>
        <w:spacing w:after="0" w:line="276" w:lineRule="auto"/>
        <w:tabs>
          <w:tab w:leader="none" w:pos="10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trustee is Elizabeth P. Pungello, who has sole voting and dispositive power and who is the remainder beneficiary. Elizabeth Pungello is the great-granddaughter of William H. Brady and currently serves on the Company’s Board of Directors.</w:t>
      </w:r>
    </w:p>
    <w:p>
      <w:pPr>
        <w:spacing w:after="0" w:line="10" w:lineRule="exact"/>
        <w:rPr>
          <w:rFonts w:ascii="Arial" w:cs="Arial" w:eastAsia="Arial" w:hAnsi="Arial"/>
          <w:sz w:val="13"/>
          <w:szCs w:val="13"/>
          <w:color w:val="auto"/>
        </w:rPr>
      </w:pPr>
    </w:p>
    <w:p>
      <w:pPr>
        <w:ind w:left="1000" w:hanging="259"/>
        <w:spacing w:after="0"/>
        <w:tabs>
          <w:tab w:leader="none" w:pos="10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An additional 20 shares are owned by a third trust with different trustees.</w:t>
      </w:r>
    </w:p>
    <w:p>
      <w:pPr>
        <w:spacing w:after="0" w:line="47" w:lineRule="exact"/>
        <w:rPr>
          <w:rFonts w:ascii="Arial" w:cs="Arial" w:eastAsia="Arial" w:hAnsi="Arial"/>
          <w:sz w:val="13"/>
          <w:szCs w:val="13"/>
          <w:color w:val="auto"/>
        </w:rPr>
      </w:pPr>
    </w:p>
    <w:p>
      <w:pPr>
        <w:ind w:left="1000" w:hanging="259"/>
        <w:spacing w:after="0"/>
        <w:tabs>
          <w:tab w:leader="none" w:pos="1000" w:val="left"/>
        </w:tabs>
        <w:numPr>
          <w:ilvl w:val="0"/>
          <w:numId w:val="38"/>
        </w:numPr>
        <w:rPr>
          <w:rFonts w:ascii="Arial" w:cs="Arial" w:eastAsia="Arial" w:hAnsi="Arial"/>
          <w:sz w:val="12"/>
          <w:szCs w:val="12"/>
          <w:color w:val="auto"/>
        </w:rPr>
      </w:pPr>
      <w:r>
        <w:rPr>
          <w:rFonts w:ascii="Arial" w:cs="Arial" w:eastAsia="Arial" w:hAnsi="Arial"/>
          <w:sz w:val="12"/>
          <w:szCs w:val="12"/>
          <w:color w:val="auto"/>
        </w:rPr>
        <w:t>William H. Brady III is special trustee of this trust and has sole voting and dispositive powers with respect to these shares. William H. Brady III is the grandson of William H. Brady.</w:t>
      </w:r>
    </w:p>
    <w:p>
      <w:pPr>
        <w:spacing w:after="0" w:line="304"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III-12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00" w:hanging="313"/>
        <w:spacing w:after="0"/>
        <w:tabs>
          <w:tab w:leader="none" w:pos="1000" w:val="left"/>
        </w:tabs>
        <w:numPr>
          <w:ilvl w:val="0"/>
          <w:numId w:val="39"/>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Security Ownership of Management</w:t>
      </w:r>
    </w:p>
    <w:p>
      <w:pPr>
        <w:spacing w:after="0" w:line="96" w:lineRule="exact"/>
        <w:rPr>
          <w:sz w:val="20"/>
          <w:szCs w:val="20"/>
          <w:color w:val="auto"/>
        </w:rPr>
      </w:pPr>
    </w:p>
    <w:p>
      <w:pPr>
        <w:jc w:val="both"/>
        <w:ind w:left="680" w:right="40" w:firstLine="399"/>
        <w:spacing w:after="0" w:line="264" w:lineRule="auto"/>
        <w:rPr>
          <w:sz w:val="20"/>
          <w:szCs w:val="20"/>
          <w:color w:val="auto"/>
        </w:rPr>
      </w:pPr>
      <w:r>
        <w:rPr>
          <w:rFonts w:ascii="Arial" w:cs="Arial" w:eastAsia="Arial" w:hAnsi="Arial"/>
          <w:sz w:val="13"/>
          <w:szCs w:val="13"/>
          <w:color w:val="auto"/>
        </w:rPr>
        <w:t>The following table sets forth the current beneficial ownership of each class of equity securities of the Company by each Director or Nominee and by all Directors and Officers of the Company as a group as of August 15, 2006. Unless otherwise noted, the address for each of the listed persons is c/o Brady Corporation, 6555 West Good Hope Road, Milwaukee, Wisconsin 53223. Except as otherwise indicated, all shares are owned directly.</w:t>
      </w:r>
    </w:p>
    <w:p>
      <w:pPr>
        <w:spacing w:after="0" w:line="6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36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5"/>
              </w:rPr>
              <w:t>Amount of</w:t>
            </w: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0"/>
                <w:szCs w:val="10"/>
                <w:b w:val="1"/>
                <w:bCs w:val="1"/>
                <w:color w:val="auto"/>
              </w:rPr>
              <w:t>Percent of</w:t>
            </w:r>
          </w:p>
        </w:tc>
        <w:tc>
          <w:tcPr>
            <w:tcW w:w="0" w:type="dxa"/>
            <w:vAlign w:val="bottom"/>
          </w:tcPr>
          <w:p>
            <w:pPr>
              <w:spacing w:after="0"/>
              <w:rPr>
                <w:sz w:val="1"/>
                <w:szCs w:val="1"/>
                <w:color w:val="auto"/>
              </w:rPr>
            </w:pPr>
          </w:p>
        </w:tc>
      </w:tr>
      <w:tr>
        <w:trPr>
          <w:trHeight w:val="118"/>
        </w:trPr>
        <w:tc>
          <w:tcPr>
            <w:tcW w:w="2360" w:type="dxa"/>
            <w:vAlign w:val="bottom"/>
            <w:vMerge w:val="restart"/>
          </w:tcPr>
          <w:p>
            <w:pPr>
              <w:spacing w:after="0"/>
              <w:rPr>
                <w:sz w:val="20"/>
                <w:szCs w:val="20"/>
                <w:color w:val="auto"/>
              </w:rPr>
            </w:pPr>
            <w:r>
              <w:rPr>
                <w:rFonts w:ascii="Arial" w:cs="Arial" w:eastAsia="Arial" w:hAnsi="Arial"/>
                <w:sz w:val="10"/>
                <w:szCs w:val="10"/>
                <w:b w:val="1"/>
                <w:bCs w:val="1"/>
                <w:color w:val="auto"/>
              </w:rPr>
              <w:t>Title of Class</w:t>
            </w:r>
          </w:p>
        </w:tc>
        <w:tc>
          <w:tcPr>
            <w:tcW w:w="5520" w:type="dxa"/>
            <w:vAlign w:val="bottom"/>
            <w:vMerge w:val="restart"/>
          </w:tcPr>
          <w:p>
            <w:pPr>
              <w:ind w:left="2680"/>
              <w:spacing w:after="0"/>
              <w:rPr>
                <w:sz w:val="20"/>
                <w:szCs w:val="20"/>
                <w:color w:val="auto"/>
              </w:rPr>
            </w:pPr>
            <w:r>
              <w:rPr>
                <w:rFonts w:ascii="Arial" w:cs="Arial" w:eastAsia="Arial" w:hAnsi="Arial"/>
                <w:sz w:val="10"/>
                <w:szCs w:val="10"/>
                <w:b w:val="1"/>
                <w:bCs w:val="1"/>
                <w:u w:val="single" w:color="auto"/>
                <w:color w:val="auto"/>
                <w:w w:val="99"/>
              </w:rPr>
              <w:t>N</w:t>
            </w:r>
            <w:r>
              <w:rPr>
                <w:rFonts w:ascii="Arial" w:cs="Arial" w:eastAsia="Arial" w:hAnsi="Arial"/>
                <w:sz w:val="10"/>
                <w:szCs w:val="10"/>
                <w:b w:val="1"/>
                <w:bCs w:val="1"/>
                <w:color w:val="auto"/>
                <w:w w:val="99"/>
              </w:rPr>
              <w:t>ame of Beneficial Owner &amp; Nature of Beneficial Ownership</w:t>
            </w:r>
          </w:p>
        </w:tc>
        <w:tc>
          <w:tcPr>
            <w:tcW w:w="13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3"/>
              </w:rPr>
              <w:t>Beneficial</w:t>
            </w: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360" w:type="dxa"/>
            <w:vAlign w:val="bottom"/>
            <w:vMerge w:val="continue"/>
          </w:tcPr>
          <w:p>
            <w:pPr>
              <w:spacing w:after="0"/>
              <w:rPr>
                <w:sz w:val="10"/>
                <w:szCs w:val="10"/>
                <w:color w:val="auto"/>
              </w:rPr>
            </w:pPr>
          </w:p>
        </w:tc>
        <w:tc>
          <w:tcPr>
            <w:tcW w:w="5520" w:type="dxa"/>
            <w:vAlign w:val="bottom"/>
            <w:vMerge w:val="continue"/>
          </w:tcPr>
          <w:p>
            <w:pPr>
              <w:spacing w:after="0"/>
              <w:rPr>
                <w:sz w:val="10"/>
                <w:szCs w:val="10"/>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3"/>
              </w:rPr>
              <w:t>Ownership(8)</w:t>
            </w:r>
          </w:p>
        </w:tc>
        <w:tc>
          <w:tcPr>
            <w:tcW w:w="80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Ownership</w:t>
            </w:r>
          </w:p>
        </w:tc>
        <w:tc>
          <w:tcPr>
            <w:tcW w:w="0" w:type="dxa"/>
            <w:vAlign w:val="bottom"/>
          </w:tcPr>
          <w:p>
            <w:pPr>
              <w:spacing w:after="0"/>
              <w:rPr>
                <w:sz w:val="1"/>
                <w:szCs w:val="1"/>
                <w:color w:val="auto"/>
              </w:rPr>
            </w:pPr>
          </w:p>
        </w:tc>
      </w:tr>
      <w:tr>
        <w:trPr>
          <w:trHeight w:val="29"/>
        </w:trPr>
        <w:tc>
          <w:tcPr>
            <w:tcW w:w="2360" w:type="dxa"/>
            <w:vAlign w:val="bottom"/>
          </w:tcPr>
          <w:p>
            <w:pPr>
              <w:spacing w:after="0"/>
              <w:rPr>
                <w:sz w:val="2"/>
                <w:szCs w:val="2"/>
                <w:color w:val="auto"/>
              </w:rPr>
            </w:pPr>
          </w:p>
        </w:tc>
        <w:tc>
          <w:tcPr>
            <w:tcW w:w="552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360" w:type="dxa"/>
            <w:vAlign w:val="bottom"/>
            <w:shd w:val="clear" w:color="auto" w:fill="CCEEFF"/>
          </w:tcPr>
          <w:p>
            <w:pPr>
              <w:ind w:left="960"/>
              <w:spacing w:after="0"/>
              <w:rPr>
                <w:sz w:val="20"/>
                <w:szCs w:val="20"/>
                <w:color w:val="auto"/>
              </w:rPr>
            </w:pPr>
            <w:r>
              <w:rPr>
                <w:rFonts w:ascii="Arial" w:cs="Arial" w:eastAsia="Arial" w:hAnsi="Arial"/>
                <w:sz w:val="13"/>
                <w:szCs w:val="13"/>
                <w:color w:val="auto"/>
              </w:rPr>
              <w:t>Class A Common Stock</w:t>
            </w:r>
          </w:p>
        </w:tc>
        <w:tc>
          <w:tcPr>
            <w:tcW w:w="55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Elizabeth P. Pungello(1)</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2,247,677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57"/>
        </w:trPr>
        <w:tc>
          <w:tcPr>
            <w:tcW w:w="2360" w:type="dxa"/>
            <w:vAlign w:val="bottom"/>
          </w:tcPr>
          <w:p>
            <w:pPr>
              <w:spacing w:after="0"/>
              <w:rPr>
                <w:sz w:val="13"/>
                <w:szCs w:val="13"/>
                <w:color w:val="auto"/>
              </w:rPr>
            </w:pPr>
          </w:p>
        </w:tc>
        <w:tc>
          <w:tcPr>
            <w:tcW w:w="5520" w:type="dxa"/>
            <w:vAlign w:val="bottom"/>
          </w:tcPr>
          <w:p>
            <w:pPr>
              <w:ind w:left="160"/>
              <w:spacing w:after="0"/>
              <w:rPr>
                <w:sz w:val="20"/>
                <w:szCs w:val="20"/>
                <w:color w:val="auto"/>
              </w:rPr>
            </w:pPr>
            <w:r>
              <w:rPr>
                <w:rFonts w:ascii="Arial" w:cs="Arial" w:eastAsia="Arial" w:hAnsi="Arial"/>
                <w:sz w:val="13"/>
                <w:szCs w:val="13"/>
                <w:color w:val="auto"/>
              </w:rPr>
              <w:t>Frank M. Jaehnert(2)</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294,658</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57"/>
        </w:trPr>
        <w:tc>
          <w:tcPr>
            <w:tcW w:w="2360" w:type="dxa"/>
            <w:vAlign w:val="bottom"/>
            <w:shd w:val="clear" w:color="auto" w:fill="CCEEFF"/>
          </w:tcPr>
          <w:p>
            <w:pPr>
              <w:spacing w:after="0"/>
              <w:rPr>
                <w:sz w:val="13"/>
                <w:szCs w:val="13"/>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Thomas J. Felmer</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99,402</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57"/>
        </w:trPr>
        <w:tc>
          <w:tcPr>
            <w:tcW w:w="2360" w:type="dxa"/>
            <w:vAlign w:val="bottom"/>
          </w:tcPr>
          <w:p>
            <w:pPr>
              <w:spacing w:after="0"/>
              <w:rPr>
                <w:sz w:val="13"/>
                <w:szCs w:val="13"/>
                <w:color w:val="auto"/>
              </w:rPr>
            </w:pPr>
          </w:p>
        </w:tc>
        <w:tc>
          <w:tcPr>
            <w:tcW w:w="5520" w:type="dxa"/>
            <w:vAlign w:val="bottom"/>
          </w:tcPr>
          <w:p>
            <w:pPr>
              <w:ind w:left="160"/>
              <w:spacing w:after="0"/>
              <w:rPr>
                <w:sz w:val="20"/>
                <w:szCs w:val="20"/>
                <w:color w:val="auto"/>
              </w:rPr>
            </w:pPr>
            <w:r>
              <w:rPr>
                <w:rFonts w:ascii="Arial" w:cs="Arial" w:eastAsia="Arial" w:hAnsi="Arial"/>
                <w:sz w:val="13"/>
                <w:szCs w:val="13"/>
                <w:color w:val="auto"/>
              </w:rPr>
              <w:t>David R. Hawke</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98,777</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57"/>
        </w:trPr>
        <w:tc>
          <w:tcPr>
            <w:tcW w:w="2360" w:type="dxa"/>
            <w:vAlign w:val="bottom"/>
            <w:shd w:val="clear" w:color="auto" w:fill="CCEEFF"/>
          </w:tcPr>
          <w:p>
            <w:pPr>
              <w:spacing w:after="0"/>
              <w:rPr>
                <w:sz w:val="13"/>
                <w:szCs w:val="13"/>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Peter C. Sephton</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90,733</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57"/>
        </w:trPr>
        <w:tc>
          <w:tcPr>
            <w:tcW w:w="2360" w:type="dxa"/>
            <w:vAlign w:val="bottom"/>
          </w:tcPr>
          <w:p>
            <w:pPr>
              <w:spacing w:after="0"/>
              <w:rPr>
                <w:sz w:val="13"/>
                <w:szCs w:val="13"/>
                <w:color w:val="auto"/>
              </w:rPr>
            </w:pPr>
          </w:p>
        </w:tc>
        <w:tc>
          <w:tcPr>
            <w:tcW w:w="5520" w:type="dxa"/>
            <w:vAlign w:val="bottom"/>
          </w:tcPr>
          <w:p>
            <w:pPr>
              <w:ind w:left="160"/>
              <w:spacing w:after="0"/>
              <w:rPr>
                <w:sz w:val="20"/>
                <w:szCs w:val="20"/>
                <w:color w:val="auto"/>
              </w:rPr>
            </w:pPr>
            <w:r>
              <w:rPr>
                <w:rFonts w:ascii="Arial" w:cs="Arial" w:eastAsia="Arial" w:hAnsi="Arial"/>
                <w:sz w:val="13"/>
                <w:szCs w:val="13"/>
                <w:color w:val="auto"/>
              </w:rPr>
              <w:t>Matthew O. Williamson</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77,333</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57"/>
        </w:trPr>
        <w:tc>
          <w:tcPr>
            <w:tcW w:w="2360" w:type="dxa"/>
            <w:vAlign w:val="bottom"/>
            <w:shd w:val="clear" w:color="auto" w:fill="CCEEFF"/>
          </w:tcPr>
          <w:p>
            <w:pPr>
              <w:spacing w:after="0"/>
              <w:rPr>
                <w:sz w:val="13"/>
                <w:szCs w:val="13"/>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Allan J. Klotsche</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76,705</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57"/>
        </w:trPr>
        <w:tc>
          <w:tcPr>
            <w:tcW w:w="2360" w:type="dxa"/>
            <w:vAlign w:val="bottom"/>
          </w:tcPr>
          <w:p>
            <w:pPr>
              <w:spacing w:after="0"/>
              <w:rPr>
                <w:sz w:val="13"/>
                <w:szCs w:val="13"/>
                <w:color w:val="auto"/>
              </w:rPr>
            </w:pPr>
          </w:p>
        </w:tc>
        <w:tc>
          <w:tcPr>
            <w:tcW w:w="5520" w:type="dxa"/>
            <w:vAlign w:val="bottom"/>
          </w:tcPr>
          <w:p>
            <w:pPr>
              <w:ind w:left="160"/>
              <w:spacing w:after="0"/>
              <w:rPr>
                <w:sz w:val="20"/>
                <w:szCs w:val="20"/>
                <w:color w:val="auto"/>
              </w:rPr>
            </w:pPr>
            <w:r>
              <w:rPr>
                <w:rFonts w:ascii="Arial" w:cs="Arial" w:eastAsia="Arial" w:hAnsi="Arial"/>
                <w:sz w:val="13"/>
                <w:szCs w:val="13"/>
                <w:color w:val="auto"/>
              </w:rPr>
              <w:t>David Mathieson</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65,448</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57"/>
        </w:trPr>
        <w:tc>
          <w:tcPr>
            <w:tcW w:w="2360" w:type="dxa"/>
            <w:vAlign w:val="bottom"/>
            <w:shd w:val="clear" w:color="auto" w:fill="CCEEFF"/>
          </w:tcPr>
          <w:p>
            <w:pPr>
              <w:spacing w:after="0"/>
              <w:rPr>
                <w:sz w:val="13"/>
                <w:szCs w:val="13"/>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Michael O. Oliver</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64,303</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57"/>
        </w:trPr>
        <w:tc>
          <w:tcPr>
            <w:tcW w:w="2360" w:type="dxa"/>
            <w:vAlign w:val="bottom"/>
          </w:tcPr>
          <w:p>
            <w:pPr>
              <w:spacing w:after="0"/>
              <w:rPr>
                <w:sz w:val="13"/>
                <w:szCs w:val="13"/>
                <w:color w:val="auto"/>
              </w:rPr>
            </w:pPr>
          </w:p>
        </w:tc>
        <w:tc>
          <w:tcPr>
            <w:tcW w:w="5520" w:type="dxa"/>
            <w:vAlign w:val="bottom"/>
          </w:tcPr>
          <w:p>
            <w:pPr>
              <w:ind w:left="160"/>
              <w:spacing w:after="0"/>
              <w:rPr>
                <w:sz w:val="20"/>
                <w:szCs w:val="20"/>
                <w:color w:val="auto"/>
              </w:rPr>
            </w:pPr>
            <w:r>
              <w:rPr>
                <w:rFonts w:ascii="Arial" w:cs="Arial" w:eastAsia="Arial" w:hAnsi="Arial"/>
                <w:sz w:val="13"/>
                <w:szCs w:val="13"/>
                <w:color w:val="auto"/>
              </w:rPr>
              <w:t>Conrad G. Goodkind</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43,013</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57"/>
        </w:trPr>
        <w:tc>
          <w:tcPr>
            <w:tcW w:w="2360" w:type="dxa"/>
            <w:vAlign w:val="bottom"/>
            <w:shd w:val="clear" w:color="auto" w:fill="CCEEFF"/>
          </w:tcPr>
          <w:p>
            <w:pPr>
              <w:spacing w:after="0"/>
              <w:rPr>
                <w:sz w:val="13"/>
                <w:szCs w:val="13"/>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Richard A. Bemis</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43,000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57"/>
        </w:trPr>
        <w:tc>
          <w:tcPr>
            <w:tcW w:w="2360" w:type="dxa"/>
            <w:vAlign w:val="bottom"/>
          </w:tcPr>
          <w:p>
            <w:pPr>
              <w:spacing w:after="0"/>
              <w:rPr>
                <w:sz w:val="13"/>
                <w:szCs w:val="13"/>
                <w:color w:val="auto"/>
              </w:rPr>
            </w:pPr>
          </w:p>
        </w:tc>
        <w:tc>
          <w:tcPr>
            <w:tcW w:w="5520" w:type="dxa"/>
            <w:vAlign w:val="bottom"/>
          </w:tcPr>
          <w:p>
            <w:pPr>
              <w:ind w:left="160"/>
              <w:spacing w:after="0"/>
              <w:rPr>
                <w:sz w:val="20"/>
                <w:szCs w:val="20"/>
                <w:color w:val="auto"/>
              </w:rPr>
            </w:pPr>
            <w:r>
              <w:rPr>
                <w:rFonts w:ascii="Arial" w:cs="Arial" w:eastAsia="Arial" w:hAnsi="Arial"/>
                <w:sz w:val="13"/>
                <w:szCs w:val="13"/>
                <w:color w:val="auto"/>
              </w:rPr>
              <w:t>Roger D. Peirce(3)</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24,000</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360" w:type="dxa"/>
            <w:vAlign w:val="bottom"/>
            <w:shd w:val="clear" w:color="auto" w:fill="CCEEFF"/>
          </w:tcPr>
          <w:p>
            <w:pPr>
              <w:spacing w:after="0"/>
              <w:rPr>
                <w:sz w:val="13"/>
                <w:szCs w:val="13"/>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Gary E. Nei(4)</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22,000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360" w:type="dxa"/>
            <w:vAlign w:val="bottom"/>
          </w:tcPr>
          <w:p>
            <w:pPr>
              <w:spacing w:after="0"/>
              <w:rPr>
                <w:sz w:val="13"/>
                <w:szCs w:val="13"/>
                <w:color w:val="auto"/>
              </w:rPr>
            </w:pPr>
          </w:p>
        </w:tc>
        <w:tc>
          <w:tcPr>
            <w:tcW w:w="5520" w:type="dxa"/>
            <w:vAlign w:val="bottom"/>
          </w:tcPr>
          <w:p>
            <w:pPr>
              <w:ind w:left="160"/>
              <w:spacing w:after="0"/>
              <w:rPr>
                <w:sz w:val="20"/>
                <w:szCs w:val="20"/>
                <w:color w:val="auto"/>
              </w:rPr>
            </w:pPr>
            <w:r>
              <w:rPr>
                <w:rFonts w:ascii="Arial" w:cs="Arial" w:eastAsia="Arial" w:hAnsi="Arial"/>
                <w:sz w:val="13"/>
                <w:szCs w:val="13"/>
                <w:color w:val="auto"/>
              </w:rPr>
              <w:t>Frank W. Harris</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20,066</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360" w:type="dxa"/>
            <w:vAlign w:val="bottom"/>
            <w:shd w:val="clear" w:color="auto" w:fill="CCEEFF"/>
          </w:tcPr>
          <w:p>
            <w:pPr>
              <w:spacing w:after="0"/>
              <w:rPr>
                <w:sz w:val="13"/>
                <w:szCs w:val="13"/>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Robert C. Buchanan(5)</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19,400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360" w:type="dxa"/>
            <w:vAlign w:val="bottom"/>
          </w:tcPr>
          <w:p>
            <w:pPr>
              <w:spacing w:after="0"/>
              <w:rPr>
                <w:sz w:val="13"/>
                <w:szCs w:val="13"/>
                <w:color w:val="auto"/>
              </w:rPr>
            </w:pPr>
          </w:p>
        </w:tc>
        <w:tc>
          <w:tcPr>
            <w:tcW w:w="5520" w:type="dxa"/>
            <w:vAlign w:val="bottom"/>
          </w:tcPr>
          <w:p>
            <w:pPr>
              <w:ind w:left="160"/>
              <w:spacing w:after="0"/>
              <w:rPr>
                <w:sz w:val="20"/>
                <w:szCs w:val="20"/>
                <w:color w:val="auto"/>
              </w:rPr>
            </w:pPr>
            <w:r>
              <w:rPr>
                <w:rFonts w:ascii="Arial" w:cs="Arial" w:eastAsia="Arial" w:hAnsi="Arial"/>
                <w:sz w:val="13"/>
                <w:szCs w:val="13"/>
                <w:color w:val="auto"/>
              </w:rPr>
              <w:t>Frank R. Jarc</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19,000</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360" w:type="dxa"/>
            <w:vAlign w:val="bottom"/>
            <w:shd w:val="clear" w:color="auto" w:fill="CCEEFF"/>
          </w:tcPr>
          <w:p>
            <w:pPr>
              <w:spacing w:after="0"/>
              <w:rPr>
                <w:sz w:val="13"/>
                <w:szCs w:val="13"/>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Peter J. Lettenberger</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18,575</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360" w:type="dxa"/>
            <w:vAlign w:val="bottom"/>
          </w:tcPr>
          <w:p>
            <w:pPr>
              <w:spacing w:after="0"/>
              <w:rPr>
                <w:sz w:val="13"/>
                <w:szCs w:val="13"/>
                <w:color w:val="auto"/>
              </w:rPr>
            </w:pPr>
          </w:p>
        </w:tc>
        <w:tc>
          <w:tcPr>
            <w:tcW w:w="5520" w:type="dxa"/>
            <w:vAlign w:val="bottom"/>
          </w:tcPr>
          <w:p>
            <w:pPr>
              <w:ind w:left="160"/>
              <w:spacing w:after="0"/>
              <w:rPr>
                <w:sz w:val="20"/>
                <w:szCs w:val="20"/>
                <w:color w:val="auto"/>
              </w:rPr>
            </w:pPr>
            <w:r>
              <w:rPr>
                <w:rFonts w:ascii="Arial" w:cs="Arial" w:eastAsia="Arial" w:hAnsi="Arial"/>
                <w:sz w:val="13"/>
                <w:szCs w:val="13"/>
                <w:color w:val="auto"/>
              </w:rPr>
              <w:t>Barbara Bolens</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12,925</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360" w:type="dxa"/>
            <w:vAlign w:val="bottom"/>
            <w:shd w:val="clear" w:color="auto" w:fill="CCEEFF"/>
          </w:tcPr>
          <w:p>
            <w:pPr>
              <w:spacing w:after="0"/>
              <w:rPr>
                <w:sz w:val="13"/>
                <w:szCs w:val="13"/>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Mary K. Bush</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10,000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360" w:type="dxa"/>
            <w:vAlign w:val="bottom"/>
          </w:tcPr>
          <w:p>
            <w:pPr>
              <w:spacing w:after="0"/>
              <w:rPr>
                <w:sz w:val="13"/>
                <w:szCs w:val="13"/>
                <w:color w:val="auto"/>
              </w:rPr>
            </w:pPr>
          </w:p>
        </w:tc>
        <w:tc>
          <w:tcPr>
            <w:tcW w:w="5520" w:type="dxa"/>
            <w:vAlign w:val="bottom"/>
          </w:tcPr>
          <w:p>
            <w:pPr>
              <w:ind w:left="160"/>
              <w:spacing w:after="0"/>
              <w:rPr>
                <w:sz w:val="20"/>
                <w:szCs w:val="20"/>
                <w:color w:val="auto"/>
              </w:rPr>
            </w:pPr>
            <w:r>
              <w:rPr>
                <w:rFonts w:ascii="Arial" w:cs="Arial" w:eastAsia="Arial" w:hAnsi="Arial"/>
                <w:sz w:val="13"/>
                <w:szCs w:val="13"/>
                <w:color w:val="auto"/>
              </w:rPr>
              <w:t>Robert L. Tatterson(6)</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0</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360" w:type="dxa"/>
            <w:vAlign w:val="bottom"/>
            <w:shd w:val="clear" w:color="auto" w:fill="CCEEFF"/>
          </w:tcPr>
          <w:p>
            <w:pPr>
              <w:spacing w:after="0"/>
              <w:rPr>
                <w:sz w:val="13"/>
                <w:szCs w:val="13"/>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All Officers and Directors as a Group (20 persons)(7)</w:t>
            </w:r>
          </w:p>
        </w:tc>
        <w:tc>
          <w:tcPr>
            <w:tcW w:w="9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165"/>
        </w:trPr>
        <w:tc>
          <w:tcPr>
            <w:tcW w:w="2360" w:type="dxa"/>
            <w:vAlign w:val="bottom"/>
          </w:tcPr>
          <w:p>
            <w:pPr>
              <w:ind w:left="960"/>
              <w:spacing w:after="0"/>
              <w:rPr>
                <w:sz w:val="20"/>
                <w:szCs w:val="20"/>
                <w:color w:val="auto"/>
              </w:rPr>
            </w:pPr>
            <w:r>
              <w:rPr>
                <w:rFonts w:ascii="Arial" w:cs="Arial" w:eastAsia="Arial" w:hAnsi="Arial"/>
                <w:sz w:val="13"/>
                <w:szCs w:val="13"/>
                <w:color w:val="auto"/>
              </w:rPr>
              <w:t>Class B Common Stock</w:t>
            </w:r>
          </w:p>
        </w:tc>
        <w:tc>
          <w:tcPr>
            <w:tcW w:w="5520" w:type="dxa"/>
            <w:vAlign w:val="bottom"/>
          </w:tcPr>
          <w:p>
            <w:pPr>
              <w:ind w:left="160"/>
              <w:spacing w:after="0"/>
              <w:rPr>
                <w:sz w:val="20"/>
                <w:szCs w:val="20"/>
                <w:color w:val="auto"/>
              </w:rPr>
            </w:pPr>
            <w:r>
              <w:rPr>
                <w:rFonts w:ascii="Arial" w:cs="Arial" w:eastAsia="Arial" w:hAnsi="Arial"/>
                <w:sz w:val="13"/>
                <w:szCs w:val="13"/>
                <w:color w:val="auto"/>
              </w:rPr>
              <w:t>Elizabeth P. Pungello(1)</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1,769,304</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-2232660</wp:posOffset>
            </wp:positionV>
            <wp:extent cx="12700"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800"/>
        <w:spacing w:after="0"/>
        <w:tabs>
          <w:tab w:leader="none" w:pos="98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1"/>
          <w:szCs w:val="11"/>
          <w:color w:val="auto"/>
        </w:rPr>
        <w:t>Indicates less than one-tenth of one percent.</w:t>
      </w:r>
    </w:p>
    <w:p>
      <w:pPr>
        <w:spacing w:after="0" w:line="47" w:lineRule="exact"/>
        <w:rPr>
          <w:sz w:val="20"/>
          <w:szCs w:val="20"/>
          <w:color w:val="auto"/>
        </w:rPr>
      </w:pPr>
    </w:p>
    <w:p>
      <w:pPr>
        <w:ind w:left="1000" w:hanging="259"/>
        <w:spacing w:after="0" w:line="276" w:lineRule="auto"/>
        <w:tabs>
          <w:tab w:leader="none" w:pos="10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Represents 2,183,572 shares owned by trusts for which Ms. Pungello is a trustee and has either sole or joint dispositive and voting authority. In addition, Ms. Pungello is the beneficiary of an unrelated trust owning 1,833,409 shares, as to which she does not have voting or dispositive authority.</w:t>
      </w:r>
    </w:p>
    <w:p>
      <w:pPr>
        <w:spacing w:after="0" w:line="10" w:lineRule="exact"/>
        <w:rPr>
          <w:rFonts w:ascii="Arial" w:cs="Arial" w:eastAsia="Arial" w:hAnsi="Arial"/>
          <w:sz w:val="13"/>
          <w:szCs w:val="13"/>
          <w:color w:val="auto"/>
        </w:rPr>
      </w:pPr>
    </w:p>
    <w:p>
      <w:pPr>
        <w:ind w:left="1000" w:right="260" w:hanging="259"/>
        <w:spacing w:after="0" w:line="276" w:lineRule="auto"/>
        <w:tabs>
          <w:tab w:leader="none" w:pos="10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Mr. Jaehnert owns 2,020 shares of Class A Common Stock directly and 1,173 shares in his 401(k) Plan, and holds vested options to acquire an additional 286,000 shares of Class A Common Stock. Mr. Jaehnert’s spouse owns 5,465 shares of Class A Common Stock directly.</w:t>
      </w:r>
    </w:p>
    <w:p>
      <w:pPr>
        <w:spacing w:after="0" w:line="10" w:lineRule="exact"/>
        <w:rPr>
          <w:rFonts w:ascii="Arial" w:cs="Arial" w:eastAsia="Arial" w:hAnsi="Arial"/>
          <w:sz w:val="13"/>
          <w:szCs w:val="13"/>
          <w:color w:val="auto"/>
        </w:rPr>
      </w:pPr>
    </w:p>
    <w:p>
      <w:pPr>
        <w:ind w:left="1000" w:right="360" w:hanging="259"/>
        <w:spacing w:after="0" w:line="276" w:lineRule="auto"/>
        <w:tabs>
          <w:tab w:leader="none" w:pos="10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Mr. Peirce owns 3,000 shares of Class A Common Stock directly, 3,000 shares through his Keogh plan and holds vested options to acquire an additional 18,000 shares of Class A Common Stock.</w:t>
      </w:r>
    </w:p>
    <w:p>
      <w:pPr>
        <w:spacing w:after="0" w:line="10" w:lineRule="exact"/>
        <w:rPr>
          <w:rFonts w:ascii="Arial" w:cs="Arial" w:eastAsia="Arial" w:hAnsi="Arial"/>
          <w:sz w:val="13"/>
          <w:szCs w:val="13"/>
          <w:color w:val="auto"/>
        </w:rPr>
      </w:pPr>
    </w:p>
    <w:p>
      <w:pPr>
        <w:ind w:left="1000" w:right="200" w:hanging="259"/>
        <w:spacing w:after="0" w:line="276" w:lineRule="auto"/>
        <w:tabs>
          <w:tab w:leader="none" w:pos="10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Mr. Nei owns 4,000 shares of Class A Common Stock directly (with respect to which he shares voting and investment power with his spouse) and holds vested options to acquire an additional 18,000 shares of Class A Common Stock.</w:t>
      </w:r>
    </w:p>
    <w:p>
      <w:pPr>
        <w:spacing w:after="0" w:line="10" w:lineRule="exact"/>
        <w:rPr>
          <w:rFonts w:ascii="Arial" w:cs="Arial" w:eastAsia="Arial" w:hAnsi="Arial"/>
          <w:sz w:val="13"/>
          <w:szCs w:val="13"/>
          <w:color w:val="auto"/>
        </w:rPr>
      </w:pPr>
    </w:p>
    <w:p>
      <w:pPr>
        <w:ind w:left="1000" w:right="300" w:hanging="259"/>
        <w:spacing w:after="0" w:line="276" w:lineRule="auto"/>
        <w:tabs>
          <w:tab w:leader="none" w:pos="10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Mr. Buchanan owns 1,200 shares of Class A Common Stock directly, 13,200 additional shares as co-trustee of two separate trusts and holds vested options to acquire an additional 5,000 shares of Class A Common Stock.</w:t>
      </w:r>
    </w:p>
    <w:p>
      <w:pPr>
        <w:spacing w:after="0" w:line="10" w:lineRule="exact"/>
        <w:rPr>
          <w:rFonts w:ascii="Arial" w:cs="Arial" w:eastAsia="Arial" w:hAnsi="Arial"/>
          <w:sz w:val="13"/>
          <w:szCs w:val="13"/>
          <w:color w:val="auto"/>
        </w:rPr>
      </w:pPr>
    </w:p>
    <w:p>
      <w:pPr>
        <w:ind w:left="1000" w:right="20" w:hanging="259"/>
        <w:spacing w:after="0" w:line="276" w:lineRule="auto"/>
        <w:tabs>
          <w:tab w:leader="none" w:pos="10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Mr. Tatterson joined the Company in October 2006 and owned no shares of Class A Common Stock as of the reporting date. Mr. Tatterson was granted options to acquire 15,000 shares of Class A Common Stock upon joining the Company.</w:t>
      </w:r>
    </w:p>
    <w:p>
      <w:pPr>
        <w:spacing w:after="0" w:line="256"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III-13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00" w:right="20" w:hanging="259"/>
        <w:spacing w:after="0" w:line="277" w:lineRule="auto"/>
        <w:tabs>
          <w:tab w:leader="none" w:pos="1000" w:val="left"/>
        </w:tabs>
        <w:numPr>
          <w:ilvl w:val="1"/>
          <w:numId w:val="41"/>
        </w:numPr>
        <w:rPr>
          <w:rFonts w:ascii="Arial" w:cs="Arial" w:eastAsia="Arial" w:hAnsi="Arial"/>
          <w:sz w:val="12"/>
          <w:szCs w:val="12"/>
          <w:color w:val="auto"/>
        </w:rPr>
      </w:pPr>
      <w:r>
        <w:rPr>
          <w:rFonts w:ascii="Arial" w:cs="Arial" w:eastAsia="Arial" w:hAnsi="Arial"/>
          <w:sz w:val="12"/>
          <w:szCs w:val="12"/>
          <w:color w:val="auto"/>
        </w:rPr>
        <w:t>The amount shown for all officers and directors as a group (20 persons) includes options to acquire a total of 943,227 shares of Class A Common Stock, which are currently exercisable or will be exercisable within 60 days of August 15, 2006, including the following: Mr. Felmer, 98,667 shares; Mr. Sephton, 90,333 shares; Mr. Williamson, 77,333 shares; Mr. Klotsche, 74,801 shares; Mr. Hawke, 66,667 shares; Mr. Mathieson, 60,933 shares; Mr. Oliver, 52,093 shares; Mr. Bemis, 25,000 shares; Mr. Jarc, 19,000 shares; Mr. Harris,</w:t>
      </w:r>
    </w:p>
    <w:p>
      <w:pPr>
        <w:spacing w:after="0" w:line="1" w:lineRule="exact"/>
        <w:rPr>
          <w:rFonts w:ascii="Arial" w:cs="Arial" w:eastAsia="Arial" w:hAnsi="Arial"/>
          <w:sz w:val="12"/>
          <w:szCs w:val="12"/>
          <w:color w:val="auto"/>
        </w:rPr>
      </w:pPr>
    </w:p>
    <w:p>
      <w:pPr>
        <w:ind w:left="1000" w:right="240"/>
        <w:spacing w:after="0" w:line="264" w:lineRule="auto"/>
        <w:rPr>
          <w:rFonts w:ascii="Arial" w:cs="Arial" w:eastAsia="Arial" w:hAnsi="Arial"/>
          <w:sz w:val="12"/>
          <w:szCs w:val="12"/>
          <w:color w:val="auto"/>
        </w:rPr>
      </w:pPr>
      <w:r>
        <w:rPr>
          <w:rFonts w:ascii="Arial" w:cs="Arial" w:eastAsia="Arial" w:hAnsi="Arial"/>
          <w:sz w:val="13"/>
          <w:szCs w:val="13"/>
          <w:color w:val="auto"/>
        </w:rPr>
        <w:t>16,000 shares; Mr. Lettenberger, 13,000 shares; Ms. Bolens, 12,400 shares; Ms. Bush, 10,000 shares; Mr. Tatterson, 0 shares. It does not include other options for Class A Common Stock which have been granted at later dates and are not exercisable within 60 days of August 15, 2006.</w:t>
      </w:r>
    </w:p>
    <w:p>
      <w:pPr>
        <w:spacing w:after="0" w:line="17" w:lineRule="exact"/>
        <w:rPr>
          <w:rFonts w:ascii="Arial" w:cs="Arial" w:eastAsia="Arial" w:hAnsi="Arial"/>
          <w:sz w:val="12"/>
          <w:szCs w:val="12"/>
          <w:color w:val="auto"/>
        </w:rPr>
      </w:pPr>
    </w:p>
    <w:p>
      <w:pPr>
        <w:ind w:left="1000" w:right="320" w:hanging="259"/>
        <w:spacing w:after="0" w:line="276" w:lineRule="auto"/>
        <w:tabs>
          <w:tab w:leader="none" w:pos="1000" w:val="left"/>
        </w:tabs>
        <w:numPr>
          <w:ilvl w:val="1"/>
          <w:numId w:val="41"/>
        </w:numPr>
        <w:rPr>
          <w:rFonts w:ascii="Arial" w:cs="Arial" w:eastAsia="Arial" w:hAnsi="Arial"/>
          <w:sz w:val="13"/>
          <w:szCs w:val="13"/>
          <w:color w:val="auto"/>
        </w:rPr>
      </w:pPr>
      <w:r>
        <w:rPr>
          <w:rFonts w:ascii="Arial" w:cs="Arial" w:eastAsia="Arial" w:hAnsi="Arial"/>
          <w:sz w:val="13"/>
          <w:szCs w:val="13"/>
          <w:color w:val="auto"/>
        </w:rPr>
        <w:t>In addition to the shares shown in this table, the officers and directors as a group owned the equivalent of 546,816 shares of the Company’s Class A Common Stock in its deferred compensation plans.</w:t>
      </w:r>
    </w:p>
    <w:p>
      <w:pPr>
        <w:spacing w:after="0" w:line="137" w:lineRule="exact"/>
        <w:rPr>
          <w:rFonts w:ascii="Arial" w:cs="Arial" w:eastAsia="Arial" w:hAnsi="Arial"/>
          <w:sz w:val="13"/>
          <w:szCs w:val="13"/>
          <w:color w:val="auto"/>
        </w:rPr>
      </w:pPr>
    </w:p>
    <w:p>
      <w:pPr>
        <w:ind w:left="1080" w:hanging="393"/>
        <w:spacing w:after="0"/>
        <w:tabs>
          <w:tab w:leader="none" w:pos="1080" w:val="left"/>
        </w:tabs>
        <w:numPr>
          <w:ilvl w:val="0"/>
          <w:numId w:val="42"/>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Changes in Control</w:t>
      </w:r>
    </w:p>
    <w:p>
      <w:pPr>
        <w:spacing w:after="0" w:line="96" w:lineRule="exact"/>
        <w:rPr>
          <w:rFonts w:ascii="Arial" w:cs="Arial" w:eastAsia="Arial" w:hAnsi="Arial"/>
          <w:sz w:val="13"/>
          <w:szCs w:val="13"/>
          <w:b w:val="1"/>
          <w:bCs w:val="1"/>
          <w:color w:val="auto"/>
        </w:rPr>
      </w:pPr>
    </w:p>
    <w:p>
      <w:pPr>
        <w:ind w:left="1080"/>
        <w:spacing w:after="0"/>
        <w:rPr>
          <w:rFonts w:ascii="Arial" w:cs="Arial" w:eastAsia="Arial" w:hAnsi="Arial"/>
          <w:sz w:val="13"/>
          <w:szCs w:val="13"/>
          <w:b w:val="1"/>
          <w:bCs w:val="1"/>
          <w:color w:val="auto"/>
        </w:rPr>
      </w:pPr>
      <w:r>
        <w:rPr>
          <w:rFonts w:ascii="Arial" w:cs="Arial" w:eastAsia="Arial" w:hAnsi="Arial"/>
          <w:sz w:val="13"/>
          <w:szCs w:val="13"/>
          <w:color w:val="auto"/>
        </w:rPr>
        <w:t>No arrangements are known to the Company, which may, at a subsequent date, result in a change in control of the Company.</w:t>
      </w:r>
    </w:p>
    <w:p>
      <w:pPr>
        <w:spacing w:after="0" w:line="174" w:lineRule="exact"/>
        <w:rPr>
          <w:rFonts w:ascii="Arial" w:cs="Arial" w:eastAsia="Arial" w:hAnsi="Arial"/>
          <w:sz w:val="13"/>
          <w:szCs w:val="13"/>
          <w:b w:val="1"/>
          <w:bCs w:val="1"/>
          <w:color w:val="auto"/>
        </w:rPr>
      </w:pPr>
    </w:p>
    <w:p>
      <w:pPr>
        <w:ind w:left="1080" w:hanging="393"/>
        <w:spacing w:after="0"/>
        <w:tabs>
          <w:tab w:leader="none" w:pos="1080" w:val="left"/>
        </w:tabs>
        <w:numPr>
          <w:ilvl w:val="0"/>
          <w:numId w:val="42"/>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Equity Compensation Plan Information</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7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4"/>
              </w:rPr>
              <w:t>Number of securities</w:t>
            </w:r>
          </w:p>
        </w:tc>
        <w:tc>
          <w:tcPr>
            <w:tcW w:w="0" w:type="dxa"/>
            <w:vAlign w:val="bottom"/>
          </w:tcPr>
          <w:p>
            <w:pPr>
              <w:spacing w:after="0"/>
              <w:rPr>
                <w:sz w:val="1"/>
                <w:szCs w:val="1"/>
                <w:color w:val="auto"/>
              </w:rPr>
            </w:pPr>
          </w:p>
        </w:tc>
      </w:tr>
      <w:tr>
        <w:trPr>
          <w:trHeight w:val="108"/>
        </w:trPr>
        <w:tc>
          <w:tcPr>
            <w:tcW w:w="4700" w:type="dxa"/>
            <w:vAlign w:val="bottom"/>
          </w:tcPr>
          <w:p>
            <w:pPr>
              <w:spacing w:after="0"/>
              <w:rPr>
                <w:sz w:val="9"/>
                <w:szCs w:val="9"/>
                <w:color w:val="auto"/>
              </w:rPr>
            </w:pPr>
          </w:p>
        </w:tc>
        <w:tc>
          <w:tcPr>
            <w:tcW w:w="1820" w:type="dxa"/>
            <w:vAlign w:val="bottom"/>
            <w:gridSpan w:val="2"/>
            <w:vMerge w:val="restart"/>
          </w:tcPr>
          <w:p>
            <w:pPr>
              <w:jc w:val="center"/>
              <w:ind w:right="400"/>
              <w:spacing w:after="0"/>
              <w:rPr>
                <w:sz w:val="20"/>
                <w:szCs w:val="20"/>
                <w:color w:val="auto"/>
              </w:rPr>
            </w:pPr>
            <w:r>
              <w:rPr>
                <w:rFonts w:ascii="Arial" w:cs="Arial" w:eastAsia="Arial" w:hAnsi="Arial"/>
                <w:sz w:val="10"/>
                <w:szCs w:val="10"/>
                <w:b w:val="1"/>
                <w:bCs w:val="1"/>
                <w:color w:val="auto"/>
                <w:w w:val="94"/>
              </w:rPr>
              <w:t>Number of securities</w:t>
            </w:r>
          </w:p>
        </w:tc>
        <w:tc>
          <w:tcPr>
            <w:tcW w:w="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7"/>
              </w:rPr>
              <w:t>remaining available for</w:t>
            </w:r>
          </w:p>
        </w:tc>
        <w:tc>
          <w:tcPr>
            <w:tcW w:w="0" w:type="dxa"/>
            <w:vAlign w:val="bottom"/>
          </w:tcPr>
          <w:p>
            <w:pPr>
              <w:spacing w:after="0"/>
              <w:rPr>
                <w:sz w:val="1"/>
                <w:szCs w:val="1"/>
                <w:color w:val="auto"/>
              </w:rPr>
            </w:pPr>
          </w:p>
        </w:tc>
      </w:tr>
      <w:tr>
        <w:trPr>
          <w:trHeight w:val="108"/>
        </w:trPr>
        <w:tc>
          <w:tcPr>
            <w:tcW w:w="4700" w:type="dxa"/>
            <w:vAlign w:val="bottom"/>
          </w:tcPr>
          <w:p>
            <w:pPr>
              <w:spacing w:after="0"/>
              <w:rPr>
                <w:sz w:val="9"/>
                <w:szCs w:val="9"/>
                <w:color w:val="auto"/>
              </w:rPr>
            </w:pPr>
          </w:p>
        </w:tc>
        <w:tc>
          <w:tcPr>
            <w:tcW w:w="18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640" w:type="dxa"/>
            <w:vAlign w:val="bottom"/>
            <w:gridSpan w:val="2"/>
            <w:vMerge w:val="restart"/>
          </w:tcPr>
          <w:p>
            <w:pPr>
              <w:jc w:val="center"/>
              <w:ind w:right="540"/>
              <w:spacing w:after="0"/>
              <w:rPr>
                <w:sz w:val="20"/>
                <w:szCs w:val="20"/>
                <w:color w:val="auto"/>
              </w:rPr>
            </w:pPr>
            <w:r>
              <w:rPr>
                <w:rFonts w:ascii="Arial" w:cs="Arial" w:eastAsia="Arial" w:hAnsi="Arial"/>
                <w:sz w:val="10"/>
                <w:szCs w:val="10"/>
                <w:b w:val="1"/>
                <w:bCs w:val="1"/>
                <w:color w:val="auto"/>
                <w:w w:val="95"/>
              </w:rPr>
              <w:t>Weighted-average</w:t>
            </w:r>
          </w:p>
        </w:tc>
        <w:tc>
          <w:tcPr>
            <w:tcW w:w="16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3"/>
              </w:rPr>
              <w:t>future issuance under</w:t>
            </w:r>
          </w:p>
        </w:tc>
        <w:tc>
          <w:tcPr>
            <w:tcW w:w="0" w:type="dxa"/>
            <w:vAlign w:val="bottom"/>
          </w:tcPr>
          <w:p>
            <w:pPr>
              <w:spacing w:after="0"/>
              <w:rPr>
                <w:sz w:val="1"/>
                <w:szCs w:val="1"/>
                <w:color w:val="auto"/>
              </w:rPr>
            </w:pPr>
          </w:p>
        </w:tc>
      </w:tr>
      <w:tr>
        <w:trPr>
          <w:trHeight w:val="108"/>
        </w:trPr>
        <w:tc>
          <w:tcPr>
            <w:tcW w:w="4700" w:type="dxa"/>
            <w:vAlign w:val="bottom"/>
          </w:tcPr>
          <w:p>
            <w:pPr>
              <w:spacing w:after="0"/>
              <w:rPr>
                <w:sz w:val="9"/>
                <w:szCs w:val="9"/>
                <w:color w:val="auto"/>
              </w:rPr>
            </w:pPr>
          </w:p>
        </w:tc>
        <w:tc>
          <w:tcPr>
            <w:tcW w:w="182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1"/>
              </w:rPr>
              <w:t>to be issued upon</w:t>
            </w:r>
          </w:p>
        </w:tc>
        <w:tc>
          <w:tcPr>
            <w:tcW w:w="140" w:type="dxa"/>
            <w:vAlign w:val="bottom"/>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16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3"/>
              </w:rPr>
              <w:t>equity compensation</w:t>
            </w:r>
          </w:p>
        </w:tc>
        <w:tc>
          <w:tcPr>
            <w:tcW w:w="0" w:type="dxa"/>
            <w:vAlign w:val="bottom"/>
          </w:tcPr>
          <w:p>
            <w:pPr>
              <w:spacing w:after="0"/>
              <w:rPr>
                <w:sz w:val="1"/>
                <w:szCs w:val="1"/>
                <w:color w:val="auto"/>
              </w:rPr>
            </w:pPr>
          </w:p>
        </w:tc>
      </w:tr>
      <w:tr>
        <w:trPr>
          <w:trHeight w:val="108"/>
        </w:trPr>
        <w:tc>
          <w:tcPr>
            <w:tcW w:w="4700" w:type="dxa"/>
            <w:vAlign w:val="bottom"/>
          </w:tcPr>
          <w:p>
            <w:pPr>
              <w:spacing w:after="0"/>
              <w:rPr>
                <w:sz w:val="9"/>
                <w:szCs w:val="9"/>
                <w:color w:val="auto"/>
              </w:rPr>
            </w:pPr>
          </w:p>
        </w:tc>
        <w:tc>
          <w:tcPr>
            <w:tcW w:w="182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87"/>
              </w:rPr>
              <w:t>exercise of</w:t>
            </w:r>
          </w:p>
        </w:tc>
        <w:tc>
          <w:tcPr>
            <w:tcW w:w="140" w:type="dxa"/>
            <w:vAlign w:val="bottom"/>
          </w:tcPr>
          <w:p>
            <w:pPr>
              <w:spacing w:after="0"/>
              <w:rPr>
                <w:sz w:val="9"/>
                <w:szCs w:val="9"/>
                <w:color w:val="auto"/>
              </w:rPr>
            </w:pPr>
          </w:p>
        </w:tc>
        <w:tc>
          <w:tcPr>
            <w:tcW w:w="1640" w:type="dxa"/>
            <w:vAlign w:val="bottom"/>
            <w:gridSpan w:val="2"/>
          </w:tcPr>
          <w:p>
            <w:pPr>
              <w:jc w:val="center"/>
              <w:ind w:right="560"/>
              <w:spacing w:after="0" w:line="108" w:lineRule="exact"/>
              <w:rPr>
                <w:sz w:val="20"/>
                <w:szCs w:val="20"/>
                <w:color w:val="auto"/>
              </w:rPr>
            </w:pPr>
            <w:r>
              <w:rPr>
                <w:rFonts w:ascii="Arial" w:cs="Arial" w:eastAsia="Arial" w:hAnsi="Arial"/>
                <w:sz w:val="10"/>
                <w:szCs w:val="10"/>
                <w:b w:val="1"/>
                <w:bCs w:val="1"/>
                <w:color w:val="auto"/>
                <w:w w:val="91"/>
              </w:rPr>
              <w:t>exercise price of</w:t>
            </w:r>
          </w:p>
        </w:tc>
        <w:tc>
          <w:tcPr>
            <w:tcW w:w="16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3"/>
              </w:rPr>
              <w:t>plans (excluding</w:t>
            </w:r>
          </w:p>
        </w:tc>
        <w:tc>
          <w:tcPr>
            <w:tcW w:w="0" w:type="dxa"/>
            <w:vAlign w:val="bottom"/>
          </w:tcPr>
          <w:p>
            <w:pPr>
              <w:spacing w:after="0"/>
              <w:rPr>
                <w:sz w:val="1"/>
                <w:szCs w:val="1"/>
                <w:color w:val="auto"/>
              </w:rPr>
            </w:pPr>
          </w:p>
        </w:tc>
      </w:tr>
      <w:tr>
        <w:trPr>
          <w:trHeight w:val="108"/>
        </w:trPr>
        <w:tc>
          <w:tcPr>
            <w:tcW w:w="4700" w:type="dxa"/>
            <w:vAlign w:val="bottom"/>
          </w:tcPr>
          <w:p>
            <w:pPr>
              <w:spacing w:after="0"/>
              <w:rPr>
                <w:sz w:val="9"/>
                <w:szCs w:val="9"/>
                <w:color w:val="auto"/>
              </w:rPr>
            </w:pPr>
          </w:p>
        </w:tc>
        <w:tc>
          <w:tcPr>
            <w:tcW w:w="182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0"/>
              </w:rPr>
              <w:t>outstanding options,</w:t>
            </w:r>
          </w:p>
        </w:tc>
        <w:tc>
          <w:tcPr>
            <w:tcW w:w="140" w:type="dxa"/>
            <w:vAlign w:val="bottom"/>
          </w:tcPr>
          <w:p>
            <w:pPr>
              <w:spacing w:after="0"/>
              <w:rPr>
                <w:sz w:val="9"/>
                <w:szCs w:val="9"/>
                <w:color w:val="auto"/>
              </w:rPr>
            </w:pPr>
          </w:p>
        </w:tc>
        <w:tc>
          <w:tcPr>
            <w:tcW w:w="1640" w:type="dxa"/>
            <w:vAlign w:val="bottom"/>
            <w:gridSpan w:val="2"/>
          </w:tcPr>
          <w:p>
            <w:pPr>
              <w:jc w:val="center"/>
              <w:ind w:right="540"/>
              <w:spacing w:after="0" w:line="108" w:lineRule="exact"/>
              <w:rPr>
                <w:sz w:val="20"/>
                <w:szCs w:val="20"/>
                <w:color w:val="auto"/>
              </w:rPr>
            </w:pPr>
            <w:r>
              <w:rPr>
                <w:rFonts w:ascii="Arial" w:cs="Arial" w:eastAsia="Arial" w:hAnsi="Arial"/>
                <w:sz w:val="10"/>
                <w:szCs w:val="10"/>
                <w:b w:val="1"/>
                <w:bCs w:val="1"/>
                <w:color w:val="auto"/>
                <w:w w:val="90"/>
              </w:rPr>
              <w:t>outstanding options,</w:t>
            </w:r>
          </w:p>
        </w:tc>
        <w:tc>
          <w:tcPr>
            <w:tcW w:w="16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1"/>
              </w:rPr>
              <w:t>securities reflected in</w:t>
            </w:r>
          </w:p>
        </w:tc>
        <w:tc>
          <w:tcPr>
            <w:tcW w:w="0" w:type="dxa"/>
            <w:vAlign w:val="bottom"/>
          </w:tcPr>
          <w:p>
            <w:pPr>
              <w:spacing w:after="0"/>
              <w:rPr>
                <w:sz w:val="1"/>
                <w:szCs w:val="1"/>
                <w:color w:val="auto"/>
              </w:rPr>
            </w:pPr>
          </w:p>
        </w:tc>
      </w:tr>
      <w:tr>
        <w:trPr>
          <w:trHeight w:val="118"/>
        </w:trPr>
        <w:tc>
          <w:tcPr>
            <w:tcW w:w="47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P</w:t>
            </w:r>
            <w:r>
              <w:rPr>
                <w:rFonts w:ascii="Arial" w:cs="Arial" w:eastAsia="Arial" w:hAnsi="Arial"/>
                <w:sz w:val="10"/>
                <w:szCs w:val="10"/>
                <w:b w:val="1"/>
                <w:bCs w:val="1"/>
                <w:color w:val="auto"/>
              </w:rPr>
              <w:t>lan Category</w:t>
            </w:r>
          </w:p>
        </w:tc>
        <w:tc>
          <w:tcPr>
            <w:tcW w:w="18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6"/>
              </w:rPr>
              <w:t>warrants and rights</w:t>
            </w:r>
          </w:p>
        </w:tc>
        <w:tc>
          <w:tcPr>
            <w:tcW w:w="140" w:type="dxa"/>
            <w:vAlign w:val="bottom"/>
          </w:tcPr>
          <w:p>
            <w:pPr>
              <w:spacing w:after="0"/>
              <w:rPr>
                <w:sz w:val="10"/>
                <w:szCs w:val="10"/>
                <w:color w:val="auto"/>
              </w:rPr>
            </w:pPr>
          </w:p>
        </w:tc>
        <w:tc>
          <w:tcPr>
            <w:tcW w:w="164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6"/>
              </w:rPr>
              <w:t>warrants and rights</w:t>
            </w:r>
          </w:p>
        </w:tc>
        <w:tc>
          <w:tcPr>
            <w:tcW w:w="16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2"/>
              </w:rPr>
              <w:t>column (a))</w:t>
            </w:r>
          </w:p>
        </w:tc>
        <w:tc>
          <w:tcPr>
            <w:tcW w:w="0" w:type="dxa"/>
            <w:vAlign w:val="bottom"/>
          </w:tcPr>
          <w:p>
            <w:pPr>
              <w:spacing w:after="0"/>
              <w:rPr>
                <w:sz w:val="1"/>
                <w:szCs w:val="1"/>
                <w:color w:val="auto"/>
              </w:rPr>
            </w:pPr>
          </w:p>
        </w:tc>
      </w:tr>
      <w:tr>
        <w:trPr>
          <w:trHeight w:val="125"/>
        </w:trPr>
        <w:tc>
          <w:tcPr>
            <w:tcW w:w="4700" w:type="dxa"/>
            <w:vAlign w:val="bottom"/>
            <w:vMerge w:val="continue"/>
          </w:tcPr>
          <w:p>
            <w:pPr>
              <w:spacing w:after="0"/>
              <w:rPr>
                <w:sz w:val="10"/>
                <w:szCs w:val="10"/>
                <w:color w:val="auto"/>
              </w:rPr>
            </w:pPr>
          </w:p>
        </w:tc>
        <w:tc>
          <w:tcPr>
            <w:tcW w:w="18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rPr>
              <w:t>(a)</w:t>
            </w:r>
          </w:p>
        </w:tc>
        <w:tc>
          <w:tcPr>
            <w:tcW w:w="140" w:type="dxa"/>
            <w:vAlign w:val="bottom"/>
          </w:tcPr>
          <w:p>
            <w:pPr>
              <w:spacing w:after="0"/>
              <w:rPr>
                <w:sz w:val="10"/>
                <w:szCs w:val="10"/>
                <w:color w:val="auto"/>
              </w:rPr>
            </w:pPr>
          </w:p>
        </w:tc>
        <w:tc>
          <w:tcPr>
            <w:tcW w:w="164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rPr>
              <w:t>(b)</w:t>
            </w:r>
          </w:p>
        </w:tc>
        <w:tc>
          <w:tcPr>
            <w:tcW w:w="16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1"/>
              </w:rPr>
              <w:t>(c)</w:t>
            </w:r>
          </w:p>
        </w:tc>
        <w:tc>
          <w:tcPr>
            <w:tcW w:w="0" w:type="dxa"/>
            <w:vAlign w:val="bottom"/>
          </w:tcPr>
          <w:p>
            <w:pPr>
              <w:spacing w:after="0"/>
              <w:rPr>
                <w:sz w:val="1"/>
                <w:szCs w:val="1"/>
                <w:color w:val="auto"/>
              </w:rPr>
            </w:pPr>
          </w:p>
        </w:tc>
      </w:tr>
      <w:tr>
        <w:trPr>
          <w:trHeight w:val="29"/>
        </w:trPr>
        <w:tc>
          <w:tcPr>
            <w:tcW w:w="4700" w:type="dxa"/>
            <w:vAlign w:val="bottom"/>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Equity compensation plans approved by security holders</w:t>
            </w:r>
          </w:p>
        </w:tc>
        <w:tc>
          <w:tcPr>
            <w:tcW w:w="1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3,815,052</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23.27</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1,064,770</w:t>
            </w:r>
          </w:p>
        </w:tc>
        <w:tc>
          <w:tcPr>
            <w:tcW w:w="0" w:type="dxa"/>
            <w:vAlign w:val="bottom"/>
          </w:tcPr>
          <w:p>
            <w:pPr>
              <w:spacing w:after="0"/>
              <w:rPr>
                <w:sz w:val="1"/>
                <w:szCs w:val="1"/>
                <w:color w:val="auto"/>
              </w:rPr>
            </w:pPr>
          </w:p>
        </w:tc>
      </w:tr>
      <w:tr>
        <w:trPr>
          <w:trHeight w:val="157"/>
        </w:trPr>
        <w:tc>
          <w:tcPr>
            <w:tcW w:w="4700" w:type="dxa"/>
            <w:vAlign w:val="bottom"/>
          </w:tcPr>
          <w:p>
            <w:pPr>
              <w:spacing w:after="0"/>
              <w:rPr>
                <w:sz w:val="20"/>
                <w:szCs w:val="20"/>
                <w:color w:val="auto"/>
              </w:rPr>
            </w:pPr>
            <w:r>
              <w:rPr>
                <w:rFonts w:ascii="Arial" w:cs="Arial" w:eastAsia="Arial" w:hAnsi="Arial"/>
                <w:sz w:val="13"/>
                <w:szCs w:val="13"/>
                <w:color w:val="auto"/>
              </w:rPr>
              <w:t>Equity compensation plans not approved by security holders</w:t>
            </w:r>
          </w:p>
        </w:tc>
        <w:tc>
          <w:tcPr>
            <w:tcW w:w="1420" w:type="dxa"/>
            <w:vAlign w:val="bottom"/>
          </w:tcPr>
          <w:p>
            <w:pPr>
              <w:jc w:val="right"/>
              <w:spacing w:after="0"/>
              <w:rPr>
                <w:sz w:val="20"/>
                <w:szCs w:val="20"/>
                <w:color w:val="auto"/>
              </w:rPr>
            </w:pPr>
            <w:r>
              <w:rPr>
                <w:rFonts w:ascii="Arial" w:cs="Arial" w:eastAsia="Arial" w:hAnsi="Arial"/>
                <w:sz w:val="13"/>
                <w:szCs w:val="13"/>
                <w:color w:val="auto"/>
              </w:rPr>
              <w:t>None</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gridSpan w:val="2"/>
          </w:tcPr>
          <w:p>
            <w:pPr>
              <w:jc w:val="right"/>
              <w:ind w:right="400"/>
              <w:spacing w:after="0"/>
              <w:rPr>
                <w:sz w:val="20"/>
                <w:szCs w:val="20"/>
                <w:color w:val="auto"/>
              </w:rPr>
            </w:pPr>
            <w:r>
              <w:rPr>
                <w:rFonts w:ascii="Arial" w:cs="Arial" w:eastAsia="Arial" w:hAnsi="Arial"/>
                <w:sz w:val="13"/>
                <w:szCs w:val="13"/>
                <w:color w:val="auto"/>
              </w:rPr>
              <w:t>None</w:t>
            </w:r>
          </w:p>
        </w:tc>
        <w:tc>
          <w:tcPr>
            <w:tcW w:w="1680" w:type="dxa"/>
            <w:vAlign w:val="bottom"/>
            <w:gridSpan w:val="2"/>
          </w:tcPr>
          <w:p>
            <w:pPr>
              <w:jc w:val="right"/>
              <w:ind w:right="100"/>
              <w:spacing w:after="0"/>
              <w:rPr>
                <w:sz w:val="20"/>
                <w:szCs w:val="20"/>
                <w:color w:val="auto"/>
              </w:rPr>
            </w:pPr>
            <w:r>
              <w:rPr>
                <w:rFonts w:ascii="Arial" w:cs="Arial" w:eastAsia="Arial" w:hAnsi="Arial"/>
                <w:sz w:val="13"/>
                <w:szCs w:val="13"/>
                <w:color w:val="auto"/>
              </w:rPr>
              <w:t>None</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3,815,052</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23.27</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1,064,770</w:t>
            </w:r>
          </w:p>
        </w:tc>
        <w:tc>
          <w:tcPr>
            <w:tcW w:w="0" w:type="dxa"/>
            <w:vAlign w:val="bottom"/>
          </w:tcPr>
          <w:p>
            <w:pPr>
              <w:spacing w:after="0"/>
              <w:rPr>
                <w:sz w:val="1"/>
                <w:szCs w:val="1"/>
                <w:color w:val="auto"/>
              </w:rPr>
            </w:pPr>
          </w:p>
        </w:tc>
      </w:tr>
      <w:tr>
        <w:trPr>
          <w:trHeight w:val="29"/>
        </w:trPr>
        <w:tc>
          <w:tcPr>
            <w:tcW w:w="470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The Company’s Nonqualified Stock Option Plans allow the granting of stock options to various officers, directors and other employees of the Company at prices equal to fair market value at the date of grant. The Company has reserved 3,000,000, 4,250,000, 1,000,000, 1,500,000, 1,500,000 and 300,000 shares of Class A Nonvoting Common Stock for issuance under the 1989, 1997, 2001, 2003, 2004 and 2005 Plans, respectively, adjusted for the two-for-one stock split in the form of a 100% stock dividend, effective December 31, 2004. Generally, options will not be exercisable until one year after the date of grant, and will be exercisable thereafter, to the extent of one-third per year and have a maximum term of ten years. In August 2003, 2004, 2005, and 2006, certain executives and key management employees were issued stock options that vest upon meeting certain financial performance conditions in addition to the vesting schedule described above. These options have a maximum term of five years. All grants under the Option Plans are at market price on the date of the grant.</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1"/>
          <w:szCs w:val="11"/>
          <w:b w:val="1"/>
          <w:bCs w:val="1"/>
          <w:i w:val="1"/>
          <w:iCs w:val="1"/>
          <w:color w:val="auto"/>
        </w:rPr>
        <w:t>Certain Relationships and Related Transactions</w:t>
      </w:r>
    </w:p>
    <w:p>
      <w:pPr>
        <w:spacing w:after="0" w:line="100"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Peter J. Lettenberger serves as a Director of the Company; he recently retired as a partner of Quarles &amp; Brady LLP, general counsel to the Company. Conrad G. Goodkind serves as Secretary to the Company. He is currently a partner of Quarles &amp; Brady LLP, general counsel to the Company.</w:t>
      </w:r>
    </w:p>
    <w:p>
      <w:pPr>
        <w:spacing w:after="0" w:line="266"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III-14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1"/>
          <w:szCs w:val="11"/>
          <w:b w:val="1"/>
          <w:bCs w:val="1"/>
          <w:i w:val="1"/>
          <w:iCs w:val="1"/>
          <w:color w:val="auto"/>
        </w:rPr>
        <w:t>Principal Accounting Fees and Services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presents the aggregate fees incurred for professional services by Deloitte &amp; Touche LLP and Deloitte Tax LLP during the years ended July 31, 2006 and 2005.</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Other than as set forth below, no professional services were rendered or fees billed by Deloitte &amp; Touche LLP or Deloitte Tax LLP during the years ended July 31, 2006 and 2005.</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7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77"/>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6"/>
              <w:spacing w:after="0"/>
              <w:rPr>
                <w:sz w:val="20"/>
                <w:szCs w:val="20"/>
                <w:color w:val="auto"/>
              </w:rPr>
            </w:pPr>
            <w:r>
              <w:rPr>
                <w:rFonts w:ascii="Arial" w:cs="Arial" w:eastAsia="Arial" w:hAnsi="Arial"/>
                <w:sz w:val="10"/>
                <w:szCs w:val="10"/>
                <w:b w:val="1"/>
                <w:bCs w:val="1"/>
                <w:color w:val="auto"/>
                <w:w w:val="98"/>
              </w:rPr>
              <w:t>2005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7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b w:val="1"/>
                <w:bCs w:val="1"/>
                <w:color w:val="auto"/>
              </w:rPr>
              <w:t>(Dollars</w:t>
            </w:r>
          </w:p>
        </w:tc>
        <w:tc>
          <w:tcPr>
            <w:tcW w:w="880" w:type="dxa"/>
            <w:vAlign w:val="bottom"/>
            <w:gridSpan w:val="3"/>
          </w:tcPr>
          <w:p>
            <w:pPr>
              <w:jc w:val="right"/>
              <w:ind w:right="136"/>
              <w:spacing w:after="0"/>
              <w:rPr>
                <w:sz w:val="20"/>
                <w:szCs w:val="20"/>
                <w:color w:val="auto"/>
              </w:rPr>
            </w:pPr>
            <w:r>
              <w:rPr>
                <w:rFonts w:ascii="Arial" w:cs="Arial" w:eastAsia="Arial" w:hAnsi="Arial"/>
                <w:sz w:val="10"/>
                <w:szCs w:val="10"/>
                <w:b w:val="1"/>
                <w:bCs w:val="1"/>
                <w:color w:val="auto"/>
              </w:rPr>
              <w:t>in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Audit and audit-related</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500" w:type="dxa"/>
            <w:vAlign w:val="bottom"/>
            <w:gridSpan w:val="2"/>
          </w:tcPr>
          <w:p>
            <w:pPr>
              <w:ind w:left="140"/>
              <w:spacing w:after="0"/>
              <w:rPr>
                <w:sz w:val="20"/>
                <w:szCs w:val="20"/>
                <w:color w:val="auto"/>
              </w:rPr>
            </w:pPr>
            <w:r>
              <w:rPr>
                <w:rFonts w:ascii="Arial" w:cs="Arial" w:eastAsia="Arial" w:hAnsi="Arial"/>
                <w:sz w:val="13"/>
                <w:szCs w:val="13"/>
                <w:color w:val="auto"/>
              </w:rPr>
              <w:t>Audit fees(1)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1,495</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1,613</w:t>
            </w:r>
          </w:p>
        </w:tc>
        <w:tc>
          <w:tcPr>
            <w:tcW w:w="0" w:type="dxa"/>
            <w:vAlign w:val="bottom"/>
          </w:tcPr>
          <w:p>
            <w:pPr>
              <w:spacing w:after="0"/>
              <w:rPr>
                <w:sz w:val="1"/>
                <w:szCs w:val="1"/>
                <w:color w:val="auto"/>
              </w:rPr>
            </w:pPr>
          </w:p>
        </w:tc>
      </w:tr>
      <w:tr>
        <w:trPr>
          <w:trHeight w:val="157"/>
        </w:trPr>
        <w:tc>
          <w:tcPr>
            <w:tcW w:w="8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Audit-related fees(2)</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157"/>
        </w:trPr>
        <w:tc>
          <w:tcPr>
            <w:tcW w:w="8500" w:type="dxa"/>
            <w:vAlign w:val="bottom"/>
            <w:gridSpan w:val="2"/>
          </w:tcPr>
          <w:p>
            <w:pPr>
              <w:ind w:left="140"/>
              <w:spacing w:after="0"/>
              <w:rPr>
                <w:sz w:val="20"/>
                <w:szCs w:val="20"/>
                <w:color w:val="auto"/>
              </w:rPr>
            </w:pPr>
            <w:r>
              <w:rPr>
                <w:rFonts w:ascii="Arial" w:cs="Arial" w:eastAsia="Arial" w:hAnsi="Arial"/>
                <w:sz w:val="13"/>
                <w:szCs w:val="13"/>
                <w:color w:val="auto"/>
              </w:rPr>
              <w:t>Tax fees — compliance</w:t>
            </w:r>
          </w:p>
        </w:tc>
        <w:tc>
          <w:tcPr>
            <w:tcW w:w="100" w:type="dxa"/>
            <w:vAlign w:val="bottom"/>
          </w:tcPr>
          <w:p>
            <w:pPr>
              <w:spacing w:after="0"/>
              <w:rPr>
                <w:sz w:val="13"/>
                <w:szCs w:val="13"/>
                <w:color w:val="auto"/>
              </w:rPr>
            </w:pPr>
          </w:p>
        </w:tc>
        <w:tc>
          <w:tcPr>
            <w:tcW w:w="800" w:type="dxa"/>
            <w:vAlign w:val="bottom"/>
            <w:gridSpan w:val="2"/>
          </w:tcPr>
          <w:p>
            <w:pPr>
              <w:jc w:val="right"/>
              <w:ind w:right="348"/>
              <w:spacing w:after="0"/>
              <w:rPr>
                <w:sz w:val="20"/>
                <w:szCs w:val="20"/>
                <w:color w:val="auto"/>
              </w:rPr>
            </w:pPr>
            <w:r>
              <w:rPr>
                <w:rFonts w:ascii="Arial" w:cs="Arial" w:eastAsia="Arial" w:hAnsi="Arial"/>
                <w:sz w:val="13"/>
                <w:szCs w:val="13"/>
                <w:color w:val="auto"/>
              </w:rPr>
              <w:t>511</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518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gridSpan w:val="2"/>
            <w:shd w:val="clear" w:color="auto" w:fill="CCEEFF"/>
          </w:tcPr>
          <w:p>
            <w:pPr>
              <w:ind w:left="280"/>
              <w:spacing w:after="0"/>
              <w:rPr>
                <w:sz w:val="20"/>
                <w:szCs w:val="20"/>
                <w:color w:val="auto"/>
              </w:rPr>
            </w:pPr>
            <w:r>
              <w:rPr>
                <w:rFonts w:ascii="Arial" w:cs="Arial" w:eastAsia="Arial" w:hAnsi="Arial"/>
                <w:sz w:val="13"/>
                <w:szCs w:val="13"/>
                <w:i w:val="1"/>
                <w:iCs w:val="1"/>
                <w:color w:val="auto"/>
              </w:rPr>
              <w:t>Subtotal audit and audit-related fees</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2,074</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2,194</w:t>
            </w:r>
          </w:p>
        </w:tc>
        <w:tc>
          <w:tcPr>
            <w:tcW w:w="0" w:type="dxa"/>
            <w:vAlign w:val="bottom"/>
          </w:tcPr>
          <w:p>
            <w:pPr>
              <w:spacing w:after="0"/>
              <w:rPr>
                <w:sz w:val="1"/>
                <w:szCs w:val="1"/>
                <w:color w:val="auto"/>
              </w:rPr>
            </w:pPr>
          </w:p>
        </w:tc>
      </w:tr>
      <w:tr>
        <w:trPr>
          <w:trHeight w:val="157"/>
        </w:trPr>
        <w:tc>
          <w:tcPr>
            <w:tcW w:w="8500" w:type="dxa"/>
            <w:vAlign w:val="bottom"/>
            <w:gridSpan w:val="2"/>
          </w:tcPr>
          <w:p>
            <w:pPr>
              <w:spacing w:after="0"/>
              <w:rPr>
                <w:sz w:val="20"/>
                <w:szCs w:val="20"/>
                <w:color w:val="auto"/>
              </w:rPr>
            </w:pPr>
            <w:r>
              <w:rPr>
                <w:rFonts w:ascii="Arial" w:cs="Arial" w:eastAsia="Arial" w:hAnsi="Arial"/>
                <w:sz w:val="13"/>
                <w:szCs w:val="13"/>
                <w:i w:val="1"/>
                <w:iCs w:val="1"/>
                <w:color w:val="auto"/>
              </w:rPr>
              <w:t>Non-audit related</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Tax fees — planning and advice</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1,336</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998</w:t>
            </w:r>
          </w:p>
        </w:tc>
        <w:tc>
          <w:tcPr>
            <w:tcW w:w="0" w:type="dxa"/>
            <w:vAlign w:val="bottom"/>
          </w:tcPr>
          <w:p>
            <w:pPr>
              <w:spacing w:after="0"/>
              <w:rPr>
                <w:sz w:val="1"/>
                <w:szCs w:val="1"/>
                <w:color w:val="auto"/>
              </w:rPr>
            </w:pPr>
          </w:p>
        </w:tc>
      </w:tr>
      <w:tr>
        <w:trPr>
          <w:trHeight w:val="157"/>
        </w:trPr>
        <w:tc>
          <w:tcPr>
            <w:tcW w:w="8500" w:type="dxa"/>
            <w:vAlign w:val="bottom"/>
            <w:gridSpan w:val="2"/>
          </w:tcPr>
          <w:p>
            <w:pPr>
              <w:ind w:left="140"/>
              <w:spacing w:after="0"/>
              <w:rPr>
                <w:sz w:val="20"/>
                <w:szCs w:val="20"/>
                <w:color w:val="auto"/>
              </w:rPr>
            </w:pPr>
            <w:r>
              <w:rPr>
                <w:rFonts w:ascii="Arial" w:cs="Arial" w:eastAsia="Arial" w:hAnsi="Arial"/>
                <w:sz w:val="13"/>
                <w:szCs w:val="13"/>
                <w:color w:val="auto"/>
              </w:rPr>
              <w:t>Other fees(3)</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103</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gridSpan w:val="2"/>
            <w:shd w:val="clear" w:color="auto" w:fill="CCEEFF"/>
          </w:tcPr>
          <w:p>
            <w:pPr>
              <w:ind w:left="280"/>
              <w:spacing w:after="0"/>
              <w:rPr>
                <w:sz w:val="20"/>
                <w:szCs w:val="20"/>
                <w:color w:val="auto"/>
              </w:rPr>
            </w:pPr>
            <w:r>
              <w:rPr>
                <w:rFonts w:ascii="Arial" w:cs="Arial" w:eastAsia="Arial" w:hAnsi="Arial"/>
                <w:sz w:val="13"/>
                <w:szCs w:val="13"/>
                <w:i w:val="1"/>
                <w:iCs w:val="1"/>
                <w:color w:val="auto"/>
              </w:rPr>
              <w:t>Subtotal non-audit related fees</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1,439</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1,061</w:t>
            </w:r>
          </w:p>
        </w:tc>
        <w:tc>
          <w:tcPr>
            <w:tcW w:w="0" w:type="dxa"/>
            <w:vAlign w:val="bottom"/>
          </w:tcPr>
          <w:p>
            <w:pPr>
              <w:spacing w:after="0"/>
              <w:rPr>
                <w:sz w:val="1"/>
                <w:szCs w:val="1"/>
                <w:color w:val="auto"/>
              </w:rPr>
            </w:pPr>
          </w:p>
        </w:tc>
      </w:tr>
      <w:tr>
        <w:trPr>
          <w:trHeight w:val="20"/>
        </w:trPr>
        <w:tc>
          <w:tcPr>
            <w:tcW w:w="85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 fees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500" w:type="dxa"/>
            <w:vAlign w:val="bottom"/>
            <w:gridSpan w:val="2"/>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3,513</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3,255</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7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120" w:hanging="259"/>
        <w:spacing w:after="0" w:line="276" w:lineRule="auto"/>
        <w:tabs>
          <w:tab w:leader="none" w:pos="10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Audit fees consist of professional services rendered for the audit of the Company’s annual financial statements, attestation of management’s assessment of internal control, reviews of the quarterly financial statements and statutory reporting compliance.</w:t>
      </w:r>
    </w:p>
    <w:p>
      <w:pPr>
        <w:spacing w:after="0" w:line="10" w:lineRule="exact"/>
        <w:rPr>
          <w:rFonts w:ascii="Arial" w:cs="Arial" w:eastAsia="Arial" w:hAnsi="Arial"/>
          <w:sz w:val="13"/>
          <w:szCs w:val="13"/>
          <w:color w:val="auto"/>
        </w:rPr>
      </w:pPr>
    </w:p>
    <w:p>
      <w:pPr>
        <w:ind w:left="1000" w:hanging="259"/>
        <w:spacing w:after="0"/>
        <w:tabs>
          <w:tab w:leader="none" w:pos="10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Audit-related fees include fees related to due diligence and employee benefit plan audits.</w:t>
      </w:r>
    </w:p>
    <w:p>
      <w:pPr>
        <w:spacing w:after="0" w:line="47" w:lineRule="exact"/>
        <w:rPr>
          <w:rFonts w:ascii="Arial" w:cs="Arial" w:eastAsia="Arial" w:hAnsi="Arial"/>
          <w:sz w:val="13"/>
          <w:szCs w:val="13"/>
          <w:color w:val="auto"/>
        </w:rPr>
      </w:pPr>
    </w:p>
    <w:p>
      <w:pPr>
        <w:ind w:left="1000" w:hanging="259"/>
        <w:spacing w:after="0"/>
        <w:tabs>
          <w:tab w:leader="none" w:pos="10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All other fees include fees related to expatriate activities.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500" w:type="dxa"/>
            <w:vAlign w:val="bottom"/>
          </w:tcPr>
          <w:p>
            <w:pPr>
              <w:spacing w:after="0"/>
              <w:rPr>
                <w:sz w:val="10"/>
                <w:szCs w:val="10"/>
                <w:color w:val="auto"/>
              </w:rPr>
            </w:pPr>
          </w:p>
        </w:tc>
        <w:tc>
          <w:tcPr>
            <w:tcW w:w="500" w:type="dxa"/>
            <w:vAlign w:val="bottom"/>
            <w:tcBorders>
              <w:bottom w:val="single" w:sz="8" w:color="auto"/>
            </w:tcBorders>
          </w:tcPr>
          <w:p>
            <w:pPr>
              <w:jc w:val="right"/>
              <w:ind w:right="81"/>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480" w:type="dxa"/>
            <w:vAlign w:val="bottom"/>
            <w:tcBorders>
              <w:bottom w:val="single" w:sz="8" w:color="auto"/>
            </w:tcBorders>
          </w:tcPr>
          <w:p>
            <w:pPr>
              <w:jc w:val="right"/>
              <w:ind w:right="81"/>
              <w:spacing w:after="0"/>
              <w:rPr>
                <w:sz w:val="20"/>
                <w:szCs w:val="20"/>
                <w:color w:val="auto"/>
              </w:rPr>
            </w:pPr>
            <w:r>
              <w:rPr>
                <w:rFonts w:ascii="Arial" w:cs="Arial" w:eastAsia="Arial" w:hAnsi="Arial"/>
                <w:sz w:val="10"/>
                <w:szCs w:val="10"/>
                <w:b w:val="1"/>
                <w:bCs w:val="1"/>
                <w:color w:val="auto"/>
              </w:rPr>
              <w:t>2005</w:t>
            </w:r>
          </w:p>
        </w:tc>
      </w:tr>
      <w:tr>
        <w:trPr>
          <w:trHeight w:val="185"/>
        </w:trPr>
        <w:tc>
          <w:tcPr>
            <w:tcW w:w="8500" w:type="dxa"/>
            <w:vAlign w:val="bottom"/>
          </w:tcPr>
          <w:p>
            <w:pPr>
              <w:spacing w:after="0"/>
              <w:rPr>
                <w:sz w:val="20"/>
                <w:szCs w:val="20"/>
                <w:color w:val="auto"/>
              </w:rPr>
            </w:pPr>
            <w:r>
              <w:rPr>
                <w:rFonts w:ascii="Arial" w:cs="Arial" w:eastAsia="Arial" w:hAnsi="Arial"/>
                <w:sz w:val="13"/>
                <w:szCs w:val="13"/>
                <w:color w:val="auto"/>
              </w:rPr>
              <w:t>Ratio of Tax Planning and Advice Fees and All Other Fees to Audit Fees, Audit-Related Fees and Tax Compliance Fees</w:t>
            </w:r>
          </w:p>
        </w:tc>
        <w:tc>
          <w:tcPr>
            <w:tcW w:w="900" w:type="dxa"/>
            <w:vAlign w:val="bottom"/>
            <w:gridSpan w:val="2"/>
          </w:tcPr>
          <w:p>
            <w:pPr>
              <w:ind w:left="180"/>
              <w:spacing w:after="0"/>
              <w:rPr>
                <w:sz w:val="20"/>
                <w:szCs w:val="20"/>
                <w:color w:val="auto"/>
              </w:rPr>
            </w:pPr>
            <w:r>
              <w:rPr>
                <w:rFonts w:ascii="Arial" w:cs="Arial" w:eastAsia="Arial" w:hAnsi="Arial"/>
                <w:sz w:val="13"/>
                <w:szCs w:val="13"/>
                <w:color w:val="auto"/>
              </w:rPr>
              <w:t>.7 to 1</w:t>
            </w:r>
          </w:p>
        </w:tc>
        <w:tc>
          <w:tcPr>
            <w:tcW w:w="480" w:type="dxa"/>
            <w:vAlign w:val="bottom"/>
          </w:tcPr>
          <w:p>
            <w:pPr>
              <w:jc w:val="right"/>
              <w:spacing w:after="0"/>
              <w:rPr>
                <w:sz w:val="20"/>
                <w:szCs w:val="20"/>
                <w:color w:val="auto"/>
              </w:rPr>
            </w:pPr>
            <w:r>
              <w:rPr>
                <w:rFonts w:ascii="Arial" w:cs="Arial" w:eastAsia="Arial" w:hAnsi="Arial"/>
                <w:sz w:val="13"/>
                <w:szCs w:val="13"/>
                <w:color w:val="auto"/>
              </w:rPr>
              <w:t>.5 to 1</w:t>
            </w:r>
          </w:p>
        </w:tc>
      </w:tr>
    </w:tbl>
    <w:p>
      <w:pPr>
        <w:spacing w:after="0" w:line="81"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i w:val="1"/>
          <w:iCs w:val="1"/>
          <w:color w:val="auto"/>
        </w:rPr>
        <w:t xml:space="preserve">Pre-Approval Policy </w:t>
      </w:r>
      <w:r>
        <w:rPr>
          <w:rFonts w:ascii="Arial" w:cs="Arial" w:eastAsia="Arial" w:hAnsi="Arial"/>
          <w:sz w:val="13"/>
          <w:szCs w:val="13"/>
          <w:color w:val="auto"/>
        </w:rPr>
        <w:t>— The services performed by the Independent Registered Public Accounting Firm (“Independent Auditors”) in fiscal 2005 and 2006 were pre-approved in</w:t>
      </w:r>
      <w:r>
        <w:rPr>
          <w:rFonts w:ascii="Arial" w:cs="Arial" w:eastAsia="Arial" w:hAnsi="Arial"/>
          <w:sz w:val="13"/>
          <w:szCs w:val="13"/>
          <w:i w:val="1"/>
          <w:iCs w:val="1"/>
          <w:color w:val="auto"/>
        </w:rPr>
        <w:t xml:space="preserve"> </w:t>
      </w:r>
      <w:r>
        <w:rPr>
          <w:rFonts w:ascii="Arial" w:cs="Arial" w:eastAsia="Arial" w:hAnsi="Arial"/>
          <w:sz w:val="13"/>
          <w:szCs w:val="13"/>
          <w:color w:val="auto"/>
        </w:rPr>
        <w:t>accordance with the pre-approval policy and procedures adopted by the Audit Committee at its November 19, 2003 meeting. The policy requires the Audit Committee to pre-approve the audit and non-audit services performed by the Independent Auditors in order to assure that the provision of such services does not impair the auditor’s independence. Unless a type of service to be performed by the Independent Auditors has received general pre-approval, it will require specific pre-approval by the Audit Committee. Any proposed services exceeding pre-approved cost levels will require specific pre-approval by the Audit Committee.</w:t>
      </w:r>
    </w:p>
    <w:p>
      <w:pPr>
        <w:spacing w:after="0" w:line="268"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III-15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IV</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1"/>
          <w:szCs w:val="11"/>
          <w:b w:val="1"/>
          <w:bCs w:val="1"/>
          <w:i w:val="1"/>
          <w:iCs w:val="1"/>
          <w:color w:val="auto"/>
        </w:rPr>
        <w:t>Exhibits and Financial Statement Schedules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Item 15 (a) — The following documents are filed as part of this report:</w:t>
      </w:r>
    </w:p>
    <w:p>
      <w:pPr>
        <w:spacing w:after="0" w:line="96" w:lineRule="exact"/>
        <w:rPr>
          <w:sz w:val="20"/>
          <w:szCs w:val="20"/>
          <w:color w:val="auto"/>
        </w:rPr>
      </w:pPr>
    </w:p>
    <w:p>
      <w:pPr>
        <w:ind w:left="1760" w:right="5819" w:hanging="267"/>
        <w:spacing w:after="0" w:line="427" w:lineRule="auto"/>
        <w:tabs>
          <w:tab w:leader="none" w:pos="1693" w:val="left"/>
        </w:tabs>
        <w:numPr>
          <w:ilvl w:val="1"/>
          <w:numId w:val="44"/>
        </w:numPr>
        <w:rPr>
          <w:rFonts w:ascii="Arial" w:cs="Arial" w:eastAsia="Arial" w:hAnsi="Arial"/>
          <w:sz w:val="12"/>
          <w:szCs w:val="12"/>
          <w:color w:val="auto"/>
        </w:rPr>
      </w:pPr>
      <w:r>
        <w:rPr>
          <w:rFonts w:ascii="Arial" w:cs="Arial" w:eastAsia="Arial" w:hAnsi="Arial"/>
          <w:sz w:val="12"/>
          <w:szCs w:val="12"/>
          <w:color w:val="auto"/>
        </w:rPr>
        <w:t>&amp; 2) Consolidated Financial Statement Schedule — Schedule II Valuation and Qualifying Accounts</w:t>
      </w:r>
    </w:p>
    <w:p>
      <w:pPr>
        <w:ind w:left="1780"/>
        <w:spacing w:after="0"/>
        <w:rPr>
          <w:rFonts w:ascii="Arial" w:cs="Arial" w:eastAsia="Arial" w:hAnsi="Arial"/>
          <w:sz w:val="12"/>
          <w:szCs w:val="12"/>
          <w:color w:val="auto"/>
        </w:rPr>
      </w:pPr>
      <w:r>
        <w:rPr>
          <w:rFonts w:ascii="Arial" w:cs="Arial" w:eastAsia="Arial" w:hAnsi="Arial"/>
          <w:sz w:val="11"/>
          <w:szCs w:val="11"/>
          <w:color w:val="auto"/>
        </w:rPr>
        <w:t>All other schedules are omitted as they are not required, or the required information is shown in the consolidated financial statements or notes thereto.</w:t>
      </w:r>
    </w:p>
    <w:p>
      <w:pPr>
        <w:spacing w:after="0" w:line="119" w:lineRule="exact"/>
        <w:rPr>
          <w:rFonts w:ascii="Arial" w:cs="Arial" w:eastAsia="Arial" w:hAnsi="Arial"/>
          <w:sz w:val="12"/>
          <w:szCs w:val="12"/>
          <w:color w:val="auto"/>
        </w:rPr>
      </w:pPr>
    </w:p>
    <w:p>
      <w:pPr>
        <w:ind w:left="1620" w:hanging="151"/>
        <w:spacing w:after="0"/>
        <w:tabs>
          <w:tab w:leader="none" w:pos="1620" w:val="left"/>
        </w:tabs>
        <w:numPr>
          <w:ilvl w:val="0"/>
          <w:numId w:val="45"/>
        </w:numPr>
        <w:rPr>
          <w:rFonts w:ascii="Arial" w:cs="Arial" w:eastAsia="Arial" w:hAnsi="Arial"/>
          <w:sz w:val="13"/>
          <w:szCs w:val="13"/>
          <w:color w:val="auto"/>
        </w:rPr>
      </w:pPr>
      <w:r>
        <w:rPr>
          <w:rFonts w:ascii="Arial" w:cs="Arial" w:eastAsia="Arial" w:hAnsi="Arial"/>
          <w:sz w:val="13"/>
          <w:szCs w:val="13"/>
          <w:color w:val="auto"/>
        </w:rPr>
        <w:t>Exhibits — See Exhibit Index at page IV-2 of this Form 10-K.</w:t>
      </w:r>
    </w:p>
    <w:p>
      <w:pPr>
        <w:spacing w:after="0" w:line="30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920" w:type="dxa"/>
        <w:tblCellMar>
          <w:top w:w="0" w:type="dxa"/>
          <w:left w:w="0" w:type="dxa"/>
          <w:bottom w:w="0" w:type="dxa"/>
          <w:right w:w="0" w:type="dxa"/>
        </w:tblCellMar>
      </w:tblPr>
      <w:tr>
        <w:trPr>
          <w:trHeight w:val="169"/>
        </w:trPr>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40" w:type="dxa"/>
            <w:vAlign w:val="bottom"/>
          </w:tcPr>
          <w:p>
            <w:pPr>
              <w:ind w:left="3420"/>
              <w:spacing w:after="0"/>
              <w:rPr>
                <w:sz w:val="20"/>
                <w:szCs w:val="20"/>
                <w:color w:val="auto"/>
              </w:rPr>
            </w:pPr>
            <w:r>
              <w:rPr>
                <w:rFonts w:ascii="Arial" w:cs="Arial" w:eastAsia="Arial" w:hAnsi="Arial"/>
                <w:sz w:val="13"/>
                <w:szCs w:val="13"/>
                <w:b w:val="1"/>
                <w:bCs w:val="1"/>
                <w:color w:val="auto"/>
              </w:rPr>
              <w:t>EXHIBIT INDEX</w:t>
            </w:r>
          </w:p>
        </w:tc>
        <w:tc>
          <w:tcPr>
            <w:tcW w:w="0" w:type="dxa"/>
            <w:vAlign w:val="bottom"/>
          </w:tcPr>
          <w:p>
            <w:pPr>
              <w:spacing w:after="0"/>
              <w:rPr>
                <w:sz w:val="1"/>
                <w:szCs w:val="1"/>
                <w:color w:val="auto"/>
              </w:rPr>
            </w:pPr>
          </w:p>
        </w:tc>
      </w:tr>
      <w:tr>
        <w:trPr>
          <w:trHeight w:val="269"/>
        </w:trPr>
        <w:tc>
          <w:tcPr>
            <w:tcW w:w="740" w:type="dxa"/>
            <w:vAlign w:val="bottom"/>
          </w:tcPr>
          <w:p>
            <w:pPr>
              <w:spacing w:after="0"/>
              <w:rPr>
                <w:sz w:val="20"/>
                <w:szCs w:val="20"/>
                <w:color w:val="auto"/>
              </w:rPr>
            </w:pPr>
            <w:r>
              <w:rPr>
                <w:rFonts w:ascii="Arial" w:cs="Arial" w:eastAsia="Arial" w:hAnsi="Arial"/>
                <w:sz w:val="10"/>
                <w:szCs w:val="10"/>
                <w:b w:val="1"/>
                <w:bCs w:val="1"/>
                <w:color w:val="auto"/>
              </w:rPr>
              <w:t>Exhibit</w:t>
            </w:r>
          </w:p>
        </w:tc>
        <w:tc>
          <w:tcPr>
            <w:tcW w:w="77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35"/>
        </w:trPr>
        <w:tc>
          <w:tcPr>
            <w:tcW w:w="740" w:type="dxa"/>
            <w:vAlign w:val="bottom"/>
          </w:tcPr>
          <w:p>
            <w:pPr>
              <w:ind w:left="160"/>
              <w:spacing w:after="0"/>
              <w:rPr>
                <w:sz w:val="20"/>
                <w:szCs w:val="20"/>
                <w:color w:val="auto"/>
              </w:rPr>
            </w:pPr>
            <w:r>
              <w:rPr>
                <w:rFonts w:ascii="Arial" w:cs="Arial" w:eastAsia="Arial" w:hAnsi="Arial"/>
                <w:sz w:val="10"/>
                <w:szCs w:val="10"/>
                <w:b w:val="1"/>
                <w:bCs w:val="1"/>
                <w:color w:val="auto"/>
              </w:rPr>
              <w:t>Number</w:t>
            </w:r>
          </w:p>
        </w:tc>
        <w:tc>
          <w:tcPr>
            <w:tcW w:w="7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40" w:type="dxa"/>
            <w:vAlign w:val="bottom"/>
          </w:tcPr>
          <w:p>
            <w:pPr>
              <w:ind w:left="180"/>
              <w:spacing w:after="0"/>
              <w:rPr>
                <w:sz w:val="20"/>
                <w:szCs w:val="20"/>
                <w:color w:val="auto"/>
              </w:rPr>
            </w:pPr>
            <w:r>
              <w:rPr>
                <w:rFonts w:ascii="Arial" w:cs="Arial" w:eastAsia="Arial" w:hAnsi="Arial"/>
                <w:sz w:val="13"/>
                <w:szCs w:val="13"/>
                <w:color w:val="auto"/>
              </w:rPr>
              <w:t>3.1</w:t>
            </w:r>
          </w:p>
        </w:tc>
        <w:tc>
          <w:tcPr>
            <w:tcW w:w="7720" w:type="dxa"/>
            <w:vAlign w:val="bottom"/>
            <w:gridSpan w:val="2"/>
          </w:tcPr>
          <w:p>
            <w:pPr>
              <w:spacing w:after="0"/>
              <w:rPr>
                <w:sz w:val="20"/>
                <w:szCs w:val="20"/>
                <w:color w:val="auto"/>
              </w:rPr>
            </w:pPr>
            <w:r>
              <w:rPr>
                <w:rFonts w:ascii="Arial" w:cs="Arial" w:eastAsia="Arial" w:hAnsi="Arial"/>
                <w:sz w:val="13"/>
                <w:szCs w:val="13"/>
                <w:color w:val="auto"/>
              </w:rPr>
              <w:t>Restated Articles of Incorporation of Brady Corporation(1)</w:t>
            </w:r>
          </w:p>
        </w:tc>
        <w:tc>
          <w:tcPr>
            <w:tcW w:w="0" w:type="dxa"/>
            <w:vAlign w:val="bottom"/>
          </w:tcPr>
          <w:p>
            <w:pPr>
              <w:spacing w:after="0"/>
              <w:rPr>
                <w:sz w:val="1"/>
                <w:szCs w:val="1"/>
                <w:color w:val="auto"/>
              </w:rPr>
            </w:pPr>
          </w:p>
        </w:tc>
      </w:tr>
      <w:tr>
        <w:trPr>
          <w:trHeight w:val="157"/>
        </w:trPr>
        <w:tc>
          <w:tcPr>
            <w:tcW w:w="740" w:type="dxa"/>
            <w:vAlign w:val="bottom"/>
          </w:tcPr>
          <w:p>
            <w:pPr>
              <w:ind w:left="180"/>
              <w:spacing w:after="0"/>
              <w:rPr>
                <w:sz w:val="20"/>
                <w:szCs w:val="20"/>
                <w:color w:val="auto"/>
              </w:rPr>
            </w:pPr>
            <w:r>
              <w:rPr>
                <w:rFonts w:ascii="Arial" w:cs="Arial" w:eastAsia="Arial" w:hAnsi="Arial"/>
                <w:sz w:val="13"/>
                <w:szCs w:val="13"/>
                <w:color w:val="auto"/>
              </w:rPr>
              <w:t>3.2</w:t>
            </w:r>
          </w:p>
        </w:tc>
        <w:tc>
          <w:tcPr>
            <w:tcW w:w="7720" w:type="dxa"/>
            <w:vAlign w:val="bottom"/>
            <w:gridSpan w:val="2"/>
          </w:tcPr>
          <w:p>
            <w:pPr>
              <w:spacing w:after="0"/>
              <w:rPr>
                <w:sz w:val="20"/>
                <w:szCs w:val="20"/>
                <w:color w:val="auto"/>
              </w:rPr>
            </w:pPr>
            <w:r>
              <w:rPr>
                <w:rFonts w:ascii="Arial" w:cs="Arial" w:eastAsia="Arial" w:hAnsi="Arial"/>
                <w:sz w:val="13"/>
                <w:szCs w:val="13"/>
                <w:color w:val="auto"/>
              </w:rPr>
              <w:t>By-laws of Brady Corporation, as amended(2)</w:t>
            </w:r>
          </w:p>
        </w:tc>
        <w:tc>
          <w:tcPr>
            <w:tcW w:w="0" w:type="dxa"/>
            <w:vAlign w:val="bottom"/>
          </w:tcPr>
          <w:p>
            <w:pPr>
              <w:spacing w:after="0"/>
              <w:rPr>
                <w:sz w:val="1"/>
                <w:szCs w:val="1"/>
                <w:color w:val="auto"/>
              </w:rPr>
            </w:pPr>
          </w:p>
        </w:tc>
      </w:tr>
      <w:tr>
        <w:trPr>
          <w:trHeight w:val="157"/>
        </w:trPr>
        <w:tc>
          <w:tcPr>
            <w:tcW w:w="740" w:type="dxa"/>
            <w:vAlign w:val="bottom"/>
          </w:tcPr>
          <w:p>
            <w:pPr>
              <w:ind w:left="60"/>
              <w:spacing w:after="0"/>
              <w:rPr>
                <w:sz w:val="20"/>
                <w:szCs w:val="20"/>
                <w:color w:val="auto"/>
              </w:rPr>
            </w:pPr>
            <w:r>
              <w:rPr>
                <w:rFonts w:ascii="Arial" w:cs="Arial" w:eastAsia="Arial" w:hAnsi="Arial"/>
                <w:sz w:val="13"/>
                <w:szCs w:val="13"/>
                <w:color w:val="auto"/>
              </w:rPr>
              <w:t>*10.1</w:t>
            </w:r>
          </w:p>
        </w:tc>
        <w:tc>
          <w:tcPr>
            <w:tcW w:w="7720" w:type="dxa"/>
            <w:vAlign w:val="bottom"/>
            <w:gridSpan w:val="2"/>
          </w:tcPr>
          <w:p>
            <w:pPr>
              <w:spacing w:after="0"/>
              <w:rPr>
                <w:sz w:val="20"/>
                <w:szCs w:val="20"/>
                <w:color w:val="auto"/>
              </w:rPr>
            </w:pPr>
            <w:r>
              <w:rPr>
                <w:rFonts w:ascii="Arial" w:cs="Arial" w:eastAsia="Arial" w:hAnsi="Arial"/>
                <w:sz w:val="13"/>
                <w:szCs w:val="13"/>
                <w:color w:val="auto"/>
                <w:w w:val="92"/>
              </w:rPr>
              <w:t>Form of Brady Corporation (2004) Change of Control Agreement entered into with David Mathieson, Peter Sephton, and Matthew Williamson(17)</w:t>
            </w:r>
          </w:p>
        </w:tc>
        <w:tc>
          <w:tcPr>
            <w:tcW w:w="0" w:type="dxa"/>
            <w:vAlign w:val="bottom"/>
          </w:tcPr>
          <w:p>
            <w:pPr>
              <w:spacing w:after="0"/>
              <w:rPr>
                <w:sz w:val="1"/>
                <w:szCs w:val="1"/>
                <w:color w:val="auto"/>
              </w:rPr>
            </w:pPr>
          </w:p>
        </w:tc>
      </w:tr>
      <w:tr>
        <w:trPr>
          <w:trHeight w:val="157"/>
        </w:trPr>
        <w:tc>
          <w:tcPr>
            <w:tcW w:w="740" w:type="dxa"/>
            <w:vAlign w:val="bottom"/>
          </w:tcPr>
          <w:p>
            <w:pPr>
              <w:ind w:left="60"/>
              <w:spacing w:after="0"/>
              <w:rPr>
                <w:sz w:val="20"/>
                <w:szCs w:val="20"/>
                <w:color w:val="auto"/>
              </w:rPr>
            </w:pPr>
            <w:r>
              <w:rPr>
                <w:rFonts w:ascii="Arial" w:cs="Arial" w:eastAsia="Arial" w:hAnsi="Arial"/>
                <w:sz w:val="13"/>
                <w:szCs w:val="13"/>
                <w:color w:val="auto"/>
              </w:rPr>
              <w:t>*10.2</w:t>
            </w:r>
          </w:p>
        </w:tc>
        <w:tc>
          <w:tcPr>
            <w:tcW w:w="7720" w:type="dxa"/>
            <w:vAlign w:val="bottom"/>
            <w:gridSpan w:val="2"/>
          </w:tcPr>
          <w:p>
            <w:pPr>
              <w:spacing w:after="0"/>
              <w:rPr>
                <w:sz w:val="20"/>
                <w:szCs w:val="20"/>
                <w:color w:val="auto"/>
              </w:rPr>
            </w:pPr>
            <w:r>
              <w:rPr>
                <w:rFonts w:ascii="Arial" w:cs="Arial" w:eastAsia="Arial" w:hAnsi="Arial"/>
                <w:sz w:val="13"/>
                <w:szCs w:val="13"/>
                <w:color w:val="auto"/>
              </w:rPr>
              <w:t>Brady Corporation BradyGold Plan, as amended(2)</w:t>
            </w:r>
          </w:p>
        </w:tc>
        <w:tc>
          <w:tcPr>
            <w:tcW w:w="0" w:type="dxa"/>
            <w:vAlign w:val="bottom"/>
          </w:tcPr>
          <w:p>
            <w:pPr>
              <w:spacing w:after="0"/>
              <w:rPr>
                <w:sz w:val="1"/>
                <w:szCs w:val="1"/>
                <w:color w:val="auto"/>
              </w:rPr>
            </w:pPr>
          </w:p>
        </w:tc>
      </w:tr>
      <w:tr>
        <w:trPr>
          <w:trHeight w:val="157"/>
        </w:trPr>
        <w:tc>
          <w:tcPr>
            <w:tcW w:w="740" w:type="dxa"/>
            <w:vAlign w:val="bottom"/>
          </w:tcPr>
          <w:p>
            <w:pPr>
              <w:ind w:left="60"/>
              <w:spacing w:after="0"/>
              <w:rPr>
                <w:sz w:val="20"/>
                <w:szCs w:val="20"/>
                <w:color w:val="auto"/>
              </w:rPr>
            </w:pPr>
            <w:r>
              <w:rPr>
                <w:rFonts w:ascii="Arial" w:cs="Arial" w:eastAsia="Arial" w:hAnsi="Arial"/>
                <w:sz w:val="13"/>
                <w:szCs w:val="13"/>
                <w:color w:val="auto"/>
              </w:rPr>
              <w:t>*10.3</w:t>
            </w:r>
          </w:p>
        </w:tc>
        <w:tc>
          <w:tcPr>
            <w:tcW w:w="7720" w:type="dxa"/>
            <w:vAlign w:val="bottom"/>
            <w:gridSpan w:val="2"/>
          </w:tcPr>
          <w:p>
            <w:pPr>
              <w:spacing w:after="0"/>
              <w:rPr>
                <w:sz w:val="20"/>
                <w:szCs w:val="20"/>
                <w:color w:val="auto"/>
              </w:rPr>
            </w:pPr>
            <w:r>
              <w:rPr>
                <w:rFonts w:ascii="Arial" w:cs="Arial" w:eastAsia="Arial" w:hAnsi="Arial"/>
                <w:sz w:val="13"/>
                <w:szCs w:val="13"/>
                <w:color w:val="auto"/>
              </w:rPr>
              <w:t>Executive Additional Compensation Plan, as amended(2)</w:t>
            </w:r>
          </w:p>
        </w:tc>
        <w:tc>
          <w:tcPr>
            <w:tcW w:w="0" w:type="dxa"/>
            <w:vAlign w:val="bottom"/>
          </w:tcPr>
          <w:p>
            <w:pPr>
              <w:spacing w:after="0"/>
              <w:rPr>
                <w:sz w:val="1"/>
                <w:szCs w:val="1"/>
                <w:color w:val="auto"/>
              </w:rPr>
            </w:pPr>
          </w:p>
        </w:tc>
      </w:tr>
      <w:tr>
        <w:trPr>
          <w:trHeight w:val="157"/>
        </w:trPr>
        <w:tc>
          <w:tcPr>
            <w:tcW w:w="740" w:type="dxa"/>
            <w:vAlign w:val="bottom"/>
          </w:tcPr>
          <w:p>
            <w:pPr>
              <w:ind w:left="60"/>
              <w:spacing w:after="0"/>
              <w:rPr>
                <w:sz w:val="20"/>
                <w:szCs w:val="20"/>
                <w:color w:val="auto"/>
              </w:rPr>
            </w:pPr>
            <w:r>
              <w:rPr>
                <w:rFonts w:ascii="Arial" w:cs="Arial" w:eastAsia="Arial" w:hAnsi="Arial"/>
                <w:sz w:val="13"/>
                <w:szCs w:val="13"/>
                <w:color w:val="auto"/>
              </w:rPr>
              <w:t>*10.4</w:t>
            </w:r>
          </w:p>
        </w:tc>
        <w:tc>
          <w:tcPr>
            <w:tcW w:w="7720" w:type="dxa"/>
            <w:vAlign w:val="bottom"/>
            <w:gridSpan w:val="2"/>
          </w:tcPr>
          <w:p>
            <w:pPr>
              <w:spacing w:after="0"/>
              <w:rPr>
                <w:sz w:val="20"/>
                <w:szCs w:val="20"/>
                <w:color w:val="auto"/>
              </w:rPr>
            </w:pPr>
            <w:r>
              <w:rPr>
                <w:rFonts w:ascii="Arial" w:cs="Arial" w:eastAsia="Arial" w:hAnsi="Arial"/>
                <w:sz w:val="13"/>
                <w:szCs w:val="13"/>
                <w:color w:val="auto"/>
              </w:rPr>
              <w:t>Executive Deferred Compensation Plan, as amended(5)</w:t>
            </w:r>
          </w:p>
        </w:tc>
        <w:tc>
          <w:tcPr>
            <w:tcW w:w="0" w:type="dxa"/>
            <w:vAlign w:val="bottom"/>
          </w:tcPr>
          <w:p>
            <w:pPr>
              <w:spacing w:after="0"/>
              <w:rPr>
                <w:sz w:val="1"/>
                <w:szCs w:val="1"/>
                <w:color w:val="auto"/>
              </w:rPr>
            </w:pPr>
          </w:p>
        </w:tc>
      </w:tr>
      <w:tr>
        <w:trPr>
          <w:trHeight w:val="157"/>
        </w:trPr>
        <w:tc>
          <w:tcPr>
            <w:tcW w:w="740" w:type="dxa"/>
            <w:vAlign w:val="bottom"/>
          </w:tcPr>
          <w:p>
            <w:pPr>
              <w:ind w:left="60"/>
              <w:spacing w:after="0"/>
              <w:rPr>
                <w:sz w:val="20"/>
                <w:szCs w:val="20"/>
                <w:color w:val="auto"/>
              </w:rPr>
            </w:pPr>
            <w:r>
              <w:rPr>
                <w:rFonts w:ascii="Arial" w:cs="Arial" w:eastAsia="Arial" w:hAnsi="Arial"/>
                <w:sz w:val="13"/>
                <w:szCs w:val="13"/>
                <w:color w:val="auto"/>
              </w:rPr>
              <w:t>*10.5</w:t>
            </w:r>
          </w:p>
        </w:tc>
        <w:tc>
          <w:tcPr>
            <w:tcW w:w="7720" w:type="dxa"/>
            <w:vAlign w:val="bottom"/>
            <w:gridSpan w:val="2"/>
          </w:tcPr>
          <w:p>
            <w:pPr>
              <w:spacing w:after="0"/>
              <w:rPr>
                <w:sz w:val="20"/>
                <w:szCs w:val="20"/>
                <w:color w:val="auto"/>
              </w:rPr>
            </w:pPr>
            <w:r>
              <w:rPr>
                <w:rFonts w:ascii="Arial" w:cs="Arial" w:eastAsia="Arial" w:hAnsi="Arial"/>
                <w:sz w:val="13"/>
                <w:szCs w:val="13"/>
                <w:color w:val="auto"/>
              </w:rPr>
              <w:t>Directors’ Deferred Compensation Plan, as amended(2)</w:t>
            </w:r>
          </w:p>
        </w:tc>
        <w:tc>
          <w:tcPr>
            <w:tcW w:w="0" w:type="dxa"/>
            <w:vAlign w:val="bottom"/>
          </w:tcPr>
          <w:p>
            <w:pPr>
              <w:spacing w:after="0"/>
              <w:rPr>
                <w:sz w:val="1"/>
                <w:szCs w:val="1"/>
                <w:color w:val="auto"/>
              </w:rPr>
            </w:pPr>
          </w:p>
        </w:tc>
      </w:tr>
      <w:tr>
        <w:trPr>
          <w:trHeight w:val="157"/>
        </w:trPr>
        <w:tc>
          <w:tcPr>
            <w:tcW w:w="740" w:type="dxa"/>
            <w:vAlign w:val="bottom"/>
          </w:tcPr>
          <w:p>
            <w:pPr>
              <w:ind w:left="60"/>
              <w:spacing w:after="0"/>
              <w:rPr>
                <w:sz w:val="20"/>
                <w:szCs w:val="20"/>
                <w:color w:val="auto"/>
              </w:rPr>
            </w:pPr>
            <w:r>
              <w:rPr>
                <w:rFonts w:ascii="Arial" w:cs="Arial" w:eastAsia="Arial" w:hAnsi="Arial"/>
                <w:sz w:val="13"/>
                <w:szCs w:val="13"/>
                <w:color w:val="auto"/>
              </w:rPr>
              <w:t>*10.6</w:t>
            </w:r>
          </w:p>
        </w:tc>
        <w:tc>
          <w:tcPr>
            <w:tcW w:w="7720" w:type="dxa"/>
            <w:vAlign w:val="bottom"/>
            <w:gridSpan w:val="2"/>
          </w:tcPr>
          <w:p>
            <w:pPr>
              <w:spacing w:after="0"/>
              <w:rPr>
                <w:sz w:val="20"/>
                <w:szCs w:val="20"/>
                <w:color w:val="auto"/>
              </w:rPr>
            </w:pPr>
            <w:r>
              <w:rPr>
                <w:rFonts w:ascii="Arial" w:cs="Arial" w:eastAsia="Arial" w:hAnsi="Arial"/>
                <w:sz w:val="13"/>
                <w:szCs w:val="13"/>
                <w:color w:val="auto"/>
              </w:rPr>
              <w:t>Brady Corporation 1989 Non-Qualified Stock Option Plan(4)</w:t>
            </w:r>
          </w:p>
        </w:tc>
        <w:tc>
          <w:tcPr>
            <w:tcW w:w="0" w:type="dxa"/>
            <w:vAlign w:val="bottom"/>
          </w:tcPr>
          <w:p>
            <w:pPr>
              <w:spacing w:after="0"/>
              <w:rPr>
                <w:sz w:val="1"/>
                <w:szCs w:val="1"/>
                <w:color w:val="auto"/>
              </w:rPr>
            </w:pPr>
          </w:p>
        </w:tc>
      </w:tr>
      <w:tr>
        <w:trPr>
          <w:trHeight w:val="157"/>
        </w:trPr>
        <w:tc>
          <w:tcPr>
            <w:tcW w:w="740" w:type="dxa"/>
            <w:vAlign w:val="bottom"/>
          </w:tcPr>
          <w:p>
            <w:pPr>
              <w:ind w:left="60"/>
              <w:spacing w:after="0"/>
              <w:rPr>
                <w:sz w:val="20"/>
                <w:szCs w:val="20"/>
                <w:color w:val="auto"/>
              </w:rPr>
            </w:pPr>
            <w:r>
              <w:rPr>
                <w:rFonts w:ascii="Arial" w:cs="Arial" w:eastAsia="Arial" w:hAnsi="Arial"/>
                <w:sz w:val="13"/>
                <w:szCs w:val="13"/>
                <w:color w:val="auto"/>
              </w:rPr>
              <w:t>*10.7</w:t>
            </w:r>
          </w:p>
        </w:tc>
        <w:tc>
          <w:tcPr>
            <w:tcW w:w="7720" w:type="dxa"/>
            <w:vAlign w:val="bottom"/>
            <w:gridSpan w:val="2"/>
          </w:tcPr>
          <w:p>
            <w:pPr>
              <w:spacing w:after="0"/>
              <w:rPr>
                <w:sz w:val="20"/>
                <w:szCs w:val="20"/>
                <w:color w:val="auto"/>
              </w:rPr>
            </w:pPr>
            <w:r>
              <w:rPr>
                <w:rFonts w:ascii="Arial" w:cs="Arial" w:eastAsia="Arial" w:hAnsi="Arial"/>
                <w:sz w:val="13"/>
                <w:szCs w:val="13"/>
                <w:color w:val="auto"/>
              </w:rPr>
              <w:t>Brady Corporation 2004 Omnibus Incentive Stock Plan(17)</w:t>
            </w:r>
          </w:p>
        </w:tc>
        <w:tc>
          <w:tcPr>
            <w:tcW w:w="0" w:type="dxa"/>
            <w:vAlign w:val="bottom"/>
          </w:tcPr>
          <w:p>
            <w:pPr>
              <w:spacing w:after="0"/>
              <w:rPr>
                <w:sz w:val="1"/>
                <w:szCs w:val="1"/>
                <w:color w:val="auto"/>
              </w:rPr>
            </w:pPr>
          </w:p>
        </w:tc>
      </w:tr>
      <w:tr>
        <w:trPr>
          <w:trHeight w:val="157"/>
        </w:trPr>
        <w:tc>
          <w:tcPr>
            <w:tcW w:w="740" w:type="dxa"/>
            <w:vAlign w:val="bottom"/>
          </w:tcPr>
          <w:p>
            <w:pPr>
              <w:ind w:left="60"/>
              <w:spacing w:after="0"/>
              <w:rPr>
                <w:sz w:val="20"/>
                <w:szCs w:val="20"/>
                <w:color w:val="auto"/>
              </w:rPr>
            </w:pPr>
            <w:r>
              <w:rPr>
                <w:rFonts w:ascii="Arial" w:cs="Arial" w:eastAsia="Arial" w:hAnsi="Arial"/>
                <w:sz w:val="13"/>
                <w:szCs w:val="13"/>
                <w:color w:val="auto"/>
              </w:rPr>
              <w:t>*10.8</w:t>
            </w:r>
          </w:p>
        </w:tc>
        <w:tc>
          <w:tcPr>
            <w:tcW w:w="7720" w:type="dxa"/>
            <w:vAlign w:val="bottom"/>
            <w:gridSpan w:val="2"/>
          </w:tcPr>
          <w:p>
            <w:pPr>
              <w:spacing w:after="0"/>
              <w:rPr>
                <w:sz w:val="20"/>
                <w:szCs w:val="20"/>
                <w:color w:val="auto"/>
              </w:rPr>
            </w:pPr>
            <w:r>
              <w:rPr>
                <w:rFonts w:ascii="Arial" w:cs="Arial" w:eastAsia="Arial" w:hAnsi="Arial"/>
                <w:sz w:val="13"/>
                <w:szCs w:val="13"/>
                <w:color w:val="auto"/>
                <w:w w:val="99"/>
              </w:rPr>
              <w:t>Form of Brady Corporation 2004 Nonqualified Stock Option Agreement under the 2004 Omnibus Incentive Stock Plan, as amended(18)</w:t>
            </w:r>
          </w:p>
        </w:tc>
        <w:tc>
          <w:tcPr>
            <w:tcW w:w="0" w:type="dxa"/>
            <w:vAlign w:val="bottom"/>
          </w:tcPr>
          <w:p>
            <w:pPr>
              <w:spacing w:after="0"/>
              <w:rPr>
                <w:sz w:val="1"/>
                <w:szCs w:val="1"/>
                <w:color w:val="auto"/>
              </w:rPr>
            </w:pPr>
          </w:p>
        </w:tc>
      </w:tr>
      <w:tr>
        <w:trPr>
          <w:trHeight w:val="157"/>
        </w:trPr>
        <w:tc>
          <w:tcPr>
            <w:tcW w:w="740" w:type="dxa"/>
            <w:vAlign w:val="bottom"/>
          </w:tcPr>
          <w:p>
            <w:pPr>
              <w:ind w:left="120"/>
              <w:spacing w:after="0"/>
              <w:rPr>
                <w:sz w:val="20"/>
                <w:szCs w:val="20"/>
                <w:color w:val="auto"/>
              </w:rPr>
            </w:pPr>
            <w:r>
              <w:rPr>
                <w:rFonts w:ascii="Arial" w:cs="Arial" w:eastAsia="Arial" w:hAnsi="Arial"/>
                <w:sz w:val="13"/>
                <w:szCs w:val="13"/>
                <w:color w:val="auto"/>
              </w:rPr>
              <w:t>10.9</w:t>
            </w:r>
          </w:p>
        </w:tc>
        <w:tc>
          <w:tcPr>
            <w:tcW w:w="7720" w:type="dxa"/>
            <w:vAlign w:val="bottom"/>
            <w:gridSpan w:val="2"/>
          </w:tcPr>
          <w:p>
            <w:pPr>
              <w:spacing w:after="0"/>
              <w:rPr>
                <w:sz w:val="20"/>
                <w:szCs w:val="20"/>
                <w:color w:val="auto"/>
              </w:rPr>
            </w:pPr>
            <w:r>
              <w:rPr>
                <w:rFonts w:ascii="Arial" w:cs="Arial" w:eastAsia="Arial" w:hAnsi="Arial"/>
                <w:sz w:val="13"/>
                <w:szCs w:val="13"/>
                <w:color w:val="auto"/>
              </w:rPr>
              <w:t>Brady Corporation Automatic Dividend Reinvestment Plan(4)</w:t>
            </w:r>
          </w:p>
        </w:tc>
        <w:tc>
          <w:tcPr>
            <w:tcW w:w="0" w:type="dxa"/>
            <w:vAlign w:val="bottom"/>
          </w:tcPr>
          <w:p>
            <w:pPr>
              <w:spacing w:after="0"/>
              <w:rPr>
                <w:sz w:val="1"/>
                <w:szCs w:val="1"/>
                <w:color w:val="auto"/>
              </w:rPr>
            </w:pPr>
          </w:p>
        </w:tc>
      </w:tr>
      <w:tr>
        <w:trPr>
          <w:trHeight w:val="157"/>
        </w:trPr>
        <w:tc>
          <w:tcPr>
            <w:tcW w:w="740" w:type="dxa"/>
            <w:vAlign w:val="bottom"/>
          </w:tcPr>
          <w:p>
            <w:pPr>
              <w:ind w:left="60"/>
              <w:spacing w:after="0"/>
              <w:rPr>
                <w:sz w:val="20"/>
                <w:szCs w:val="20"/>
                <w:color w:val="auto"/>
              </w:rPr>
            </w:pPr>
            <w:r>
              <w:rPr>
                <w:rFonts w:ascii="Arial" w:cs="Arial" w:eastAsia="Arial" w:hAnsi="Arial"/>
                <w:sz w:val="13"/>
                <w:szCs w:val="13"/>
                <w:color w:val="auto"/>
              </w:rPr>
              <w:t>*10.10</w:t>
            </w:r>
          </w:p>
        </w:tc>
        <w:tc>
          <w:tcPr>
            <w:tcW w:w="7720" w:type="dxa"/>
            <w:vAlign w:val="bottom"/>
            <w:gridSpan w:val="2"/>
          </w:tcPr>
          <w:p>
            <w:pPr>
              <w:spacing w:after="0"/>
              <w:rPr>
                <w:sz w:val="20"/>
                <w:szCs w:val="20"/>
                <w:color w:val="auto"/>
              </w:rPr>
            </w:pPr>
            <w:r>
              <w:rPr>
                <w:rFonts w:ascii="Arial" w:cs="Arial" w:eastAsia="Arial" w:hAnsi="Arial"/>
                <w:sz w:val="13"/>
                <w:szCs w:val="13"/>
                <w:color w:val="auto"/>
              </w:rPr>
              <w:t>Brady Corporation 2005 Nonqualified Plan for Non-employee Directors(3)</w:t>
            </w:r>
          </w:p>
        </w:tc>
        <w:tc>
          <w:tcPr>
            <w:tcW w:w="0" w:type="dxa"/>
            <w:vAlign w:val="bottom"/>
          </w:tcPr>
          <w:p>
            <w:pPr>
              <w:spacing w:after="0"/>
              <w:rPr>
                <w:sz w:val="1"/>
                <w:szCs w:val="1"/>
                <w:color w:val="auto"/>
              </w:rPr>
            </w:pPr>
          </w:p>
        </w:tc>
      </w:tr>
      <w:tr>
        <w:trPr>
          <w:trHeight w:val="157"/>
        </w:trPr>
        <w:tc>
          <w:tcPr>
            <w:tcW w:w="740" w:type="dxa"/>
            <w:vAlign w:val="bottom"/>
          </w:tcPr>
          <w:p>
            <w:pPr>
              <w:ind w:left="60"/>
              <w:spacing w:after="0"/>
              <w:rPr>
                <w:sz w:val="20"/>
                <w:szCs w:val="20"/>
                <w:color w:val="auto"/>
              </w:rPr>
            </w:pPr>
            <w:r>
              <w:rPr>
                <w:rFonts w:ascii="Arial" w:cs="Arial" w:eastAsia="Arial" w:hAnsi="Arial"/>
                <w:sz w:val="13"/>
                <w:szCs w:val="13"/>
                <w:color w:val="auto"/>
              </w:rPr>
              <w:t>*10.11</w:t>
            </w:r>
          </w:p>
        </w:tc>
        <w:tc>
          <w:tcPr>
            <w:tcW w:w="7720" w:type="dxa"/>
            <w:vAlign w:val="bottom"/>
            <w:gridSpan w:val="2"/>
          </w:tcPr>
          <w:p>
            <w:pPr>
              <w:spacing w:after="0"/>
              <w:rPr>
                <w:sz w:val="20"/>
                <w:szCs w:val="20"/>
                <w:color w:val="auto"/>
              </w:rPr>
            </w:pPr>
            <w:r>
              <w:rPr>
                <w:rFonts w:ascii="Arial" w:cs="Arial" w:eastAsia="Arial" w:hAnsi="Arial"/>
                <w:sz w:val="13"/>
                <w:szCs w:val="13"/>
                <w:color w:val="auto"/>
              </w:rPr>
              <w:t>Form of Nonqualified Stock Option Agreement under 2005 Non-qualified Plan for Non-employee Directors(3)</w:t>
            </w:r>
          </w:p>
        </w:tc>
        <w:tc>
          <w:tcPr>
            <w:tcW w:w="0" w:type="dxa"/>
            <w:vAlign w:val="bottom"/>
          </w:tcPr>
          <w:p>
            <w:pPr>
              <w:spacing w:after="0"/>
              <w:rPr>
                <w:sz w:val="1"/>
                <w:szCs w:val="1"/>
                <w:color w:val="auto"/>
              </w:rPr>
            </w:pPr>
          </w:p>
        </w:tc>
      </w:tr>
      <w:tr>
        <w:trPr>
          <w:trHeight w:val="157"/>
        </w:trPr>
        <w:tc>
          <w:tcPr>
            <w:tcW w:w="740" w:type="dxa"/>
            <w:vAlign w:val="bottom"/>
          </w:tcPr>
          <w:p>
            <w:pPr>
              <w:ind w:left="60"/>
              <w:spacing w:after="0"/>
              <w:rPr>
                <w:sz w:val="20"/>
                <w:szCs w:val="20"/>
                <w:color w:val="auto"/>
              </w:rPr>
            </w:pPr>
            <w:r>
              <w:rPr>
                <w:rFonts w:ascii="Arial" w:cs="Arial" w:eastAsia="Arial" w:hAnsi="Arial"/>
                <w:sz w:val="13"/>
                <w:szCs w:val="13"/>
                <w:color w:val="auto"/>
              </w:rPr>
              <w:t>*10.12</w:t>
            </w:r>
          </w:p>
        </w:tc>
        <w:tc>
          <w:tcPr>
            <w:tcW w:w="7720" w:type="dxa"/>
            <w:vAlign w:val="bottom"/>
            <w:gridSpan w:val="2"/>
          </w:tcPr>
          <w:p>
            <w:pPr>
              <w:spacing w:after="0"/>
              <w:rPr>
                <w:sz w:val="20"/>
                <w:szCs w:val="20"/>
                <w:color w:val="auto"/>
              </w:rPr>
            </w:pPr>
            <w:r>
              <w:rPr>
                <w:rFonts w:ascii="Arial" w:cs="Arial" w:eastAsia="Arial" w:hAnsi="Arial"/>
                <w:sz w:val="13"/>
                <w:szCs w:val="13"/>
                <w:color w:val="auto"/>
              </w:rPr>
              <w:t>Brady Corporation 1997 Omnibus Incentive Stock Plan(7)</w:t>
            </w:r>
          </w:p>
        </w:tc>
        <w:tc>
          <w:tcPr>
            <w:tcW w:w="0" w:type="dxa"/>
            <w:vAlign w:val="bottom"/>
          </w:tcPr>
          <w:p>
            <w:pPr>
              <w:spacing w:after="0"/>
              <w:rPr>
                <w:sz w:val="1"/>
                <w:szCs w:val="1"/>
                <w:color w:val="auto"/>
              </w:rPr>
            </w:pPr>
          </w:p>
        </w:tc>
      </w:tr>
      <w:tr>
        <w:trPr>
          <w:trHeight w:val="157"/>
        </w:trPr>
        <w:tc>
          <w:tcPr>
            <w:tcW w:w="740" w:type="dxa"/>
            <w:vAlign w:val="bottom"/>
          </w:tcPr>
          <w:p>
            <w:pPr>
              <w:ind w:left="60"/>
              <w:spacing w:after="0"/>
              <w:rPr>
                <w:sz w:val="20"/>
                <w:szCs w:val="20"/>
                <w:color w:val="auto"/>
              </w:rPr>
            </w:pPr>
            <w:r>
              <w:rPr>
                <w:rFonts w:ascii="Arial" w:cs="Arial" w:eastAsia="Arial" w:hAnsi="Arial"/>
                <w:sz w:val="13"/>
                <w:szCs w:val="13"/>
                <w:color w:val="auto"/>
              </w:rPr>
              <w:t>*10.13</w:t>
            </w:r>
          </w:p>
        </w:tc>
        <w:tc>
          <w:tcPr>
            <w:tcW w:w="7720" w:type="dxa"/>
            <w:vAlign w:val="bottom"/>
            <w:gridSpan w:val="2"/>
          </w:tcPr>
          <w:p>
            <w:pPr>
              <w:spacing w:after="0"/>
              <w:rPr>
                <w:sz w:val="20"/>
                <w:szCs w:val="20"/>
                <w:color w:val="auto"/>
              </w:rPr>
            </w:pPr>
            <w:r>
              <w:rPr>
                <w:rFonts w:ascii="Arial" w:cs="Arial" w:eastAsia="Arial" w:hAnsi="Arial"/>
                <w:sz w:val="13"/>
                <w:szCs w:val="13"/>
                <w:color w:val="auto"/>
              </w:rPr>
              <w:t>Brady Corporation 1997 Nonqualified Stock Option Plan for Non-Employee Directors(7)</w:t>
            </w:r>
          </w:p>
        </w:tc>
        <w:tc>
          <w:tcPr>
            <w:tcW w:w="0" w:type="dxa"/>
            <w:vAlign w:val="bottom"/>
          </w:tcPr>
          <w:p>
            <w:pPr>
              <w:spacing w:after="0"/>
              <w:rPr>
                <w:sz w:val="1"/>
                <w:szCs w:val="1"/>
                <w:color w:val="auto"/>
              </w:rPr>
            </w:pPr>
          </w:p>
        </w:tc>
      </w:tr>
      <w:tr>
        <w:trPr>
          <w:trHeight w:val="157"/>
        </w:trPr>
        <w:tc>
          <w:tcPr>
            <w:tcW w:w="740" w:type="dxa"/>
            <w:vAlign w:val="bottom"/>
          </w:tcPr>
          <w:p>
            <w:pPr>
              <w:ind w:left="120"/>
              <w:spacing w:after="0"/>
              <w:rPr>
                <w:sz w:val="20"/>
                <w:szCs w:val="20"/>
                <w:color w:val="auto"/>
              </w:rPr>
            </w:pPr>
            <w:r>
              <w:rPr>
                <w:rFonts w:ascii="Arial" w:cs="Arial" w:eastAsia="Arial" w:hAnsi="Arial"/>
                <w:sz w:val="13"/>
                <w:szCs w:val="13"/>
                <w:color w:val="auto"/>
              </w:rPr>
              <w:t>10.14</w:t>
            </w:r>
          </w:p>
        </w:tc>
        <w:tc>
          <w:tcPr>
            <w:tcW w:w="7720" w:type="dxa"/>
            <w:vAlign w:val="bottom"/>
            <w:gridSpan w:val="2"/>
          </w:tcPr>
          <w:p>
            <w:pPr>
              <w:spacing w:after="0"/>
              <w:rPr>
                <w:sz w:val="20"/>
                <w:szCs w:val="20"/>
                <w:color w:val="auto"/>
              </w:rPr>
            </w:pPr>
            <w:r>
              <w:rPr>
                <w:rFonts w:ascii="Arial" w:cs="Arial" w:eastAsia="Arial" w:hAnsi="Arial"/>
                <w:sz w:val="13"/>
                <w:szCs w:val="13"/>
                <w:color w:val="auto"/>
              </w:rPr>
              <w:t>Revolving Credit Facility Credit Agreement</w:t>
            </w:r>
          </w:p>
        </w:tc>
        <w:tc>
          <w:tcPr>
            <w:tcW w:w="0" w:type="dxa"/>
            <w:vAlign w:val="bottom"/>
          </w:tcPr>
          <w:p>
            <w:pPr>
              <w:spacing w:after="0"/>
              <w:rPr>
                <w:sz w:val="1"/>
                <w:szCs w:val="1"/>
                <w:color w:val="auto"/>
              </w:rPr>
            </w:pPr>
          </w:p>
        </w:tc>
      </w:tr>
      <w:tr>
        <w:trPr>
          <w:trHeight w:val="157"/>
        </w:trPr>
        <w:tc>
          <w:tcPr>
            <w:tcW w:w="740" w:type="dxa"/>
            <w:vAlign w:val="bottom"/>
          </w:tcPr>
          <w:p>
            <w:pPr>
              <w:ind w:left="60"/>
              <w:spacing w:after="0"/>
              <w:rPr>
                <w:sz w:val="20"/>
                <w:szCs w:val="20"/>
                <w:color w:val="auto"/>
              </w:rPr>
            </w:pPr>
            <w:r>
              <w:rPr>
                <w:rFonts w:ascii="Arial" w:cs="Arial" w:eastAsia="Arial" w:hAnsi="Arial"/>
                <w:sz w:val="13"/>
                <w:szCs w:val="13"/>
                <w:color w:val="auto"/>
              </w:rPr>
              <w:t>*10.17</w:t>
            </w:r>
          </w:p>
        </w:tc>
        <w:tc>
          <w:tcPr>
            <w:tcW w:w="7720" w:type="dxa"/>
            <w:vAlign w:val="bottom"/>
            <w:gridSpan w:val="2"/>
          </w:tcPr>
          <w:p>
            <w:pPr>
              <w:spacing w:after="0"/>
              <w:rPr>
                <w:sz w:val="20"/>
                <w:szCs w:val="20"/>
                <w:color w:val="auto"/>
              </w:rPr>
            </w:pPr>
            <w:r>
              <w:rPr>
                <w:rFonts w:ascii="Arial" w:cs="Arial" w:eastAsia="Arial" w:hAnsi="Arial"/>
                <w:sz w:val="13"/>
                <w:szCs w:val="13"/>
                <w:color w:val="auto"/>
              </w:rPr>
              <w:t>Change of Control Agreement dated January 5, 2001, between Brady Corporation and David R. Hawke(10)</w:t>
            </w:r>
          </w:p>
        </w:tc>
        <w:tc>
          <w:tcPr>
            <w:tcW w:w="0" w:type="dxa"/>
            <w:vAlign w:val="bottom"/>
          </w:tcPr>
          <w:p>
            <w:pPr>
              <w:spacing w:after="0"/>
              <w:rPr>
                <w:sz w:val="1"/>
                <w:szCs w:val="1"/>
                <w:color w:val="auto"/>
              </w:rPr>
            </w:pPr>
          </w:p>
        </w:tc>
      </w:tr>
      <w:tr>
        <w:trPr>
          <w:trHeight w:val="157"/>
        </w:trPr>
        <w:tc>
          <w:tcPr>
            <w:tcW w:w="740" w:type="dxa"/>
            <w:vAlign w:val="bottom"/>
          </w:tcPr>
          <w:p>
            <w:pPr>
              <w:ind w:left="60"/>
              <w:spacing w:after="0"/>
              <w:rPr>
                <w:sz w:val="20"/>
                <w:szCs w:val="20"/>
                <w:color w:val="auto"/>
              </w:rPr>
            </w:pPr>
            <w:r>
              <w:rPr>
                <w:rFonts w:ascii="Arial" w:cs="Arial" w:eastAsia="Arial" w:hAnsi="Arial"/>
                <w:sz w:val="13"/>
                <w:szCs w:val="13"/>
                <w:color w:val="auto"/>
              </w:rPr>
              <w:t>*10.23</w:t>
            </w:r>
          </w:p>
        </w:tc>
        <w:tc>
          <w:tcPr>
            <w:tcW w:w="7720" w:type="dxa"/>
            <w:vAlign w:val="bottom"/>
            <w:gridSpan w:val="2"/>
          </w:tcPr>
          <w:p>
            <w:pPr>
              <w:spacing w:after="0"/>
              <w:rPr>
                <w:sz w:val="20"/>
                <w:szCs w:val="20"/>
                <w:color w:val="auto"/>
              </w:rPr>
            </w:pPr>
            <w:r>
              <w:rPr>
                <w:rFonts w:ascii="Arial" w:cs="Arial" w:eastAsia="Arial" w:hAnsi="Arial"/>
                <w:sz w:val="13"/>
                <w:szCs w:val="13"/>
                <w:color w:val="auto"/>
              </w:rPr>
              <w:t>Restricted Stock Agreement dated August 1, 1997, between Brady Corporation and David R. Hawke(8)</w:t>
            </w:r>
          </w:p>
        </w:tc>
        <w:tc>
          <w:tcPr>
            <w:tcW w:w="0" w:type="dxa"/>
            <w:vAlign w:val="bottom"/>
          </w:tcPr>
          <w:p>
            <w:pPr>
              <w:spacing w:after="0"/>
              <w:rPr>
                <w:sz w:val="1"/>
                <w:szCs w:val="1"/>
                <w:color w:val="auto"/>
              </w:rPr>
            </w:pPr>
          </w:p>
        </w:tc>
      </w:tr>
      <w:tr>
        <w:trPr>
          <w:trHeight w:val="157"/>
        </w:trPr>
        <w:tc>
          <w:tcPr>
            <w:tcW w:w="740" w:type="dxa"/>
            <w:vAlign w:val="bottom"/>
          </w:tcPr>
          <w:p>
            <w:pPr>
              <w:ind w:left="60"/>
              <w:spacing w:after="0"/>
              <w:rPr>
                <w:sz w:val="20"/>
                <w:szCs w:val="20"/>
                <w:color w:val="auto"/>
              </w:rPr>
            </w:pPr>
            <w:r>
              <w:rPr>
                <w:rFonts w:ascii="Arial" w:cs="Arial" w:eastAsia="Arial" w:hAnsi="Arial"/>
                <w:sz w:val="13"/>
                <w:szCs w:val="13"/>
                <w:color w:val="auto"/>
              </w:rPr>
              <w:t>*10.24</w:t>
            </w:r>
          </w:p>
        </w:tc>
        <w:tc>
          <w:tcPr>
            <w:tcW w:w="7720" w:type="dxa"/>
            <w:vAlign w:val="bottom"/>
            <w:gridSpan w:val="2"/>
          </w:tcPr>
          <w:p>
            <w:pPr>
              <w:spacing w:after="0"/>
              <w:rPr>
                <w:sz w:val="20"/>
                <w:szCs w:val="20"/>
                <w:color w:val="auto"/>
              </w:rPr>
            </w:pPr>
            <w:r>
              <w:rPr>
                <w:rFonts w:ascii="Arial" w:cs="Arial" w:eastAsia="Arial" w:hAnsi="Arial"/>
                <w:sz w:val="13"/>
                <w:szCs w:val="13"/>
                <w:color w:val="auto"/>
              </w:rPr>
              <w:t>Amendment to Change of Control Agreement dated May 20, 2003, between Brady Corporation and Frank M. Jaehnert(14)</w:t>
            </w:r>
          </w:p>
        </w:tc>
        <w:tc>
          <w:tcPr>
            <w:tcW w:w="0" w:type="dxa"/>
            <w:vAlign w:val="bottom"/>
          </w:tcPr>
          <w:p>
            <w:pPr>
              <w:spacing w:after="0"/>
              <w:rPr>
                <w:sz w:val="1"/>
                <w:szCs w:val="1"/>
                <w:color w:val="auto"/>
              </w:rPr>
            </w:pPr>
          </w:p>
        </w:tc>
      </w:tr>
      <w:tr>
        <w:trPr>
          <w:trHeight w:val="157"/>
        </w:trPr>
        <w:tc>
          <w:tcPr>
            <w:tcW w:w="740" w:type="dxa"/>
            <w:vAlign w:val="bottom"/>
          </w:tcPr>
          <w:p>
            <w:pPr>
              <w:ind w:left="60"/>
              <w:spacing w:after="0"/>
              <w:rPr>
                <w:sz w:val="20"/>
                <w:szCs w:val="20"/>
                <w:color w:val="auto"/>
              </w:rPr>
            </w:pPr>
            <w:r>
              <w:rPr>
                <w:rFonts w:ascii="Arial" w:cs="Arial" w:eastAsia="Arial" w:hAnsi="Arial"/>
                <w:sz w:val="13"/>
                <w:szCs w:val="13"/>
                <w:color w:val="auto"/>
              </w:rPr>
              <w:t>*10.25</w:t>
            </w:r>
          </w:p>
        </w:tc>
        <w:tc>
          <w:tcPr>
            <w:tcW w:w="7720" w:type="dxa"/>
            <w:vAlign w:val="bottom"/>
            <w:gridSpan w:val="2"/>
          </w:tcPr>
          <w:p>
            <w:pPr>
              <w:spacing w:after="0"/>
              <w:rPr>
                <w:sz w:val="20"/>
                <w:szCs w:val="20"/>
                <w:color w:val="auto"/>
              </w:rPr>
            </w:pPr>
            <w:r>
              <w:rPr>
                <w:rFonts w:ascii="Arial" w:cs="Arial" w:eastAsia="Arial" w:hAnsi="Arial"/>
                <w:sz w:val="13"/>
                <w:szCs w:val="13"/>
                <w:color w:val="auto"/>
              </w:rPr>
              <w:t>Restated Brady Corporation Restoration Plan(5)</w:t>
            </w:r>
          </w:p>
        </w:tc>
        <w:tc>
          <w:tcPr>
            <w:tcW w:w="0" w:type="dxa"/>
            <w:vAlign w:val="bottom"/>
          </w:tcPr>
          <w:p>
            <w:pPr>
              <w:spacing w:after="0"/>
              <w:rPr>
                <w:sz w:val="1"/>
                <w:szCs w:val="1"/>
                <w:color w:val="auto"/>
              </w:rPr>
            </w:pPr>
          </w:p>
        </w:tc>
      </w:tr>
      <w:tr>
        <w:trPr>
          <w:trHeight w:val="157"/>
        </w:trPr>
        <w:tc>
          <w:tcPr>
            <w:tcW w:w="740" w:type="dxa"/>
            <w:vAlign w:val="bottom"/>
          </w:tcPr>
          <w:p>
            <w:pPr>
              <w:ind w:left="60"/>
              <w:spacing w:after="0"/>
              <w:rPr>
                <w:sz w:val="20"/>
                <w:szCs w:val="20"/>
                <w:color w:val="auto"/>
              </w:rPr>
            </w:pPr>
            <w:r>
              <w:rPr>
                <w:rFonts w:ascii="Arial" w:cs="Arial" w:eastAsia="Arial" w:hAnsi="Arial"/>
                <w:sz w:val="13"/>
                <w:szCs w:val="13"/>
                <w:color w:val="auto"/>
              </w:rPr>
              <w:t>*10.26</w:t>
            </w:r>
          </w:p>
        </w:tc>
        <w:tc>
          <w:tcPr>
            <w:tcW w:w="7720" w:type="dxa"/>
            <w:vAlign w:val="bottom"/>
            <w:gridSpan w:val="2"/>
          </w:tcPr>
          <w:p>
            <w:pPr>
              <w:spacing w:after="0"/>
              <w:rPr>
                <w:sz w:val="20"/>
                <w:szCs w:val="20"/>
                <w:color w:val="auto"/>
              </w:rPr>
            </w:pPr>
            <w:r>
              <w:rPr>
                <w:rFonts w:ascii="Arial" w:cs="Arial" w:eastAsia="Arial" w:hAnsi="Arial"/>
                <w:sz w:val="13"/>
                <w:szCs w:val="13"/>
                <w:color w:val="auto"/>
              </w:rPr>
              <w:t>Brady Corporation 2001 Omnibus Incentive Stock Plan(11)</w:t>
            </w:r>
          </w:p>
        </w:tc>
        <w:tc>
          <w:tcPr>
            <w:tcW w:w="0" w:type="dxa"/>
            <w:vAlign w:val="bottom"/>
          </w:tcPr>
          <w:p>
            <w:pPr>
              <w:spacing w:after="0"/>
              <w:rPr>
                <w:sz w:val="1"/>
                <w:szCs w:val="1"/>
                <w:color w:val="auto"/>
              </w:rPr>
            </w:pPr>
          </w:p>
        </w:tc>
      </w:tr>
      <w:tr>
        <w:trPr>
          <w:trHeight w:val="157"/>
        </w:trPr>
        <w:tc>
          <w:tcPr>
            <w:tcW w:w="740" w:type="dxa"/>
            <w:vAlign w:val="bottom"/>
          </w:tcPr>
          <w:p>
            <w:pPr>
              <w:ind w:left="120"/>
              <w:spacing w:after="0"/>
              <w:rPr>
                <w:sz w:val="20"/>
                <w:szCs w:val="20"/>
                <w:color w:val="auto"/>
              </w:rPr>
            </w:pPr>
            <w:r>
              <w:rPr>
                <w:rFonts w:ascii="Arial" w:cs="Arial" w:eastAsia="Arial" w:hAnsi="Arial"/>
                <w:sz w:val="13"/>
                <w:szCs w:val="13"/>
                <w:color w:val="auto"/>
              </w:rPr>
              <w:t>10.27</w:t>
            </w:r>
          </w:p>
        </w:tc>
        <w:tc>
          <w:tcPr>
            <w:tcW w:w="7720" w:type="dxa"/>
            <w:vAlign w:val="bottom"/>
            <w:gridSpan w:val="2"/>
          </w:tcPr>
          <w:p>
            <w:pPr>
              <w:spacing w:after="0"/>
              <w:rPr>
                <w:sz w:val="20"/>
                <w:szCs w:val="20"/>
                <w:color w:val="auto"/>
              </w:rPr>
            </w:pPr>
            <w:r>
              <w:rPr>
                <w:rFonts w:ascii="Arial" w:cs="Arial" w:eastAsia="Arial" w:hAnsi="Arial"/>
                <w:sz w:val="13"/>
                <w:szCs w:val="13"/>
                <w:color w:val="auto"/>
              </w:rPr>
              <w:t>Revolving Credit Facility Credit Agreement (Replaced by Exhibit 10.14)(12)</w:t>
            </w:r>
          </w:p>
        </w:tc>
        <w:tc>
          <w:tcPr>
            <w:tcW w:w="0" w:type="dxa"/>
            <w:vAlign w:val="bottom"/>
          </w:tcPr>
          <w:p>
            <w:pPr>
              <w:spacing w:after="0"/>
              <w:rPr>
                <w:sz w:val="1"/>
                <w:szCs w:val="1"/>
                <w:color w:val="auto"/>
              </w:rPr>
            </w:pPr>
          </w:p>
        </w:tc>
      </w:tr>
      <w:tr>
        <w:trPr>
          <w:trHeight w:val="157"/>
        </w:trPr>
        <w:tc>
          <w:tcPr>
            <w:tcW w:w="740" w:type="dxa"/>
            <w:vAlign w:val="bottom"/>
          </w:tcPr>
          <w:p>
            <w:pPr>
              <w:ind w:left="120"/>
              <w:spacing w:after="0"/>
              <w:rPr>
                <w:sz w:val="20"/>
                <w:szCs w:val="20"/>
                <w:color w:val="auto"/>
              </w:rPr>
            </w:pPr>
            <w:r>
              <w:rPr>
                <w:rFonts w:ascii="Arial" w:cs="Arial" w:eastAsia="Arial" w:hAnsi="Arial"/>
                <w:sz w:val="13"/>
                <w:szCs w:val="13"/>
                <w:color w:val="auto"/>
              </w:rPr>
              <w:t>10.28</w:t>
            </w:r>
          </w:p>
        </w:tc>
        <w:tc>
          <w:tcPr>
            <w:tcW w:w="7720" w:type="dxa"/>
            <w:vAlign w:val="bottom"/>
            <w:gridSpan w:val="2"/>
          </w:tcPr>
          <w:p>
            <w:pPr>
              <w:spacing w:after="0"/>
              <w:rPr>
                <w:sz w:val="20"/>
                <w:szCs w:val="20"/>
                <w:color w:val="auto"/>
              </w:rPr>
            </w:pPr>
            <w:r>
              <w:rPr>
                <w:rFonts w:ascii="Arial" w:cs="Arial" w:eastAsia="Arial" w:hAnsi="Arial"/>
                <w:sz w:val="13"/>
                <w:szCs w:val="13"/>
                <w:color w:val="auto"/>
              </w:rPr>
              <w:t>First Amendment to Credit Agreement (Replaced by Exhibit 10.14)(6)</w:t>
            </w:r>
          </w:p>
        </w:tc>
        <w:tc>
          <w:tcPr>
            <w:tcW w:w="0" w:type="dxa"/>
            <w:vAlign w:val="bottom"/>
          </w:tcPr>
          <w:p>
            <w:pPr>
              <w:spacing w:after="0"/>
              <w:rPr>
                <w:sz w:val="1"/>
                <w:szCs w:val="1"/>
                <w:color w:val="auto"/>
              </w:rPr>
            </w:pPr>
          </w:p>
        </w:tc>
      </w:tr>
      <w:tr>
        <w:trPr>
          <w:trHeight w:val="157"/>
        </w:trPr>
        <w:tc>
          <w:tcPr>
            <w:tcW w:w="740" w:type="dxa"/>
            <w:vAlign w:val="bottom"/>
          </w:tcPr>
          <w:p>
            <w:pPr>
              <w:ind w:left="60"/>
              <w:spacing w:after="0"/>
              <w:rPr>
                <w:sz w:val="20"/>
                <w:szCs w:val="20"/>
                <w:color w:val="auto"/>
              </w:rPr>
            </w:pPr>
            <w:r>
              <w:rPr>
                <w:rFonts w:ascii="Arial" w:cs="Arial" w:eastAsia="Arial" w:hAnsi="Arial"/>
                <w:sz w:val="13"/>
                <w:szCs w:val="13"/>
                <w:color w:val="auto"/>
              </w:rPr>
              <w:t>*10.29</w:t>
            </w:r>
          </w:p>
        </w:tc>
        <w:tc>
          <w:tcPr>
            <w:tcW w:w="7720" w:type="dxa"/>
            <w:vAlign w:val="bottom"/>
            <w:gridSpan w:val="2"/>
          </w:tcPr>
          <w:p>
            <w:pPr>
              <w:spacing w:after="0"/>
              <w:rPr>
                <w:sz w:val="20"/>
                <w:szCs w:val="20"/>
                <w:color w:val="auto"/>
              </w:rPr>
            </w:pPr>
            <w:r>
              <w:rPr>
                <w:rFonts w:ascii="Arial" w:cs="Arial" w:eastAsia="Arial" w:hAnsi="Arial"/>
                <w:sz w:val="13"/>
                <w:szCs w:val="13"/>
                <w:color w:val="auto"/>
              </w:rPr>
              <w:t>Brady Corporation 2003 Omnibus Incentive Stock Plan(16)</w:t>
            </w:r>
          </w:p>
        </w:tc>
        <w:tc>
          <w:tcPr>
            <w:tcW w:w="0" w:type="dxa"/>
            <w:vAlign w:val="bottom"/>
          </w:tcPr>
          <w:p>
            <w:pPr>
              <w:spacing w:after="0"/>
              <w:rPr>
                <w:sz w:val="1"/>
                <w:szCs w:val="1"/>
                <w:color w:val="auto"/>
              </w:rPr>
            </w:pPr>
          </w:p>
        </w:tc>
      </w:tr>
      <w:tr>
        <w:trPr>
          <w:trHeight w:val="157"/>
        </w:trPr>
        <w:tc>
          <w:tcPr>
            <w:tcW w:w="740" w:type="dxa"/>
            <w:vAlign w:val="bottom"/>
          </w:tcPr>
          <w:p>
            <w:pPr>
              <w:ind w:left="60"/>
              <w:spacing w:after="0"/>
              <w:rPr>
                <w:sz w:val="20"/>
                <w:szCs w:val="20"/>
                <w:color w:val="auto"/>
              </w:rPr>
            </w:pPr>
            <w:r>
              <w:rPr>
                <w:rFonts w:ascii="Arial" w:cs="Arial" w:eastAsia="Arial" w:hAnsi="Arial"/>
                <w:sz w:val="13"/>
                <w:szCs w:val="13"/>
                <w:color w:val="auto"/>
              </w:rPr>
              <w:t>*10.30</w:t>
            </w:r>
          </w:p>
        </w:tc>
        <w:tc>
          <w:tcPr>
            <w:tcW w:w="7720" w:type="dxa"/>
            <w:vAlign w:val="bottom"/>
            <w:gridSpan w:val="2"/>
          </w:tcPr>
          <w:p>
            <w:pPr>
              <w:spacing w:after="0"/>
              <w:rPr>
                <w:sz w:val="20"/>
                <w:szCs w:val="20"/>
                <w:color w:val="auto"/>
              </w:rPr>
            </w:pPr>
            <w:r>
              <w:rPr>
                <w:rFonts w:ascii="Arial" w:cs="Arial" w:eastAsia="Arial" w:hAnsi="Arial"/>
                <w:sz w:val="13"/>
                <w:szCs w:val="13"/>
                <w:color w:val="auto"/>
              </w:rPr>
              <w:t>Restricted Stock Agreement dated June 18, 2003, between Brady Corporation and David R. Hawke(16)</w:t>
            </w:r>
          </w:p>
        </w:tc>
        <w:tc>
          <w:tcPr>
            <w:tcW w:w="0" w:type="dxa"/>
            <w:vAlign w:val="bottom"/>
          </w:tcPr>
          <w:p>
            <w:pPr>
              <w:spacing w:after="0"/>
              <w:rPr>
                <w:sz w:val="1"/>
                <w:szCs w:val="1"/>
                <w:color w:val="auto"/>
              </w:rPr>
            </w:pPr>
          </w:p>
        </w:tc>
      </w:tr>
      <w:tr>
        <w:trPr>
          <w:trHeight w:val="157"/>
        </w:trPr>
        <w:tc>
          <w:tcPr>
            <w:tcW w:w="740" w:type="dxa"/>
            <w:vAlign w:val="bottom"/>
          </w:tcPr>
          <w:p>
            <w:pPr>
              <w:ind w:left="120"/>
              <w:spacing w:after="0"/>
              <w:rPr>
                <w:sz w:val="20"/>
                <w:szCs w:val="20"/>
                <w:color w:val="auto"/>
              </w:rPr>
            </w:pPr>
            <w:r>
              <w:rPr>
                <w:rFonts w:ascii="Arial" w:cs="Arial" w:eastAsia="Arial" w:hAnsi="Arial"/>
                <w:sz w:val="13"/>
                <w:szCs w:val="13"/>
                <w:color w:val="auto"/>
              </w:rPr>
              <w:t>10.34</w:t>
            </w:r>
          </w:p>
        </w:tc>
        <w:tc>
          <w:tcPr>
            <w:tcW w:w="7720" w:type="dxa"/>
            <w:vAlign w:val="bottom"/>
            <w:gridSpan w:val="2"/>
          </w:tcPr>
          <w:p>
            <w:pPr>
              <w:spacing w:after="0"/>
              <w:rPr>
                <w:sz w:val="20"/>
                <w:szCs w:val="20"/>
                <w:color w:val="auto"/>
              </w:rPr>
            </w:pPr>
            <w:r>
              <w:rPr>
                <w:rFonts w:ascii="Arial" w:cs="Arial" w:eastAsia="Arial" w:hAnsi="Arial"/>
                <w:sz w:val="13"/>
                <w:szCs w:val="13"/>
                <w:color w:val="auto"/>
              </w:rPr>
              <w:t>Brady Note Purchase Agreement dated June 28, 2004(15)</w:t>
            </w:r>
          </w:p>
        </w:tc>
        <w:tc>
          <w:tcPr>
            <w:tcW w:w="0" w:type="dxa"/>
            <w:vAlign w:val="bottom"/>
          </w:tcPr>
          <w:p>
            <w:pPr>
              <w:spacing w:after="0"/>
              <w:rPr>
                <w:sz w:val="1"/>
                <w:szCs w:val="1"/>
                <w:color w:val="auto"/>
              </w:rPr>
            </w:pPr>
          </w:p>
        </w:tc>
      </w:tr>
      <w:tr>
        <w:trPr>
          <w:trHeight w:val="157"/>
        </w:trPr>
        <w:tc>
          <w:tcPr>
            <w:tcW w:w="740" w:type="dxa"/>
            <w:vAlign w:val="bottom"/>
          </w:tcPr>
          <w:p>
            <w:pPr>
              <w:ind w:left="120"/>
              <w:spacing w:after="0"/>
              <w:rPr>
                <w:sz w:val="20"/>
                <w:szCs w:val="20"/>
                <w:color w:val="auto"/>
              </w:rPr>
            </w:pPr>
            <w:r>
              <w:rPr>
                <w:rFonts w:ascii="Arial" w:cs="Arial" w:eastAsia="Arial" w:hAnsi="Arial"/>
                <w:sz w:val="13"/>
                <w:szCs w:val="13"/>
                <w:color w:val="auto"/>
              </w:rPr>
              <w:t>10.35</w:t>
            </w:r>
          </w:p>
        </w:tc>
        <w:tc>
          <w:tcPr>
            <w:tcW w:w="7720" w:type="dxa"/>
            <w:vAlign w:val="bottom"/>
            <w:gridSpan w:val="2"/>
          </w:tcPr>
          <w:p>
            <w:pPr>
              <w:spacing w:after="0"/>
              <w:rPr>
                <w:sz w:val="20"/>
                <w:szCs w:val="20"/>
                <w:color w:val="auto"/>
              </w:rPr>
            </w:pPr>
            <w:r>
              <w:rPr>
                <w:rFonts w:ascii="Arial" w:cs="Arial" w:eastAsia="Arial" w:hAnsi="Arial"/>
                <w:sz w:val="13"/>
                <w:szCs w:val="13"/>
                <w:color w:val="auto"/>
              </w:rPr>
              <w:t>First Supplement to Note Purchase Agreement, dated February 14, 2006(13)</w:t>
            </w:r>
          </w:p>
        </w:tc>
        <w:tc>
          <w:tcPr>
            <w:tcW w:w="0" w:type="dxa"/>
            <w:vAlign w:val="bottom"/>
          </w:tcPr>
          <w:p>
            <w:pPr>
              <w:spacing w:after="0"/>
              <w:rPr>
                <w:sz w:val="1"/>
                <w:szCs w:val="1"/>
                <w:color w:val="auto"/>
              </w:rPr>
            </w:pPr>
          </w:p>
        </w:tc>
      </w:tr>
      <w:tr>
        <w:trPr>
          <w:trHeight w:val="165"/>
        </w:trPr>
        <w:tc>
          <w:tcPr>
            <w:tcW w:w="740" w:type="dxa"/>
            <w:vAlign w:val="bottom"/>
          </w:tcPr>
          <w:p>
            <w:pPr>
              <w:ind w:left="120"/>
              <w:spacing w:after="0"/>
              <w:rPr>
                <w:sz w:val="20"/>
                <w:szCs w:val="20"/>
                <w:color w:val="auto"/>
              </w:rPr>
            </w:pPr>
            <w:r>
              <w:rPr>
                <w:rFonts w:ascii="Arial" w:cs="Arial" w:eastAsia="Arial" w:hAnsi="Arial"/>
                <w:sz w:val="13"/>
                <w:szCs w:val="13"/>
                <w:color w:val="auto"/>
              </w:rPr>
              <w:t>21</w:t>
            </w:r>
          </w:p>
        </w:tc>
        <w:tc>
          <w:tcPr>
            <w:tcW w:w="7720" w:type="dxa"/>
            <w:vAlign w:val="bottom"/>
            <w:gridSpan w:val="2"/>
          </w:tcPr>
          <w:p>
            <w:pPr>
              <w:spacing w:after="0"/>
              <w:rPr>
                <w:sz w:val="20"/>
                <w:szCs w:val="20"/>
                <w:color w:val="auto"/>
              </w:rPr>
            </w:pPr>
            <w:r>
              <w:rPr>
                <w:rFonts w:ascii="Arial" w:cs="Arial" w:eastAsia="Arial" w:hAnsi="Arial"/>
                <w:sz w:val="13"/>
                <w:szCs w:val="13"/>
                <w:color w:val="auto"/>
              </w:rPr>
              <w:t>Subsidiaries of Brady Corporation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wp:posOffset>
            </wp:positionH>
            <wp:positionV relativeFrom="paragraph">
              <wp:posOffset>-2825750</wp:posOffset>
            </wp:positionV>
            <wp:extent cx="6350"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ind w:left="1660" w:hanging="621"/>
        <w:spacing w:after="0"/>
        <w:tabs>
          <w:tab w:leader="none" w:pos="1660" w:val="left"/>
        </w:tabs>
        <w:numPr>
          <w:ilvl w:val="1"/>
          <w:numId w:val="46"/>
        </w:numPr>
        <w:rPr>
          <w:rFonts w:ascii="Arial" w:cs="Arial" w:eastAsia="Arial" w:hAnsi="Arial"/>
          <w:sz w:val="13"/>
          <w:szCs w:val="13"/>
          <w:color w:val="auto"/>
        </w:rPr>
      </w:pPr>
      <w:r>
        <w:rPr>
          <w:rFonts w:ascii="Arial" w:cs="Arial" w:eastAsia="Arial" w:hAnsi="Arial"/>
          <w:sz w:val="13"/>
          <w:szCs w:val="13"/>
          <w:color w:val="auto"/>
        </w:rPr>
        <w:t>Consent of Deloitte &amp; Touche LLP, Independent Registered Public Accounting Firm</w:t>
      </w:r>
    </w:p>
    <w:p>
      <w:pPr>
        <w:spacing w:after="0" w:line="7" w:lineRule="exact"/>
        <w:rPr>
          <w:rFonts w:ascii="Arial" w:cs="Arial" w:eastAsia="Arial" w:hAnsi="Arial"/>
          <w:sz w:val="13"/>
          <w:szCs w:val="13"/>
          <w:color w:val="auto"/>
        </w:rPr>
      </w:pPr>
    </w:p>
    <w:p>
      <w:pPr>
        <w:ind w:left="1040"/>
        <w:spacing w:after="0"/>
        <w:rPr>
          <w:rFonts w:ascii="Arial" w:cs="Arial" w:eastAsia="Arial" w:hAnsi="Arial"/>
          <w:sz w:val="13"/>
          <w:szCs w:val="13"/>
          <w:color w:val="auto"/>
        </w:rPr>
      </w:pPr>
      <w:r>
        <w:rPr>
          <w:rFonts w:ascii="Arial" w:cs="Arial" w:eastAsia="Arial" w:hAnsi="Arial"/>
          <w:sz w:val="13"/>
          <w:szCs w:val="13"/>
          <w:color w:val="auto"/>
        </w:rPr>
        <w:t>31.1</w:t>
      </w:r>
      <w:r>
        <w:rPr>
          <w:rFonts w:ascii="Arial" w:cs="Arial" w:eastAsia="Arial" w:hAnsi="Arial"/>
          <w:sz w:val="11"/>
          <w:szCs w:val="11"/>
          <w:color w:val="auto"/>
        </w:rPr>
        <w:t>Rule 13a-14(a)/15d-14(a) Certification of Frank M. Jaehnert</w:t>
      </w:r>
    </w:p>
    <w:p>
      <w:pPr>
        <w:spacing w:after="0" w:line="7" w:lineRule="exact"/>
        <w:rPr>
          <w:rFonts w:ascii="Arial" w:cs="Arial" w:eastAsia="Arial" w:hAnsi="Arial"/>
          <w:sz w:val="13"/>
          <w:szCs w:val="13"/>
          <w:color w:val="auto"/>
        </w:rPr>
      </w:pPr>
    </w:p>
    <w:p>
      <w:pPr>
        <w:ind w:left="1040"/>
        <w:spacing w:after="0"/>
        <w:rPr>
          <w:rFonts w:ascii="Arial" w:cs="Arial" w:eastAsia="Arial" w:hAnsi="Arial"/>
          <w:sz w:val="13"/>
          <w:szCs w:val="13"/>
          <w:color w:val="auto"/>
        </w:rPr>
      </w:pPr>
      <w:r>
        <w:rPr>
          <w:rFonts w:ascii="Arial" w:cs="Arial" w:eastAsia="Arial" w:hAnsi="Arial"/>
          <w:sz w:val="13"/>
          <w:szCs w:val="13"/>
          <w:color w:val="auto"/>
        </w:rPr>
        <w:t>31.2</w:t>
      </w:r>
      <w:r>
        <w:rPr>
          <w:rFonts w:ascii="Arial" w:cs="Arial" w:eastAsia="Arial" w:hAnsi="Arial"/>
          <w:sz w:val="12"/>
          <w:szCs w:val="12"/>
          <w:color w:val="auto"/>
        </w:rPr>
        <w:t>Rule 13a-14(a)/15d-14(a) Certification of David Mathieson</w:t>
      </w:r>
    </w:p>
    <w:p>
      <w:pPr>
        <w:spacing w:after="0" w:line="7" w:lineRule="exact"/>
        <w:rPr>
          <w:rFonts w:ascii="Arial" w:cs="Arial" w:eastAsia="Arial" w:hAnsi="Arial"/>
          <w:sz w:val="13"/>
          <w:szCs w:val="13"/>
          <w:color w:val="auto"/>
        </w:rPr>
      </w:pPr>
    </w:p>
    <w:p>
      <w:pPr>
        <w:ind w:left="1040"/>
        <w:spacing w:after="0"/>
        <w:rPr>
          <w:rFonts w:ascii="Arial" w:cs="Arial" w:eastAsia="Arial" w:hAnsi="Arial"/>
          <w:sz w:val="13"/>
          <w:szCs w:val="13"/>
          <w:color w:val="auto"/>
        </w:rPr>
      </w:pPr>
      <w:r>
        <w:rPr>
          <w:rFonts w:ascii="Arial" w:cs="Arial" w:eastAsia="Arial" w:hAnsi="Arial"/>
          <w:sz w:val="13"/>
          <w:szCs w:val="13"/>
          <w:color w:val="auto"/>
        </w:rPr>
        <w:t>32.1</w:t>
      </w:r>
      <w:r>
        <w:rPr>
          <w:rFonts w:ascii="Arial" w:cs="Arial" w:eastAsia="Arial" w:hAnsi="Arial"/>
          <w:sz w:val="12"/>
          <w:szCs w:val="12"/>
          <w:color w:val="auto"/>
        </w:rPr>
        <w:t>Section 1350 Certification of Frank M. Jaehnert</w:t>
      </w:r>
    </w:p>
    <w:p>
      <w:pPr>
        <w:spacing w:after="0" w:line="7" w:lineRule="exact"/>
        <w:rPr>
          <w:rFonts w:ascii="Arial" w:cs="Arial" w:eastAsia="Arial" w:hAnsi="Arial"/>
          <w:sz w:val="13"/>
          <w:szCs w:val="13"/>
          <w:color w:val="auto"/>
        </w:rPr>
      </w:pPr>
    </w:p>
    <w:p>
      <w:pPr>
        <w:ind w:left="900" w:right="6019" w:firstLine="145"/>
        <w:spacing w:after="0" w:line="437" w:lineRule="auto"/>
        <w:rPr>
          <w:rFonts w:ascii="Arial" w:cs="Arial" w:eastAsia="Arial" w:hAnsi="Arial"/>
          <w:sz w:val="13"/>
          <w:szCs w:val="13"/>
          <w:color w:val="auto"/>
        </w:rPr>
      </w:pPr>
      <w:r>
        <w:rPr>
          <w:rFonts w:ascii="Arial" w:cs="Arial" w:eastAsia="Arial" w:hAnsi="Arial"/>
          <w:sz w:val="12"/>
          <w:szCs w:val="12"/>
          <w:color w:val="auto"/>
        </w:rPr>
        <w:t>32.2 Section 1350 Certification of David Mathieson *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-155575</wp:posOffset>
            </wp:positionV>
            <wp:extent cx="823595"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ind w:left="1080" w:hanging="241"/>
        <w:spacing w:after="0"/>
        <w:tabs>
          <w:tab w:leader="none" w:pos="10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Incorporated by reference to Registrant’s Registration Statement No. 333-04155 on Form S-3</w:t>
      </w:r>
    </w:p>
    <w:p>
      <w:pPr>
        <w:spacing w:after="0" w:line="47" w:lineRule="exact"/>
        <w:rPr>
          <w:rFonts w:ascii="Arial" w:cs="Arial" w:eastAsia="Arial" w:hAnsi="Arial"/>
          <w:sz w:val="13"/>
          <w:szCs w:val="13"/>
          <w:color w:val="auto"/>
        </w:rPr>
      </w:pPr>
    </w:p>
    <w:p>
      <w:pPr>
        <w:ind w:left="1080" w:hanging="241"/>
        <w:spacing w:after="0"/>
        <w:tabs>
          <w:tab w:leader="none" w:pos="10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Incorporated by reference to Registrant’s Current Report on Form 8-K filed September 15, 2006</w:t>
      </w:r>
    </w:p>
    <w:p>
      <w:pPr>
        <w:spacing w:after="0" w:line="47" w:lineRule="exact"/>
        <w:rPr>
          <w:rFonts w:ascii="Arial" w:cs="Arial" w:eastAsia="Arial" w:hAnsi="Arial"/>
          <w:sz w:val="13"/>
          <w:szCs w:val="13"/>
          <w:color w:val="auto"/>
        </w:rPr>
      </w:pPr>
    </w:p>
    <w:p>
      <w:pPr>
        <w:ind w:left="1080" w:hanging="241"/>
        <w:spacing w:after="0"/>
        <w:tabs>
          <w:tab w:leader="none" w:pos="10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Incorporated by reference to Registrant’s Quarterly Report on Form 10-Q for the fiscal quarter ended October 31, 2005</w:t>
      </w:r>
    </w:p>
    <w:p>
      <w:pPr>
        <w:spacing w:after="0" w:line="29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IV-2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hanging="241"/>
        <w:spacing w:after="0"/>
        <w:tabs>
          <w:tab w:leader="none" w:pos="1080" w:val="left"/>
        </w:tabs>
        <w:numPr>
          <w:ilvl w:val="0"/>
          <w:numId w:val="48"/>
        </w:numPr>
        <w:rPr>
          <w:rFonts w:ascii="Arial" w:cs="Arial" w:eastAsia="Arial" w:hAnsi="Arial"/>
          <w:sz w:val="12"/>
          <w:szCs w:val="12"/>
          <w:color w:val="auto"/>
        </w:rPr>
      </w:pPr>
      <w:r>
        <w:rPr>
          <w:rFonts w:ascii="Arial" w:cs="Arial" w:eastAsia="Arial" w:hAnsi="Arial"/>
          <w:sz w:val="12"/>
          <w:szCs w:val="12"/>
          <w:color w:val="auto"/>
        </w:rPr>
        <w:t>Incorporated by reference to Registrant’s Annual Report on Form 10-K for the fiscal year ended July 31, 1992</w:t>
      </w:r>
    </w:p>
    <w:p>
      <w:pPr>
        <w:spacing w:after="0" w:line="58" w:lineRule="exact"/>
        <w:rPr>
          <w:rFonts w:ascii="Arial" w:cs="Arial" w:eastAsia="Arial" w:hAnsi="Arial"/>
          <w:sz w:val="12"/>
          <w:szCs w:val="12"/>
          <w:color w:val="auto"/>
        </w:rPr>
      </w:pPr>
    </w:p>
    <w:p>
      <w:pPr>
        <w:ind w:left="1080" w:hanging="241"/>
        <w:spacing w:after="0"/>
        <w:tabs>
          <w:tab w:leader="none" w:pos="10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Incorporated by reference to Registrant’s Current Report on Form 8-K filed February 22, 2006</w:t>
      </w:r>
    </w:p>
    <w:p>
      <w:pPr>
        <w:spacing w:after="0" w:line="47" w:lineRule="exact"/>
        <w:rPr>
          <w:rFonts w:ascii="Arial" w:cs="Arial" w:eastAsia="Arial" w:hAnsi="Arial"/>
          <w:sz w:val="13"/>
          <w:szCs w:val="13"/>
          <w:color w:val="auto"/>
        </w:rPr>
      </w:pPr>
    </w:p>
    <w:p>
      <w:pPr>
        <w:ind w:left="1080" w:hanging="241"/>
        <w:spacing w:after="0"/>
        <w:tabs>
          <w:tab w:leader="none" w:pos="1080" w:val="left"/>
        </w:tabs>
        <w:numPr>
          <w:ilvl w:val="0"/>
          <w:numId w:val="48"/>
        </w:numPr>
        <w:rPr>
          <w:rFonts w:ascii="Arial" w:cs="Arial" w:eastAsia="Arial" w:hAnsi="Arial"/>
          <w:sz w:val="11"/>
          <w:szCs w:val="11"/>
          <w:color w:val="auto"/>
        </w:rPr>
      </w:pPr>
      <w:r>
        <w:rPr>
          <w:rFonts w:ascii="Arial" w:cs="Arial" w:eastAsia="Arial" w:hAnsi="Arial"/>
          <w:sz w:val="11"/>
          <w:szCs w:val="11"/>
          <w:color w:val="auto"/>
        </w:rPr>
        <w:t>Incorporated by reference to Registrant’s Quarterly Report on Form 10-Q for the fiscal quarter ended January 31, 2006</w:t>
      </w:r>
    </w:p>
    <w:p>
      <w:pPr>
        <w:spacing w:after="0" w:line="70" w:lineRule="exact"/>
        <w:rPr>
          <w:rFonts w:ascii="Arial" w:cs="Arial" w:eastAsia="Arial" w:hAnsi="Arial"/>
          <w:sz w:val="11"/>
          <w:szCs w:val="11"/>
          <w:color w:val="auto"/>
        </w:rPr>
      </w:pPr>
    </w:p>
    <w:p>
      <w:pPr>
        <w:ind w:left="1080" w:hanging="241"/>
        <w:spacing w:after="0"/>
        <w:tabs>
          <w:tab w:leader="none" w:pos="1080" w:val="left"/>
        </w:tabs>
        <w:numPr>
          <w:ilvl w:val="0"/>
          <w:numId w:val="48"/>
        </w:numPr>
        <w:rPr>
          <w:rFonts w:ascii="Arial" w:cs="Arial" w:eastAsia="Arial" w:hAnsi="Arial"/>
          <w:sz w:val="12"/>
          <w:szCs w:val="12"/>
          <w:color w:val="auto"/>
        </w:rPr>
      </w:pPr>
      <w:r>
        <w:rPr>
          <w:rFonts w:ascii="Arial" w:cs="Arial" w:eastAsia="Arial" w:hAnsi="Arial"/>
          <w:sz w:val="12"/>
          <w:szCs w:val="12"/>
          <w:color w:val="auto"/>
        </w:rPr>
        <w:t>Incorporated by reference to Registrant’s Quarterly Report on Form 10-Q for the fiscal quarter ended April 30, 1997</w:t>
      </w:r>
    </w:p>
    <w:p>
      <w:pPr>
        <w:spacing w:after="0" w:line="58" w:lineRule="exact"/>
        <w:rPr>
          <w:rFonts w:ascii="Arial" w:cs="Arial" w:eastAsia="Arial" w:hAnsi="Arial"/>
          <w:sz w:val="12"/>
          <w:szCs w:val="12"/>
          <w:color w:val="auto"/>
        </w:rPr>
      </w:pPr>
    </w:p>
    <w:p>
      <w:pPr>
        <w:ind w:left="1080" w:hanging="241"/>
        <w:spacing w:after="0"/>
        <w:tabs>
          <w:tab w:leader="none" w:pos="1080" w:val="left"/>
        </w:tabs>
        <w:numPr>
          <w:ilvl w:val="0"/>
          <w:numId w:val="48"/>
        </w:numPr>
        <w:rPr>
          <w:rFonts w:ascii="Arial" w:cs="Arial" w:eastAsia="Arial" w:hAnsi="Arial"/>
          <w:sz w:val="12"/>
          <w:szCs w:val="12"/>
          <w:color w:val="auto"/>
        </w:rPr>
      </w:pPr>
      <w:r>
        <w:rPr>
          <w:rFonts w:ascii="Arial" w:cs="Arial" w:eastAsia="Arial" w:hAnsi="Arial"/>
          <w:sz w:val="12"/>
          <w:szCs w:val="12"/>
          <w:color w:val="auto"/>
        </w:rPr>
        <w:t>Incorporated by reference to Registrant’s Annual Report on Form 10-K for the fiscal year ended July 31, 1997</w:t>
      </w:r>
    </w:p>
    <w:p>
      <w:pPr>
        <w:spacing w:after="0" w:line="58" w:lineRule="exact"/>
        <w:rPr>
          <w:rFonts w:ascii="Arial" w:cs="Arial" w:eastAsia="Arial" w:hAnsi="Arial"/>
          <w:sz w:val="12"/>
          <w:szCs w:val="12"/>
          <w:color w:val="auto"/>
        </w:rPr>
      </w:pPr>
    </w:p>
    <w:p>
      <w:pPr>
        <w:ind w:left="1080" w:hanging="241"/>
        <w:spacing w:after="0"/>
        <w:tabs>
          <w:tab w:leader="none" w:pos="1080" w:val="left"/>
        </w:tabs>
        <w:numPr>
          <w:ilvl w:val="0"/>
          <w:numId w:val="48"/>
        </w:numPr>
        <w:rPr>
          <w:rFonts w:ascii="Arial" w:cs="Arial" w:eastAsia="Arial" w:hAnsi="Arial"/>
          <w:sz w:val="12"/>
          <w:szCs w:val="12"/>
          <w:color w:val="auto"/>
        </w:rPr>
      </w:pPr>
      <w:r>
        <w:rPr>
          <w:rFonts w:ascii="Arial" w:cs="Arial" w:eastAsia="Arial" w:hAnsi="Arial"/>
          <w:sz w:val="12"/>
          <w:szCs w:val="12"/>
          <w:color w:val="auto"/>
        </w:rPr>
        <w:t>Incorporated by reference to Registrant’s Annual Report on Form 10-K for the fiscal year ended July 31, 2000</w:t>
      </w:r>
    </w:p>
    <w:p>
      <w:pPr>
        <w:spacing w:after="0" w:line="58" w:lineRule="exact"/>
        <w:rPr>
          <w:rFonts w:ascii="Arial" w:cs="Arial" w:eastAsia="Arial" w:hAnsi="Arial"/>
          <w:sz w:val="12"/>
          <w:szCs w:val="12"/>
          <w:color w:val="auto"/>
        </w:rPr>
      </w:pPr>
    </w:p>
    <w:p>
      <w:pPr>
        <w:ind w:left="1080" w:hanging="307"/>
        <w:spacing w:after="0"/>
        <w:tabs>
          <w:tab w:leader="none" w:pos="1080" w:val="left"/>
        </w:tabs>
        <w:numPr>
          <w:ilvl w:val="0"/>
          <w:numId w:val="48"/>
        </w:numPr>
        <w:rPr>
          <w:rFonts w:ascii="Arial" w:cs="Arial" w:eastAsia="Arial" w:hAnsi="Arial"/>
          <w:sz w:val="12"/>
          <w:szCs w:val="12"/>
          <w:color w:val="auto"/>
        </w:rPr>
      </w:pPr>
      <w:r>
        <w:rPr>
          <w:rFonts w:ascii="Arial" w:cs="Arial" w:eastAsia="Arial" w:hAnsi="Arial"/>
          <w:sz w:val="12"/>
          <w:szCs w:val="12"/>
          <w:color w:val="auto"/>
        </w:rPr>
        <w:t>Incorporated by reference to Registrant’s Annual Report on Form 10-K for the fiscal year ended July 31, 2001</w:t>
      </w:r>
    </w:p>
    <w:p>
      <w:pPr>
        <w:spacing w:after="0" w:line="58" w:lineRule="exact"/>
        <w:rPr>
          <w:rFonts w:ascii="Arial" w:cs="Arial" w:eastAsia="Arial" w:hAnsi="Arial"/>
          <w:sz w:val="12"/>
          <w:szCs w:val="12"/>
          <w:color w:val="auto"/>
        </w:rPr>
      </w:pPr>
    </w:p>
    <w:p>
      <w:pPr>
        <w:ind w:left="1080" w:hanging="302"/>
        <w:spacing w:after="0"/>
        <w:tabs>
          <w:tab w:leader="none" w:pos="1080" w:val="left"/>
        </w:tabs>
        <w:numPr>
          <w:ilvl w:val="0"/>
          <w:numId w:val="48"/>
        </w:numPr>
        <w:rPr>
          <w:rFonts w:ascii="Arial" w:cs="Arial" w:eastAsia="Arial" w:hAnsi="Arial"/>
          <w:sz w:val="11"/>
          <w:szCs w:val="11"/>
          <w:color w:val="auto"/>
        </w:rPr>
      </w:pPr>
      <w:r>
        <w:rPr>
          <w:rFonts w:ascii="Arial" w:cs="Arial" w:eastAsia="Arial" w:hAnsi="Arial"/>
          <w:sz w:val="11"/>
          <w:szCs w:val="11"/>
          <w:color w:val="auto"/>
        </w:rPr>
        <w:t>Incorporated by reference to Registrant’s Quarterly Report on Form 10-Q for the fiscal quarter ended January 31, 2002</w:t>
      </w:r>
    </w:p>
    <w:p>
      <w:pPr>
        <w:spacing w:after="0" w:line="70" w:lineRule="exact"/>
        <w:rPr>
          <w:rFonts w:ascii="Arial" w:cs="Arial" w:eastAsia="Arial" w:hAnsi="Arial"/>
          <w:sz w:val="11"/>
          <w:szCs w:val="11"/>
          <w:color w:val="auto"/>
        </w:rPr>
      </w:pPr>
    </w:p>
    <w:p>
      <w:pPr>
        <w:ind w:left="1080" w:hanging="307"/>
        <w:spacing w:after="0"/>
        <w:tabs>
          <w:tab w:leader="none" w:pos="1080" w:val="left"/>
        </w:tabs>
        <w:numPr>
          <w:ilvl w:val="0"/>
          <w:numId w:val="48"/>
        </w:numPr>
        <w:rPr>
          <w:rFonts w:ascii="Arial" w:cs="Arial" w:eastAsia="Arial" w:hAnsi="Arial"/>
          <w:sz w:val="12"/>
          <w:szCs w:val="12"/>
          <w:color w:val="auto"/>
        </w:rPr>
      </w:pPr>
      <w:r>
        <w:rPr>
          <w:rFonts w:ascii="Arial" w:cs="Arial" w:eastAsia="Arial" w:hAnsi="Arial"/>
          <w:sz w:val="12"/>
          <w:szCs w:val="12"/>
          <w:color w:val="auto"/>
        </w:rPr>
        <w:t>Incorporated by reference to Registrant’s Quarterly Report on Form 10-Q for the fiscal quarter ended April 30, 2004</w:t>
      </w:r>
    </w:p>
    <w:p>
      <w:pPr>
        <w:spacing w:after="0" w:line="58" w:lineRule="exact"/>
        <w:rPr>
          <w:rFonts w:ascii="Arial" w:cs="Arial" w:eastAsia="Arial" w:hAnsi="Arial"/>
          <w:sz w:val="12"/>
          <w:szCs w:val="12"/>
          <w:color w:val="auto"/>
        </w:rPr>
      </w:pPr>
    </w:p>
    <w:p>
      <w:pPr>
        <w:ind w:left="1080" w:hanging="307"/>
        <w:spacing w:after="0"/>
        <w:tabs>
          <w:tab w:leader="none" w:pos="10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Incorporated by reference to Registrant’s Current Report on Form 8-K filed February 17, 2006</w:t>
      </w:r>
    </w:p>
    <w:p>
      <w:pPr>
        <w:spacing w:after="0" w:line="47" w:lineRule="exact"/>
        <w:rPr>
          <w:rFonts w:ascii="Arial" w:cs="Arial" w:eastAsia="Arial" w:hAnsi="Arial"/>
          <w:sz w:val="13"/>
          <w:szCs w:val="13"/>
          <w:color w:val="auto"/>
        </w:rPr>
      </w:pPr>
    </w:p>
    <w:p>
      <w:pPr>
        <w:ind w:left="1080" w:hanging="307"/>
        <w:spacing w:after="0"/>
        <w:tabs>
          <w:tab w:leader="none" w:pos="1080" w:val="left"/>
        </w:tabs>
        <w:numPr>
          <w:ilvl w:val="0"/>
          <w:numId w:val="48"/>
        </w:numPr>
        <w:rPr>
          <w:rFonts w:ascii="Arial" w:cs="Arial" w:eastAsia="Arial" w:hAnsi="Arial"/>
          <w:sz w:val="12"/>
          <w:szCs w:val="12"/>
          <w:color w:val="auto"/>
        </w:rPr>
      </w:pPr>
      <w:r>
        <w:rPr>
          <w:rFonts w:ascii="Arial" w:cs="Arial" w:eastAsia="Arial" w:hAnsi="Arial"/>
          <w:sz w:val="12"/>
          <w:szCs w:val="12"/>
          <w:color w:val="auto"/>
        </w:rPr>
        <w:t>Incorporated by reference to Registrant’s Quarterly Report on Form 10-Q for the fiscal quarter ended April 30, 2003</w:t>
      </w:r>
    </w:p>
    <w:p>
      <w:pPr>
        <w:spacing w:after="0" w:line="58" w:lineRule="exact"/>
        <w:rPr>
          <w:rFonts w:ascii="Arial" w:cs="Arial" w:eastAsia="Arial" w:hAnsi="Arial"/>
          <w:sz w:val="12"/>
          <w:szCs w:val="12"/>
          <w:color w:val="auto"/>
        </w:rPr>
      </w:pPr>
    </w:p>
    <w:p>
      <w:pPr>
        <w:ind w:left="1080" w:hanging="307"/>
        <w:spacing w:after="0"/>
        <w:tabs>
          <w:tab w:leader="none" w:pos="10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Incorporated by reference to Registrant’s 8-K/A filed August 3, 2004</w:t>
      </w:r>
    </w:p>
    <w:p>
      <w:pPr>
        <w:spacing w:after="0" w:line="47" w:lineRule="exact"/>
        <w:rPr>
          <w:rFonts w:ascii="Arial" w:cs="Arial" w:eastAsia="Arial" w:hAnsi="Arial"/>
          <w:sz w:val="13"/>
          <w:szCs w:val="13"/>
          <w:color w:val="auto"/>
        </w:rPr>
      </w:pPr>
    </w:p>
    <w:p>
      <w:pPr>
        <w:ind w:left="1080" w:hanging="307"/>
        <w:spacing w:after="0"/>
        <w:tabs>
          <w:tab w:leader="none" w:pos="1080" w:val="left"/>
        </w:tabs>
        <w:numPr>
          <w:ilvl w:val="0"/>
          <w:numId w:val="48"/>
        </w:numPr>
        <w:rPr>
          <w:rFonts w:ascii="Arial" w:cs="Arial" w:eastAsia="Arial" w:hAnsi="Arial"/>
          <w:sz w:val="12"/>
          <w:szCs w:val="12"/>
          <w:color w:val="auto"/>
        </w:rPr>
      </w:pPr>
      <w:r>
        <w:rPr>
          <w:rFonts w:ascii="Arial" w:cs="Arial" w:eastAsia="Arial" w:hAnsi="Arial"/>
          <w:sz w:val="12"/>
          <w:szCs w:val="12"/>
          <w:color w:val="auto"/>
        </w:rPr>
        <w:t>Incorporated by reference to Registrant’s Annual Report on Form 10-K for the fiscal year ended July 31, 2003</w:t>
      </w:r>
    </w:p>
    <w:p>
      <w:pPr>
        <w:spacing w:after="0" w:line="58" w:lineRule="exact"/>
        <w:rPr>
          <w:rFonts w:ascii="Arial" w:cs="Arial" w:eastAsia="Arial" w:hAnsi="Arial"/>
          <w:sz w:val="12"/>
          <w:szCs w:val="12"/>
          <w:color w:val="auto"/>
        </w:rPr>
      </w:pPr>
    </w:p>
    <w:p>
      <w:pPr>
        <w:ind w:left="1080" w:hanging="307"/>
        <w:spacing w:after="0"/>
        <w:tabs>
          <w:tab w:leader="none" w:pos="10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Incorporated by reference to Registrant’s Current Report on Form 8-K filed November 24, 2004.</w:t>
      </w:r>
    </w:p>
    <w:p>
      <w:pPr>
        <w:spacing w:after="0" w:line="47" w:lineRule="exact"/>
        <w:rPr>
          <w:rFonts w:ascii="Arial" w:cs="Arial" w:eastAsia="Arial" w:hAnsi="Arial"/>
          <w:sz w:val="13"/>
          <w:szCs w:val="13"/>
          <w:color w:val="auto"/>
        </w:rPr>
      </w:pPr>
    </w:p>
    <w:p>
      <w:pPr>
        <w:ind w:left="1080" w:hanging="307"/>
        <w:spacing w:after="0"/>
        <w:tabs>
          <w:tab w:leader="none" w:pos="1080" w:val="left"/>
        </w:tabs>
        <w:numPr>
          <w:ilvl w:val="0"/>
          <w:numId w:val="48"/>
        </w:numPr>
        <w:rPr>
          <w:rFonts w:ascii="Arial" w:cs="Arial" w:eastAsia="Arial" w:hAnsi="Arial"/>
          <w:sz w:val="12"/>
          <w:szCs w:val="12"/>
          <w:color w:val="auto"/>
        </w:rPr>
      </w:pPr>
      <w:r>
        <w:rPr>
          <w:rFonts w:ascii="Arial" w:cs="Arial" w:eastAsia="Arial" w:hAnsi="Arial"/>
          <w:sz w:val="12"/>
          <w:szCs w:val="12"/>
          <w:color w:val="auto"/>
        </w:rPr>
        <w:t>Incorporated by reference to Registrant’s Annual Report on Form 10-K for the fiscal year ended July 31, 2005</w:t>
      </w:r>
    </w:p>
    <w:p>
      <w:pPr>
        <w:spacing w:after="0" w:line="314"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IV-3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BRADY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SCHEDULE II — VALUATION AND QUALIFYING ACCOUNTS</w:t>
      </w:r>
    </w:p>
    <w:p>
      <w:pPr>
        <w:spacing w:after="0" w:line="18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5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Description</w:t>
            </w: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0"/>
                <w:szCs w:val="10"/>
                <w:b w:val="1"/>
                <w:bCs w:val="1"/>
                <w:color w:val="auto"/>
              </w:rPr>
              <w:t>Year ended July 31,</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5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jc w:val="right"/>
              <w:ind w:right="136"/>
              <w:spacing w:after="0" w:line="108" w:lineRule="exact"/>
              <w:rPr>
                <w:sz w:val="20"/>
                <w:szCs w:val="20"/>
                <w:color w:val="auto"/>
              </w:rPr>
            </w:pPr>
            <w:r>
              <w:rPr>
                <w:rFonts w:ascii="Arial" w:cs="Arial" w:eastAsia="Arial" w:hAnsi="Arial"/>
                <w:sz w:val="10"/>
                <w:szCs w:val="10"/>
                <w:b w:val="1"/>
                <w:bCs w:val="1"/>
                <w:color w:val="auto"/>
              </w:rPr>
              <w:t>2006</w:t>
            </w:r>
          </w:p>
        </w:tc>
        <w:tc>
          <w:tcPr>
            <w:tcW w:w="80" w:type="dxa"/>
            <w:vAlign w:val="bottom"/>
          </w:tcPr>
          <w:p>
            <w:pPr>
              <w:spacing w:after="0"/>
              <w:rPr>
                <w:sz w:val="9"/>
                <w:szCs w:val="9"/>
                <w:color w:val="auto"/>
              </w:rPr>
            </w:pPr>
          </w:p>
        </w:tc>
        <w:tc>
          <w:tcPr>
            <w:tcW w:w="320" w:type="dxa"/>
            <w:vAlign w:val="bottom"/>
            <w:vMerge w:val="restart"/>
          </w:tcPr>
          <w:p>
            <w:pPr>
              <w:ind w:left="20"/>
              <w:spacing w:after="0"/>
              <w:rPr>
                <w:sz w:val="20"/>
                <w:szCs w:val="20"/>
                <w:color w:val="auto"/>
              </w:rPr>
            </w:pPr>
            <w:r>
              <w:rPr>
                <w:rFonts w:ascii="Arial" w:cs="Arial" w:eastAsia="Arial" w:hAnsi="Arial"/>
                <w:sz w:val="10"/>
                <w:szCs w:val="10"/>
                <w:b w:val="1"/>
                <w:bCs w:val="1"/>
                <w:color w:val="auto"/>
                <w:w w:val="75"/>
              </w:rPr>
              <w:t>(Dollars</w:t>
            </w:r>
          </w:p>
        </w:tc>
        <w:tc>
          <w:tcPr>
            <w:tcW w:w="120" w:type="dxa"/>
            <w:vAlign w:val="bottom"/>
          </w:tcPr>
          <w:p>
            <w:pPr>
              <w:spacing w:after="0"/>
              <w:rPr>
                <w:sz w:val="9"/>
                <w:szCs w:val="9"/>
                <w:color w:val="auto"/>
              </w:rPr>
            </w:pPr>
          </w:p>
        </w:tc>
        <w:tc>
          <w:tcPr>
            <w:tcW w:w="380" w:type="dxa"/>
            <w:vAlign w:val="bottom"/>
          </w:tcPr>
          <w:p>
            <w:pPr>
              <w:jc w:val="right"/>
              <w:ind w:right="76"/>
              <w:spacing w:after="0" w:line="108" w:lineRule="exact"/>
              <w:rPr>
                <w:sz w:val="20"/>
                <w:szCs w:val="20"/>
                <w:color w:val="auto"/>
              </w:rPr>
            </w:pPr>
            <w:r>
              <w:rPr>
                <w:rFonts w:ascii="Arial" w:cs="Arial" w:eastAsia="Arial" w:hAnsi="Arial"/>
                <w:sz w:val="10"/>
                <w:szCs w:val="10"/>
                <w:b w:val="1"/>
                <w:bCs w:val="1"/>
                <w:color w:val="auto"/>
                <w:w w:val="98"/>
              </w:rPr>
              <w:t>2005</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jc w:val="right"/>
              <w:ind w:right="76"/>
              <w:spacing w:after="0" w:line="108" w:lineRule="exact"/>
              <w:rPr>
                <w:sz w:val="20"/>
                <w:szCs w:val="20"/>
                <w:color w:val="auto"/>
              </w:rPr>
            </w:pPr>
            <w:r>
              <w:rPr>
                <w:rFonts w:ascii="Arial" w:cs="Arial" w:eastAsia="Arial" w:hAnsi="Arial"/>
                <w:sz w:val="10"/>
                <w:szCs w:val="10"/>
                <w:b w:val="1"/>
                <w:bCs w:val="1"/>
                <w:color w:val="auto"/>
                <w:w w:val="98"/>
              </w:rPr>
              <w:t>2004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80" w:type="dxa"/>
            <w:vAlign w:val="bottom"/>
          </w:tcPr>
          <w:p>
            <w:pPr>
              <w:spacing w:after="0"/>
              <w:rPr>
                <w:sz w:val="11"/>
                <w:szCs w:val="11"/>
                <w:color w:val="auto"/>
              </w:rPr>
            </w:pPr>
          </w:p>
        </w:tc>
        <w:tc>
          <w:tcPr>
            <w:tcW w:w="7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0"/>
                <w:szCs w:val="10"/>
                <w:b w:val="1"/>
                <w:bCs w:val="1"/>
                <w:color w:val="auto"/>
              </w:rPr>
              <w:t>in thousands)</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Valuation accounts deducted in balance sheet from assets to which they apply —</w:t>
            </w: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0" w:type="dxa"/>
            <w:vAlign w:val="bottom"/>
          </w:tcPr>
          <w:p>
            <w:pPr>
              <w:spacing w:after="0"/>
              <w:rPr>
                <w:sz w:val="13"/>
                <w:szCs w:val="13"/>
                <w:color w:val="auto"/>
              </w:rPr>
            </w:pPr>
          </w:p>
        </w:tc>
        <w:tc>
          <w:tcPr>
            <w:tcW w:w="7420" w:type="dxa"/>
            <w:vAlign w:val="bottom"/>
          </w:tcPr>
          <w:p>
            <w:pPr>
              <w:ind w:left="60"/>
              <w:spacing w:after="0"/>
              <w:rPr>
                <w:sz w:val="20"/>
                <w:szCs w:val="20"/>
                <w:color w:val="auto"/>
              </w:rPr>
            </w:pPr>
            <w:r>
              <w:rPr>
                <w:rFonts w:ascii="Arial" w:cs="Arial" w:eastAsia="Arial" w:hAnsi="Arial"/>
                <w:sz w:val="13"/>
                <w:szCs w:val="13"/>
                <w:color w:val="auto"/>
              </w:rPr>
              <w:t>Accounts receivable — allowance for losses:</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0" w:type="dxa"/>
            <w:vAlign w:val="bottom"/>
            <w:shd w:val="clear" w:color="auto" w:fill="CCEEFF"/>
          </w:tcPr>
          <w:p>
            <w:pPr>
              <w:spacing w:after="0"/>
              <w:rPr>
                <w:sz w:val="13"/>
                <w:szCs w:val="13"/>
                <w:color w:val="auto"/>
              </w:rPr>
            </w:pPr>
          </w:p>
        </w:tc>
        <w:tc>
          <w:tcPr>
            <w:tcW w:w="7420" w:type="dxa"/>
            <w:vAlign w:val="bottom"/>
            <w:shd w:val="clear" w:color="auto" w:fill="CCEEFF"/>
          </w:tcPr>
          <w:p>
            <w:pPr>
              <w:ind w:left="60"/>
              <w:spacing w:after="0"/>
              <w:rPr>
                <w:sz w:val="20"/>
                <w:szCs w:val="20"/>
                <w:color w:val="auto"/>
              </w:rPr>
            </w:pPr>
            <w:r>
              <w:rPr>
                <w:rFonts w:ascii="Arial" w:cs="Arial" w:eastAsia="Arial" w:hAnsi="Arial"/>
                <w:sz w:val="13"/>
                <w:szCs w:val="13"/>
                <w:color w:val="auto"/>
              </w:rPr>
              <w:t>Balances at beginning of period</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3,726</w:t>
            </w: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3,869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3,166</w:t>
            </w:r>
          </w:p>
        </w:tc>
        <w:tc>
          <w:tcPr>
            <w:tcW w:w="0" w:type="dxa"/>
            <w:vAlign w:val="bottom"/>
          </w:tcPr>
          <w:p>
            <w:pPr>
              <w:spacing w:after="0"/>
              <w:rPr>
                <w:sz w:val="1"/>
                <w:szCs w:val="1"/>
                <w:color w:val="auto"/>
              </w:rPr>
            </w:pPr>
          </w:p>
        </w:tc>
      </w:tr>
      <w:tr>
        <w:trPr>
          <w:trHeight w:val="157"/>
        </w:trPr>
        <w:tc>
          <w:tcPr>
            <w:tcW w:w="80" w:type="dxa"/>
            <w:vAlign w:val="bottom"/>
          </w:tcPr>
          <w:p>
            <w:pPr>
              <w:spacing w:after="0"/>
              <w:rPr>
                <w:sz w:val="13"/>
                <w:szCs w:val="13"/>
                <w:color w:val="auto"/>
              </w:rPr>
            </w:pPr>
          </w:p>
        </w:tc>
        <w:tc>
          <w:tcPr>
            <w:tcW w:w="7420" w:type="dxa"/>
            <w:vAlign w:val="bottom"/>
          </w:tcPr>
          <w:p>
            <w:pPr>
              <w:ind w:left="60"/>
              <w:spacing w:after="0"/>
              <w:rPr>
                <w:sz w:val="20"/>
                <w:szCs w:val="20"/>
                <w:color w:val="auto"/>
              </w:rPr>
            </w:pPr>
            <w:r>
              <w:rPr>
                <w:rFonts w:ascii="Arial" w:cs="Arial" w:eastAsia="Arial" w:hAnsi="Arial"/>
                <w:sz w:val="13"/>
                <w:szCs w:val="13"/>
                <w:color w:val="auto"/>
              </w:rPr>
              <w:t>Additions — Charged to expense</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1,152</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1,216</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1,450</w:t>
            </w:r>
          </w:p>
        </w:tc>
        <w:tc>
          <w:tcPr>
            <w:tcW w:w="0" w:type="dxa"/>
            <w:vAlign w:val="bottom"/>
          </w:tcPr>
          <w:p>
            <w:pPr>
              <w:spacing w:after="0"/>
              <w:rPr>
                <w:sz w:val="1"/>
                <w:szCs w:val="1"/>
                <w:color w:val="auto"/>
              </w:rPr>
            </w:pPr>
          </w:p>
        </w:tc>
      </w:tr>
      <w:tr>
        <w:trPr>
          <w:trHeight w:val="157"/>
        </w:trPr>
        <w:tc>
          <w:tcPr>
            <w:tcW w:w="80" w:type="dxa"/>
            <w:vAlign w:val="bottom"/>
            <w:shd w:val="clear" w:color="auto" w:fill="CCEEFF"/>
          </w:tcPr>
          <w:p>
            <w:pPr>
              <w:spacing w:after="0"/>
              <w:rPr>
                <w:sz w:val="13"/>
                <w:szCs w:val="13"/>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Due to acquired businesses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2,861</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111</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295</w:t>
            </w:r>
          </w:p>
        </w:tc>
        <w:tc>
          <w:tcPr>
            <w:tcW w:w="0" w:type="dxa"/>
            <w:vAlign w:val="bottom"/>
          </w:tcPr>
          <w:p>
            <w:pPr>
              <w:spacing w:after="0"/>
              <w:rPr>
                <w:sz w:val="1"/>
                <w:szCs w:val="1"/>
                <w:color w:val="auto"/>
              </w:rPr>
            </w:pPr>
          </w:p>
        </w:tc>
      </w:tr>
      <w:tr>
        <w:trPr>
          <w:trHeight w:val="157"/>
        </w:trPr>
        <w:tc>
          <w:tcPr>
            <w:tcW w:w="80" w:type="dxa"/>
            <w:vAlign w:val="bottom"/>
          </w:tcPr>
          <w:p>
            <w:pPr>
              <w:spacing w:after="0"/>
              <w:rPr>
                <w:sz w:val="13"/>
                <w:szCs w:val="13"/>
                <w:color w:val="auto"/>
              </w:rPr>
            </w:pPr>
          </w:p>
        </w:tc>
        <w:tc>
          <w:tcPr>
            <w:tcW w:w="7420" w:type="dxa"/>
            <w:vAlign w:val="bottom"/>
          </w:tcPr>
          <w:p>
            <w:pPr>
              <w:ind w:left="60"/>
              <w:spacing w:after="0"/>
              <w:rPr>
                <w:sz w:val="20"/>
                <w:szCs w:val="20"/>
                <w:color w:val="auto"/>
              </w:rPr>
            </w:pPr>
            <w:r>
              <w:rPr>
                <w:rFonts w:ascii="Arial" w:cs="Arial" w:eastAsia="Arial" w:hAnsi="Arial"/>
                <w:sz w:val="13"/>
                <w:szCs w:val="13"/>
                <w:color w:val="auto"/>
              </w:rPr>
              <w:t>Deductions — Bad debts written off, net of recoveries</w:t>
            </w:r>
          </w:p>
        </w:tc>
        <w:tc>
          <w:tcPr>
            <w:tcW w:w="14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(1,349)</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w w:val="97"/>
              </w:rPr>
              <w:t>(1,470)</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(1,042)</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0" w:type="dxa"/>
            <w:vAlign w:val="bottom"/>
            <w:shd w:val="clear" w:color="auto" w:fill="CCEEFF"/>
          </w:tcPr>
          <w:p>
            <w:pPr>
              <w:spacing w:after="0"/>
              <w:rPr>
                <w:sz w:val="14"/>
                <w:szCs w:val="14"/>
                <w:color w:val="auto"/>
              </w:rPr>
            </w:pPr>
          </w:p>
        </w:tc>
        <w:tc>
          <w:tcPr>
            <w:tcW w:w="7420" w:type="dxa"/>
            <w:vAlign w:val="bottom"/>
            <w:shd w:val="clear" w:color="auto" w:fill="CCEEFF"/>
          </w:tcPr>
          <w:p>
            <w:pPr>
              <w:ind w:left="60"/>
              <w:spacing w:after="0"/>
              <w:rPr>
                <w:sz w:val="20"/>
                <w:szCs w:val="20"/>
                <w:color w:val="auto"/>
              </w:rPr>
            </w:pPr>
            <w:r>
              <w:rPr>
                <w:rFonts w:ascii="Arial" w:cs="Arial" w:eastAsia="Arial" w:hAnsi="Arial"/>
                <w:sz w:val="13"/>
                <w:szCs w:val="13"/>
                <w:color w:val="auto"/>
              </w:rPr>
              <w:t>Balances at end of period</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6,390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3,726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3,869</w:t>
            </w:r>
          </w:p>
        </w:tc>
        <w:tc>
          <w:tcPr>
            <w:tcW w:w="0" w:type="dxa"/>
            <w:vAlign w:val="bottom"/>
          </w:tcPr>
          <w:p>
            <w:pPr>
              <w:spacing w:after="0"/>
              <w:rPr>
                <w:sz w:val="1"/>
                <w:szCs w:val="1"/>
                <w:color w:val="auto"/>
              </w:rPr>
            </w:pPr>
          </w:p>
        </w:tc>
      </w:tr>
      <w:tr>
        <w:trPr>
          <w:trHeight w:val="166"/>
        </w:trPr>
        <w:tc>
          <w:tcPr>
            <w:tcW w:w="80" w:type="dxa"/>
            <w:vAlign w:val="bottom"/>
          </w:tcPr>
          <w:p>
            <w:pPr>
              <w:spacing w:after="0"/>
              <w:rPr>
                <w:sz w:val="14"/>
                <w:szCs w:val="14"/>
                <w:color w:val="auto"/>
              </w:rPr>
            </w:pPr>
          </w:p>
        </w:tc>
        <w:tc>
          <w:tcPr>
            <w:tcW w:w="7420" w:type="dxa"/>
            <w:vAlign w:val="bottom"/>
          </w:tcPr>
          <w:p>
            <w:pPr>
              <w:ind w:left="60"/>
              <w:spacing w:after="0"/>
              <w:rPr>
                <w:sz w:val="20"/>
                <w:szCs w:val="20"/>
                <w:color w:val="auto"/>
              </w:rPr>
            </w:pPr>
            <w:r>
              <w:rPr>
                <w:rFonts w:ascii="Arial" w:cs="Arial" w:eastAsia="Arial" w:hAnsi="Arial"/>
                <w:sz w:val="13"/>
                <w:szCs w:val="13"/>
                <w:color w:val="auto"/>
              </w:rPr>
              <w:t>Inventory — reserve for slow-moving inventory:</w:t>
            </w: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0" w:type="dxa"/>
            <w:vAlign w:val="bottom"/>
            <w:shd w:val="clear" w:color="auto" w:fill="CCEEFF"/>
          </w:tcPr>
          <w:p>
            <w:pPr>
              <w:spacing w:after="0"/>
              <w:rPr>
                <w:sz w:val="13"/>
                <w:szCs w:val="13"/>
                <w:color w:val="auto"/>
              </w:rPr>
            </w:pPr>
          </w:p>
        </w:tc>
        <w:tc>
          <w:tcPr>
            <w:tcW w:w="7420" w:type="dxa"/>
            <w:vAlign w:val="bottom"/>
            <w:shd w:val="clear" w:color="auto" w:fill="CCEEFF"/>
          </w:tcPr>
          <w:p>
            <w:pPr>
              <w:ind w:left="60"/>
              <w:spacing w:after="0"/>
              <w:rPr>
                <w:sz w:val="20"/>
                <w:szCs w:val="20"/>
                <w:color w:val="auto"/>
              </w:rPr>
            </w:pPr>
            <w:r>
              <w:rPr>
                <w:rFonts w:ascii="Arial" w:cs="Arial" w:eastAsia="Arial" w:hAnsi="Arial"/>
                <w:sz w:val="13"/>
                <w:szCs w:val="13"/>
                <w:color w:val="auto"/>
              </w:rPr>
              <w:t>Balances at beginning of period</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8,573</w:t>
            </w: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7,434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6,715</w:t>
            </w:r>
          </w:p>
        </w:tc>
        <w:tc>
          <w:tcPr>
            <w:tcW w:w="0" w:type="dxa"/>
            <w:vAlign w:val="bottom"/>
          </w:tcPr>
          <w:p>
            <w:pPr>
              <w:spacing w:after="0"/>
              <w:rPr>
                <w:sz w:val="1"/>
                <w:szCs w:val="1"/>
                <w:color w:val="auto"/>
              </w:rPr>
            </w:pPr>
          </w:p>
        </w:tc>
      </w:tr>
      <w:tr>
        <w:trPr>
          <w:trHeight w:val="157"/>
        </w:trPr>
        <w:tc>
          <w:tcPr>
            <w:tcW w:w="80" w:type="dxa"/>
            <w:vAlign w:val="bottom"/>
          </w:tcPr>
          <w:p>
            <w:pPr>
              <w:spacing w:after="0"/>
              <w:rPr>
                <w:sz w:val="13"/>
                <w:szCs w:val="13"/>
                <w:color w:val="auto"/>
              </w:rPr>
            </w:pPr>
          </w:p>
        </w:tc>
        <w:tc>
          <w:tcPr>
            <w:tcW w:w="7420" w:type="dxa"/>
            <w:vAlign w:val="bottom"/>
          </w:tcPr>
          <w:p>
            <w:pPr>
              <w:ind w:left="60"/>
              <w:spacing w:after="0"/>
              <w:rPr>
                <w:sz w:val="20"/>
                <w:szCs w:val="20"/>
                <w:color w:val="auto"/>
              </w:rPr>
            </w:pPr>
            <w:r>
              <w:rPr>
                <w:rFonts w:ascii="Arial" w:cs="Arial" w:eastAsia="Arial" w:hAnsi="Arial"/>
                <w:sz w:val="13"/>
                <w:szCs w:val="13"/>
                <w:color w:val="auto"/>
              </w:rPr>
              <w:t>Additions — Charged to expense</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2,441</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298</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369</w:t>
            </w:r>
          </w:p>
        </w:tc>
        <w:tc>
          <w:tcPr>
            <w:tcW w:w="0" w:type="dxa"/>
            <w:vAlign w:val="bottom"/>
          </w:tcPr>
          <w:p>
            <w:pPr>
              <w:spacing w:after="0"/>
              <w:rPr>
                <w:sz w:val="1"/>
                <w:szCs w:val="1"/>
                <w:color w:val="auto"/>
              </w:rPr>
            </w:pPr>
          </w:p>
        </w:tc>
      </w:tr>
      <w:tr>
        <w:trPr>
          <w:trHeight w:val="157"/>
        </w:trPr>
        <w:tc>
          <w:tcPr>
            <w:tcW w:w="80" w:type="dxa"/>
            <w:vAlign w:val="bottom"/>
            <w:shd w:val="clear" w:color="auto" w:fill="CCEEFF"/>
          </w:tcPr>
          <w:p>
            <w:pPr>
              <w:spacing w:after="0"/>
              <w:rPr>
                <w:sz w:val="13"/>
                <w:szCs w:val="13"/>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Due to acquired businesses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2,541</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841</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350</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420" w:type="dxa"/>
            <w:vAlign w:val="bottom"/>
            <w:vMerge w:val="restart"/>
          </w:tcPr>
          <w:p>
            <w:pPr>
              <w:ind w:left="60"/>
              <w:spacing w:after="0"/>
              <w:rPr>
                <w:sz w:val="20"/>
                <w:szCs w:val="20"/>
                <w:color w:val="auto"/>
              </w:rPr>
            </w:pPr>
            <w:r>
              <w:rPr>
                <w:rFonts w:ascii="Arial" w:cs="Arial" w:eastAsia="Arial" w:hAnsi="Arial"/>
                <w:sz w:val="13"/>
                <w:szCs w:val="13"/>
                <w:color w:val="auto"/>
              </w:rPr>
              <w:t>Balances at end of period</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 w:type="dxa"/>
            <w:vAlign w:val="bottom"/>
          </w:tcPr>
          <w:p>
            <w:pPr>
              <w:spacing w:after="0"/>
              <w:rPr>
                <w:sz w:val="13"/>
                <w:szCs w:val="13"/>
                <w:color w:val="auto"/>
              </w:rPr>
            </w:pPr>
          </w:p>
        </w:tc>
        <w:tc>
          <w:tcPr>
            <w:tcW w:w="7420" w:type="dxa"/>
            <w:vAlign w:val="bottom"/>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13,555</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8,573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7,434</w:t>
            </w:r>
          </w:p>
        </w:tc>
        <w:tc>
          <w:tcPr>
            <w:tcW w:w="0" w:type="dxa"/>
            <w:vAlign w:val="bottom"/>
          </w:tcPr>
          <w:p>
            <w:pPr>
              <w:spacing w:after="0"/>
              <w:rPr>
                <w:sz w:val="1"/>
                <w:szCs w:val="1"/>
                <w:color w:val="auto"/>
              </w:rPr>
            </w:pPr>
          </w:p>
        </w:tc>
      </w:tr>
      <w:tr>
        <w:trPr>
          <w:trHeight w:val="30"/>
        </w:trPr>
        <w:tc>
          <w:tcPr>
            <w:tcW w:w="8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IV-4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79"/>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duly caused this report to be signed on its behalf by the undersigned, thereunto duly authorized this sixth day of October 2006.</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w:t>
      </w:r>
      <w:r>
        <w:rPr>
          <w:rFonts w:ascii="Arial" w:cs="Arial" w:eastAsia="Arial" w:hAnsi="Arial"/>
          <w:sz w:val="8"/>
          <w:szCs w:val="8"/>
          <w:color w:val="auto"/>
        </w:rPr>
        <w:t>RADY</w:t>
      </w:r>
      <w:r>
        <w:rPr>
          <w:rFonts w:ascii="Arial" w:cs="Arial" w:eastAsia="Arial" w:hAnsi="Arial"/>
          <w:sz w:val="13"/>
          <w:szCs w:val="13"/>
          <w:color w:val="auto"/>
        </w:rPr>
        <w:t xml:space="preserve"> C</w:t>
      </w:r>
      <w:r>
        <w:rPr>
          <w:rFonts w:ascii="Arial" w:cs="Arial" w:eastAsia="Arial" w:hAnsi="Arial"/>
          <w:sz w:val="8"/>
          <w:szCs w:val="8"/>
          <w:color w:val="auto"/>
        </w:rPr>
        <w:t>ORPORATION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80"/>
        <w:spacing w:after="0"/>
        <w:tabs>
          <w:tab w:leader="none" w:pos="5860" w:val="left"/>
        </w:tabs>
        <w:rPr>
          <w:sz w:val="20"/>
          <w:szCs w:val="20"/>
          <w:color w:val="auto"/>
        </w:rPr>
      </w:pPr>
      <w:r>
        <w:rPr>
          <w:rFonts w:ascii="Arial" w:cs="Arial" w:eastAsia="Arial" w:hAnsi="Arial"/>
          <w:sz w:val="13"/>
          <w:szCs w:val="13"/>
          <w:color w:val="auto"/>
        </w:rPr>
        <w:t>By:</w:t>
        <w:tab/>
        <w:t>/s/ D</w:t>
      </w:r>
      <w:r>
        <w:rPr>
          <w:rFonts w:ascii="Arial" w:cs="Arial" w:eastAsia="Arial" w:hAnsi="Arial"/>
          <w:sz w:val="8"/>
          <w:szCs w:val="8"/>
          <w:color w:val="auto"/>
        </w:rPr>
        <w:t>AVID</w:t>
      </w:r>
      <w:r>
        <w:rPr>
          <w:rFonts w:ascii="Arial" w:cs="Arial" w:eastAsia="Arial" w:hAnsi="Arial"/>
          <w:sz w:val="13"/>
          <w:szCs w:val="13"/>
          <w:color w:val="auto"/>
        </w:rPr>
        <w:t xml:space="preserve"> M</w:t>
      </w:r>
      <w:r>
        <w:rPr>
          <w:rFonts w:ascii="Arial" w:cs="Arial" w:eastAsia="Arial" w:hAnsi="Arial"/>
          <w:sz w:val="8"/>
          <w:szCs w:val="8"/>
          <w:color w:val="auto"/>
        </w:rPr>
        <w:t>ATHIESON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David Mathieson</w:t>
      </w:r>
    </w:p>
    <w:p>
      <w:pPr>
        <w:spacing w:after="0" w:line="15"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 xml:space="preserve">Vice </w:t>
      </w:r>
      <w:r>
        <w:rPr>
          <w:rFonts w:ascii="Arial" w:cs="Arial" w:eastAsia="Arial" w:hAnsi="Arial"/>
          <w:sz w:val="13"/>
          <w:szCs w:val="13"/>
          <w:i w:val="1"/>
          <w:iCs w:val="1"/>
          <w:color w:val="auto"/>
        </w:rPr>
        <w:t>President &amp; Chief Financial Officer</w:t>
      </w:r>
    </w:p>
    <w:p>
      <w:pPr>
        <w:spacing w:after="0" w:line="8" w:lineRule="exact"/>
        <w:rPr>
          <w:sz w:val="20"/>
          <w:szCs w:val="20"/>
          <w:color w:val="auto"/>
        </w:rPr>
      </w:pPr>
    </w:p>
    <w:p>
      <w:pPr>
        <w:jc w:val="center"/>
        <w:ind w:left="5180"/>
        <w:spacing w:after="0"/>
        <w:rPr>
          <w:sz w:val="20"/>
          <w:szCs w:val="20"/>
          <w:color w:val="auto"/>
        </w:rPr>
      </w:pPr>
      <w:r>
        <w:rPr>
          <w:rFonts w:ascii="Arial" w:cs="Arial" w:eastAsia="Arial" w:hAnsi="Arial"/>
          <w:sz w:val="13"/>
          <w:szCs w:val="13"/>
          <w:i w:val="1"/>
          <w:iCs w:val="1"/>
          <w:color w:val="auto"/>
        </w:rPr>
        <w:t>(Principal Accounting Officer)</w:t>
      </w:r>
    </w:p>
    <w:p>
      <w:pPr>
        <w:spacing w:after="0" w:line="8" w:lineRule="exact"/>
        <w:rPr>
          <w:sz w:val="20"/>
          <w:szCs w:val="20"/>
          <w:color w:val="auto"/>
        </w:rPr>
      </w:pPr>
    </w:p>
    <w:p>
      <w:pPr>
        <w:ind w:left="5980"/>
        <w:spacing w:after="0"/>
        <w:rPr>
          <w:sz w:val="20"/>
          <w:szCs w:val="20"/>
          <w:color w:val="auto"/>
        </w:rPr>
      </w:pPr>
      <w:r>
        <w:rPr>
          <w:rFonts w:ascii="Arial" w:cs="Arial" w:eastAsia="Arial" w:hAnsi="Arial"/>
          <w:sz w:val="13"/>
          <w:szCs w:val="13"/>
          <w:i w:val="1"/>
          <w:iCs w:val="1"/>
          <w:color w:val="auto"/>
        </w:rPr>
        <w:t>(Principal Financial Officer)</w:t>
      </w:r>
    </w:p>
    <w:p>
      <w:pPr>
        <w:spacing w:after="0" w:line="25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Pursuant to the requirements of the Securities Exchange Act of 1934, this report has been signed below by the following persons on behalf of the Registrant and in the capacities and on the dates indicated.</w:t>
      </w:r>
    </w:p>
    <w:p>
      <w:pPr>
        <w:spacing w:after="0" w:line="226"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F. M. J</w:t>
            </w:r>
            <w:r>
              <w:rPr>
                <w:rFonts w:ascii="Arial" w:cs="Arial" w:eastAsia="Arial" w:hAnsi="Arial"/>
                <w:sz w:val="8"/>
                <w:szCs w:val="8"/>
                <w:color w:val="auto"/>
              </w:rPr>
              <w:t>AEHNERT</w:t>
            </w:r>
          </w:p>
        </w:tc>
        <w:tc>
          <w:tcPr>
            <w:tcW w:w="3860" w:type="dxa"/>
            <w:vAlign w:val="bottom"/>
          </w:tcPr>
          <w:p>
            <w:pPr>
              <w:jc w:val="center"/>
              <w:ind w:left="534"/>
              <w:spacing w:after="0"/>
              <w:rPr>
                <w:sz w:val="20"/>
                <w:szCs w:val="20"/>
                <w:color w:val="auto"/>
              </w:rPr>
            </w:pPr>
            <w:r>
              <w:rPr>
                <w:rFonts w:ascii="Arial" w:cs="Arial" w:eastAsia="Arial" w:hAnsi="Arial"/>
                <w:sz w:val="13"/>
                <w:szCs w:val="13"/>
                <w:color w:val="auto"/>
                <w:w w:val="91"/>
              </w:rPr>
              <w:t>President and Director</w:t>
            </w:r>
          </w:p>
        </w:tc>
        <w:tc>
          <w:tcPr>
            <w:tcW w:w="1740" w:type="dxa"/>
            <w:vAlign w:val="bottom"/>
          </w:tcPr>
          <w:p>
            <w:pPr>
              <w:ind w:left="880"/>
              <w:spacing w:after="0"/>
              <w:rPr>
                <w:sz w:val="20"/>
                <w:szCs w:val="20"/>
                <w:color w:val="auto"/>
              </w:rPr>
            </w:pPr>
            <w:r>
              <w:rPr>
                <w:rFonts w:ascii="Arial" w:cs="Arial" w:eastAsia="Arial" w:hAnsi="Arial"/>
                <w:sz w:val="13"/>
                <w:szCs w:val="13"/>
                <w:color w:val="auto"/>
                <w:w w:val="90"/>
              </w:rPr>
              <w:t>October 6, 2006</w:t>
            </w:r>
          </w:p>
        </w:tc>
      </w:tr>
      <w:tr>
        <w:trPr>
          <w:trHeight w:val="156"/>
        </w:trPr>
        <w:tc>
          <w:tcPr>
            <w:tcW w:w="4120" w:type="dxa"/>
            <w:vAlign w:val="bottom"/>
          </w:tcPr>
          <w:p>
            <w:pPr>
              <w:jc w:val="center"/>
              <w:spacing w:after="0"/>
              <w:rPr>
                <w:sz w:val="20"/>
                <w:szCs w:val="20"/>
                <w:color w:val="auto"/>
              </w:rPr>
            </w:pPr>
            <w:r>
              <w:rPr>
                <w:rFonts w:ascii="Arial" w:cs="Arial" w:eastAsia="Arial" w:hAnsi="Arial"/>
                <w:sz w:val="13"/>
                <w:szCs w:val="13"/>
                <w:color w:val="auto"/>
                <w:w w:val="90"/>
              </w:rPr>
              <w:t>F. M. Jaehnert</w:t>
            </w:r>
          </w:p>
        </w:tc>
        <w:tc>
          <w:tcPr>
            <w:tcW w:w="3860" w:type="dxa"/>
            <w:vAlign w:val="bottom"/>
          </w:tcPr>
          <w:p>
            <w:pPr>
              <w:jc w:val="center"/>
              <w:ind w:left="554"/>
              <w:spacing w:after="0" w:line="145" w:lineRule="exact"/>
              <w:rPr>
                <w:sz w:val="20"/>
                <w:szCs w:val="20"/>
                <w:color w:val="auto"/>
              </w:rPr>
            </w:pPr>
            <w:r>
              <w:rPr>
                <w:rFonts w:ascii="Arial" w:cs="Arial" w:eastAsia="Arial" w:hAnsi="Arial"/>
                <w:sz w:val="13"/>
                <w:szCs w:val="13"/>
                <w:color w:val="auto"/>
                <w:w w:val="94"/>
              </w:rPr>
              <w:t>(Principal Executive Officer)</w:t>
            </w:r>
          </w:p>
        </w:tc>
        <w:tc>
          <w:tcPr>
            <w:tcW w:w="1740" w:type="dxa"/>
            <w:vAlign w:val="bottom"/>
          </w:tcPr>
          <w:p>
            <w:pPr>
              <w:spacing w:after="0"/>
              <w:rPr>
                <w:sz w:val="13"/>
                <w:szCs w:val="13"/>
                <w:color w:val="auto"/>
              </w:rPr>
            </w:pPr>
          </w:p>
        </w:tc>
      </w:tr>
      <w:tr>
        <w:trPr>
          <w:trHeight w:val="306"/>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/s/ P. J. L</w:t>
            </w:r>
            <w:r>
              <w:rPr>
                <w:rFonts w:ascii="Arial" w:cs="Arial" w:eastAsia="Arial" w:hAnsi="Arial"/>
                <w:sz w:val="8"/>
                <w:szCs w:val="8"/>
                <w:color w:val="auto"/>
                <w:w w:val="99"/>
              </w:rPr>
              <w:t>ETTENBERGER</w:t>
            </w:r>
          </w:p>
        </w:tc>
        <w:tc>
          <w:tcPr>
            <w:tcW w:w="3860" w:type="dxa"/>
            <w:vAlign w:val="bottom"/>
          </w:tcPr>
          <w:p>
            <w:pPr>
              <w:jc w:val="center"/>
              <w:ind w:left="554"/>
              <w:spacing w:after="0"/>
              <w:rPr>
                <w:sz w:val="20"/>
                <w:szCs w:val="20"/>
                <w:color w:val="auto"/>
              </w:rPr>
            </w:pPr>
            <w:r>
              <w:rPr>
                <w:rFonts w:ascii="Arial" w:cs="Arial" w:eastAsia="Arial" w:hAnsi="Arial"/>
                <w:sz w:val="13"/>
                <w:szCs w:val="13"/>
                <w:color w:val="auto"/>
                <w:w w:val="96"/>
              </w:rPr>
              <w:t>Director</w:t>
            </w:r>
          </w:p>
        </w:tc>
        <w:tc>
          <w:tcPr>
            <w:tcW w:w="1740" w:type="dxa"/>
            <w:vAlign w:val="bottom"/>
          </w:tcPr>
          <w:p>
            <w:pPr>
              <w:ind w:left="880"/>
              <w:spacing w:after="0"/>
              <w:rPr>
                <w:sz w:val="20"/>
                <w:szCs w:val="20"/>
                <w:color w:val="auto"/>
              </w:rPr>
            </w:pPr>
            <w:r>
              <w:rPr>
                <w:rFonts w:ascii="Arial" w:cs="Arial" w:eastAsia="Arial" w:hAnsi="Arial"/>
                <w:sz w:val="13"/>
                <w:szCs w:val="13"/>
                <w:color w:val="auto"/>
                <w:w w:val="90"/>
              </w:rPr>
              <w:t>October 6, 2006</w:t>
            </w:r>
          </w:p>
        </w:tc>
      </w:tr>
      <w:tr>
        <w:trPr>
          <w:trHeight w:val="155"/>
        </w:trPr>
        <w:tc>
          <w:tcPr>
            <w:tcW w:w="4120" w:type="dxa"/>
            <w:vAlign w:val="bottom"/>
          </w:tcPr>
          <w:p>
            <w:pPr>
              <w:jc w:val="center"/>
              <w:spacing w:after="0"/>
              <w:rPr>
                <w:sz w:val="20"/>
                <w:szCs w:val="20"/>
                <w:color w:val="auto"/>
              </w:rPr>
            </w:pPr>
            <w:r>
              <w:rPr>
                <w:rFonts w:ascii="Arial" w:cs="Arial" w:eastAsia="Arial" w:hAnsi="Arial"/>
                <w:sz w:val="13"/>
                <w:szCs w:val="13"/>
                <w:color w:val="auto"/>
                <w:w w:val="88"/>
              </w:rPr>
              <w:t>P. J. Lettenberger</w:t>
            </w:r>
          </w:p>
        </w:tc>
        <w:tc>
          <w:tcPr>
            <w:tcW w:w="386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306"/>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R. A. B</w:t>
            </w:r>
            <w:r>
              <w:rPr>
                <w:rFonts w:ascii="Arial" w:cs="Arial" w:eastAsia="Arial" w:hAnsi="Arial"/>
                <w:sz w:val="8"/>
                <w:szCs w:val="8"/>
                <w:color w:val="auto"/>
              </w:rPr>
              <w:t>EMIS</w:t>
            </w:r>
          </w:p>
        </w:tc>
        <w:tc>
          <w:tcPr>
            <w:tcW w:w="3860" w:type="dxa"/>
            <w:vAlign w:val="bottom"/>
          </w:tcPr>
          <w:p>
            <w:pPr>
              <w:jc w:val="center"/>
              <w:ind w:left="554"/>
              <w:spacing w:after="0"/>
              <w:rPr>
                <w:sz w:val="20"/>
                <w:szCs w:val="20"/>
                <w:color w:val="auto"/>
              </w:rPr>
            </w:pPr>
            <w:r>
              <w:rPr>
                <w:rFonts w:ascii="Arial" w:cs="Arial" w:eastAsia="Arial" w:hAnsi="Arial"/>
                <w:sz w:val="13"/>
                <w:szCs w:val="13"/>
                <w:color w:val="auto"/>
                <w:w w:val="96"/>
              </w:rPr>
              <w:t>Director</w:t>
            </w:r>
          </w:p>
        </w:tc>
        <w:tc>
          <w:tcPr>
            <w:tcW w:w="1740" w:type="dxa"/>
            <w:vAlign w:val="bottom"/>
          </w:tcPr>
          <w:p>
            <w:pPr>
              <w:ind w:left="880"/>
              <w:spacing w:after="0"/>
              <w:rPr>
                <w:sz w:val="20"/>
                <w:szCs w:val="20"/>
                <w:color w:val="auto"/>
              </w:rPr>
            </w:pPr>
            <w:r>
              <w:rPr>
                <w:rFonts w:ascii="Arial" w:cs="Arial" w:eastAsia="Arial" w:hAnsi="Arial"/>
                <w:sz w:val="13"/>
                <w:szCs w:val="13"/>
                <w:color w:val="auto"/>
                <w:w w:val="90"/>
              </w:rPr>
              <w:t>October 6, 2006</w:t>
            </w:r>
          </w:p>
        </w:tc>
      </w:tr>
      <w:tr>
        <w:trPr>
          <w:trHeight w:val="155"/>
        </w:trPr>
        <w:tc>
          <w:tcPr>
            <w:tcW w:w="4120" w:type="dxa"/>
            <w:vAlign w:val="bottom"/>
          </w:tcPr>
          <w:p>
            <w:pPr>
              <w:jc w:val="center"/>
              <w:spacing w:after="0"/>
              <w:rPr>
                <w:sz w:val="20"/>
                <w:szCs w:val="20"/>
                <w:color w:val="auto"/>
              </w:rPr>
            </w:pPr>
            <w:r>
              <w:rPr>
                <w:rFonts w:ascii="Arial" w:cs="Arial" w:eastAsia="Arial" w:hAnsi="Arial"/>
                <w:sz w:val="13"/>
                <w:szCs w:val="13"/>
                <w:color w:val="auto"/>
                <w:w w:val="93"/>
              </w:rPr>
              <w:t>R. A. Bemis</w:t>
            </w:r>
          </w:p>
        </w:tc>
        <w:tc>
          <w:tcPr>
            <w:tcW w:w="386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306"/>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/s/ F. W. H</w:t>
            </w:r>
            <w:r>
              <w:rPr>
                <w:rFonts w:ascii="Arial" w:cs="Arial" w:eastAsia="Arial" w:hAnsi="Arial"/>
                <w:sz w:val="8"/>
                <w:szCs w:val="8"/>
                <w:color w:val="auto"/>
                <w:w w:val="97"/>
              </w:rPr>
              <w:t>ARRIS</w:t>
            </w:r>
          </w:p>
        </w:tc>
        <w:tc>
          <w:tcPr>
            <w:tcW w:w="3860" w:type="dxa"/>
            <w:vAlign w:val="bottom"/>
          </w:tcPr>
          <w:p>
            <w:pPr>
              <w:jc w:val="center"/>
              <w:ind w:left="554"/>
              <w:spacing w:after="0"/>
              <w:rPr>
                <w:sz w:val="20"/>
                <w:szCs w:val="20"/>
                <w:color w:val="auto"/>
              </w:rPr>
            </w:pPr>
            <w:r>
              <w:rPr>
                <w:rFonts w:ascii="Arial" w:cs="Arial" w:eastAsia="Arial" w:hAnsi="Arial"/>
                <w:sz w:val="13"/>
                <w:szCs w:val="13"/>
                <w:color w:val="auto"/>
                <w:w w:val="96"/>
              </w:rPr>
              <w:t>Director</w:t>
            </w:r>
          </w:p>
        </w:tc>
        <w:tc>
          <w:tcPr>
            <w:tcW w:w="1740" w:type="dxa"/>
            <w:vAlign w:val="bottom"/>
          </w:tcPr>
          <w:p>
            <w:pPr>
              <w:ind w:left="880"/>
              <w:spacing w:after="0"/>
              <w:rPr>
                <w:sz w:val="20"/>
                <w:szCs w:val="20"/>
                <w:color w:val="auto"/>
              </w:rPr>
            </w:pPr>
            <w:r>
              <w:rPr>
                <w:rFonts w:ascii="Arial" w:cs="Arial" w:eastAsia="Arial" w:hAnsi="Arial"/>
                <w:sz w:val="13"/>
                <w:szCs w:val="13"/>
                <w:color w:val="auto"/>
                <w:w w:val="90"/>
              </w:rPr>
              <w:t>October 6, 2006</w:t>
            </w:r>
          </w:p>
        </w:tc>
      </w:tr>
      <w:tr>
        <w:trPr>
          <w:trHeight w:val="155"/>
        </w:trPr>
        <w:tc>
          <w:tcPr>
            <w:tcW w:w="4120" w:type="dxa"/>
            <w:vAlign w:val="bottom"/>
          </w:tcPr>
          <w:p>
            <w:pPr>
              <w:jc w:val="center"/>
              <w:spacing w:after="0"/>
              <w:rPr>
                <w:sz w:val="20"/>
                <w:szCs w:val="20"/>
                <w:color w:val="auto"/>
              </w:rPr>
            </w:pPr>
            <w:r>
              <w:rPr>
                <w:rFonts w:ascii="Arial" w:cs="Arial" w:eastAsia="Arial" w:hAnsi="Arial"/>
                <w:sz w:val="13"/>
                <w:szCs w:val="13"/>
                <w:color w:val="auto"/>
                <w:w w:val="92"/>
              </w:rPr>
              <w:t>F. W. Harris</w:t>
            </w:r>
          </w:p>
        </w:tc>
        <w:tc>
          <w:tcPr>
            <w:tcW w:w="386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306"/>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R. C. B</w:t>
            </w:r>
            <w:r>
              <w:rPr>
                <w:rFonts w:ascii="Arial" w:cs="Arial" w:eastAsia="Arial" w:hAnsi="Arial"/>
                <w:sz w:val="8"/>
                <w:szCs w:val="8"/>
                <w:color w:val="auto"/>
              </w:rPr>
              <w:t>UCHANAN</w:t>
            </w:r>
          </w:p>
        </w:tc>
        <w:tc>
          <w:tcPr>
            <w:tcW w:w="3860" w:type="dxa"/>
            <w:vAlign w:val="bottom"/>
          </w:tcPr>
          <w:p>
            <w:pPr>
              <w:jc w:val="center"/>
              <w:ind w:left="554"/>
              <w:spacing w:after="0"/>
              <w:rPr>
                <w:sz w:val="20"/>
                <w:szCs w:val="20"/>
                <w:color w:val="auto"/>
              </w:rPr>
            </w:pPr>
            <w:r>
              <w:rPr>
                <w:rFonts w:ascii="Arial" w:cs="Arial" w:eastAsia="Arial" w:hAnsi="Arial"/>
                <w:sz w:val="13"/>
                <w:szCs w:val="13"/>
                <w:color w:val="auto"/>
                <w:w w:val="96"/>
              </w:rPr>
              <w:t>Director</w:t>
            </w:r>
          </w:p>
        </w:tc>
        <w:tc>
          <w:tcPr>
            <w:tcW w:w="1740" w:type="dxa"/>
            <w:vAlign w:val="bottom"/>
          </w:tcPr>
          <w:p>
            <w:pPr>
              <w:ind w:left="880"/>
              <w:spacing w:after="0"/>
              <w:rPr>
                <w:sz w:val="20"/>
                <w:szCs w:val="20"/>
                <w:color w:val="auto"/>
              </w:rPr>
            </w:pPr>
            <w:r>
              <w:rPr>
                <w:rFonts w:ascii="Arial" w:cs="Arial" w:eastAsia="Arial" w:hAnsi="Arial"/>
                <w:sz w:val="13"/>
                <w:szCs w:val="13"/>
                <w:color w:val="auto"/>
                <w:w w:val="90"/>
              </w:rPr>
              <w:t>October 6, 2006</w:t>
            </w:r>
          </w:p>
        </w:tc>
      </w:tr>
      <w:tr>
        <w:trPr>
          <w:trHeight w:val="155"/>
        </w:trPr>
        <w:tc>
          <w:tcPr>
            <w:tcW w:w="4120" w:type="dxa"/>
            <w:vAlign w:val="bottom"/>
          </w:tcPr>
          <w:p>
            <w:pPr>
              <w:jc w:val="center"/>
              <w:spacing w:after="0"/>
              <w:rPr>
                <w:sz w:val="20"/>
                <w:szCs w:val="20"/>
                <w:color w:val="auto"/>
              </w:rPr>
            </w:pPr>
            <w:r>
              <w:rPr>
                <w:rFonts w:ascii="Arial" w:cs="Arial" w:eastAsia="Arial" w:hAnsi="Arial"/>
                <w:sz w:val="13"/>
                <w:szCs w:val="13"/>
                <w:color w:val="auto"/>
                <w:w w:val="91"/>
              </w:rPr>
              <w:t>R. C. Buchanan</w:t>
            </w:r>
          </w:p>
        </w:tc>
        <w:tc>
          <w:tcPr>
            <w:tcW w:w="386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306"/>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R. D. P</w:t>
            </w:r>
            <w:r>
              <w:rPr>
                <w:rFonts w:ascii="Arial" w:cs="Arial" w:eastAsia="Arial" w:hAnsi="Arial"/>
                <w:sz w:val="8"/>
                <w:szCs w:val="8"/>
                <w:color w:val="auto"/>
              </w:rPr>
              <w:t>EIRCE</w:t>
            </w:r>
          </w:p>
        </w:tc>
        <w:tc>
          <w:tcPr>
            <w:tcW w:w="3860" w:type="dxa"/>
            <w:vAlign w:val="bottom"/>
          </w:tcPr>
          <w:p>
            <w:pPr>
              <w:jc w:val="center"/>
              <w:ind w:left="554"/>
              <w:spacing w:after="0"/>
              <w:rPr>
                <w:sz w:val="20"/>
                <w:szCs w:val="20"/>
                <w:color w:val="auto"/>
              </w:rPr>
            </w:pPr>
            <w:r>
              <w:rPr>
                <w:rFonts w:ascii="Arial" w:cs="Arial" w:eastAsia="Arial" w:hAnsi="Arial"/>
                <w:sz w:val="13"/>
                <w:szCs w:val="13"/>
                <w:color w:val="auto"/>
                <w:w w:val="96"/>
              </w:rPr>
              <w:t>Director</w:t>
            </w:r>
          </w:p>
        </w:tc>
        <w:tc>
          <w:tcPr>
            <w:tcW w:w="1740" w:type="dxa"/>
            <w:vAlign w:val="bottom"/>
          </w:tcPr>
          <w:p>
            <w:pPr>
              <w:ind w:left="880"/>
              <w:spacing w:after="0"/>
              <w:rPr>
                <w:sz w:val="20"/>
                <w:szCs w:val="20"/>
                <w:color w:val="auto"/>
              </w:rPr>
            </w:pPr>
            <w:r>
              <w:rPr>
                <w:rFonts w:ascii="Arial" w:cs="Arial" w:eastAsia="Arial" w:hAnsi="Arial"/>
                <w:sz w:val="13"/>
                <w:szCs w:val="13"/>
                <w:color w:val="auto"/>
                <w:w w:val="90"/>
              </w:rPr>
              <w:t>October 6, 2006</w:t>
            </w:r>
          </w:p>
        </w:tc>
      </w:tr>
      <w:tr>
        <w:trPr>
          <w:trHeight w:val="155"/>
        </w:trPr>
        <w:tc>
          <w:tcPr>
            <w:tcW w:w="4120" w:type="dxa"/>
            <w:vAlign w:val="bottom"/>
          </w:tcPr>
          <w:p>
            <w:pPr>
              <w:jc w:val="center"/>
              <w:spacing w:after="0"/>
              <w:rPr>
                <w:sz w:val="20"/>
                <w:szCs w:val="20"/>
                <w:color w:val="auto"/>
              </w:rPr>
            </w:pPr>
            <w:r>
              <w:rPr>
                <w:rFonts w:ascii="Arial" w:cs="Arial" w:eastAsia="Arial" w:hAnsi="Arial"/>
                <w:sz w:val="13"/>
                <w:szCs w:val="13"/>
                <w:color w:val="auto"/>
                <w:w w:val="91"/>
              </w:rPr>
              <w:t>R. D. Peirce</w:t>
            </w:r>
          </w:p>
        </w:tc>
        <w:tc>
          <w:tcPr>
            <w:tcW w:w="386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306"/>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G. E. N</w:t>
            </w:r>
            <w:r>
              <w:rPr>
                <w:rFonts w:ascii="Arial" w:cs="Arial" w:eastAsia="Arial" w:hAnsi="Arial"/>
                <w:sz w:val="8"/>
                <w:szCs w:val="8"/>
                <w:color w:val="auto"/>
              </w:rPr>
              <w:t>EI</w:t>
            </w:r>
          </w:p>
        </w:tc>
        <w:tc>
          <w:tcPr>
            <w:tcW w:w="3860" w:type="dxa"/>
            <w:vAlign w:val="bottom"/>
          </w:tcPr>
          <w:p>
            <w:pPr>
              <w:jc w:val="center"/>
              <w:ind w:left="554"/>
              <w:spacing w:after="0"/>
              <w:rPr>
                <w:sz w:val="20"/>
                <w:szCs w:val="20"/>
                <w:color w:val="auto"/>
              </w:rPr>
            </w:pPr>
            <w:r>
              <w:rPr>
                <w:rFonts w:ascii="Arial" w:cs="Arial" w:eastAsia="Arial" w:hAnsi="Arial"/>
                <w:sz w:val="13"/>
                <w:szCs w:val="13"/>
                <w:color w:val="auto"/>
                <w:w w:val="96"/>
              </w:rPr>
              <w:t>Director</w:t>
            </w:r>
          </w:p>
        </w:tc>
        <w:tc>
          <w:tcPr>
            <w:tcW w:w="1740" w:type="dxa"/>
            <w:vAlign w:val="bottom"/>
          </w:tcPr>
          <w:p>
            <w:pPr>
              <w:ind w:left="880"/>
              <w:spacing w:after="0"/>
              <w:rPr>
                <w:sz w:val="20"/>
                <w:szCs w:val="20"/>
                <w:color w:val="auto"/>
              </w:rPr>
            </w:pPr>
            <w:r>
              <w:rPr>
                <w:rFonts w:ascii="Arial" w:cs="Arial" w:eastAsia="Arial" w:hAnsi="Arial"/>
                <w:sz w:val="13"/>
                <w:szCs w:val="13"/>
                <w:color w:val="auto"/>
                <w:w w:val="90"/>
              </w:rPr>
              <w:t>October 6, 2006</w:t>
            </w:r>
          </w:p>
        </w:tc>
      </w:tr>
      <w:tr>
        <w:trPr>
          <w:trHeight w:val="155"/>
        </w:trPr>
        <w:tc>
          <w:tcPr>
            <w:tcW w:w="4120" w:type="dxa"/>
            <w:vAlign w:val="bottom"/>
          </w:tcPr>
          <w:p>
            <w:pPr>
              <w:jc w:val="center"/>
              <w:spacing w:after="0"/>
              <w:rPr>
                <w:sz w:val="20"/>
                <w:szCs w:val="20"/>
                <w:color w:val="auto"/>
              </w:rPr>
            </w:pPr>
            <w:r>
              <w:rPr>
                <w:rFonts w:ascii="Arial" w:cs="Arial" w:eastAsia="Arial" w:hAnsi="Arial"/>
                <w:sz w:val="13"/>
                <w:szCs w:val="13"/>
                <w:color w:val="auto"/>
                <w:w w:val="90"/>
              </w:rPr>
              <w:t>G. E. Nei</w:t>
            </w:r>
          </w:p>
        </w:tc>
        <w:tc>
          <w:tcPr>
            <w:tcW w:w="386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306"/>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M. K. B</w:t>
            </w:r>
            <w:r>
              <w:rPr>
                <w:rFonts w:ascii="Arial" w:cs="Arial" w:eastAsia="Arial" w:hAnsi="Arial"/>
                <w:sz w:val="8"/>
                <w:szCs w:val="8"/>
                <w:color w:val="auto"/>
              </w:rPr>
              <w:t>USH</w:t>
            </w:r>
          </w:p>
        </w:tc>
        <w:tc>
          <w:tcPr>
            <w:tcW w:w="3860" w:type="dxa"/>
            <w:vAlign w:val="bottom"/>
          </w:tcPr>
          <w:p>
            <w:pPr>
              <w:jc w:val="center"/>
              <w:ind w:left="554"/>
              <w:spacing w:after="0"/>
              <w:rPr>
                <w:sz w:val="20"/>
                <w:szCs w:val="20"/>
                <w:color w:val="auto"/>
              </w:rPr>
            </w:pPr>
            <w:r>
              <w:rPr>
                <w:rFonts w:ascii="Arial" w:cs="Arial" w:eastAsia="Arial" w:hAnsi="Arial"/>
                <w:sz w:val="13"/>
                <w:szCs w:val="13"/>
                <w:color w:val="auto"/>
                <w:w w:val="96"/>
              </w:rPr>
              <w:t>Director</w:t>
            </w:r>
          </w:p>
        </w:tc>
        <w:tc>
          <w:tcPr>
            <w:tcW w:w="1740" w:type="dxa"/>
            <w:vAlign w:val="bottom"/>
          </w:tcPr>
          <w:p>
            <w:pPr>
              <w:ind w:left="880"/>
              <w:spacing w:after="0"/>
              <w:rPr>
                <w:sz w:val="20"/>
                <w:szCs w:val="20"/>
                <w:color w:val="auto"/>
              </w:rPr>
            </w:pPr>
            <w:r>
              <w:rPr>
                <w:rFonts w:ascii="Arial" w:cs="Arial" w:eastAsia="Arial" w:hAnsi="Arial"/>
                <w:sz w:val="13"/>
                <w:szCs w:val="13"/>
                <w:color w:val="auto"/>
                <w:w w:val="90"/>
              </w:rPr>
              <w:t>October 6, 2006</w:t>
            </w:r>
          </w:p>
        </w:tc>
      </w:tr>
      <w:tr>
        <w:trPr>
          <w:trHeight w:val="155"/>
        </w:trPr>
        <w:tc>
          <w:tcPr>
            <w:tcW w:w="4120" w:type="dxa"/>
            <w:vAlign w:val="bottom"/>
          </w:tcPr>
          <w:p>
            <w:pPr>
              <w:jc w:val="center"/>
              <w:spacing w:after="0"/>
              <w:rPr>
                <w:sz w:val="20"/>
                <w:szCs w:val="20"/>
                <w:color w:val="auto"/>
              </w:rPr>
            </w:pPr>
            <w:r>
              <w:rPr>
                <w:rFonts w:ascii="Arial" w:cs="Arial" w:eastAsia="Arial" w:hAnsi="Arial"/>
                <w:sz w:val="13"/>
                <w:szCs w:val="13"/>
                <w:color w:val="auto"/>
                <w:w w:val="94"/>
              </w:rPr>
              <w:t>M. K. Bush</w:t>
            </w:r>
          </w:p>
        </w:tc>
        <w:tc>
          <w:tcPr>
            <w:tcW w:w="386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306"/>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/s/ F. R. J</w:t>
            </w:r>
            <w:r>
              <w:rPr>
                <w:rFonts w:ascii="Arial" w:cs="Arial" w:eastAsia="Arial" w:hAnsi="Arial"/>
                <w:sz w:val="8"/>
                <w:szCs w:val="8"/>
                <w:color w:val="auto"/>
                <w:w w:val="96"/>
              </w:rPr>
              <w:t>ARC</w:t>
            </w:r>
          </w:p>
        </w:tc>
        <w:tc>
          <w:tcPr>
            <w:tcW w:w="3860" w:type="dxa"/>
            <w:vAlign w:val="bottom"/>
          </w:tcPr>
          <w:p>
            <w:pPr>
              <w:jc w:val="center"/>
              <w:ind w:left="554"/>
              <w:spacing w:after="0"/>
              <w:rPr>
                <w:sz w:val="20"/>
                <w:szCs w:val="20"/>
                <w:color w:val="auto"/>
              </w:rPr>
            </w:pPr>
            <w:r>
              <w:rPr>
                <w:rFonts w:ascii="Arial" w:cs="Arial" w:eastAsia="Arial" w:hAnsi="Arial"/>
                <w:sz w:val="13"/>
                <w:szCs w:val="13"/>
                <w:color w:val="auto"/>
                <w:w w:val="96"/>
              </w:rPr>
              <w:t>Director</w:t>
            </w:r>
          </w:p>
        </w:tc>
        <w:tc>
          <w:tcPr>
            <w:tcW w:w="1740" w:type="dxa"/>
            <w:vAlign w:val="bottom"/>
          </w:tcPr>
          <w:p>
            <w:pPr>
              <w:ind w:left="880"/>
              <w:spacing w:after="0"/>
              <w:rPr>
                <w:sz w:val="20"/>
                <w:szCs w:val="20"/>
                <w:color w:val="auto"/>
              </w:rPr>
            </w:pPr>
            <w:r>
              <w:rPr>
                <w:rFonts w:ascii="Arial" w:cs="Arial" w:eastAsia="Arial" w:hAnsi="Arial"/>
                <w:sz w:val="13"/>
                <w:szCs w:val="13"/>
                <w:color w:val="auto"/>
                <w:w w:val="90"/>
              </w:rPr>
              <w:t>October 6, 2006</w:t>
            </w:r>
          </w:p>
        </w:tc>
      </w:tr>
      <w:tr>
        <w:trPr>
          <w:trHeight w:val="155"/>
        </w:trPr>
        <w:tc>
          <w:tcPr>
            <w:tcW w:w="4120" w:type="dxa"/>
            <w:vAlign w:val="bottom"/>
          </w:tcPr>
          <w:p>
            <w:pPr>
              <w:jc w:val="center"/>
              <w:spacing w:after="0"/>
              <w:rPr>
                <w:sz w:val="20"/>
                <w:szCs w:val="20"/>
                <w:color w:val="auto"/>
              </w:rPr>
            </w:pPr>
            <w:r>
              <w:rPr>
                <w:rFonts w:ascii="Arial" w:cs="Arial" w:eastAsia="Arial" w:hAnsi="Arial"/>
                <w:sz w:val="13"/>
                <w:szCs w:val="13"/>
                <w:color w:val="auto"/>
                <w:w w:val="85"/>
              </w:rPr>
              <w:t>F. R. Jarc</w:t>
            </w:r>
          </w:p>
        </w:tc>
        <w:tc>
          <w:tcPr>
            <w:tcW w:w="386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306"/>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9"/>
              </w:rPr>
              <w:t>/s/ E. P. P</w:t>
            </w:r>
            <w:r>
              <w:rPr>
                <w:rFonts w:ascii="Arial" w:cs="Arial" w:eastAsia="Arial" w:hAnsi="Arial"/>
                <w:sz w:val="8"/>
                <w:szCs w:val="8"/>
                <w:color w:val="auto"/>
                <w:w w:val="99"/>
              </w:rPr>
              <w:t>UNGELLO</w:t>
            </w:r>
          </w:p>
        </w:tc>
        <w:tc>
          <w:tcPr>
            <w:tcW w:w="3860" w:type="dxa"/>
            <w:vAlign w:val="bottom"/>
          </w:tcPr>
          <w:p>
            <w:pPr>
              <w:jc w:val="center"/>
              <w:ind w:left="554"/>
              <w:spacing w:after="0"/>
              <w:rPr>
                <w:sz w:val="20"/>
                <w:szCs w:val="20"/>
                <w:color w:val="auto"/>
              </w:rPr>
            </w:pPr>
            <w:r>
              <w:rPr>
                <w:rFonts w:ascii="Arial" w:cs="Arial" w:eastAsia="Arial" w:hAnsi="Arial"/>
                <w:sz w:val="13"/>
                <w:szCs w:val="13"/>
                <w:color w:val="auto"/>
                <w:w w:val="96"/>
              </w:rPr>
              <w:t>Director</w:t>
            </w:r>
          </w:p>
        </w:tc>
        <w:tc>
          <w:tcPr>
            <w:tcW w:w="1740" w:type="dxa"/>
            <w:vAlign w:val="bottom"/>
          </w:tcPr>
          <w:p>
            <w:pPr>
              <w:ind w:left="880"/>
              <w:spacing w:after="0"/>
              <w:rPr>
                <w:sz w:val="20"/>
                <w:szCs w:val="20"/>
                <w:color w:val="auto"/>
              </w:rPr>
            </w:pPr>
            <w:r>
              <w:rPr>
                <w:rFonts w:ascii="Arial" w:cs="Arial" w:eastAsia="Arial" w:hAnsi="Arial"/>
                <w:sz w:val="13"/>
                <w:szCs w:val="13"/>
                <w:color w:val="auto"/>
                <w:w w:val="90"/>
              </w:rPr>
              <w:t>October 6, 2006</w:t>
            </w:r>
          </w:p>
        </w:tc>
      </w:tr>
      <w:tr>
        <w:trPr>
          <w:trHeight w:val="155"/>
        </w:trPr>
        <w:tc>
          <w:tcPr>
            <w:tcW w:w="4120" w:type="dxa"/>
            <w:vAlign w:val="bottom"/>
          </w:tcPr>
          <w:p>
            <w:pPr>
              <w:jc w:val="center"/>
              <w:spacing w:after="0"/>
              <w:rPr>
                <w:sz w:val="20"/>
                <w:szCs w:val="20"/>
                <w:color w:val="auto"/>
              </w:rPr>
            </w:pPr>
            <w:r>
              <w:rPr>
                <w:rFonts w:ascii="Arial" w:cs="Arial" w:eastAsia="Arial" w:hAnsi="Arial"/>
                <w:sz w:val="13"/>
                <w:szCs w:val="13"/>
                <w:color w:val="auto"/>
                <w:w w:val="89"/>
              </w:rPr>
              <w:t>E. P. Pungello</w:t>
            </w:r>
          </w:p>
        </w:tc>
        <w:tc>
          <w:tcPr>
            <w:tcW w:w="386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434"/>
        </w:trPr>
        <w:tc>
          <w:tcPr>
            <w:tcW w:w="41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Arial" w:cs="Arial" w:eastAsia="Arial" w:hAnsi="Arial"/>
                <w:sz w:val="13"/>
                <w:szCs w:val="13"/>
                <w:color w:val="auto"/>
              </w:rPr>
              <w:t>IV-5</w:t>
            </w:r>
          </w:p>
        </w:tc>
        <w:tc>
          <w:tcPr>
            <w:tcW w:w="1740" w:type="dxa"/>
            <w:vAlign w:val="bottom"/>
          </w:tcPr>
          <w:p>
            <w:pPr>
              <w:spacing w:after="0"/>
              <w:rPr>
                <w:sz w:val="24"/>
                <w:szCs w:val="24"/>
                <w:color w:val="auto"/>
              </w:rPr>
            </w:pPr>
          </w:p>
        </w:tc>
      </w:tr>
    </w:tbl>
    <w:p>
      <w:pPr>
        <w:sectPr>
          <w:pgSz w:w="11900" w:h="16838" w:orient="portrait"/>
          <w:cols w:equalWidth="0" w:num="1">
            <w:col w:w="10580"/>
          </w:cols>
          <w:pgMar w:left="220" w:top="343" w:right="1099" w:bottom="1440" w:gutter="0" w:footer="0" w:header="0"/>
        </w:sectPr>
      </w:pPr>
    </w:p>
    <w:bookmarkStart w:id="85" w:name="page86"/>
    <w:bookmarkEnd w:id="85"/>
    <w:p>
      <w:pPr>
        <w:jc w:val="right"/>
        <w:spacing w:after="0"/>
        <w:rPr>
          <w:sz w:val="20"/>
          <w:szCs w:val="20"/>
          <w:color w:val="auto"/>
        </w:rPr>
      </w:pPr>
      <w:r>
        <w:rPr>
          <w:rFonts w:ascii="Arial" w:cs="Arial" w:eastAsia="Arial" w:hAnsi="Arial"/>
          <w:sz w:val="13"/>
          <w:szCs w:val="13"/>
          <w:b w:val="1"/>
          <w:bCs w:val="1"/>
          <w:color w:val="auto"/>
        </w:rPr>
        <w:t>EXHIBIT 10.14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-774700</wp:posOffset>
            </wp:positionH>
            <wp:positionV relativeFrom="paragraph">
              <wp:posOffset>119380</wp:posOffset>
            </wp:positionV>
            <wp:extent cx="7284085"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4085" cy="6350"/>
                    </a:xfrm>
                    <a:prstGeom prst="rect">
                      <a:avLst/>
                    </a:prstGeom>
                    <a:noFill/>
                  </pic:spPr>
                </pic:pic>
              </a:graphicData>
            </a:graphic>
          </wp:anchor>
        </w:drawing>
        <w:drawing>
          <wp:anchor simplePos="0" relativeHeight="251657728" behindDoc="1" locked="0" layoutInCell="0" allowOverlap="1">
            <wp:simplePos x="0" y="0"/>
            <wp:positionH relativeFrom="column">
              <wp:posOffset>-774700</wp:posOffset>
            </wp:positionH>
            <wp:positionV relativeFrom="paragraph">
              <wp:posOffset>131445</wp:posOffset>
            </wp:positionV>
            <wp:extent cx="7284085"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jc w:val="center"/>
        <w:ind w:right="1200"/>
        <w:spacing w:after="0"/>
        <w:rPr>
          <w:sz w:val="20"/>
          <w:szCs w:val="20"/>
          <w:color w:val="auto"/>
        </w:rPr>
      </w:pPr>
      <w:r>
        <w:rPr>
          <w:rFonts w:ascii="Arial" w:cs="Arial" w:eastAsia="Arial" w:hAnsi="Arial"/>
          <w:sz w:val="13"/>
          <w:szCs w:val="13"/>
          <w:color w:val="auto"/>
        </w:rPr>
        <w:t>AMENDED AND RESTATED</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3"/>
          <w:szCs w:val="13"/>
          <w:color w:val="auto"/>
        </w:rPr>
        <w:t>CREDIT AGREEMENT</w:t>
      </w:r>
    </w:p>
    <w:p>
      <w:pPr>
        <w:spacing w:after="0" w:line="79" w:lineRule="exact"/>
        <w:rPr>
          <w:sz w:val="20"/>
          <w:szCs w:val="20"/>
          <w:color w:val="auto"/>
        </w:rPr>
      </w:pPr>
    </w:p>
    <w:p>
      <w:pPr>
        <w:ind w:left="3780"/>
        <w:spacing w:after="0"/>
        <w:rPr>
          <w:sz w:val="20"/>
          <w:szCs w:val="20"/>
          <w:color w:val="auto"/>
        </w:rPr>
      </w:pPr>
      <w:r>
        <w:rPr>
          <w:rFonts w:ascii="Arial" w:cs="Arial" w:eastAsia="Arial" w:hAnsi="Arial"/>
          <w:sz w:val="13"/>
          <w:szCs w:val="13"/>
          <w:color w:val="auto"/>
        </w:rPr>
        <w:t>Dated as of October 5, 2006</w:t>
      </w:r>
    </w:p>
    <w:p>
      <w:pPr>
        <w:spacing w:after="0" w:line="86"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among</w:t>
      </w:r>
    </w:p>
    <w:p>
      <w:pPr>
        <w:spacing w:after="0" w:line="86" w:lineRule="exact"/>
        <w:rPr>
          <w:sz w:val="20"/>
          <w:szCs w:val="20"/>
          <w:color w:val="auto"/>
        </w:rPr>
      </w:pPr>
    </w:p>
    <w:p>
      <w:pPr>
        <w:ind w:left="3800"/>
        <w:spacing w:after="0"/>
        <w:rPr>
          <w:sz w:val="20"/>
          <w:szCs w:val="20"/>
          <w:color w:val="auto"/>
        </w:rPr>
      </w:pPr>
      <w:r>
        <w:rPr>
          <w:rFonts w:ascii="Arial" w:cs="Arial" w:eastAsia="Arial" w:hAnsi="Arial"/>
          <w:sz w:val="13"/>
          <w:szCs w:val="13"/>
          <w:color w:val="auto"/>
        </w:rPr>
        <w:t>BRADY CORPORATION,</w:t>
      </w:r>
    </w:p>
    <w:p>
      <w:pPr>
        <w:spacing w:after="0" w:line="15"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BRADY WORLDWIDE, INC.</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3"/>
          <w:szCs w:val="13"/>
          <w:color w:val="auto"/>
        </w:rPr>
        <w:t>and</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3"/>
          <w:szCs w:val="13"/>
          <w:color w:val="auto"/>
        </w:rPr>
        <w:t>TRICOR DIRECT, INC.,</w:t>
      </w:r>
    </w:p>
    <w:p>
      <w:pPr>
        <w:spacing w:after="0" w:line="79" w:lineRule="exact"/>
        <w:rPr>
          <w:sz w:val="20"/>
          <w:szCs w:val="20"/>
          <w:color w:val="auto"/>
        </w:rPr>
      </w:pPr>
    </w:p>
    <w:p>
      <w:pPr>
        <w:ind w:left="4160"/>
        <w:spacing w:after="0"/>
        <w:rPr>
          <w:sz w:val="20"/>
          <w:szCs w:val="20"/>
          <w:color w:val="auto"/>
        </w:rPr>
      </w:pPr>
      <w:r>
        <w:rPr>
          <w:rFonts w:ascii="Arial" w:cs="Arial" w:eastAsia="Arial" w:hAnsi="Arial"/>
          <w:sz w:val="13"/>
          <w:szCs w:val="13"/>
          <w:color w:val="auto"/>
        </w:rPr>
        <w:t>as Borrowers,</w:t>
      </w:r>
    </w:p>
    <w:p>
      <w:pPr>
        <w:spacing w:after="0" w:line="86" w:lineRule="exact"/>
        <w:rPr>
          <w:sz w:val="20"/>
          <w:szCs w:val="20"/>
          <w:color w:val="auto"/>
        </w:rPr>
      </w:pPr>
    </w:p>
    <w:p>
      <w:pPr>
        <w:ind w:left="2460"/>
        <w:spacing w:after="0"/>
        <w:rPr>
          <w:sz w:val="20"/>
          <w:szCs w:val="20"/>
          <w:color w:val="auto"/>
        </w:rPr>
      </w:pPr>
      <w:r>
        <w:rPr>
          <w:rFonts w:ascii="Arial" w:cs="Arial" w:eastAsia="Arial" w:hAnsi="Arial"/>
          <w:sz w:val="13"/>
          <w:szCs w:val="13"/>
          <w:color w:val="auto"/>
        </w:rPr>
        <w:t>CERTAIN SUBSIDIARIES OF THE BORROWERS IDENTIFIED HEREIN,</w:t>
      </w:r>
    </w:p>
    <w:p>
      <w:pPr>
        <w:spacing w:after="0" w:line="15"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as the Guarantors,</w:t>
      </w:r>
    </w:p>
    <w:p>
      <w:pPr>
        <w:spacing w:after="0" w:line="79" w:lineRule="exact"/>
        <w:rPr>
          <w:sz w:val="20"/>
          <w:szCs w:val="20"/>
          <w:color w:val="auto"/>
        </w:rPr>
      </w:pPr>
    </w:p>
    <w:p>
      <w:pPr>
        <w:ind w:left="3740"/>
        <w:spacing w:after="0"/>
        <w:rPr>
          <w:sz w:val="20"/>
          <w:szCs w:val="20"/>
          <w:color w:val="auto"/>
        </w:rPr>
      </w:pPr>
      <w:r>
        <w:rPr>
          <w:rFonts w:ascii="Arial" w:cs="Arial" w:eastAsia="Arial" w:hAnsi="Arial"/>
          <w:sz w:val="13"/>
          <w:szCs w:val="13"/>
          <w:color w:val="auto"/>
        </w:rPr>
        <w:t>BANK OF AMERICA, N.A.,</w:t>
      </w:r>
    </w:p>
    <w:p>
      <w:pPr>
        <w:spacing w:after="0" w:line="15" w:lineRule="exact"/>
        <w:rPr>
          <w:sz w:val="20"/>
          <w:szCs w:val="20"/>
          <w:color w:val="auto"/>
        </w:rPr>
      </w:pPr>
    </w:p>
    <w:p>
      <w:pPr>
        <w:ind w:left="2920"/>
        <w:spacing w:after="0"/>
        <w:rPr>
          <w:sz w:val="20"/>
          <w:szCs w:val="20"/>
          <w:color w:val="auto"/>
        </w:rPr>
      </w:pPr>
      <w:r>
        <w:rPr>
          <w:rFonts w:ascii="Arial" w:cs="Arial" w:eastAsia="Arial" w:hAnsi="Arial"/>
          <w:sz w:val="13"/>
          <w:szCs w:val="13"/>
          <w:color w:val="auto"/>
        </w:rPr>
        <w:t>as Administrative Agent, Swing Line Lender and L/C Issuer,</w:t>
      </w:r>
    </w:p>
    <w:p>
      <w:pPr>
        <w:spacing w:after="0" w:line="79" w:lineRule="exact"/>
        <w:rPr>
          <w:sz w:val="20"/>
          <w:szCs w:val="20"/>
          <w:color w:val="auto"/>
        </w:rPr>
      </w:pPr>
    </w:p>
    <w:p>
      <w:pPr>
        <w:ind w:left="3340"/>
        <w:spacing w:after="0"/>
        <w:rPr>
          <w:sz w:val="20"/>
          <w:szCs w:val="20"/>
          <w:color w:val="auto"/>
        </w:rPr>
      </w:pPr>
      <w:r>
        <w:rPr>
          <w:rFonts w:ascii="Arial" w:cs="Arial" w:eastAsia="Arial" w:hAnsi="Arial"/>
          <w:sz w:val="13"/>
          <w:szCs w:val="13"/>
          <w:color w:val="auto"/>
        </w:rPr>
        <w:t>THE OTHER LENDERS PARTY HERETO</w:t>
      </w:r>
    </w:p>
    <w:p>
      <w:pPr>
        <w:spacing w:after="0" w:line="86"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and</w:t>
      </w:r>
    </w:p>
    <w:p>
      <w:pPr>
        <w:spacing w:after="0" w:line="86" w:lineRule="exact"/>
        <w:rPr>
          <w:sz w:val="20"/>
          <w:szCs w:val="20"/>
          <w:color w:val="auto"/>
        </w:rPr>
      </w:pPr>
    </w:p>
    <w:p>
      <w:pPr>
        <w:ind w:left="4000"/>
        <w:spacing w:after="0"/>
        <w:rPr>
          <w:sz w:val="20"/>
          <w:szCs w:val="20"/>
          <w:color w:val="auto"/>
        </w:rPr>
      </w:pPr>
      <w:r>
        <w:rPr>
          <w:rFonts w:ascii="Arial" w:cs="Arial" w:eastAsia="Arial" w:hAnsi="Arial"/>
          <w:sz w:val="13"/>
          <w:szCs w:val="13"/>
          <w:color w:val="auto"/>
        </w:rPr>
        <w:t>PNC BANK, N.A.,</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3"/>
          <w:szCs w:val="13"/>
          <w:color w:val="auto"/>
        </w:rPr>
        <w:t>M&amp;I MARSHALL &amp; ILSLEY BANK, WELLS FARGO BANK, N.A.</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3"/>
          <w:szCs w:val="13"/>
          <w:color w:val="auto"/>
        </w:rPr>
        <w:t>and HARRIS N.A.,</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3"/>
          <w:szCs w:val="13"/>
          <w:color w:val="auto"/>
        </w:rPr>
        <w:t>as Co-Agents</w:t>
      </w:r>
    </w:p>
    <w:p>
      <w:pPr>
        <w:spacing w:after="0" w:line="79" w:lineRule="exact"/>
        <w:rPr>
          <w:sz w:val="20"/>
          <w:szCs w:val="20"/>
          <w:color w:val="auto"/>
        </w:rPr>
      </w:pPr>
    </w:p>
    <w:p>
      <w:pPr>
        <w:jc w:val="center"/>
        <w:ind w:right="1200"/>
        <w:spacing w:after="0"/>
        <w:rPr>
          <w:sz w:val="20"/>
          <w:szCs w:val="20"/>
          <w:color w:val="auto"/>
        </w:rPr>
      </w:pPr>
      <w:r>
        <w:rPr>
          <w:rFonts w:ascii="Arial" w:cs="Arial" w:eastAsia="Arial" w:hAnsi="Arial"/>
          <w:sz w:val="13"/>
          <w:szCs w:val="13"/>
          <w:color w:val="auto"/>
        </w:rPr>
        <w:t>Arranged By:</w:t>
      </w:r>
    </w:p>
    <w:p>
      <w:pPr>
        <w:spacing w:after="0" w:line="86" w:lineRule="exact"/>
        <w:rPr>
          <w:sz w:val="20"/>
          <w:szCs w:val="20"/>
          <w:color w:val="auto"/>
        </w:rPr>
      </w:pPr>
    </w:p>
    <w:p>
      <w:pPr>
        <w:ind w:left="3360"/>
        <w:spacing w:after="0"/>
        <w:rPr>
          <w:sz w:val="20"/>
          <w:szCs w:val="20"/>
          <w:color w:val="auto"/>
        </w:rPr>
      </w:pPr>
      <w:r>
        <w:rPr>
          <w:rFonts w:ascii="Arial" w:cs="Arial" w:eastAsia="Arial" w:hAnsi="Arial"/>
          <w:sz w:val="13"/>
          <w:szCs w:val="13"/>
          <w:color w:val="auto"/>
        </w:rPr>
        <w:t>BANC OF AMERICA SECURITIES LLC,</w:t>
      </w:r>
    </w:p>
    <w:p>
      <w:pPr>
        <w:spacing w:after="0" w:line="86" w:lineRule="exact"/>
        <w:rPr>
          <w:sz w:val="20"/>
          <w:szCs w:val="20"/>
          <w:color w:val="auto"/>
        </w:rPr>
      </w:pPr>
    </w:p>
    <w:p>
      <w:pPr>
        <w:ind w:left="3400"/>
        <w:spacing w:after="0"/>
        <w:rPr>
          <w:sz w:val="20"/>
          <w:szCs w:val="20"/>
          <w:color w:val="auto"/>
        </w:rPr>
      </w:pPr>
      <w:r>
        <w:rPr>
          <w:rFonts w:ascii="Arial" w:cs="Arial" w:eastAsia="Arial" w:hAnsi="Arial"/>
          <w:sz w:val="13"/>
          <w:szCs w:val="13"/>
          <w:color w:val="auto"/>
        </w:rPr>
        <w:t>as Sole Lead Arranger and Book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-774700</wp:posOffset>
            </wp:positionH>
            <wp:positionV relativeFrom="paragraph">
              <wp:posOffset>116840</wp:posOffset>
            </wp:positionV>
            <wp:extent cx="7284085"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4085" cy="6350"/>
                    </a:xfrm>
                    <a:prstGeom prst="rect">
                      <a:avLst/>
                    </a:prstGeom>
                    <a:noFill/>
                  </pic:spPr>
                </pic:pic>
              </a:graphicData>
            </a:graphic>
          </wp:anchor>
        </w:drawing>
        <w:drawing>
          <wp:anchor simplePos="0" relativeHeight="251657728" behindDoc="1" locked="0" layoutInCell="0" allowOverlap="1">
            <wp:simplePos x="0" y="0"/>
            <wp:positionH relativeFrom="column">
              <wp:posOffset>-774700</wp:posOffset>
            </wp:positionH>
            <wp:positionV relativeFrom="paragraph">
              <wp:posOffset>128905</wp:posOffset>
            </wp:positionV>
            <wp:extent cx="7284085"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4085" cy="6350"/>
                    </a:xfrm>
                    <a:prstGeom prst="rect">
                      <a:avLst/>
                    </a:prstGeom>
                    <a:noFill/>
                  </pic:spPr>
                </pic:pic>
              </a:graphicData>
            </a:graphic>
          </wp:anchor>
        </w:drawing>
        <w:drawing>
          <wp:anchor simplePos="0" relativeHeight="251657728" behindDoc="1" locked="0" layoutInCell="0" allowOverlap="1">
            <wp:simplePos x="0" y="0"/>
            <wp:positionH relativeFrom="column">
              <wp:posOffset>-777875</wp:posOffset>
            </wp:positionH>
            <wp:positionV relativeFrom="paragraph">
              <wp:posOffset>419100</wp:posOffset>
            </wp:positionV>
            <wp:extent cx="7290435" cy="19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40"/>
          </w:cols>
          <w:pgMar w:left="1440" w:top="716" w:right="21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65"/>
        </w:trPr>
        <w:tc>
          <w:tcPr>
            <w:tcW w:w="10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6420" w:type="dxa"/>
            <w:vAlign w:val="bottom"/>
          </w:tcPr>
          <w:p>
            <w:pPr>
              <w:jc w:val="right"/>
              <w:ind w:right="4754"/>
              <w:spacing w:after="0"/>
              <w:rPr>
                <w:sz w:val="20"/>
                <w:szCs w:val="20"/>
                <w:color w:val="auto"/>
              </w:rPr>
            </w:pPr>
            <w:r>
              <w:rPr>
                <w:rFonts w:ascii="Arial" w:cs="Arial" w:eastAsia="Arial" w:hAnsi="Arial"/>
                <w:sz w:val="13"/>
                <w:szCs w:val="13"/>
                <w:color w:val="auto"/>
              </w:rPr>
              <w:t>TABLE OF CONTENTS</w:t>
            </w:r>
          </w:p>
        </w:tc>
      </w:tr>
      <w:tr>
        <w:trPr>
          <w:trHeight w:val="307"/>
        </w:trPr>
        <w:tc>
          <w:tcPr>
            <w:tcW w:w="4800" w:type="dxa"/>
            <w:vAlign w:val="bottom"/>
            <w:gridSpan w:val="2"/>
          </w:tcPr>
          <w:p>
            <w:pPr>
              <w:spacing w:after="0"/>
              <w:rPr>
                <w:sz w:val="20"/>
                <w:szCs w:val="20"/>
                <w:color w:val="auto"/>
              </w:rPr>
            </w:pPr>
            <w:r>
              <w:rPr>
                <w:rFonts w:ascii="Arial" w:cs="Arial" w:eastAsia="Arial" w:hAnsi="Arial"/>
                <w:sz w:val="13"/>
                <w:szCs w:val="13"/>
                <w:color w:val="auto"/>
              </w:rPr>
              <w:t>ARTICLE I DEFINITIONS AND ACCOUNTING TERMS</w:t>
            </w:r>
          </w:p>
        </w:tc>
        <w:tc>
          <w:tcPr>
            <w:tcW w:w="642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1.01</w:t>
            </w:r>
          </w:p>
        </w:tc>
        <w:tc>
          <w:tcPr>
            <w:tcW w:w="3720" w:type="dxa"/>
            <w:vAlign w:val="bottom"/>
          </w:tcPr>
          <w:p>
            <w:pPr>
              <w:ind w:left="20"/>
              <w:spacing w:after="0"/>
              <w:rPr>
                <w:sz w:val="20"/>
                <w:szCs w:val="20"/>
                <w:color w:val="auto"/>
              </w:rPr>
            </w:pPr>
            <w:r>
              <w:rPr>
                <w:rFonts w:ascii="Arial" w:cs="Arial" w:eastAsia="Arial" w:hAnsi="Arial"/>
                <w:sz w:val="13"/>
                <w:szCs w:val="13"/>
                <w:color w:val="auto"/>
              </w:rPr>
              <w:t>Defined Terms</w:t>
            </w:r>
          </w:p>
        </w:tc>
        <w:tc>
          <w:tcPr>
            <w:tcW w:w="642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1.02</w:t>
            </w:r>
          </w:p>
        </w:tc>
        <w:tc>
          <w:tcPr>
            <w:tcW w:w="3720" w:type="dxa"/>
            <w:vAlign w:val="bottom"/>
          </w:tcPr>
          <w:p>
            <w:pPr>
              <w:ind w:left="20"/>
              <w:spacing w:after="0"/>
              <w:rPr>
                <w:sz w:val="20"/>
                <w:szCs w:val="20"/>
                <w:color w:val="auto"/>
              </w:rPr>
            </w:pPr>
            <w:r>
              <w:rPr>
                <w:rFonts w:ascii="Arial" w:cs="Arial" w:eastAsia="Arial" w:hAnsi="Arial"/>
                <w:sz w:val="13"/>
                <w:szCs w:val="13"/>
                <w:color w:val="auto"/>
              </w:rPr>
              <w:t>Other Interpretive Provisions</w:t>
            </w:r>
          </w:p>
        </w:tc>
        <w:tc>
          <w:tcPr>
            <w:tcW w:w="6420" w:type="dxa"/>
            <w:vAlign w:val="bottom"/>
          </w:tcPr>
          <w:p>
            <w:pPr>
              <w:jc w:val="right"/>
              <w:spacing w:after="0"/>
              <w:rPr>
                <w:sz w:val="20"/>
                <w:szCs w:val="20"/>
                <w:color w:val="auto"/>
              </w:rPr>
            </w:pPr>
            <w:r>
              <w:rPr>
                <w:rFonts w:ascii="Arial" w:cs="Arial" w:eastAsia="Arial" w:hAnsi="Arial"/>
                <w:sz w:val="13"/>
                <w:szCs w:val="13"/>
                <w:color w:val="auto"/>
              </w:rPr>
              <w:t>21</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1.03</w:t>
            </w:r>
          </w:p>
        </w:tc>
        <w:tc>
          <w:tcPr>
            <w:tcW w:w="3720" w:type="dxa"/>
            <w:vAlign w:val="bottom"/>
          </w:tcPr>
          <w:p>
            <w:pPr>
              <w:ind w:left="20"/>
              <w:spacing w:after="0"/>
              <w:rPr>
                <w:sz w:val="20"/>
                <w:szCs w:val="20"/>
                <w:color w:val="auto"/>
              </w:rPr>
            </w:pPr>
            <w:r>
              <w:rPr>
                <w:rFonts w:ascii="Arial" w:cs="Arial" w:eastAsia="Arial" w:hAnsi="Arial"/>
                <w:sz w:val="13"/>
                <w:szCs w:val="13"/>
                <w:color w:val="auto"/>
              </w:rPr>
              <w:t>Accounting Terms</w:t>
            </w:r>
          </w:p>
        </w:tc>
        <w:tc>
          <w:tcPr>
            <w:tcW w:w="6420" w:type="dxa"/>
            <w:vAlign w:val="bottom"/>
          </w:tcPr>
          <w:p>
            <w:pPr>
              <w:jc w:val="right"/>
              <w:spacing w:after="0"/>
              <w:rPr>
                <w:sz w:val="20"/>
                <w:szCs w:val="20"/>
                <w:color w:val="auto"/>
              </w:rPr>
            </w:pPr>
            <w:r>
              <w:rPr>
                <w:rFonts w:ascii="Arial" w:cs="Arial" w:eastAsia="Arial" w:hAnsi="Arial"/>
                <w:sz w:val="13"/>
                <w:szCs w:val="13"/>
                <w:color w:val="auto"/>
              </w:rPr>
              <w:t>22</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1.04</w:t>
            </w:r>
          </w:p>
        </w:tc>
        <w:tc>
          <w:tcPr>
            <w:tcW w:w="3720" w:type="dxa"/>
            <w:vAlign w:val="bottom"/>
          </w:tcPr>
          <w:p>
            <w:pPr>
              <w:ind w:left="20"/>
              <w:spacing w:after="0"/>
              <w:rPr>
                <w:sz w:val="20"/>
                <w:szCs w:val="20"/>
                <w:color w:val="auto"/>
              </w:rPr>
            </w:pPr>
            <w:r>
              <w:rPr>
                <w:rFonts w:ascii="Arial" w:cs="Arial" w:eastAsia="Arial" w:hAnsi="Arial"/>
                <w:sz w:val="13"/>
                <w:szCs w:val="13"/>
                <w:color w:val="auto"/>
              </w:rPr>
              <w:t>Rounding</w:t>
            </w:r>
          </w:p>
        </w:tc>
        <w:tc>
          <w:tcPr>
            <w:tcW w:w="6420" w:type="dxa"/>
            <w:vAlign w:val="bottom"/>
          </w:tcPr>
          <w:p>
            <w:pPr>
              <w:jc w:val="right"/>
              <w:spacing w:after="0"/>
              <w:rPr>
                <w:sz w:val="20"/>
                <w:szCs w:val="20"/>
                <w:color w:val="auto"/>
              </w:rPr>
            </w:pPr>
            <w:r>
              <w:rPr>
                <w:rFonts w:ascii="Arial" w:cs="Arial" w:eastAsia="Arial" w:hAnsi="Arial"/>
                <w:sz w:val="13"/>
                <w:szCs w:val="13"/>
                <w:color w:val="auto"/>
              </w:rPr>
              <w:t>23</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1.05</w:t>
            </w:r>
          </w:p>
        </w:tc>
        <w:tc>
          <w:tcPr>
            <w:tcW w:w="3720" w:type="dxa"/>
            <w:vAlign w:val="bottom"/>
          </w:tcPr>
          <w:p>
            <w:pPr>
              <w:ind w:left="20"/>
              <w:spacing w:after="0"/>
              <w:rPr>
                <w:sz w:val="20"/>
                <w:szCs w:val="20"/>
                <w:color w:val="auto"/>
              </w:rPr>
            </w:pPr>
            <w:r>
              <w:rPr>
                <w:rFonts w:ascii="Arial" w:cs="Arial" w:eastAsia="Arial" w:hAnsi="Arial"/>
                <w:sz w:val="13"/>
                <w:szCs w:val="13"/>
                <w:color w:val="auto"/>
              </w:rPr>
              <w:t>References to Agreements and Laws</w:t>
            </w:r>
          </w:p>
        </w:tc>
        <w:tc>
          <w:tcPr>
            <w:tcW w:w="6420" w:type="dxa"/>
            <w:vAlign w:val="bottom"/>
          </w:tcPr>
          <w:p>
            <w:pPr>
              <w:jc w:val="right"/>
              <w:spacing w:after="0"/>
              <w:rPr>
                <w:sz w:val="20"/>
                <w:szCs w:val="20"/>
                <w:color w:val="auto"/>
              </w:rPr>
            </w:pPr>
            <w:r>
              <w:rPr>
                <w:rFonts w:ascii="Arial" w:cs="Arial" w:eastAsia="Arial" w:hAnsi="Arial"/>
                <w:sz w:val="13"/>
                <w:szCs w:val="13"/>
                <w:color w:val="auto"/>
              </w:rPr>
              <w:t>23</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1.06</w:t>
            </w:r>
          </w:p>
        </w:tc>
        <w:tc>
          <w:tcPr>
            <w:tcW w:w="3720" w:type="dxa"/>
            <w:vAlign w:val="bottom"/>
          </w:tcPr>
          <w:p>
            <w:pPr>
              <w:ind w:left="20"/>
              <w:spacing w:after="0"/>
              <w:rPr>
                <w:sz w:val="20"/>
                <w:szCs w:val="20"/>
                <w:color w:val="auto"/>
              </w:rPr>
            </w:pPr>
            <w:r>
              <w:rPr>
                <w:rFonts w:ascii="Arial" w:cs="Arial" w:eastAsia="Arial" w:hAnsi="Arial"/>
                <w:sz w:val="13"/>
                <w:szCs w:val="13"/>
                <w:color w:val="auto"/>
              </w:rPr>
              <w:t>Exchange Rates; Currency Equivalents</w:t>
            </w:r>
          </w:p>
        </w:tc>
        <w:tc>
          <w:tcPr>
            <w:tcW w:w="6420" w:type="dxa"/>
            <w:vAlign w:val="bottom"/>
          </w:tcPr>
          <w:p>
            <w:pPr>
              <w:jc w:val="right"/>
              <w:spacing w:after="0"/>
              <w:rPr>
                <w:sz w:val="20"/>
                <w:szCs w:val="20"/>
                <w:color w:val="auto"/>
              </w:rPr>
            </w:pPr>
            <w:r>
              <w:rPr>
                <w:rFonts w:ascii="Arial" w:cs="Arial" w:eastAsia="Arial" w:hAnsi="Arial"/>
                <w:sz w:val="13"/>
                <w:szCs w:val="13"/>
                <w:color w:val="auto"/>
              </w:rPr>
              <w:t>23</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1.07</w:t>
            </w:r>
          </w:p>
        </w:tc>
        <w:tc>
          <w:tcPr>
            <w:tcW w:w="3720" w:type="dxa"/>
            <w:vAlign w:val="bottom"/>
          </w:tcPr>
          <w:p>
            <w:pPr>
              <w:ind w:left="20"/>
              <w:spacing w:after="0"/>
              <w:rPr>
                <w:sz w:val="20"/>
                <w:szCs w:val="20"/>
                <w:color w:val="auto"/>
              </w:rPr>
            </w:pPr>
            <w:r>
              <w:rPr>
                <w:rFonts w:ascii="Arial" w:cs="Arial" w:eastAsia="Arial" w:hAnsi="Arial"/>
                <w:sz w:val="13"/>
                <w:szCs w:val="13"/>
                <w:color w:val="auto"/>
              </w:rPr>
              <w:t>Additional Alternative Currencies</w:t>
            </w:r>
          </w:p>
        </w:tc>
        <w:tc>
          <w:tcPr>
            <w:tcW w:w="6420" w:type="dxa"/>
            <w:vAlign w:val="bottom"/>
          </w:tcPr>
          <w:p>
            <w:pPr>
              <w:jc w:val="right"/>
              <w:spacing w:after="0"/>
              <w:rPr>
                <w:sz w:val="20"/>
                <w:szCs w:val="20"/>
                <w:color w:val="auto"/>
              </w:rPr>
            </w:pPr>
            <w:r>
              <w:rPr>
                <w:rFonts w:ascii="Arial" w:cs="Arial" w:eastAsia="Arial" w:hAnsi="Arial"/>
                <w:sz w:val="13"/>
                <w:szCs w:val="13"/>
                <w:color w:val="auto"/>
              </w:rPr>
              <w:t>23</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1.08</w:t>
            </w:r>
          </w:p>
        </w:tc>
        <w:tc>
          <w:tcPr>
            <w:tcW w:w="3720" w:type="dxa"/>
            <w:vAlign w:val="bottom"/>
          </w:tcPr>
          <w:p>
            <w:pPr>
              <w:ind w:left="20"/>
              <w:spacing w:after="0"/>
              <w:rPr>
                <w:sz w:val="20"/>
                <w:szCs w:val="20"/>
                <w:color w:val="auto"/>
              </w:rPr>
            </w:pPr>
            <w:r>
              <w:rPr>
                <w:rFonts w:ascii="Arial" w:cs="Arial" w:eastAsia="Arial" w:hAnsi="Arial"/>
                <w:sz w:val="13"/>
                <w:szCs w:val="13"/>
                <w:color w:val="auto"/>
              </w:rPr>
              <w:t>Change of Currency</w:t>
            </w:r>
          </w:p>
        </w:tc>
        <w:tc>
          <w:tcPr>
            <w:tcW w:w="6420" w:type="dxa"/>
            <w:vAlign w:val="bottom"/>
          </w:tcPr>
          <w:p>
            <w:pPr>
              <w:jc w:val="right"/>
              <w:spacing w:after="0"/>
              <w:rPr>
                <w:sz w:val="20"/>
                <w:szCs w:val="20"/>
                <w:color w:val="auto"/>
              </w:rPr>
            </w:pPr>
            <w:r>
              <w:rPr>
                <w:rFonts w:ascii="Arial" w:cs="Arial" w:eastAsia="Arial" w:hAnsi="Arial"/>
                <w:sz w:val="13"/>
                <w:szCs w:val="13"/>
                <w:color w:val="auto"/>
              </w:rPr>
              <w:t>24</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1.09</w:t>
            </w:r>
          </w:p>
        </w:tc>
        <w:tc>
          <w:tcPr>
            <w:tcW w:w="3720" w:type="dxa"/>
            <w:vAlign w:val="bottom"/>
          </w:tcPr>
          <w:p>
            <w:pPr>
              <w:ind w:left="20"/>
              <w:spacing w:after="0"/>
              <w:rPr>
                <w:sz w:val="20"/>
                <w:szCs w:val="20"/>
                <w:color w:val="auto"/>
              </w:rPr>
            </w:pPr>
            <w:r>
              <w:rPr>
                <w:rFonts w:ascii="Arial" w:cs="Arial" w:eastAsia="Arial" w:hAnsi="Arial"/>
                <w:sz w:val="13"/>
                <w:szCs w:val="13"/>
                <w:color w:val="auto"/>
              </w:rPr>
              <w:t>Times of Day</w:t>
            </w:r>
          </w:p>
        </w:tc>
        <w:tc>
          <w:tcPr>
            <w:tcW w:w="6420" w:type="dxa"/>
            <w:vAlign w:val="bottom"/>
          </w:tcPr>
          <w:p>
            <w:pPr>
              <w:jc w:val="right"/>
              <w:spacing w:after="0"/>
              <w:rPr>
                <w:sz w:val="20"/>
                <w:szCs w:val="20"/>
                <w:color w:val="auto"/>
              </w:rPr>
            </w:pPr>
            <w:r>
              <w:rPr>
                <w:rFonts w:ascii="Arial" w:cs="Arial" w:eastAsia="Arial" w:hAnsi="Arial"/>
                <w:sz w:val="13"/>
                <w:szCs w:val="13"/>
                <w:color w:val="auto"/>
              </w:rPr>
              <w:t>24</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1.10</w:t>
            </w:r>
          </w:p>
        </w:tc>
        <w:tc>
          <w:tcPr>
            <w:tcW w:w="3720" w:type="dxa"/>
            <w:vAlign w:val="bottom"/>
          </w:tcPr>
          <w:p>
            <w:pPr>
              <w:ind w:left="20"/>
              <w:spacing w:after="0"/>
              <w:rPr>
                <w:sz w:val="20"/>
                <w:szCs w:val="20"/>
                <w:color w:val="auto"/>
              </w:rPr>
            </w:pPr>
            <w:r>
              <w:rPr>
                <w:rFonts w:ascii="Arial" w:cs="Arial" w:eastAsia="Arial" w:hAnsi="Arial"/>
                <w:sz w:val="13"/>
                <w:szCs w:val="13"/>
                <w:color w:val="auto"/>
              </w:rPr>
              <w:t>Letter of Credit Amounts</w:t>
            </w:r>
          </w:p>
        </w:tc>
        <w:tc>
          <w:tcPr>
            <w:tcW w:w="6420" w:type="dxa"/>
            <w:vAlign w:val="bottom"/>
          </w:tcPr>
          <w:p>
            <w:pPr>
              <w:jc w:val="right"/>
              <w:spacing w:after="0"/>
              <w:rPr>
                <w:sz w:val="20"/>
                <w:szCs w:val="20"/>
                <w:color w:val="auto"/>
              </w:rPr>
            </w:pPr>
            <w:r>
              <w:rPr>
                <w:rFonts w:ascii="Arial" w:cs="Arial" w:eastAsia="Arial" w:hAnsi="Arial"/>
                <w:sz w:val="13"/>
                <w:szCs w:val="13"/>
                <w:color w:val="auto"/>
              </w:rPr>
              <w:t>25</w:t>
            </w:r>
          </w:p>
        </w:tc>
      </w:tr>
      <w:tr>
        <w:trPr>
          <w:trHeight w:val="157"/>
        </w:trPr>
        <w:tc>
          <w:tcPr>
            <w:tcW w:w="4800" w:type="dxa"/>
            <w:vAlign w:val="bottom"/>
            <w:gridSpan w:val="2"/>
          </w:tcPr>
          <w:p>
            <w:pPr>
              <w:spacing w:after="0"/>
              <w:rPr>
                <w:sz w:val="20"/>
                <w:szCs w:val="20"/>
                <w:color w:val="auto"/>
              </w:rPr>
            </w:pPr>
            <w:r>
              <w:rPr>
                <w:rFonts w:ascii="Arial" w:cs="Arial" w:eastAsia="Arial" w:hAnsi="Arial"/>
                <w:sz w:val="13"/>
                <w:szCs w:val="13"/>
                <w:color w:val="auto"/>
              </w:rPr>
              <w:t>ARTICLE II THE COMMITMENTS AND CREDIT EXTENSIONS</w:t>
            </w:r>
          </w:p>
        </w:tc>
        <w:tc>
          <w:tcPr>
            <w:tcW w:w="6420" w:type="dxa"/>
            <w:vAlign w:val="bottom"/>
          </w:tcPr>
          <w:p>
            <w:pPr>
              <w:jc w:val="right"/>
              <w:spacing w:after="0"/>
              <w:rPr>
                <w:sz w:val="20"/>
                <w:szCs w:val="20"/>
                <w:color w:val="auto"/>
              </w:rPr>
            </w:pPr>
            <w:r>
              <w:rPr>
                <w:rFonts w:ascii="Arial" w:cs="Arial" w:eastAsia="Arial" w:hAnsi="Arial"/>
                <w:sz w:val="13"/>
                <w:szCs w:val="13"/>
                <w:color w:val="auto"/>
              </w:rPr>
              <w:t>25</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2.01</w:t>
            </w:r>
          </w:p>
        </w:tc>
        <w:tc>
          <w:tcPr>
            <w:tcW w:w="3720" w:type="dxa"/>
            <w:vAlign w:val="bottom"/>
          </w:tcPr>
          <w:p>
            <w:pPr>
              <w:ind w:left="20"/>
              <w:spacing w:after="0"/>
              <w:rPr>
                <w:sz w:val="20"/>
                <w:szCs w:val="20"/>
                <w:color w:val="auto"/>
              </w:rPr>
            </w:pPr>
            <w:r>
              <w:rPr>
                <w:rFonts w:ascii="Arial" w:cs="Arial" w:eastAsia="Arial" w:hAnsi="Arial"/>
                <w:sz w:val="13"/>
                <w:szCs w:val="13"/>
                <w:color w:val="auto"/>
              </w:rPr>
              <w:t>Revolving Loans</w:t>
            </w:r>
          </w:p>
        </w:tc>
        <w:tc>
          <w:tcPr>
            <w:tcW w:w="6420" w:type="dxa"/>
            <w:vAlign w:val="bottom"/>
          </w:tcPr>
          <w:p>
            <w:pPr>
              <w:jc w:val="right"/>
              <w:spacing w:after="0"/>
              <w:rPr>
                <w:sz w:val="20"/>
                <w:szCs w:val="20"/>
                <w:color w:val="auto"/>
              </w:rPr>
            </w:pPr>
            <w:r>
              <w:rPr>
                <w:rFonts w:ascii="Arial" w:cs="Arial" w:eastAsia="Arial" w:hAnsi="Arial"/>
                <w:sz w:val="13"/>
                <w:szCs w:val="13"/>
                <w:color w:val="auto"/>
              </w:rPr>
              <w:t>25</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2.02</w:t>
            </w:r>
          </w:p>
        </w:tc>
        <w:tc>
          <w:tcPr>
            <w:tcW w:w="3720" w:type="dxa"/>
            <w:vAlign w:val="bottom"/>
          </w:tcPr>
          <w:p>
            <w:pPr>
              <w:ind w:left="20"/>
              <w:spacing w:after="0"/>
              <w:rPr>
                <w:sz w:val="20"/>
                <w:szCs w:val="20"/>
                <w:color w:val="auto"/>
              </w:rPr>
            </w:pPr>
            <w:r>
              <w:rPr>
                <w:rFonts w:ascii="Arial" w:cs="Arial" w:eastAsia="Arial" w:hAnsi="Arial"/>
                <w:sz w:val="13"/>
                <w:szCs w:val="13"/>
                <w:color w:val="auto"/>
              </w:rPr>
              <w:t>Borrowings, Conversions and Continuations of Loans</w:t>
            </w:r>
          </w:p>
        </w:tc>
        <w:tc>
          <w:tcPr>
            <w:tcW w:w="6420" w:type="dxa"/>
            <w:vAlign w:val="bottom"/>
          </w:tcPr>
          <w:p>
            <w:pPr>
              <w:jc w:val="right"/>
              <w:spacing w:after="0"/>
              <w:rPr>
                <w:sz w:val="20"/>
                <w:szCs w:val="20"/>
                <w:color w:val="auto"/>
              </w:rPr>
            </w:pPr>
            <w:r>
              <w:rPr>
                <w:rFonts w:ascii="Arial" w:cs="Arial" w:eastAsia="Arial" w:hAnsi="Arial"/>
                <w:sz w:val="13"/>
                <w:szCs w:val="13"/>
                <w:color w:val="auto"/>
              </w:rPr>
              <w:t>26</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2.03</w:t>
            </w:r>
          </w:p>
        </w:tc>
        <w:tc>
          <w:tcPr>
            <w:tcW w:w="3720" w:type="dxa"/>
            <w:vAlign w:val="bottom"/>
          </w:tcPr>
          <w:p>
            <w:pPr>
              <w:ind w:left="20"/>
              <w:spacing w:after="0"/>
              <w:rPr>
                <w:sz w:val="20"/>
                <w:szCs w:val="20"/>
                <w:color w:val="auto"/>
              </w:rPr>
            </w:pPr>
            <w:r>
              <w:rPr>
                <w:rFonts w:ascii="Arial" w:cs="Arial" w:eastAsia="Arial" w:hAnsi="Arial"/>
                <w:sz w:val="13"/>
                <w:szCs w:val="13"/>
                <w:color w:val="auto"/>
              </w:rPr>
              <w:t>Letters of Credit</w:t>
            </w:r>
          </w:p>
        </w:tc>
        <w:tc>
          <w:tcPr>
            <w:tcW w:w="6420" w:type="dxa"/>
            <w:vAlign w:val="bottom"/>
          </w:tcPr>
          <w:p>
            <w:pPr>
              <w:jc w:val="right"/>
              <w:spacing w:after="0"/>
              <w:rPr>
                <w:sz w:val="20"/>
                <w:szCs w:val="20"/>
                <w:color w:val="auto"/>
              </w:rPr>
            </w:pPr>
            <w:r>
              <w:rPr>
                <w:rFonts w:ascii="Arial" w:cs="Arial" w:eastAsia="Arial" w:hAnsi="Arial"/>
                <w:sz w:val="13"/>
                <w:szCs w:val="13"/>
                <w:color w:val="auto"/>
              </w:rPr>
              <w:t>27</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2.04</w:t>
            </w:r>
          </w:p>
        </w:tc>
        <w:tc>
          <w:tcPr>
            <w:tcW w:w="3720" w:type="dxa"/>
            <w:vAlign w:val="bottom"/>
          </w:tcPr>
          <w:p>
            <w:pPr>
              <w:ind w:left="20"/>
              <w:spacing w:after="0"/>
              <w:rPr>
                <w:sz w:val="20"/>
                <w:szCs w:val="20"/>
                <w:color w:val="auto"/>
              </w:rPr>
            </w:pPr>
            <w:r>
              <w:rPr>
                <w:rFonts w:ascii="Arial" w:cs="Arial" w:eastAsia="Arial" w:hAnsi="Arial"/>
                <w:sz w:val="13"/>
                <w:szCs w:val="13"/>
                <w:color w:val="auto"/>
              </w:rPr>
              <w:t>Swing Line Loans</w:t>
            </w:r>
          </w:p>
        </w:tc>
        <w:tc>
          <w:tcPr>
            <w:tcW w:w="6420" w:type="dxa"/>
            <w:vAlign w:val="bottom"/>
          </w:tcPr>
          <w:p>
            <w:pPr>
              <w:jc w:val="right"/>
              <w:spacing w:after="0"/>
              <w:rPr>
                <w:sz w:val="20"/>
                <w:szCs w:val="20"/>
                <w:color w:val="auto"/>
              </w:rPr>
            </w:pPr>
            <w:r>
              <w:rPr>
                <w:rFonts w:ascii="Arial" w:cs="Arial" w:eastAsia="Arial" w:hAnsi="Arial"/>
                <w:sz w:val="13"/>
                <w:szCs w:val="13"/>
                <w:color w:val="auto"/>
              </w:rPr>
              <w:t>35</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2.05</w:t>
            </w:r>
          </w:p>
        </w:tc>
        <w:tc>
          <w:tcPr>
            <w:tcW w:w="3720" w:type="dxa"/>
            <w:vAlign w:val="bottom"/>
          </w:tcPr>
          <w:p>
            <w:pPr>
              <w:ind w:left="20"/>
              <w:spacing w:after="0"/>
              <w:rPr>
                <w:sz w:val="20"/>
                <w:szCs w:val="20"/>
                <w:color w:val="auto"/>
              </w:rPr>
            </w:pPr>
            <w:r>
              <w:rPr>
                <w:rFonts w:ascii="Arial" w:cs="Arial" w:eastAsia="Arial" w:hAnsi="Arial"/>
                <w:sz w:val="13"/>
                <w:szCs w:val="13"/>
                <w:color w:val="auto"/>
              </w:rPr>
              <w:t>Prepayments</w:t>
            </w:r>
          </w:p>
        </w:tc>
        <w:tc>
          <w:tcPr>
            <w:tcW w:w="6420" w:type="dxa"/>
            <w:vAlign w:val="bottom"/>
          </w:tcPr>
          <w:p>
            <w:pPr>
              <w:jc w:val="right"/>
              <w:spacing w:after="0"/>
              <w:rPr>
                <w:sz w:val="20"/>
                <w:szCs w:val="20"/>
                <w:color w:val="auto"/>
              </w:rPr>
            </w:pPr>
            <w:r>
              <w:rPr>
                <w:rFonts w:ascii="Arial" w:cs="Arial" w:eastAsia="Arial" w:hAnsi="Arial"/>
                <w:sz w:val="13"/>
                <w:szCs w:val="13"/>
                <w:color w:val="auto"/>
              </w:rPr>
              <w:t>38</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2.06</w:t>
            </w:r>
          </w:p>
        </w:tc>
        <w:tc>
          <w:tcPr>
            <w:tcW w:w="3720" w:type="dxa"/>
            <w:vAlign w:val="bottom"/>
          </w:tcPr>
          <w:p>
            <w:pPr>
              <w:ind w:left="20"/>
              <w:spacing w:after="0"/>
              <w:rPr>
                <w:sz w:val="20"/>
                <w:szCs w:val="20"/>
                <w:color w:val="auto"/>
              </w:rPr>
            </w:pPr>
            <w:r>
              <w:rPr>
                <w:rFonts w:ascii="Arial" w:cs="Arial" w:eastAsia="Arial" w:hAnsi="Arial"/>
                <w:sz w:val="13"/>
                <w:szCs w:val="13"/>
                <w:color w:val="auto"/>
                <w:w w:val="99"/>
              </w:rPr>
              <w:t>Termination or Reduction of Aggregate Revolving Commitments</w:t>
            </w:r>
          </w:p>
        </w:tc>
        <w:tc>
          <w:tcPr>
            <w:tcW w:w="6420" w:type="dxa"/>
            <w:vAlign w:val="bottom"/>
          </w:tcPr>
          <w:p>
            <w:pPr>
              <w:jc w:val="right"/>
              <w:spacing w:after="0"/>
              <w:rPr>
                <w:sz w:val="20"/>
                <w:szCs w:val="20"/>
                <w:color w:val="auto"/>
              </w:rPr>
            </w:pPr>
            <w:r>
              <w:rPr>
                <w:rFonts w:ascii="Arial" w:cs="Arial" w:eastAsia="Arial" w:hAnsi="Arial"/>
                <w:sz w:val="13"/>
                <w:szCs w:val="13"/>
                <w:color w:val="auto"/>
              </w:rPr>
              <w:t>39</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2.07</w:t>
            </w:r>
          </w:p>
        </w:tc>
        <w:tc>
          <w:tcPr>
            <w:tcW w:w="3720" w:type="dxa"/>
            <w:vAlign w:val="bottom"/>
          </w:tcPr>
          <w:p>
            <w:pPr>
              <w:ind w:left="20"/>
              <w:spacing w:after="0"/>
              <w:rPr>
                <w:sz w:val="20"/>
                <w:szCs w:val="20"/>
                <w:color w:val="auto"/>
              </w:rPr>
            </w:pPr>
            <w:r>
              <w:rPr>
                <w:rFonts w:ascii="Arial" w:cs="Arial" w:eastAsia="Arial" w:hAnsi="Arial"/>
                <w:sz w:val="13"/>
                <w:szCs w:val="13"/>
                <w:color w:val="auto"/>
              </w:rPr>
              <w:t>Repayment of Loans</w:t>
            </w:r>
          </w:p>
        </w:tc>
        <w:tc>
          <w:tcPr>
            <w:tcW w:w="6420" w:type="dxa"/>
            <w:vAlign w:val="bottom"/>
          </w:tcPr>
          <w:p>
            <w:pPr>
              <w:jc w:val="right"/>
              <w:spacing w:after="0"/>
              <w:rPr>
                <w:sz w:val="20"/>
                <w:szCs w:val="20"/>
                <w:color w:val="auto"/>
              </w:rPr>
            </w:pPr>
            <w:r>
              <w:rPr>
                <w:rFonts w:ascii="Arial" w:cs="Arial" w:eastAsia="Arial" w:hAnsi="Arial"/>
                <w:sz w:val="13"/>
                <w:szCs w:val="13"/>
                <w:color w:val="auto"/>
              </w:rPr>
              <w:t>40</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2.08</w:t>
            </w:r>
          </w:p>
        </w:tc>
        <w:tc>
          <w:tcPr>
            <w:tcW w:w="3720" w:type="dxa"/>
            <w:vAlign w:val="bottom"/>
          </w:tcPr>
          <w:p>
            <w:pPr>
              <w:ind w:left="20"/>
              <w:spacing w:after="0"/>
              <w:rPr>
                <w:sz w:val="20"/>
                <w:szCs w:val="20"/>
                <w:color w:val="auto"/>
              </w:rPr>
            </w:pPr>
            <w:r>
              <w:rPr>
                <w:rFonts w:ascii="Arial" w:cs="Arial" w:eastAsia="Arial" w:hAnsi="Arial"/>
                <w:sz w:val="13"/>
                <w:szCs w:val="13"/>
                <w:color w:val="auto"/>
              </w:rPr>
              <w:t>Interest</w:t>
            </w:r>
          </w:p>
        </w:tc>
        <w:tc>
          <w:tcPr>
            <w:tcW w:w="6420" w:type="dxa"/>
            <w:vAlign w:val="bottom"/>
          </w:tcPr>
          <w:p>
            <w:pPr>
              <w:jc w:val="right"/>
              <w:spacing w:after="0"/>
              <w:rPr>
                <w:sz w:val="20"/>
                <w:szCs w:val="20"/>
                <w:color w:val="auto"/>
              </w:rPr>
            </w:pPr>
            <w:r>
              <w:rPr>
                <w:rFonts w:ascii="Arial" w:cs="Arial" w:eastAsia="Arial" w:hAnsi="Arial"/>
                <w:sz w:val="13"/>
                <w:szCs w:val="13"/>
                <w:color w:val="auto"/>
              </w:rPr>
              <w:t>40</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2.09</w:t>
            </w:r>
          </w:p>
        </w:tc>
        <w:tc>
          <w:tcPr>
            <w:tcW w:w="3720" w:type="dxa"/>
            <w:vAlign w:val="bottom"/>
          </w:tcPr>
          <w:p>
            <w:pPr>
              <w:ind w:left="20"/>
              <w:spacing w:after="0"/>
              <w:rPr>
                <w:sz w:val="20"/>
                <w:szCs w:val="20"/>
                <w:color w:val="auto"/>
              </w:rPr>
            </w:pPr>
            <w:r>
              <w:rPr>
                <w:rFonts w:ascii="Arial" w:cs="Arial" w:eastAsia="Arial" w:hAnsi="Arial"/>
                <w:sz w:val="13"/>
                <w:szCs w:val="13"/>
                <w:color w:val="auto"/>
              </w:rPr>
              <w:t>Fees</w:t>
            </w:r>
          </w:p>
        </w:tc>
        <w:tc>
          <w:tcPr>
            <w:tcW w:w="6420" w:type="dxa"/>
            <w:vAlign w:val="bottom"/>
          </w:tcPr>
          <w:p>
            <w:pPr>
              <w:jc w:val="right"/>
              <w:spacing w:after="0"/>
              <w:rPr>
                <w:sz w:val="20"/>
                <w:szCs w:val="20"/>
                <w:color w:val="auto"/>
              </w:rPr>
            </w:pPr>
            <w:r>
              <w:rPr>
                <w:rFonts w:ascii="Arial" w:cs="Arial" w:eastAsia="Arial" w:hAnsi="Arial"/>
                <w:sz w:val="13"/>
                <w:szCs w:val="13"/>
                <w:color w:val="auto"/>
              </w:rPr>
              <w:t>41</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2.10</w:t>
            </w:r>
          </w:p>
        </w:tc>
        <w:tc>
          <w:tcPr>
            <w:tcW w:w="3720" w:type="dxa"/>
            <w:vAlign w:val="bottom"/>
          </w:tcPr>
          <w:p>
            <w:pPr>
              <w:ind w:left="20"/>
              <w:spacing w:after="0"/>
              <w:rPr>
                <w:sz w:val="20"/>
                <w:szCs w:val="20"/>
                <w:color w:val="auto"/>
              </w:rPr>
            </w:pPr>
            <w:r>
              <w:rPr>
                <w:rFonts w:ascii="Arial" w:cs="Arial" w:eastAsia="Arial" w:hAnsi="Arial"/>
                <w:sz w:val="13"/>
                <w:szCs w:val="13"/>
                <w:color w:val="auto"/>
              </w:rPr>
              <w:t>Computation of Interest and Fees</w:t>
            </w:r>
          </w:p>
        </w:tc>
        <w:tc>
          <w:tcPr>
            <w:tcW w:w="6420" w:type="dxa"/>
            <w:vAlign w:val="bottom"/>
          </w:tcPr>
          <w:p>
            <w:pPr>
              <w:jc w:val="right"/>
              <w:spacing w:after="0"/>
              <w:rPr>
                <w:sz w:val="20"/>
                <w:szCs w:val="20"/>
                <w:color w:val="auto"/>
              </w:rPr>
            </w:pPr>
            <w:r>
              <w:rPr>
                <w:rFonts w:ascii="Arial" w:cs="Arial" w:eastAsia="Arial" w:hAnsi="Arial"/>
                <w:sz w:val="13"/>
                <w:szCs w:val="13"/>
                <w:color w:val="auto"/>
              </w:rPr>
              <w:t>41</w:t>
            </w:r>
          </w:p>
        </w:tc>
      </w:tr>
      <w:tr>
        <w:trPr>
          <w:trHeight w:val="157"/>
        </w:trPr>
        <w:tc>
          <w:tcPr>
            <w:tcW w:w="4800" w:type="dxa"/>
            <w:vAlign w:val="bottom"/>
            <w:gridSpan w:val="2"/>
          </w:tcPr>
          <w:p>
            <w:pPr>
              <w:ind w:left="840"/>
              <w:spacing w:after="0"/>
              <w:rPr>
                <w:sz w:val="20"/>
                <w:szCs w:val="20"/>
                <w:color w:val="auto"/>
              </w:rPr>
            </w:pPr>
            <w:r>
              <w:rPr>
                <w:rFonts w:ascii="Arial" w:cs="Arial" w:eastAsia="Arial" w:hAnsi="Arial"/>
                <w:sz w:val="13"/>
                <w:szCs w:val="13"/>
                <w:color w:val="auto"/>
              </w:rPr>
              <w:t>2.11 Evidence of Debt</w:t>
            </w:r>
          </w:p>
        </w:tc>
        <w:tc>
          <w:tcPr>
            <w:tcW w:w="6420" w:type="dxa"/>
            <w:vAlign w:val="bottom"/>
          </w:tcPr>
          <w:p>
            <w:pPr>
              <w:jc w:val="right"/>
              <w:spacing w:after="0"/>
              <w:rPr>
                <w:sz w:val="20"/>
                <w:szCs w:val="20"/>
                <w:color w:val="auto"/>
              </w:rPr>
            </w:pPr>
            <w:r>
              <w:rPr>
                <w:rFonts w:ascii="Arial" w:cs="Arial" w:eastAsia="Arial" w:hAnsi="Arial"/>
                <w:sz w:val="13"/>
                <w:szCs w:val="13"/>
                <w:color w:val="auto"/>
              </w:rPr>
              <w:t>42</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2.12</w:t>
            </w:r>
          </w:p>
        </w:tc>
        <w:tc>
          <w:tcPr>
            <w:tcW w:w="3720" w:type="dxa"/>
            <w:vAlign w:val="bottom"/>
          </w:tcPr>
          <w:p>
            <w:pPr>
              <w:ind w:left="20"/>
              <w:spacing w:after="0"/>
              <w:rPr>
                <w:sz w:val="20"/>
                <w:szCs w:val="20"/>
                <w:color w:val="auto"/>
              </w:rPr>
            </w:pPr>
            <w:r>
              <w:rPr>
                <w:rFonts w:ascii="Arial" w:cs="Arial" w:eastAsia="Arial" w:hAnsi="Arial"/>
                <w:sz w:val="13"/>
                <w:szCs w:val="13"/>
                <w:color w:val="auto"/>
              </w:rPr>
              <w:t>Payments Generally</w:t>
            </w:r>
          </w:p>
        </w:tc>
        <w:tc>
          <w:tcPr>
            <w:tcW w:w="6420" w:type="dxa"/>
            <w:vAlign w:val="bottom"/>
          </w:tcPr>
          <w:p>
            <w:pPr>
              <w:jc w:val="right"/>
              <w:spacing w:after="0"/>
              <w:rPr>
                <w:sz w:val="20"/>
                <w:szCs w:val="20"/>
                <w:color w:val="auto"/>
              </w:rPr>
            </w:pPr>
            <w:r>
              <w:rPr>
                <w:rFonts w:ascii="Arial" w:cs="Arial" w:eastAsia="Arial" w:hAnsi="Arial"/>
                <w:sz w:val="13"/>
                <w:szCs w:val="13"/>
                <w:color w:val="auto"/>
              </w:rPr>
              <w:t>42</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2.13</w:t>
            </w:r>
          </w:p>
        </w:tc>
        <w:tc>
          <w:tcPr>
            <w:tcW w:w="3720" w:type="dxa"/>
            <w:vAlign w:val="bottom"/>
          </w:tcPr>
          <w:p>
            <w:pPr>
              <w:ind w:left="20"/>
              <w:spacing w:after="0"/>
              <w:rPr>
                <w:sz w:val="20"/>
                <w:szCs w:val="20"/>
                <w:color w:val="auto"/>
              </w:rPr>
            </w:pPr>
            <w:r>
              <w:rPr>
                <w:rFonts w:ascii="Arial" w:cs="Arial" w:eastAsia="Arial" w:hAnsi="Arial"/>
                <w:sz w:val="13"/>
                <w:szCs w:val="13"/>
                <w:color w:val="auto"/>
              </w:rPr>
              <w:t>Sharing of Payments</w:t>
            </w:r>
          </w:p>
        </w:tc>
        <w:tc>
          <w:tcPr>
            <w:tcW w:w="6420" w:type="dxa"/>
            <w:vAlign w:val="bottom"/>
          </w:tcPr>
          <w:p>
            <w:pPr>
              <w:jc w:val="right"/>
              <w:spacing w:after="0"/>
              <w:rPr>
                <w:sz w:val="20"/>
                <w:szCs w:val="20"/>
                <w:color w:val="auto"/>
              </w:rPr>
            </w:pPr>
            <w:r>
              <w:rPr>
                <w:rFonts w:ascii="Arial" w:cs="Arial" w:eastAsia="Arial" w:hAnsi="Arial"/>
                <w:sz w:val="13"/>
                <w:szCs w:val="13"/>
                <w:color w:val="auto"/>
              </w:rPr>
              <w:t>44</w:t>
            </w:r>
          </w:p>
        </w:tc>
      </w:tr>
      <w:tr>
        <w:trPr>
          <w:trHeight w:val="157"/>
        </w:trPr>
        <w:tc>
          <w:tcPr>
            <w:tcW w:w="4800" w:type="dxa"/>
            <w:vAlign w:val="bottom"/>
            <w:gridSpan w:val="2"/>
          </w:tcPr>
          <w:p>
            <w:pPr>
              <w:spacing w:after="0"/>
              <w:rPr>
                <w:sz w:val="20"/>
                <w:szCs w:val="20"/>
                <w:color w:val="auto"/>
              </w:rPr>
            </w:pPr>
            <w:r>
              <w:rPr>
                <w:rFonts w:ascii="Arial" w:cs="Arial" w:eastAsia="Arial" w:hAnsi="Arial"/>
                <w:sz w:val="13"/>
                <w:szCs w:val="13"/>
                <w:color w:val="auto"/>
              </w:rPr>
              <w:t>ARTICLE III TAXES, YIELD PROTECTION AND ILLEGALITY</w:t>
            </w:r>
          </w:p>
        </w:tc>
        <w:tc>
          <w:tcPr>
            <w:tcW w:w="6420" w:type="dxa"/>
            <w:vAlign w:val="bottom"/>
          </w:tcPr>
          <w:p>
            <w:pPr>
              <w:jc w:val="right"/>
              <w:spacing w:after="0"/>
              <w:rPr>
                <w:sz w:val="20"/>
                <w:szCs w:val="20"/>
                <w:color w:val="auto"/>
              </w:rPr>
            </w:pPr>
            <w:r>
              <w:rPr>
                <w:rFonts w:ascii="Arial" w:cs="Arial" w:eastAsia="Arial" w:hAnsi="Arial"/>
                <w:sz w:val="13"/>
                <w:szCs w:val="13"/>
                <w:color w:val="auto"/>
              </w:rPr>
              <w:t>44</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3.01</w:t>
            </w:r>
          </w:p>
        </w:tc>
        <w:tc>
          <w:tcPr>
            <w:tcW w:w="3720" w:type="dxa"/>
            <w:vAlign w:val="bottom"/>
          </w:tcPr>
          <w:p>
            <w:pPr>
              <w:ind w:left="20"/>
              <w:spacing w:after="0"/>
              <w:rPr>
                <w:sz w:val="20"/>
                <w:szCs w:val="20"/>
                <w:color w:val="auto"/>
              </w:rPr>
            </w:pPr>
            <w:r>
              <w:rPr>
                <w:rFonts w:ascii="Arial" w:cs="Arial" w:eastAsia="Arial" w:hAnsi="Arial"/>
                <w:sz w:val="13"/>
                <w:szCs w:val="13"/>
                <w:color w:val="auto"/>
              </w:rPr>
              <w:t>Taxes</w:t>
            </w:r>
          </w:p>
        </w:tc>
        <w:tc>
          <w:tcPr>
            <w:tcW w:w="6420" w:type="dxa"/>
            <w:vAlign w:val="bottom"/>
          </w:tcPr>
          <w:p>
            <w:pPr>
              <w:jc w:val="right"/>
              <w:spacing w:after="0"/>
              <w:rPr>
                <w:sz w:val="20"/>
                <w:szCs w:val="20"/>
                <w:color w:val="auto"/>
              </w:rPr>
            </w:pPr>
            <w:r>
              <w:rPr>
                <w:rFonts w:ascii="Arial" w:cs="Arial" w:eastAsia="Arial" w:hAnsi="Arial"/>
                <w:sz w:val="13"/>
                <w:szCs w:val="13"/>
                <w:color w:val="auto"/>
              </w:rPr>
              <w:t>44</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3.02</w:t>
            </w:r>
          </w:p>
        </w:tc>
        <w:tc>
          <w:tcPr>
            <w:tcW w:w="3720" w:type="dxa"/>
            <w:vAlign w:val="bottom"/>
          </w:tcPr>
          <w:p>
            <w:pPr>
              <w:ind w:left="20"/>
              <w:spacing w:after="0"/>
              <w:rPr>
                <w:sz w:val="20"/>
                <w:szCs w:val="20"/>
                <w:color w:val="auto"/>
              </w:rPr>
            </w:pPr>
            <w:r>
              <w:rPr>
                <w:rFonts w:ascii="Arial" w:cs="Arial" w:eastAsia="Arial" w:hAnsi="Arial"/>
                <w:sz w:val="13"/>
                <w:szCs w:val="13"/>
                <w:color w:val="auto"/>
              </w:rPr>
              <w:t>Illegality</w:t>
            </w:r>
          </w:p>
        </w:tc>
        <w:tc>
          <w:tcPr>
            <w:tcW w:w="6420" w:type="dxa"/>
            <w:vAlign w:val="bottom"/>
          </w:tcPr>
          <w:p>
            <w:pPr>
              <w:jc w:val="right"/>
              <w:spacing w:after="0"/>
              <w:rPr>
                <w:sz w:val="20"/>
                <w:szCs w:val="20"/>
                <w:color w:val="auto"/>
              </w:rPr>
            </w:pPr>
            <w:r>
              <w:rPr>
                <w:rFonts w:ascii="Arial" w:cs="Arial" w:eastAsia="Arial" w:hAnsi="Arial"/>
                <w:sz w:val="13"/>
                <w:szCs w:val="13"/>
                <w:color w:val="auto"/>
              </w:rPr>
              <w:t>45</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3.03</w:t>
            </w:r>
          </w:p>
        </w:tc>
        <w:tc>
          <w:tcPr>
            <w:tcW w:w="3720" w:type="dxa"/>
            <w:vAlign w:val="bottom"/>
          </w:tcPr>
          <w:p>
            <w:pPr>
              <w:ind w:left="20"/>
              <w:spacing w:after="0"/>
              <w:rPr>
                <w:sz w:val="20"/>
                <w:szCs w:val="20"/>
                <w:color w:val="auto"/>
              </w:rPr>
            </w:pPr>
            <w:r>
              <w:rPr>
                <w:rFonts w:ascii="Arial" w:cs="Arial" w:eastAsia="Arial" w:hAnsi="Arial"/>
                <w:sz w:val="13"/>
                <w:szCs w:val="13"/>
                <w:color w:val="auto"/>
              </w:rPr>
              <w:t>Inability to Determine Rates</w:t>
            </w:r>
          </w:p>
        </w:tc>
        <w:tc>
          <w:tcPr>
            <w:tcW w:w="6420" w:type="dxa"/>
            <w:vAlign w:val="bottom"/>
          </w:tcPr>
          <w:p>
            <w:pPr>
              <w:jc w:val="right"/>
              <w:spacing w:after="0"/>
              <w:rPr>
                <w:sz w:val="20"/>
                <w:szCs w:val="20"/>
                <w:color w:val="auto"/>
              </w:rPr>
            </w:pPr>
            <w:r>
              <w:rPr>
                <w:rFonts w:ascii="Arial" w:cs="Arial" w:eastAsia="Arial" w:hAnsi="Arial"/>
                <w:sz w:val="13"/>
                <w:szCs w:val="13"/>
                <w:color w:val="auto"/>
              </w:rPr>
              <w:t>46</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3.04</w:t>
            </w:r>
          </w:p>
        </w:tc>
        <w:tc>
          <w:tcPr>
            <w:tcW w:w="3720" w:type="dxa"/>
            <w:vAlign w:val="bottom"/>
          </w:tcPr>
          <w:p>
            <w:pPr>
              <w:ind w:left="20"/>
              <w:spacing w:after="0"/>
              <w:rPr>
                <w:sz w:val="20"/>
                <w:szCs w:val="20"/>
                <w:color w:val="auto"/>
              </w:rPr>
            </w:pPr>
            <w:r>
              <w:rPr>
                <w:rFonts w:ascii="Arial" w:cs="Arial" w:eastAsia="Arial" w:hAnsi="Arial"/>
                <w:sz w:val="13"/>
                <w:szCs w:val="13"/>
                <w:color w:val="auto"/>
              </w:rPr>
              <w:t>Increased Cost and Reduced Return; Capital Adequacy</w:t>
            </w:r>
          </w:p>
        </w:tc>
        <w:tc>
          <w:tcPr>
            <w:tcW w:w="6420" w:type="dxa"/>
            <w:vAlign w:val="bottom"/>
          </w:tcPr>
          <w:p>
            <w:pPr>
              <w:jc w:val="right"/>
              <w:spacing w:after="0"/>
              <w:rPr>
                <w:sz w:val="20"/>
                <w:szCs w:val="20"/>
                <w:color w:val="auto"/>
              </w:rPr>
            </w:pPr>
            <w:r>
              <w:rPr>
                <w:rFonts w:ascii="Arial" w:cs="Arial" w:eastAsia="Arial" w:hAnsi="Arial"/>
                <w:sz w:val="13"/>
                <w:szCs w:val="13"/>
                <w:color w:val="auto"/>
              </w:rPr>
              <w:t>46</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3.05</w:t>
            </w:r>
          </w:p>
        </w:tc>
        <w:tc>
          <w:tcPr>
            <w:tcW w:w="3720" w:type="dxa"/>
            <w:vAlign w:val="bottom"/>
          </w:tcPr>
          <w:p>
            <w:pPr>
              <w:ind w:left="20"/>
              <w:spacing w:after="0"/>
              <w:rPr>
                <w:sz w:val="20"/>
                <w:szCs w:val="20"/>
                <w:color w:val="auto"/>
              </w:rPr>
            </w:pPr>
            <w:r>
              <w:rPr>
                <w:rFonts w:ascii="Arial" w:cs="Arial" w:eastAsia="Arial" w:hAnsi="Arial"/>
                <w:sz w:val="13"/>
                <w:szCs w:val="13"/>
                <w:color w:val="auto"/>
              </w:rPr>
              <w:t>Compensation for Losses</w:t>
            </w:r>
          </w:p>
        </w:tc>
        <w:tc>
          <w:tcPr>
            <w:tcW w:w="6420" w:type="dxa"/>
            <w:vAlign w:val="bottom"/>
          </w:tcPr>
          <w:p>
            <w:pPr>
              <w:jc w:val="right"/>
              <w:spacing w:after="0"/>
              <w:rPr>
                <w:sz w:val="20"/>
                <w:szCs w:val="20"/>
                <w:color w:val="auto"/>
              </w:rPr>
            </w:pPr>
            <w:r>
              <w:rPr>
                <w:rFonts w:ascii="Arial" w:cs="Arial" w:eastAsia="Arial" w:hAnsi="Arial"/>
                <w:sz w:val="13"/>
                <w:szCs w:val="13"/>
                <w:color w:val="auto"/>
              </w:rPr>
              <w:t>47</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3.06</w:t>
            </w:r>
          </w:p>
        </w:tc>
        <w:tc>
          <w:tcPr>
            <w:tcW w:w="3720" w:type="dxa"/>
            <w:vAlign w:val="bottom"/>
          </w:tcPr>
          <w:p>
            <w:pPr>
              <w:ind w:left="20"/>
              <w:spacing w:after="0"/>
              <w:rPr>
                <w:sz w:val="20"/>
                <w:szCs w:val="20"/>
                <w:color w:val="auto"/>
              </w:rPr>
            </w:pPr>
            <w:r>
              <w:rPr>
                <w:rFonts w:ascii="Arial" w:cs="Arial" w:eastAsia="Arial" w:hAnsi="Arial"/>
                <w:sz w:val="13"/>
                <w:szCs w:val="13"/>
                <w:color w:val="auto"/>
              </w:rPr>
              <w:t>Matters Applicable to all Requests for Compensation</w:t>
            </w:r>
          </w:p>
        </w:tc>
        <w:tc>
          <w:tcPr>
            <w:tcW w:w="6420" w:type="dxa"/>
            <w:vAlign w:val="bottom"/>
          </w:tcPr>
          <w:p>
            <w:pPr>
              <w:jc w:val="right"/>
              <w:spacing w:after="0"/>
              <w:rPr>
                <w:sz w:val="20"/>
                <w:szCs w:val="20"/>
                <w:color w:val="auto"/>
              </w:rPr>
            </w:pPr>
            <w:r>
              <w:rPr>
                <w:rFonts w:ascii="Arial" w:cs="Arial" w:eastAsia="Arial" w:hAnsi="Arial"/>
                <w:sz w:val="13"/>
                <w:szCs w:val="13"/>
                <w:color w:val="auto"/>
              </w:rPr>
              <w:t>48</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3.07</w:t>
            </w:r>
          </w:p>
        </w:tc>
        <w:tc>
          <w:tcPr>
            <w:tcW w:w="3720" w:type="dxa"/>
            <w:vAlign w:val="bottom"/>
          </w:tcPr>
          <w:p>
            <w:pPr>
              <w:ind w:left="20"/>
              <w:spacing w:after="0"/>
              <w:rPr>
                <w:sz w:val="20"/>
                <w:szCs w:val="20"/>
                <w:color w:val="auto"/>
              </w:rPr>
            </w:pPr>
            <w:r>
              <w:rPr>
                <w:rFonts w:ascii="Arial" w:cs="Arial" w:eastAsia="Arial" w:hAnsi="Arial"/>
                <w:sz w:val="13"/>
                <w:szCs w:val="13"/>
                <w:color w:val="auto"/>
              </w:rPr>
              <w:t>Survival</w:t>
            </w:r>
          </w:p>
        </w:tc>
        <w:tc>
          <w:tcPr>
            <w:tcW w:w="6420" w:type="dxa"/>
            <w:vAlign w:val="bottom"/>
          </w:tcPr>
          <w:p>
            <w:pPr>
              <w:jc w:val="right"/>
              <w:spacing w:after="0"/>
              <w:rPr>
                <w:sz w:val="20"/>
                <w:szCs w:val="20"/>
                <w:color w:val="auto"/>
              </w:rPr>
            </w:pPr>
            <w:r>
              <w:rPr>
                <w:rFonts w:ascii="Arial" w:cs="Arial" w:eastAsia="Arial" w:hAnsi="Arial"/>
                <w:sz w:val="13"/>
                <w:szCs w:val="13"/>
                <w:color w:val="auto"/>
              </w:rPr>
              <w:t>48</w:t>
            </w:r>
          </w:p>
        </w:tc>
      </w:tr>
      <w:tr>
        <w:trPr>
          <w:trHeight w:val="157"/>
        </w:trPr>
        <w:tc>
          <w:tcPr>
            <w:tcW w:w="4800" w:type="dxa"/>
            <w:vAlign w:val="bottom"/>
            <w:gridSpan w:val="2"/>
          </w:tcPr>
          <w:p>
            <w:pPr>
              <w:spacing w:after="0"/>
              <w:rPr>
                <w:sz w:val="20"/>
                <w:szCs w:val="20"/>
                <w:color w:val="auto"/>
              </w:rPr>
            </w:pPr>
            <w:r>
              <w:rPr>
                <w:rFonts w:ascii="Arial" w:cs="Arial" w:eastAsia="Arial" w:hAnsi="Arial"/>
                <w:sz w:val="13"/>
                <w:szCs w:val="13"/>
                <w:color w:val="auto"/>
              </w:rPr>
              <w:t>ARTICLE IV GUARANTY</w:t>
            </w:r>
          </w:p>
        </w:tc>
        <w:tc>
          <w:tcPr>
            <w:tcW w:w="6420" w:type="dxa"/>
            <w:vAlign w:val="bottom"/>
          </w:tcPr>
          <w:p>
            <w:pPr>
              <w:jc w:val="right"/>
              <w:spacing w:after="0"/>
              <w:rPr>
                <w:sz w:val="20"/>
                <w:szCs w:val="20"/>
                <w:color w:val="auto"/>
              </w:rPr>
            </w:pPr>
            <w:r>
              <w:rPr>
                <w:rFonts w:ascii="Arial" w:cs="Arial" w:eastAsia="Arial" w:hAnsi="Arial"/>
                <w:sz w:val="13"/>
                <w:szCs w:val="13"/>
                <w:color w:val="auto"/>
              </w:rPr>
              <w:t>48</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4.01</w:t>
            </w:r>
          </w:p>
        </w:tc>
        <w:tc>
          <w:tcPr>
            <w:tcW w:w="3720" w:type="dxa"/>
            <w:vAlign w:val="bottom"/>
          </w:tcPr>
          <w:p>
            <w:pPr>
              <w:ind w:left="20"/>
              <w:spacing w:after="0"/>
              <w:rPr>
                <w:sz w:val="20"/>
                <w:szCs w:val="20"/>
                <w:color w:val="auto"/>
              </w:rPr>
            </w:pPr>
            <w:r>
              <w:rPr>
                <w:rFonts w:ascii="Arial" w:cs="Arial" w:eastAsia="Arial" w:hAnsi="Arial"/>
                <w:sz w:val="13"/>
                <w:szCs w:val="13"/>
                <w:color w:val="auto"/>
              </w:rPr>
              <w:t>The Guaranty</w:t>
            </w:r>
          </w:p>
        </w:tc>
        <w:tc>
          <w:tcPr>
            <w:tcW w:w="6420" w:type="dxa"/>
            <w:vAlign w:val="bottom"/>
          </w:tcPr>
          <w:p>
            <w:pPr>
              <w:jc w:val="right"/>
              <w:spacing w:after="0"/>
              <w:rPr>
                <w:sz w:val="20"/>
                <w:szCs w:val="20"/>
                <w:color w:val="auto"/>
              </w:rPr>
            </w:pPr>
            <w:r>
              <w:rPr>
                <w:rFonts w:ascii="Arial" w:cs="Arial" w:eastAsia="Arial" w:hAnsi="Arial"/>
                <w:sz w:val="13"/>
                <w:szCs w:val="13"/>
                <w:color w:val="auto"/>
              </w:rPr>
              <w:t>48</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4.02</w:t>
            </w:r>
          </w:p>
        </w:tc>
        <w:tc>
          <w:tcPr>
            <w:tcW w:w="3720" w:type="dxa"/>
            <w:vAlign w:val="bottom"/>
          </w:tcPr>
          <w:p>
            <w:pPr>
              <w:ind w:left="20"/>
              <w:spacing w:after="0"/>
              <w:rPr>
                <w:sz w:val="20"/>
                <w:szCs w:val="20"/>
                <w:color w:val="auto"/>
              </w:rPr>
            </w:pPr>
            <w:r>
              <w:rPr>
                <w:rFonts w:ascii="Arial" w:cs="Arial" w:eastAsia="Arial" w:hAnsi="Arial"/>
                <w:sz w:val="13"/>
                <w:szCs w:val="13"/>
                <w:color w:val="auto"/>
              </w:rPr>
              <w:t>Obligations Unconditional</w:t>
            </w:r>
          </w:p>
        </w:tc>
        <w:tc>
          <w:tcPr>
            <w:tcW w:w="6420" w:type="dxa"/>
            <w:vAlign w:val="bottom"/>
          </w:tcPr>
          <w:p>
            <w:pPr>
              <w:jc w:val="right"/>
              <w:spacing w:after="0"/>
              <w:rPr>
                <w:sz w:val="20"/>
                <w:szCs w:val="20"/>
                <w:color w:val="auto"/>
              </w:rPr>
            </w:pPr>
            <w:r>
              <w:rPr>
                <w:rFonts w:ascii="Arial" w:cs="Arial" w:eastAsia="Arial" w:hAnsi="Arial"/>
                <w:sz w:val="13"/>
                <w:szCs w:val="13"/>
                <w:color w:val="auto"/>
              </w:rPr>
              <w:t>48</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4.03</w:t>
            </w:r>
          </w:p>
        </w:tc>
        <w:tc>
          <w:tcPr>
            <w:tcW w:w="3720" w:type="dxa"/>
            <w:vAlign w:val="bottom"/>
          </w:tcPr>
          <w:p>
            <w:pPr>
              <w:ind w:left="20"/>
              <w:spacing w:after="0"/>
              <w:rPr>
                <w:sz w:val="20"/>
                <w:szCs w:val="20"/>
                <w:color w:val="auto"/>
              </w:rPr>
            </w:pPr>
            <w:r>
              <w:rPr>
                <w:rFonts w:ascii="Arial" w:cs="Arial" w:eastAsia="Arial" w:hAnsi="Arial"/>
                <w:sz w:val="13"/>
                <w:szCs w:val="13"/>
                <w:color w:val="auto"/>
              </w:rPr>
              <w:t>Reinstatement</w:t>
            </w:r>
          </w:p>
        </w:tc>
        <w:tc>
          <w:tcPr>
            <w:tcW w:w="6420" w:type="dxa"/>
            <w:vAlign w:val="bottom"/>
          </w:tcPr>
          <w:p>
            <w:pPr>
              <w:jc w:val="right"/>
              <w:spacing w:after="0"/>
              <w:rPr>
                <w:sz w:val="20"/>
                <w:szCs w:val="20"/>
                <w:color w:val="auto"/>
              </w:rPr>
            </w:pPr>
            <w:r>
              <w:rPr>
                <w:rFonts w:ascii="Arial" w:cs="Arial" w:eastAsia="Arial" w:hAnsi="Arial"/>
                <w:sz w:val="13"/>
                <w:szCs w:val="13"/>
                <w:color w:val="auto"/>
              </w:rPr>
              <w:t>49</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4.04</w:t>
            </w:r>
          </w:p>
        </w:tc>
        <w:tc>
          <w:tcPr>
            <w:tcW w:w="3720" w:type="dxa"/>
            <w:vAlign w:val="bottom"/>
          </w:tcPr>
          <w:p>
            <w:pPr>
              <w:ind w:left="20"/>
              <w:spacing w:after="0"/>
              <w:rPr>
                <w:sz w:val="20"/>
                <w:szCs w:val="20"/>
                <w:color w:val="auto"/>
              </w:rPr>
            </w:pPr>
            <w:r>
              <w:rPr>
                <w:rFonts w:ascii="Arial" w:cs="Arial" w:eastAsia="Arial" w:hAnsi="Arial"/>
                <w:sz w:val="13"/>
                <w:szCs w:val="13"/>
                <w:color w:val="auto"/>
              </w:rPr>
              <w:t>Certain Additional Waivers</w:t>
            </w:r>
          </w:p>
        </w:tc>
        <w:tc>
          <w:tcPr>
            <w:tcW w:w="6420" w:type="dxa"/>
            <w:vAlign w:val="bottom"/>
          </w:tcPr>
          <w:p>
            <w:pPr>
              <w:jc w:val="right"/>
              <w:spacing w:after="0"/>
              <w:rPr>
                <w:sz w:val="20"/>
                <w:szCs w:val="20"/>
                <w:color w:val="auto"/>
              </w:rPr>
            </w:pPr>
            <w:r>
              <w:rPr>
                <w:rFonts w:ascii="Arial" w:cs="Arial" w:eastAsia="Arial" w:hAnsi="Arial"/>
                <w:sz w:val="13"/>
                <w:szCs w:val="13"/>
                <w:color w:val="auto"/>
              </w:rPr>
              <w:t>50</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4.05</w:t>
            </w:r>
          </w:p>
        </w:tc>
        <w:tc>
          <w:tcPr>
            <w:tcW w:w="3720" w:type="dxa"/>
            <w:vAlign w:val="bottom"/>
          </w:tcPr>
          <w:p>
            <w:pPr>
              <w:ind w:left="20"/>
              <w:spacing w:after="0"/>
              <w:rPr>
                <w:sz w:val="20"/>
                <w:szCs w:val="20"/>
                <w:color w:val="auto"/>
              </w:rPr>
            </w:pPr>
            <w:r>
              <w:rPr>
                <w:rFonts w:ascii="Arial" w:cs="Arial" w:eastAsia="Arial" w:hAnsi="Arial"/>
                <w:sz w:val="13"/>
                <w:szCs w:val="13"/>
                <w:color w:val="auto"/>
              </w:rPr>
              <w:t>Remedies</w:t>
            </w:r>
          </w:p>
        </w:tc>
        <w:tc>
          <w:tcPr>
            <w:tcW w:w="6420" w:type="dxa"/>
            <w:vAlign w:val="bottom"/>
          </w:tcPr>
          <w:p>
            <w:pPr>
              <w:jc w:val="right"/>
              <w:spacing w:after="0"/>
              <w:rPr>
                <w:sz w:val="20"/>
                <w:szCs w:val="20"/>
                <w:color w:val="auto"/>
              </w:rPr>
            </w:pPr>
            <w:r>
              <w:rPr>
                <w:rFonts w:ascii="Arial" w:cs="Arial" w:eastAsia="Arial" w:hAnsi="Arial"/>
                <w:sz w:val="13"/>
                <w:szCs w:val="13"/>
                <w:color w:val="auto"/>
              </w:rPr>
              <w:t>50</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4.06</w:t>
            </w:r>
          </w:p>
        </w:tc>
        <w:tc>
          <w:tcPr>
            <w:tcW w:w="3720" w:type="dxa"/>
            <w:vAlign w:val="bottom"/>
          </w:tcPr>
          <w:p>
            <w:pPr>
              <w:ind w:left="20"/>
              <w:spacing w:after="0"/>
              <w:rPr>
                <w:sz w:val="20"/>
                <w:szCs w:val="20"/>
                <w:color w:val="auto"/>
              </w:rPr>
            </w:pPr>
            <w:r>
              <w:rPr>
                <w:rFonts w:ascii="Arial" w:cs="Arial" w:eastAsia="Arial" w:hAnsi="Arial"/>
                <w:sz w:val="13"/>
                <w:szCs w:val="13"/>
                <w:color w:val="auto"/>
              </w:rPr>
              <w:t>Rights of Contribution</w:t>
            </w:r>
          </w:p>
        </w:tc>
        <w:tc>
          <w:tcPr>
            <w:tcW w:w="6420" w:type="dxa"/>
            <w:vAlign w:val="bottom"/>
          </w:tcPr>
          <w:p>
            <w:pPr>
              <w:jc w:val="right"/>
              <w:spacing w:after="0"/>
              <w:rPr>
                <w:sz w:val="20"/>
                <w:szCs w:val="20"/>
                <w:color w:val="auto"/>
              </w:rPr>
            </w:pPr>
            <w:r>
              <w:rPr>
                <w:rFonts w:ascii="Arial" w:cs="Arial" w:eastAsia="Arial" w:hAnsi="Arial"/>
                <w:sz w:val="13"/>
                <w:szCs w:val="13"/>
                <w:color w:val="auto"/>
              </w:rPr>
              <w:t>50</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4.07</w:t>
            </w:r>
          </w:p>
        </w:tc>
        <w:tc>
          <w:tcPr>
            <w:tcW w:w="3720" w:type="dxa"/>
            <w:vAlign w:val="bottom"/>
          </w:tcPr>
          <w:p>
            <w:pPr>
              <w:ind w:left="20"/>
              <w:spacing w:after="0"/>
              <w:rPr>
                <w:sz w:val="20"/>
                <w:szCs w:val="20"/>
                <w:color w:val="auto"/>
              </w:rPr>
            </w:pPr>
            <w:r>
              <w:rPr>
                <w:rFonts w:ascii="Arial" w:cs="Arial" w:eastAsia="Arial" w:hAnsi="Arial"/>
                <w:sz w:val="13"/>
                <w:szCs w:val="13"/>
                <w:color w:val="auto"/>
              </w:rPr>
              <w:t>Guarantee of Payment; Continuing Guarantee</w:t>
            </w:r>
          </w:p>
        </w:tc>
        <w:tc>
          <w:tcPr>
            <w:tcW w:w="6420" w:type="dxa"/>
            <w:vAlign w:val="bottom"/>
          </w:tcPr>
          <w:p>
            <w:pPr>
              <w:jc w:val="right"/>
              <w:spacing w:after="0"/>
              <w:rPr>
                <w:sz w:val="20"/>
                <w:szCs w:val="20"/>
                <w:color w:val="auto"/>
              </w:rPr>
            </w:pPr>
            <w:r>
              <w:rPr>
                <w:rFonts w:ascii="Arial" w:cs="Arial" w:eastAsia="Arial" w:hAnsi="Arial"/>
                <w:sz w:val="13"/>
                <w:szCs w:val="13"/>
                <w:color w:val="auto"/>
              </w:rPr>
              <w:t>50</w:t>
            </w:r>
          </w:p>
        </w:tc>
      </w:tr>
      <w:tr>
        <w:trPr>
          <w:trHeight w:val="157"/>
        </w:trPr>
        <w:tc>
          <w:tcPr>
            <w:tcW w:w="4800" w:type="dxa"/>
            <w:vAlign w:val="bottom"/>
            <w:gridSpan w:val="2"/>
          </w:tcPr>
          <w:p>
            <w:pPr>
              <w:spacing w:after="0"/>
              <w:rPr>
                <w:sz w:val="20"/>
                <w:szCs w:val="20"/>
                <w:color w:val="auto"/>
              </w:rPr>
            </w:pPr>
            <w:r>
              <w:rPr>
                <w:rFonts w:ascii="Arial" w:cs="Arial" w:eastAsia="Arial" w:hAnsi="Arial"/>
                <w:sz w:val="13"/>
                <w:szCs w:val="13"/>
                <w:color w:val="auto"/>
              </w:rPr>
              <w:t>ARTICLE V CONDITIONS PRECEDENT TO CREDIT EXTENSIONS</w:t>
            </w:r>
          </w:p>
        </w:tc>
        <w:tc>
          <w:tcPr>
            <w:tcW w:w="6420" w:type="dxa"/>
            <w:vAlign w:val="bottom"/>
          </w:tcPr>
          <w:p>
            <w:pPr>
              <w:jc w:val="right"/>
              <w:spacing w:after="0"/>
              <w:rPr>
                <w:sz w:val="20"/>
                <w:szCs w:val="20"/>
                <w:color w:val="auto"/>
              </w:rPr>
            </w:pPr>
            <w:r>
              <w:rPr>
                <w:rFonts w:ascii="Arial" w:cs="Arial" w:eastAsia="Arial" w:hAnsi="Arial"/>
                <w:sz w:val="13"/>
                <w:szCs w:val="13"/>
                <w:color w:val="auto"/>
              </w:rPr>
              <w:t>50</w:t>
            </w:r>
          </w:p>
        </w:tc>
      </w:tr>
      <w:tr>
        <w:trPr>
          <w:trHeight w:val="165"/>
        </w:trPr>
        <w:tc>
          <w:tcPr>
            <w:tcW w:w="1080" w:type="dxa"/>
            <w:vAlign w:val="bottom"/>
          </w:tcPr>
          <w:p>
            <w:pPr>
              <w:ind w:left="840"/>
              <w:spacing w:after="0"/>
              <w:rPr>
                <w:sz w:val="20"/>
                <w:szCs w:val="20"/>
                <w:color w:val="auto"/>
              </w:rPr>
            </w:pPr>
            <w:r>
              <w:rPr>
                <w:rFonts w:ascii="Arial" w:cs="Arial" w:eastAsia="Arial" w:hAnsi="Arial"/>
                <w:sz w:val="13"/>
                <w:szCs w:val="13"/>
                <w:color w:val="auto"/>
                <w:w w:val="86"/>
              </w:rPr>
              <w:t>5.01</w:t>
            </w:r>
          </w:p>
        </w:tc>
        <w:tc>
          <w:tcPr>
            <w:tcW w:w="3720" w:type="dxa"/>
            <w:vAlign w:val="bottom"/>
          </w:tcPr>
          <w:p>
            <w:pPr>
              <w:ind w:left="20"/>
              <w:spacing w:after="0"/>
              <w:rPr>
                <w:sz w:val="20"/>
                <w:szCs w:val="20"/>
                <w:color w:val="auto"/>
              </w:rPr>
            </w:pPr>
            <w:r>
              <w:rPr>
                <w:rFonts w:ascii="Arial" w:cs="Arial" w:eastAsia="Arial" w:hAnsi="Arial"/>
                <w:sz w:val="13"/>
                <w:szCs w:val="13"/>
                <w:color w:val="auto"/>
              </w:rPr>
              <w:t>Conditions of Initial Credit Extension</w:t>
            </w:r>
          </w:p>
        </w:tc>
        <w:tc>
          <w:tcPr>
            <w:tcW w:w="6420" w:type="dxa"/>
            <w:vAlign w:val="bottom"/>
          </w:tcPr>
          <w:p>
            <w:pPr>
              <w:jc w:val="right"/>
              <w:spacing w:after="0"/>
              <w:rPr>
                <w:sz w:val="20"/>
                <w:szCs w:val="20"/>
                <w:color w:val="auto"/>
              </w:rPr>
            </w:pPr>
            <w:r>
              <w:rPr>
                <w:rFonts w:ascii="Arial" w:cs="Arial" w:eastAsia="Arial" w:hAnsi="Arial"/>
                <w:sz w:val="13"/>
                <w:szCs w:val="13"/>
                <w:color w:val="auto"/>
              </w:rPr>
              <w:t>50</w:t>
            </w:r>
          </w:p>
        </w:tc>
      </w:tr>
    </w:tbl>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220" w:top="740" w:right="45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5.02</w:t>
            </w:r>
          </w:p>
        </w:tc>
        <w:tc>
          <w:tcPr>
            <w:tcW w:w="6320" w:type="dxa"/>
            <w:vAlign w:val="bottom"/>
          </w:tcPr>
          <w:p>
            <w:pPr>
              <w:ind w:left="20"/>
              <w:spacing w:after="0"/>
              <w:rPr>
                <w:sz w:val="20"/>
                <w:szCs w:val="20"/>
                <w:color w:val="auto"/>
              </w:rPr>
            </w:pPr>
            <w:r>
              <w:rPr>
                <w:rFonts w:ascii="Arial" w:cs="Arial" w:eastAsia="Arial" w:hAnsi="Arial"/>
                <w:sz w:val="13"/>
                <w:szCs w:val="13"/>
                <w:color w:val="auto"/>
              </w:rPr>
              <w:t>Conditions to all Credit Extensions</w:t>
            </w:r>
          </w:p>
        </w:tc>
        <w:tc>
          <w:tcPr>
            <w:tcW w:w="3820" w:type="dxa"/>
            <w:vAlign w:val="bottom"/>
          </w:tcPr>
          <w:p>
            <w:pPr>
              <w:jc w:val="right"/>
              <w:spacing w:after="0"/>
              <w:rPr>
                <w:sz w:val="20"/>
                <w:szCs w:val="20"/>
                <w:color w:val="auto"/>
              </w:rPr>
            </w:pPr>
            <w:r>
              <w:rPr>
                <w:rFonts w:ascii="Arial" w:cs="Arial" w:eastAsia="Arial" w:hAnsi="Arial"/>
                <w:sz w:val="13"/>
                <w:szCs w:val="13"/>
                <w:color w:val="auto"/>
              </w:rPr>
              <w:t>52</w:t>
            </w:r>
          </w:p>
        </w:tc>
      </w:tr>
      <w:tr>
        <w:trPr>
          <w:trHeight w:val="157"/>
        </w:trPr>
        <w:tc>
          <w:tcPr>
            <w:tcW w:w="7400" w:type="dxa"/>
            <w:vAlign w:val="bottom"/>
            <w:gridSpan w:val="2"/>
          </w:tcPr>
          <w:p>
            <w:pPr>
              <w:spacing w:after="0"/>
              <w:rPr>
                <w:sz w:val="20"/>
                <w:szCs w:val="20"/>
                <w:color w:val="auto"/>
              </w:rPr>
            </w:pPr>
            <w:r>
              <w:rPr>
                <w:rFonts w:ascii="Arial" w:cs="Arial" w:eastAsia="Arial" w:hAnsi="Arial"/>
                <w:sz w:val="13"/>
                <w:szCs w:val="13"/>
                <w:color w:val="auto"/>
              </w:rPr>
              <w:t>ARTICLE VI REPRESENTATIONS AND WARRANTIES</w:t>
            </w:r>
          </w:p>
        </w:tc>
        <w:tc>
          <w:tcPr>
            <w:tcW w:w="3820" w:type="dxa"/>
            <w:vAlign w:val="bottom"/>
          </w:tcPr>
          <w:p>
            <w:pPr>
              <w:jc w:val="right"/>
              <w:spacing w:after="0"/>
              <w:rPr>
                <w:sz w:val="20"/>
                <w:szCs w:val="20"/>
                <w:color w:val="auto"/>
              </w:rPr>
            </w:pPr>
            <w:r>
              <w:rPr>
                <w:rFonts w:ascii="Arial" w:cs="Arial" w:eastAsia="Arial" w:hAnsi="Arial"/>
                <w:sz w:val="13"/>
                <w:szCs w:val="13"/>
                <w:color w:val="auto"/>
              </w:rPr>
              <w:t>53</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6.01</w:t>
            </w:r>
          </w:p>
        </w:tc>
        <w:tc>
          <w:tcPr>
            <w:tcW w:w="6320" w:type="dxa"/>
            <w:vAlign w:val="bottom"/>
          </w:tcPr>
          <w:p>
            <w:pPr>
              <w:ind w:left="20"/>
              <w:spacing w:after="0"/>
              <w:rPr>
                <w:sz w:val="20"/>
                <w:szCs w:val="20"/>
                <w:color w:val="auto"/>
              </w:rPr>
            </w:pPr>
            <w:r>
              <w:rPr>
                <w:rFonts w:ascii="Arial" w:cs="Arial" w:eastAsia="Arial" w:hAnsi="Arial"/>
                <w:sz w:val="13"/>
                <w:szCs w:val="13"/>
                <w:color w:val="auto"/>
              </w:rPr>
              <w:t>Existence, Qualification and Power</w:t>
            </w:r>
          </w:p>
        </w:tc>
        <w:tc>
          <w:tcPr>
            <w:tcW w:w="3820" w:type="dxa"/>
            <w:vAlign w:val="bottom"/>
          </w:tcPr>
          <w:p>
            <w:pPr>
              <w:jc w:val="right"/>
              <w:spacing w:after="0"/>
              <w:rPr>
                <w:sz w:val="20"/>
                <w:szCs w:val="20"/>
                <w:color w:val="auto"/>
              </w:rPr>
            </w:pPr>
            <w:r>
              <w:rPr>
                <w:rFonts w:ascii="Arial" w:cs="Arial" w:eastAsia="Arial" w:hAnsi="Arial"/>
                <w:sz w:val="13"/>
                <w:szCs w:val="13"/>
                <w:color w:val="auto"/>
              </w:rPr>
              <w:t>53</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6.02</w:t>
            </w:r>
          </w:p>
        </w:tc>
        <w:tc>
          <w:tcPr>
            <w:tcW w:w="6320" w:type="dxa"/>
            <w:vAlign w:val="bottom"/>
          </w:tcPr>
          <w:p>
            <w:pPr>
              <w:ind w:left="20"/>
              <w:spacing w:after="0"/>
              <w:rPr>
                <w:sz w:val="20"/>
                <w:szCs w:val="20"/>
                <w:color w:val="auto"/>
              </w:rPr>
            </w:pPr>
            <w:r>
              <w:rPr>
                <w:rFonts w:ascii="Arial" w:cs="Arial" w:eastAsia="Arial" w:hAnsi="Arial"/>
                <w:sz w:val="13"/>
                <w:szCs w:val="13"/>
                <w:color w:val="auto"/>
              </w:rPr>
              <w:t>Authorization; No Contravention</w:t>
            </w:r>
          </w:p>
        </w:tc>
        <w:tc>
          <w:tcPr>
            <w:tcW w:w="3820" w:type="dxa"/>
            <w:vAlign w:val="bottom"/>
          </w:tcPr>
          <w:p>
            <w:pPr>
              <w:jc w:val="right"/>
              <w:spacing w:after="0"/>
              <w:rPr>
                <w:sz w:val="20"/>
                <w:szCs w:val="20"/>
                <w:color w:val="auto"/>
              </w:rPr>
            </w:pPr>
            <w:r>
              <w:rPr>
                <w:rFonts w:ascii="Arial" w:cs="Arial" w:eastAsia="Arial" w:hAnsi="Arial"/>
                <w:sz w:val="13"/>
                <w:szCs w:val="13"/>
                <w:color w:val="auto"/>
              </w:rPr>
              <w:t>53</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6.03</w:t>
            </w:r>
          </w:p>
        </w:tc>
        <w:tc>
          <w:tcPr>
            <w:tcW w:w="6320" w:type="dxa"/>
            <w:vAlign w:val="bottom"/>
          </w:tcPr>
          <w:p>
            <w:pPr>
              <w:ind w:left="20"/>
              <w:spacing w:after="0"/>
              <w:rPr>
                <w:sz w:val="20"/>
                <w:szCs w:val="20"/>
                <w:color w:val="auto"/>
              </w:rPr>
            </w:pPr>
            <w:r>
              <w:rPr>
                <w:rFonts w:ascii="Arial" w:cs="Arial" w:eastAsia="Arial" w:hAnsi="Arial"/>
                <w:sz w:val="13"/>
                <w:szCs w:val="13"/>
                <w:color w:val="auto"/>
              </w:rPr>
              <w:t>Governmental Authorization; Other Consents</w:t>
            </w:r>
          </w:p>
        </w:tc>
        <w:tc>
          <w:tcPr>
            <w:tcW w:w="3820" w:type="dxa"/>
            <w:vAlign w:val="bottom"/>
          </w:tcPr>
          <w:p>
            <w:pPr>
              <w:jc w:val="right"/>
              <w:spacing w:after="0"/>
              <w:rPr>
                <w:sz w:val="20"/>
                <w:szCs w:val="20"/>
                <w:color w:val="auto"/>
              </w:rPr>
            </w:pPr>
            <w:r>
              <w:rPr>
                <w:rFonts w:ascii="Arial" w:cs="Arial" w:eastAsia="Arial" w:hAnsi="Arial"/>
                <w:sz w:val="13"/>
                <w:szCs w:val="13"/>
                <w:color w:val="auto"/>
              </w:rPr>
              <w:t>53</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6.04</w:t>
            </w:r>
          </w:p>
        </w:tc>
        <w:tc>
          <w:tcPr>
            <w:tcW w:w="6320" w:type="dxa"/>
            <w:vAlign w:val="bottom"/>
          </w:tcPr>
          <w:p>
            <w:pPr>
              <w:ind w:left="20"/>
              <w:spacing w:after="0"/>
              <w:rPr>
                <w:sz w:val="20"/>
                <w:szCs w:val="20"/>
                <w:color w:val="auto"/>
              </w:rPr>
            </w:pPr>
            <w:r>
              <w:rPr>
                <w:rFonts w:ascii="Arial" w:cs="Arial" w:eastAsia="Arial" w:hAnsi="Arial"/>
                <w:sz w:val="13"/>
                <w:szCs w:val="13"/>
                <w:color w:val="auto"/>
              </w:rPr>
              <w:t>Binding Effect</w:t>
            </w:r>
          </w:p>
        </w:tc>
        <w:tc>
          <w:tcPr>
            <w:tcW w:w="3820" w:type="dxa"/>
            <w:vAlign w:val="bottom"/>
          </w:tcPr>
          <w:p>
            <w:pPr>
              <w:jc w:val="right"/>
              <w:spacing w:after="0"/>
              <w:rPr>
                <w:sz w:val="20"/>
                <w:szCs w:val="20"/>
                <w:color w:val="auto"/>
              </w:rPr>
            </w:pPr>
            <w:r>
              <w:rPr>
                <w:rFonts w:ascii="Arial" w:cs="Arial" w:eastAsia="Arial" w:hAnsi="Arial"/>
                <w:sz w:val="13"/>
                <w:szCs w:val="13"/>
                <w:color w:val="auto"/>
              </w:rPr>
              <w:t>53</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6.05</w:t>
            </w:r>
          </w:p>
        </w:tc>
        <w:tc>
          <w:tcPr>
            <w:tcW w:w="6320" w:type="dxa"/>
            <w:vAlign w:val="bottom"/>
          </w:tcPr>
          <w:p>
            <w:pPr>
              <w:ind w:left="20"/>
              <w:spacing w:after="0"/>
              <w:rPr>
                <w:sz w:val="20"/>
                <w:szCs w:val="20"/>
                <w:color w:val="auto"/>
              </w:rPr>
            </w:pPr>
            <w:r>
              <w:rPr>
                <w:rFonts w:ascii="Arial" w:cs="Arial" w:eastAsia="Arial" w:hAnsi="Arial"/>
                <w:sz w:val="13"/>
                <w:szCs w:val="13"/>
                <w:color w:val="auto"/>
              </w:rPr>
              <w:t>Financial Statements; No Material Adverse Effect</w:t>
            </w:r>
          </w:p>
        </w:tc>
        <w:tc>
          <w:tcPr>
            <w:tcW w:w="3820" w:type="dxa"/>
            <w:vAlign w:val="bottom"/>
          </w:tcPr>
          <w:p>
            <w:pPr>
              <w:jc w:val="right"/>
              <w:spacing w:after="0"/>
              <w:rPr>
                <w:sz w:val="20"/>
                <w:szCs w:val="20"/>
                <w:color w:val="auto"/>
              </w:rPr>
            </w:pPr>
            <w:r>
              <w:rPr>
                <w:rFonts w:ascii="Arial" w:cs="Arial" w:eastAsia="Arial" w:hAnsi="Arial"/>
                <w:sz w:val="13"/>
                <w:szCs w:val="13"/>
                <w:color w:val="auto"/>
              </w:rPr>
              <w:t>53</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6.06</w:t>
            </w:r>
          </w:p>
        </w:tc>
        <w:tc>
          <w:tcPr>
            <w:tcW w:w="6320" w:type="dxa"/>
            <w:vAlign w:val="bottom"/>
          </w:tcPr>
          <w:p>
            <w:pPr>
              <w:ind w:left="20"/>
              <w:spacing w:after="0"/>
              <w:rPr>
                <w:sz w:val="20"/>
                <w:szCs w:val="20"/>
                <w:color w:val="auto"/>
              </w:rPr>
            </w:pPr>
            <w:r>
              <w:rPr>
                <w:rFonts w:ascii="Arial" w:cs="Arial" w:eastAsia="Arial" w:hAnsi="Arial"/>
                <w:sz w:val="13"/>
                <w:szCs w:val="13"/>
                <w:color w:val="auto"/>
              </w:rPr>
              <w:t>Litigation</w:t>
            </w:r>
          </w:p>
        </w:tc>
        <w:tc>
          <w:tcPr>
            <w:tcW w:w="3820" w:type="dxa"/>
            <w:vAlign w:val="bottom"/>
          </w:tcPr>
          <w:p>
            <w:pPr>
              <w:jc w:val="right"/>
              <w:spacing w:after="0"/>
              <w:rPr>
                <w:sz w:val="20"/>
                <w:szCs w:val="20"/>
                <w:color w:val="auto"/>
              </w:rPr>
            </w:pPr>
            <w:r>
              <w:rPr>
                <w:rFonts w:ascii="Arial" w:cs="Arial" w:eastAsia="Arial" w:hAnsi="Arial"/>
                <w:sz w:val="13"/>
                <w:szCs w:val="13"/>
                <w:color w:val="auto"/>
              </w:rPr>
              <w:t>54</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6.07</w:t>
            </w:r>
          </w:p>
        </w:tc>
        <w:tc>
          <w:tcPr>
            <w:tcW w:w="6320" w:type="dxa"/>
            <w:vAlign w:val="bottom"/>
          </w:tcPr>
          <w:p>
            <w:pPr>
              <w:ind w:left="20"/>
              <w:spacing w:after="0"/>
              <w:rPr>
                <w:sz w:val="20"/>
                <w:szCs w:val="20"/>
                <w:color w:val="auto"/>
              </w:rPr>
            </w:pPr>
            <w:r>
              <w:rPr>
                <w:rFonts w:ascii="Arial" w:cs="Arial" w:eastAsia="Arial" w:hAnsi="Arial"/>
                <w:sz w:val="13"/>
                <w:szCs w:val="13"/>
                <w:color w:val="auto"/>
              </w:rPr>
              <w:t>No Default</w:t>
            </w:r>
          </w:p>
        </w:tc>
        <w:tc>
          <w:tcPr>
            <w:tcW w:w="3820" w:type="dxa"/>
            <w:vAlign w:val="bottom"/>
          </w:tcPr>
          <w:p>
            <w:pPr>
              <w:jc w:val="right"/>
              <w:spacing w:after="0"/>
              <w:rPr>
                <w:sz w:val="20"/>
                <w:szCs w:val="20"/>
                <w:color w:val="auto"/>
              </w:rPr>
            </w:pPr>
            <w:r>
              <w:rPr>
                <w:rFonts w:ascii="Arial" w:cs="Arial" w:eastAsia="Arial" w:hAnsi="Arial"/>
                <w:sz w:val="13"/>
                <w:szCs w:val="13"/>
                <w:color w:val="auto"/>
              </w:rPr>
              <w:t>54</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6.08</w:t>
            </w:r>
          </w:p>
        </w:tc>
        <w:tc>
          <w:tcPr>
            <w:tcW w:w="6320" w:type="dxa"/>
            <w:vAlign w:val="bottom"/>
          </w:tcPr>
          <w:p>
            <w:pPr>
              <w:ind w:left="20"/>
              <w:spacing w:after="0"/>
              <w:rPr>
                <w:sz w:val="20"/>
                <w:szCs w:val="20"/>
                <w:color w:val="auto"/>
              </w:rPr>
            </w:pPr>
            <w:r>
              <w:rPr>
                <w:rFonts w:ascii="Arial" w:cs="Arial" w:eastAsia="Arial" w:hAnsi="Arial"/>
                <w:sz w:val="13"/>
                <w:szCs w:val="13"/>
                <w:color w:val="auto"/>
              </w:rPr>
              <w:t>Ownership of Property; Liens</w:t>
            </w:r>
          </w:p>
        </w:tc>
        <w:tc>
          <w:tcPr>
            <w:tcW w:w="3820" w:type="dxa"/>
            <w:vAlign w:val="bottom"/>
          </w:tcPr>
          <w:p>
            <w:pPr>
              <w:jc w:val="right"/>
              <w:spacing w:after="0"/>
              <w:rPr>
                <w:sz w:val="20"/>
                <w:szCs w:val="20"/>
                <w:color w:val="auto"/>
              </w:rPr>
            </w:pPr>
            <w:r>
              <w:rPr>
                <w:rFonts w:ascii="Arial" w:cs="Arial" w:eastAsia="Arial" w:hAnsi="Arial"/>
                <w:sz w:val="13"/>
                <w:szCs w:val="13"/>
                <w:color w:val="auto"/>
              </w:rPr>
              <w:t>54</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6.09</w:t>
            </w:r>
          </w:p>
        </w:tc>
        <w:tc>
          <w:tcPr>
            <w:tcW w:w="6320" w:type="dxa"/>
            <w:vAlign w:val="bottom"/>
          </w:tcPr>
          <w:p>
            <w:pPr>
              <w:ind w:left="20"/>
              <w:spacing w:after="0"/>
              <w:rPr>
                <w:sz w:val="20"/>
                <w:szCs w:val="20"/>
                <w:color w:val="auto"/>
              </w:rPr>
            </w:pPr>
            <w:r>
              <w:rPr>
                <w:rFonts w:ascii="Arial" w:cs="Arial" w:eastAsia="Arial" w:hAnsi="Arial"/>
                <w:sz w:val="13"/>
                <w:szCs w:val="13"/>
                <w:color w:val="auto"/>
              </w:rPr>
              <w:t>Environmental Compliance</w:t>
            </w:r>
          </w:p>
        </w:tc>
        <w:tc>
          <w:tcPr>
            <w:tcW w:w="3820" w:type="dxa"/>
            <w:vAlign w:val="bottom"/>
          </w:tcPr>
          <w:p>
            <w:pPr>
              <w:jc w:val="right"/>
              <w:spacing w:after="0"/>
              <w:rPr>
                <w:sz w:val="20"/>
                <w:szCs w:val="20"/>
                <w:color w:val="auto"/>
              </w:rPr>
            </w:pPr>
            <w:r>
              <w:rPr>
                <w:rFonts w:ascii="Arial" w:cs="Arial" w:eastAsia="Arial" w:hAnsi="Arial"/>
                <w:sz w:val="13"/>
                <w:szCs w:val="13"/>
                <w:color w:val="auto"/>
              </w:rPr>
              <w:t>55</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6.10</w:t>
            </w:r>
          </w:p>
        </w:tc>
        <w:tc>
          <w:tcPr>
            <w:tcW w:w="6320" w:type="dxa"/>
            <w:vAlign w:val="bottom"/>
          </w:tcPr>
          <w:p>
            <w:pPr>
              <w:ind w:left="20"/>
              <w:spacing w:after="0"/>
              <w:rPr>
                <w:sz w:val="20"/>
                <w:szCs w:val="20"/>
                <w:color w:val="auto"/>
              </w:rPr>
            </w:pPr>
            <w:r>
              <w:rPr>
                <w:rFonts w:ascii="Arial" w:cs="Arial" w:eastAsia="Arial" w:hAnsi="Arial"/>
                <w:sz w:val="13"/>
                <w:szCs w:val="13"/>
                <w:color w:val="auto"/>
              </w:rPr>
              <w:t>Insurance</w:t>
            </w:r>
          </w:p>
        </w:tc>
        <w:tc>
          <w:tcPr>
            <w:tcW w:w="3820" w:type="dxa"/>
            <w:vAlign w:val="bottom"/>
          </w:tcPr>
          <w:p>
            <w:pPr>
              <w:jc w:val="right"/>
              <w:spacing w:after="0"/>
              <w:rPr>
                <w:sz w:val="20"/>
                <w:szCs w:val="20"/>
                <w:color w:val="auto"/>
              </w:rPr>
            </w:pPr>
            <w:r>
              <w:rPr>
                <w:rFonts w:ascii="Arial" w:cs="Arial" w:eastAsia="Arial" w:hAnsi="Arial"/>
                <w:sz w:val="13"/>
                <w:szCs w:val="13"/>
                <w:color w:val="auto"/>
              </w:rPr>
              <w:t>55</w:t>
            </w:r>
          </w:p>
        </w:tc>
      </w:tr>
      <w:tr>
        <w:trPr>
          <w:trHeight w:val="157"/>
        </w:trPr>
        <w:tc>
          <w:tcPr>
            <w:tcW w:w="7400" w:type="dxa"/>
            <w:vAlign w:val="bottom"/>
            <w:gridSpan w:val="2"/>
          </w:tcPr>
          <w:p>
            <w:pPr>
              <w:ind w:left="840"/>
              <w:spacing w:after="0"/>
              <w:rPr>
                <w:sz w:val="20"/>
                <w:szCs w:val="20"/>
                <w:color w:val="auto"/>
              </w:rPr>
            </w:pPr>
            <w:r>
              <w:rPr>
                <w:rFonts w:ascii="Arial" w:cs="Arial" w:eastAsia="Arial" w:hAnsi="Arial"/>
                <w:sz w:val="13"/>
                <w:szCs w:val="13"/>
                <w:color w:val="auto"/>
              </w:rPr>
              <w:t>6.11 Taxes</w:t>
            </w:r>
          </w:p>
        </w:tc>
        <w:tc>
          <w:tcPr>
            <w:tcW w:w="3820" w:type="dxa"/>
            <w:vAlign w:val="bottom"/>
          </w:tcPr>
          <w:p>
            <w:pPr>
              <w:jc w:val="right"/>
              <w:spacing w:after="0"/>
              <w:rPr>
                <w:sz w:val="20"/>
                <w:szCs w:val="20"/>
                <w:color w:val="auto"/>
              </w:rPr>
            </w:pPr>
            <w:r>
              <w:rPr>
                <w:rFonts w:ascii="Arial" w:cs="Arial" w:eastAsia="Arial" w:hAnsi="Arial"/>
                <w:sz w:val="13"/>
                <w:szCs w:val="13"/>
                <w:color w:val="auto"/>
              </w:rPr>
              <w:t>56</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6.12</w:t>
            </w:r>
          </w:p>
        </w:tc>
        <w:tc>
          <w:tcPr>
            <w:tcW w:w="6320" w:type="dxa"/>
            <w:vAlign w:val="bottom"/>
          </w:tcPr>
          <w:p>
            <w:pPr>
              <w:ind w:left="20"/>
              <w:spacing w:after="0"/>
              <w:rPr>
                <w:sz w:val="20"/>
                <w:szCs w:val="20"/>
                <w:color w:val="auto"/>
              </w:rPr>
            </w:pPr>
            <w:r>
              <w:rPr>
                <w:rFonts w:ascii="Arial" w:cs="Arial" w:eastAsia="Arial" w:hAnsi="Arial"/>
                <w:sz w:val="13"/>
                <w:szCs w:val="13"/>
                <w:color w:val="auto"/>
              </w:rPr>
              <w:t>ERISA Compliance</w:t>
            </w:r>
          </w:p>
        </w:tc>
        <w:tc>
          <w:tcPr>
            <w:tcW w:w="3820" w:type="dxa"/>
            <w:vAlign w:val="bottom"/>
          </w:tcPr>
          <w:p>
            <w:pPr>
              <w:jc w:val="right"/>
              <w:spacing w:after="0"/>
              <w:rPr>
                <w:sz w:val="20"/>
                <w:szCs w:val="20"/>
                <w:color w:val="auto"/>
              </w:rPr>
            </w:pPr>
            <w:r>
              <w:rPr>
                <w:rFonts w:ascii="Arial" w:cs="Arial" w:eastAsia="Arial" w:hAnsi="Arial"/>
                <w:sz w:val="13"/>
                <w:szCs w:val="13"/>
                <w:color w:val="auto"/>
              </w:rPr>
              <w:t>56</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6.13</w:t>
            </w:r>
          </w:p>
        </w:tc>
        <w:tc>
          <w:tcPr>
            <w:tcW w:w="6320" w:type="dxa"/>
            <w:vAlign w:val="bottom"/>
          </w:tcPr>
          <w:p>
            <w:pPr>
              <w:ind w:left="20"/>
              <w:spacing w:after="0"/>
              <w:rPr>
                <w:sz w:val="20"/>
                <w:szCs w:val="20"/>
                <w:color w:val="auto"/>
              </w:rPr>
            </w:pPr>
            <w:r>
              <w:rPr>
                <w:rFonts w:ascii="Arial" w:cs="Arial" w:eastAsia="Arial" w:hAnsi="Arial"/>
                <w:sz w:val="13"/>
                <w:szCs w:val="13"/>
                <w:color w:val="auto"/>
              </w:rPr>
              <w:t>Subsidiaries</w:t>
            </w:r>
          </w:p>
        </w:tc>
        <w:tc>
          <w:tcPr>
            <w:tcW w:w="3820" w:type="dxa"/>
            <w:vAlign w:val="bottom"/>
          </w:tcPr>
          <w:p>
            <w:pPr>
              <w:jc w:val="right"/>
              <w:spacing w:after="0"/>
              <w:rPr>
                <w:sz w:val="20"/>
                <w:szCs w:val="20"/>
                <w:color w:val="auto"/>
              </w:rPr>
            </w:pPr>
            <w:r>
              <w:rPr>
                <w:rFonts w:ascii="Arial" w:cs="Arial" w:eastAsia="Arial" w:hAnsi="Arial"/>
                <w:sz w:val="13"/>
                <w:szCs w:val="13"/>
                <w:color w:val="auto"/>
              </w:rPr>
              <w:t>56</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6.14</w:t>
            </w:r>
          </w:p>
        </w:tc>
        <w:tc>
          <w:tcPr>
            <w:tcW w:w="6320" w:type="dxa"/>
            <w:vAlign w:val="bottom"/>
          </w:tcPr>
          <w:p>
            <w:pPr>
              <w:ind w:left="20"/>
              <w:spacing w:after="0"/>
              <w:rPr>
                <w:sz w:val="20"/>
                <w:szCs w:val="20"/>
                <w:color w:val="auto"/>
              </w:rPr>
            </w:pPr>
            <w:r>
              <w:rPr>
                <w:rFonts w:ascii="Arial" w:cs="Arial" w:eastAsia="Arial" w:hAnsi="Arial"/>
                <w:sz w:val="13"/>
                <w:szCs w:val="13"/>
                <w:color w:val="auto"/>
              </w:rPr>
              <w:t>Margin Regulations; Investment Company Act</w:t>
            </w:r>
          </w:p>
        </w:tc>
        <w:tc>
          <w:tcPr>
            <w:tcW w:w="3820" w:type="dxa"/>
            <w:vAlign w:val="bottom"/>
          </w:tcPr>
          <w:p>
            <w:pPr>
              <w:jc w:val="right"/>
              <w:spacing w:after="0"/>
              <w:rPr>
                <w:sz w:val="20"/>
                <w:szCs w:val="20"/>
                <w:color w:val="auto"/>
              </w:rPr>
            </w:pPr>
            <w:r>
              <w:rPr>
                <w:rFonts w:ascii="Arial" w:cs="Arial" w:eastAsia="Arial" w:hAnsi="Arial"/>
                <w:sz w:val="13"/>
                <w:szCs w:val="13"/>
                <w:color w:val="auto"/>
              </w:rPr>
              <w:t>56</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6.15</w:t>
            </w:r>
          </w:p>
        </w:tc>
        <w:tc>
          <w:tcPr>
            <w:tcW w:w="6320" w:type="dxa"/>
            <w:vAlign w:val="bottom"/>
          </w:tcPr>
          <w:p>
            <w:pPr>
              <w:ind w:left="20"/>
              <w:spacing w:after="0"/>
              <w:rPr>
                <w:sz w:val="20"/>
                <w:szCs w:val="20"/>
                <w:color w:val="auto"/>
              </w:rPr>
            </w:pPr>
            <w:r>
              <w:rPr>
                <w:rFonts w:ascii="Arial" w:cs="Arial" w:eastAsia="Arial" w:hAnsi="Arial"/>
                <w:sz w:val="13"/>
                <w:szCs w:val="13"/>
                <w:color w:val="auto"/>
              </w:rPr>
              <w:t>Disclosure</w:t>
            </w:r>
          </w:p>
        </w:tc>
        <w:tc>
          <w:tcPr>
            <w:tcW w:w="3820" w:type="dxa"/>
            <w:vAlign w:val="bottom"/>
          </w:tcPr>
          <w:p>
            <w:pPr>
              <w:jc w:val="right"/>
              <w:spacing w:after="0"/>
              <w:rPr>
                <w:sz w:val="20"/>
                <w:szCs w:val="20"/>
                <w:color w:val="auto"/>
              </w:rPr>
            </w:pPr>
            <w:r>
              <w:rPr>
                <w:rFonts w:ascii="Arial" w:cs="Arial" w:eastAsia="Arial" w:hAnsi="Arial"/>
                <w:sz w:val="13"/>
                <w:szCs w:val="13"/>
                <w:color w:val="auto"/>
              </w:rPr>
              <w:t>57</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6.16</w:t>
            </w:r>
          </w:p>
        </w:tc>
        <w:tc>
          <w:tcPr>
            <w:tcW w:w="6320" w:type="dxa"/>
            <w:vAlign w:val="bottom"/>
          </w:tcPr>
          <w:p>
            <w:pPr>
              <w:ind w:left="20"/>
              <w:spacing w:after="0"/>
              <w:rPr>
                <w:sz w:val="20"/>
                <w:szCs w:val="20"/>
                <w:color w:val="auto"/>
              </w:rPr>
            </w:pPr>
            <w:r>
              <w:rPr>
                <w:rFonts w:ascii="Arial" w:cs="Arial" w:eastAsia="Arial" w:hAnsi="Arial"/>
                <w:sz w:val="13"/>
                <w:szCs w:val="13"/>
                <w:color w:val="auto"/>
              </w:rPr>
              <w:t>Compliance with Laws</w:t>
            </w:r>
          </w:p>
        </w:tc>
        <w:tc>
          <w:tcPr>
            <w:tcW w:w="3820" w:type="dxa"/>
            <w:vAlign w:val="bottom"/>
          </w:tcPr>
          <w:p>
            <w:pPr>
              <w:jc w:val="right"/>
              <w:spacing w:after="0"/>
              <w:rPr>
                <w:sz w:val="20"/>
                <w:szCs w:val="20"/>
                <w:color w:val="auto"/>
              </w:rPr>
            </w:pPr>
            <w:r>
              <w:rPr>
                <w:rFonts w:ascii="Arial" w:cs="Arial" w:eastAsia="Arial" w:hAnsi="Arial"/>
                <w:sz w:val="13"/>
                <w:szCs w:val="13"/>
                <w:color w:val="auto"/>
              </w:rPr>
              <w:t>57</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6.17</w:t>
            </w:r>
          </w:p>
        </w:tc>
        <w:tc>
          <w:tcPr>
            <w:tcW w:w="6320" w:type="dxa"/>
            <w:vAlign w:val="bottom"/>
          </w:tcPr>
          <w:p>
            <w:pPr>
              <w:ind w:left="20"/>
              <w:spacing w:after="0"/>
              <w:rPr>
                <w:sz w:val="20"/>
                <w:szCs w:val="20"/>
                <w:color w:val="auto"/>
              </w:rPr>
            </w:pPr>
            <w:r>
              <w:rPr>
                <w:rFonts w:ascii="Arial" w:cs="Arial" w:eastAsia="Arial" w:hAnsi="Arial"/>
                <w:sz w:val="13"/>
                <w:szCs w:val="13"/>
                <w:color w:val="auto"/>
              </w:rPr>
              <w:t>Intellectual Property; Licenses, Etc.</w:t>
            </w:r>
          </w:p>
        </w:tc>
        <w:tc>
          <w:tcPr>
            <w:tcW w:w="3820" w:type="dxa"/>
            <w:vAlign w:val="bottom"/>
          </w:tcPr>
          <w:p>
            <w:pPr>
              <w:jc w:val="right"/>
              <w:spacing w:after="0"/>
              <w:rPr>
                <w:sz w:val="20"/>
                <w:szCs w:val="20"/>
                <w:color w:val="auto"/>
              </w:rPr>
            </w:pPr>
            <w:r>
              <w:rPr>
                <w:rFonts w:ascii="Arial" w:cs="Arial" w:eastAsia="Arial" w:hAnsi="Arial"/>
                <w:sz w:val="13"/>
                <w:szCs w:val="13"/>
                <w:color w:val="auto"/>
              </w:rPr>
              <w:t>57</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6.18</w:t>
            </w:r>
          </w:p>
        </w:tc>
        <w:tc>
          <w:tcPr>
            <w:tcW w:w="6320" w:type="dxa"/>
            <w:vAlign w:val="bottom"/>
          </w:tcPr>
          <w:p>
            <w:pPr>
              <w:ind w:left="20"/>
              <w:spacing w:after="0"/>
              <w:rPr>
                <w:sz w:val="20"/>
                <w:szCs w:val="20"/>
                <w:color w:val="auto"/>
              </w:rPr>
            </w:pPr>
            <w:r>
              <w:rPr>
                <w:rFonts w:ascii="Arial" w:cs="Arial" w:eastAsia="Arial" w:hAnsi="Arial"/>
                <w:sz w:val="13"/>
                <w:szCs w:val="13"/>
                <w:color w:val="auto"/>
              </w:rPr>
              <w:t>Solvency</w:t>
            </w:r>
          </w:p>
        </w:tc>
        <w:tc>
          <w:tcPr>
            <w:tcW w:w="3820" w:type="dxa"/>
            <w:vAlign w:val="bottom"/>
          </w:tcPr>
          <w:p>
            <w:pPr>
              <w:jc w:val="right"/>
              <w:spacing w:after="0"/>
              <w:rPr>
                <w:sz w:val="20"/>
                <w:szCs w:val="20"/>
                <w:color w:val="auto"/>
              </w:rPr>
            </w:pPr>
            <w:r>
              <w:rPr>
                <w:rFonts w:ascii="Arial" w:cs="Arial" w:eastAsia="Arial" w:hAnsi="Arial"/>
                <w:sz w:val="13"/>
                <w:szCs w:val="13"/>
                <w:color w:val="auto"/>
              </w:rPr>
              <w:t>57</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6.19</w:t>
            </w:r>
          </w:p>
        </w:tc>
        <w:tc>
          <w:tcPr>
            <w:tcW w:w="6320" w:type="dxa"/>
            <w:vAlign w:val="bottom"/>
          </w:tcPr>
          <w:p>
            <w:pPr>
              <w:ind w:left="20"/>
              <w:spacing w:after="0"/>
              <w:rPr>
                <w:sz w:val="20"/>
                <w:szCs w:val="20"/>
                <w:color w:val="auto"/>
              </w:rPr>
            </w:pPr>
            <w:r>
              <w:rPr>
                <w:rFonts w:ascii="Arial" w:cs="Arial" w:eastAsia="Arial" w:hAnsi="Arial"/>
                <w:sz w:val="13"/>
                <w:szCs w:val="13"/>
                <w:color w:val="auto"/>
              </w:rPr>
              <w:t>Labor Matters</w:t>
            </w:r>
          </w:p>
        </w:tc>
        <w:tc>
          <w:tcPr>
            <w:tcW w:w="3820" w:type="dxa"/>
            <w:vAlign w:val="bottom"/>
          </w:tcPr>
          <w:p>
            <w:pPr>
              <w:jc w:val="right"/>
              <w:spacing w:after="0"/>
              <w:rPr>
                <w:sz w:val="20"/>
                <w:szCs w:val="20"/>
                <w:color w:val="auto"/>
              </w:rPr>
            </w:pPr>
            <w:r>
              <w:rPr>
                <w:rFonts w:ascii="Arial" w:cs="Arial" w:eastAsia="Arial" w:hAnsi="Arial"/>
                <w:sz w:val="13"/>
                <w:szCs w:val="13"/>
                <w:color w:val="auto"/>
              </w:rPr>
              <w:t>58</w:t>
            </w:r>
          </w:p>
        </w:tc>
      </w:tr>
      <w:tr>
        <w:trPr>
          <w:trHeight w:val="157"/>
        </w:trPr>
        <w:tc>
          <w:tcPr>
            <w:tcW w:w="7400" w:type="dxa"/>
            <w:vAlign w:val="bottom"/>
            <w:gridSpan w:val="2"/>
          </w:tcPr>
          <w:p>
            <w:pPr>
              <w:spacing w:after="0"/>
              <w:rPr>
                <w:sz w:val="20"/>
                <w:szCs w:val="20"/>
                <w:color w:val="auto"/>
              </w:rPr>
            </w:pPr>
            <w:r>
              <w:rPr>
                <w:rFonts w:ascii="Arial" w:cs="Arial" w:eastAsia="Arial" w:hAnsi="Arial"/>
                <w:sz w:val="13"/>
                <w:szCs w:val="13"/>
                <w:color w:val="auto"/>
              </w:rPr>
              <w:t>ARTICLE VII AFFIRMATIVE COVENANTS</w:t>
            </w:r>
          </w:p>
        </w:tc>
        <w:tc>
          <w:tcPr>
            <w:tcW w:w="3820" w:type="dxa"/>
            <w:vAlign w:val="bottom"/>
          </w:tcPr>
          <w:p>
            <w:pPr>
              <w:jc w:val="right"/>
              <w:spacing w:after="0"/>
              <w:rPr>
                <w:sz w:val="20"/>
                <w:szCs w:val="20"/>
                <w:color w:val="auto"/>
              </w:rPr>
            </w:pPr>
            <w:r>
              <w:rPr>
                <w:rFonts w:ascii="Arial" w:cs="Arial" w:eastAsia="Arial" w:hAnsi="Arial"/>
                <w:sz w:val="13"/>
                <w:szCs w:val="13"/>
                <w:color w:val="auto"/>
              </w:rPr>
              <w:t>58</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7.01</w:t>
            </w:r>
          </w:p>
        </w:tc>
        <w:tc>
          <w:tcPr>
            <w:tcW w:w="6320" w:type="dxa"/>
            <w:vAlign w:val="bottom"/>
          </w:tcPr>
          <w:p>
            <w:pPr>
              <w:ind w:left="20"/>
              <w:spacing w:after="0"/>
              <w:rPr>
                <w:sz w:val="20"/>
                <w:szCs w:val="20"/>
                <w:color w:val="auto"/>
              </w:rPr>
            </w:pPr>
            <w:r>
              <w:rPr>
                <w:rFonts w:ascii="Arial" w:cs="Arial" w:eastAsia="Arial" w:hAnsi="Arial"/>
                <w:sz w:val="13"/>
                <w:szCs w:val="13"/>
                <w:color w:val="auto"/>
              </w:rPr>
              <w:t>Financial Statements</w:t>
            </w:r>
          </w:p>
        </w:tc>
        <w:tc>
          <w:tcPr>
            <w:tcW w:w="3820" w:type="dxa"/>
            <w:vAlign w:val="bottom"/>
          </w:tcPr>
          <w:p>
            <w:pPr>
              <w:jc w:val="right"/>
              <w:spacing w:after="0"/>
              <w:rPr>
                <w:sz w:val="20"/>
                <w:szCs w:val="20"/>
                <w:color w:val="auto"/>
              </w:rPr>
            </w:pPr>
            <w:r>
              <w:rPr>
                <w:rFonts w:ascii="Arial" w:cs="Arial" w:eastAsia="Arial" w:hAnsi="Arial"/>
                <w:sz w:val="13"/>
                <w:szCs w:val="13"/>
                <w:color w:val="auto"/>
              </w:rPr>
              <w:t>58</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7.02</w:t>
            </w:r>
          </w:p>
        </w:tc>
        <w:tc>
          <w:tcPr>
            <w:tcW w:w="6320" w:type="dxa"/>
            <w:vAlign w:val="bottom"/>
          </w:tcPr>
          <w:p>
            <w:pPr>
              <w:ind w:left="20"/>
              <w:spacing w:after="0"/>
              <w:rPr>
                <w:sz w:val="20"/>
                <w:szCs w:val="20"/>
                <w:color w:val="auto"/>
              </w:rPr>
            </w:pPr>
            <w:r>
              <w:rPr>
                <w:rFonts w:ascii="Arial" w:cs="Arial" w:eastAsia="Arial" w:hAnsi="Arial"/>
                <w:sz w:val="13"/>
                <w:szCs w:val="13"/>
                <w:color w:val="auto"/>
              </w:rPr>
              <w:t>Certificates; Other Information</w:t>
            </w:r>
          </w:p>
        </w:tc>
        <w:tc>
          <w:tcPr>
            <w:tcW w:w="3820" w:type="dxa"/>
            <w:vAlign w:val="bottom"/>
          </w:tcPr>
          <w:p>
            <w:pPr>
              <w:jc w:val="right"/>
              <w:spacing w:after="0"/>
              <w:rPr>
                <w:sz w:val="20"/>
                <w:szCs w:val="20"/>
                <w:color w:val="auto"/>
              </w:rPr>
            </w:pPr>
            <w:r>
              <w:rPr>
                <w:rFonts w:ascii="Arial" w:cs="Arial" w:eastAsia="Arial" w:hAnsi="Arial"/>
                <w:sz w:val="13"/>
                <w:szCs w:val="13"/>
                <w:color w:val="auto"/>
              </w:rPr>
              <w:t>59</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7.03</w:t>
            </w:r>
          </w:p>
        </w:tc>
        <w:tc>
          <w:tcPr>
            <w:tcW w:w="6320" w:type="dxa"/>
            <w:vAlign w:val="bottom"/>
          </w:tcPr>
          <w:p>
            <w:pPr>
              <w:ind w:left="20"/>
              <w:spacing w:after="0"/>
              <w:rPr>
                <w:sz w:val="20"/>
                <w:szCs w:val="20"/>
                <w:color w:val="auto"/>
              </w:rPr>
            </w:pPr>
            <w:r>
              <w:rPr>
                <w:rFonts w:ascii="Arial" w:cs="Arial" w:eastAsia="Arial" w:hAnsi="Arial"/>
                <w:sz w:val="13"/>
                <w:szCs w:val="13"/>
                <w:color w:val="auto"/>
              </w:rPr>
              <w:t>Notices</w:t>
            </w:r>
          </w:p>
        </w:tc>
        <w:tc>
          <w:tcPr>
            <w:tcW w:w="3820" w:type="dxa"/>
            <w:vAlign w:val="bottom"/>
          </w:tcPr>
          <w:p>
            <w:pPr>
              <w:jc w:val="right"/>
              <w:spacing w:after="0"/>
              <w:rPr>
                <w:sz w:val="20"/>
                <w:szCs w:val="20"/>
                <w:color w:val="auto"/>
              </w:rPr>
            </w:pPr>
            <w:r>
              <w:rPr>
                <w:rFonts w:ascii="Arial" w:cs="Arial" w:eastAsia="Arial" w:hAnsi="Arial"/>
                <w:sz w:val="13"/>
                <w:szCs w:val="13"/>
                <w:color w:val="auto"/>
              </w:rPr>
              <w:t>60</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7.04</w:t>
            </w:r>
          </w:p>
        </w:tc>
        <w:tc>
          <w:tcPr>
            <w:tcW w:w="6320" w:type="dxa"/>
            <w:vAlign w:val="bottom"/>
          </w:tcPr>
          <w:p>
            <w:pPr>
              <w:ind w:left="20"/>
              <w:spacing w:after="0"/>
              <w:rPr>
                <w:sz w:val="20"/>
                <w:szCs w:val="20"/>
                <w:color w:val="auto"/>
              </w:rPr>
            </w:pPr>
            <w:r>
              <w:rPr>
                <w:rFonts w:ascii="Arial" w:cs="Arial" w:eastAsia="Arial" w:hAnsi="Arial"/>
                <w:sz w:val="13"/>
                <w:szCs w:val="13"/>
                <w:color w:val="auto"/>
              </w:rPr>
              <w:t>Payment of Obligations</w:t>
            </w:r>
          </w:p>
        </w:tc>
        <w:tc>
          <w:tcPr>
            <w:tcW w:w="3820" w:type="dxa"/>
            <w:vAlign w:val="bottom"/>
          </w:tcPr>
          <w:p>
            <w:pPr>
              <w:jc w:val="right"/>
              <w:spacing w:after="0"/>
              <w:rPr>
                <w:sz w:val="20"/>
                <w:szCs w:val="20"/>
                <w:color w:val="auto"/>
              </w:rPr>
            </w:pPr>
            <w:r>
              <w:rPr>
                <w:rFonts w:ascii="Arial" w:cs="Arial" w:eastAsia="Arial" w:hAnsi="Arial"/>
                <w:sz w:val="13"/>
                <w:szCs w:val="13"/>
                <w:color w:val="auto"/>
              </w:rPr>
              <w:t>61</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7.05</w:t>
            </w:r>
          </w:p>
        </w:tc>
        <w:tc>
          <w:tcPr>
            <w:tcW w:w="6320" w:type="dxa"/>
            <w:vAlign w:val="bottom"/>
          </w:tcPr>
          <w:p>
            <w:pPr>
              <w:ind w:left="20"/>
              <w:spacing w:after="0"/>
              <w:rPr>
                <w:sz w:val="20"/>
                <w:szCs w:val="20"/>
                <w:color w:val="auto"/>
              </w:rPr>
            </w:pPr>
            <w:r>
              <w:rPr>
                <w:rFonts w:ascii="Arial" w:cs="Arial" w:eastAsia="Arial" w:hAnsi="Arial"/>
                <w:sz w:val="13"/>
                <w:szCs w:val="13"/>
                <w:color w:val="auto"/>
              </w:rPr>
              <w:t>Preservation of Existence, Etc.</w:t>
            </w:r>
          </w:p>
        </w:tc>
        <w:tc>
          <w:tcPr>
            <w:tcW w:w="3820" w:type="dxa"/>
            <w:vAlign w:val="bottom"/>
          </w:tcPr>
          <w:p>
            <w:pPr>
              <w:jc w:val="right"/>
              <w:spacing w:after="0"/>
              <w:rPr>
                <w:sz w:val="20"/>
                <w:szCs w:val="20"/>
                <w:color w:val="auto"/>
              </w:rPr>
            </w:pPr>
            <w:r>
              <w:rPr>
                <w:rFonts w:ascii="Arial" w:cs="Arial" w:eastAsia="Arial" w:hAnsi="Arial"/>
                <w:sz w:val="13"/>
                <w:szCs w:val="13"/>
                <w:color w:val="auto"/>
              </w:rPr>
              <w:t>61</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7.06</w:t>
            </w:r>
          </w:p>
        </w:tc>
        <w:tc>
          <w:tcPr>
            <w:tcW w:w="6320" w:type="dxa"/>
            <w:vAlign w:val="bottom"/>
          </w:tcPr>
          <w:p>
            <w:pPr>
              <w:ind w:left="20"/>
              <w:spacing w:after="0"/>
              <w:rPr>
                <w:sz w:val="20"/>
                <w:szCs w:val="20"/>
                <w:color w:val="auto"/>
              </w:rPr>
            </w:pPr>
            <w:r>
              <w:rPr>
                <w:rFonts w:ascii="Arial" w:cs="Arial" w:eastAsia="Arial" w:hAnsi="Arial"/>
                <w:sz w:val="13"/>
                <w:szCs w:val="13"/>
                <w:color w:val="auto"/>
              </w:rPr>
              <w:t>Maintenance of Properties</w:t>
            </w:r>
          </w:p>
        </w:tc>
        <w:tc>
          <w:tcPr>
            <w:tcW w:w="3820" w:type="dxa"/>
            <w:vAlign w:val="bottom"/>
          </w:tcPr>
          <w:p>
            <w:pPr>
              <w:jc w:val="right"/>
              <w:spacing w:after="0"/>
              <w:rPr>
                <w:sz w:val="20"/>
                <w:szCs w:val="20"/>
                <w:color w:val="auto"/>
              </w:rPr>
            </w:pPr>
            <w:r>
              <w:rPr>
                <w:rFonts w:ascii="Arial" w:cs="Arial" w:eastAsia="Arial" w:hAnsi="Arial"/>
                <w:sz w:val="13"/>
                <w:szCs w:val="13"/>
                <w:color w:val="auto"/>
              </w:rPr>
              <w:t>61</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7.07</w:t>
            </w:r>
          </w:p>
        </w:tc>
        <w:tc>
          <w:tcPr>
            <w:tcW w:w="6320" w:type="dxa"/>
            <w:vAlign w:val="bottom"/>
          </w:tcPr>
          <w:p>
            <w:pPr>
              <w:ind w:left="20"/>
              <w:spacing w:after="0"/>
              <w:rPr>
                <w:sz w:val="20"/>
                <w:szCs w:val="20"/>
                <w:color w:val="auto"/>
              </w:rPr>
            </w:pPr>
            <w:r>
              <w:rPr>
                <w:rFonts w:ascii="Arial" w:cs="Arial" w:eastAsia="Arial" w:hAnsi="Arial"/>
                <w:sz w:val="13"/>
                <w:szCs w:val="13"/>
                <w:color w:val="auto"/>
              </w:rPr>
              <w:t>Maintenance of Insurance</w:t>
            </w:r>
          </w:p>
        </w:tc>
        <w:tc>
          <w:tcPr>
            <w:tcW w:w="3820" w:type="dxa"/>
            <w:vAlign w:val="bottom"/>
          </w:tcPr>
          <w:p>
            <w:pPr>
              <w:jc w:val="right"/>
              <w:spacing w:after="0"/>
              <w:rPr>
                <w:sz w:val="20"/>
                <w:szCs w:val="20"/>
                <w:color w:val="auto"/>
              </w:rPr>
            </w:pPr>
            <w:r>
              <w:rPr>
                <w:rFonts w:ascii="Arial" w:cs="Arial" w:eastAsia="Arial" w:hAnsi="Arial"/>
                <w:sz w:val="13"/>
                <w:szCs w:val="13"/>
                <w:color w:val="auto"/>
              </w:rPr>
              <w:t>61</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7.08</w:t>
            </w:r>
          </w:p>
        </w:tc>
        <w:tc>
          <w:tcPr>
            <w:tcW w:w="6320" w:type="dxa"/>
            <w:vAlign w:val="bottom"/>
          </w:tcPr>
          <w:p>
            <w:pPr>
              <w:ind w:left="20"/>
              <w:spacing w:after="0"/>
              <w:rPr>
                <w:sz w:val="20"/>
                <w:szCs w:val="20"/>
                <w:color w:val="auto"/>
              </w:rPr>
            </w:pPr>
            <w:r>
              <w:rPr>
                <w:rFonts w:ascii="Arial" w:cs="Arial" w:eastAsia="Arial" w:hAnsi="Arial"/>
                <w:sz w:val="13"/>
                <w:szCs w:val="13"/>
                <w:color w:val="auto"/>
              </w:rPr>
              <w:t>Compliance with Laws</w:t>
            </w:r>
          </w:p>
        </w:tc>
        <w:tc>
          <w:tcPr>
            <w:tcW w:w="3820" w:type="dxa"/>
            <w:vAlign w:val="bottom"/>
          </w:tcPr>
          <w:p>
            <w:pPr>
              <w:jc w:val="right"/>
              <w:spacing w:after="0"/>
              <w:rPr>
                <w:sz w:val="20"/>
                <w:szCs w:val="20"/>
                <w:color w:val="auto"/>
              </w:rPr>
            </w:pPr>
            <w:r>
              <w:rPr>
                <w:rFonts w:ascii="Arial" w:cs="Arial" w:eastAsia="Arial" w:hAnsi="Arial"/>
                <w:sz w:val="13"/>
                <w:szCs w:val="13"/>
                <w:color w:val="auto"/>
              </w:rPr>
              <w:t>62</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7.09</w:t>
            </w:r>
          </w:p>
        </w:tc>
        <w:tc>
          <w:tcPr>
            <w:tcW w:w="6320" w:type="dxa"/>
            <w:vAlign w:val="bottom"/>
          </w:tcPr>
          <w:p>
            <w:pPr>
              <w:ind w:left="20"/>
              <w:spacing w:after="0"/>
              <w:rPr>
                <w:sz w:val="20"/>
                <w:szCs w:val="20"/>
                <w:color w:val="auto"/>
              </w:rPr>
            </w:pPr>
            <w:r>
              <w:rPr>
                <w:rFonts w:ascii="Arial" w:cs="Arial" w:eastAsia="Arial" w:hAnsi="Arial"/>
                <w:sz w:val="13"/>
                <w:szCs w:val="13"/>
                <w:color w:val="auto"/>
              </w:rPr>
              <w:t>Books and Records</w:t>
            </w:r>
          </w:p>
        </w:tc>
        <w:tc>
          <w:tcPr>
            <w:tcW w:w="3820" w:type="dxa"/>
            <w:vAlign w:val="bottom"/>
          </w:tcPr>
          <w:p>
            <w:pPr>
              <w:jc w:val="right"/>
              <w:spacing w:after="0"/>
              <w:rPr>
                <w:sz w:val="20"/>
                <w:szCs w:val="20"/>
                <w:color w:val="auto"/>
              </w:rPr>
            </w:pPr>
            <w:r>
              <w:rPr>
                <w:rFonts w:ascii="Arial" w:cs="Arial" w:eastAsia="Arial" w:hAnsi="Arial"/>
                <w:sz w:val="13"/>
                <w:szCs w:val="13"/>
                <w:color w:val="auto"/>
              </w:rPr>
              <w:t>62</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7.10</w:t>
            </w:r>
          </w:p>
        </w:tc>
        <w:tc>
          <w:tcPr>
            <w:tcW w:w="6320" w:type="dxa"/>
            <w:vAlign w:val="bottom"/>
          </w:tcPr>
          <w:p>
            <w:pPr>
              <w:ind w:left="20"/>
              <w:spacing w:after="0"/>
              <w:rPr>
                <w:sz w:val="20"/>
                <w:szCs w:val="20"/>
                <w:color w:val="auto"/>
              </w:rPr>
            </w:pPr>
            <w:r>
              <w:rPr>
                <w:rFonts w:ascii="Arial" w:cs="Arial" w:eastAsia="Arial" w:hAnsi="Arial"/>
                <w:sz w:val="13"/>
                <w:szCs w:val="13"/>
                <w:color w:val="auto"/>
              </w:rPr>
              <w:t>Inspection Rights</w:t>
            </w:r>
          </w:p>
        </w:tc>
        <w:tc>
          <w:tcPr>
            <w:tcW w:w="3820" w:type="dxa"/>
            <w:vAlign w:val="bottom"/>
          </w:tcPr>
          <w:p>
            <w:pPr>
              <w:jc w:val="right"/>
              <w:spacing w:after="0"/>
              <w:rPr>
                <w:sz w:val="20"/>
                <w:szCs w:val="20"/>
                <w:color w:val="auto"/>
              </w:rPr>
            </w:pPr>
            <w:r>
              <w:rPr>
                <w:rFonts w:ascii="Arial" w:cs="Arial" w:eastAsia="Arial" w:hAnsi="Arial"/>
                <w:sz w:val="13"/>
                <w:szCs w:val="13"/>
                <w:color w:val="auto"/>
              </w:rPr>
              <w:t>62</w:t>
            </w:r>
          </w:p>
        </w:tc>
      </w:tr>
      <w:tr>
        <w:trPr>
          <w:trHeight w:val="157"/>
        </w:trPr>
        <w:tc>
          <w:tcPr>
            <w:tcW w:w="7400" w:type="dxa"/>
            <w:vAlign w:val="bottom"/>
            <w:gridSpan w:val="2"/>
          </w:tcPr>
          <w:p>
            <w:pPr>
              <w:ind w:left="840"/>
              <w:spacing w:after="0"/>
              <w:rPr>
                <w:sz w:val="20"/>
                <w:szCs w:val="20"/>
                <w:color w:val="auto"/>
              </w:rPr>
            </w:pPr>
            <w:r>
              <w:rPr>
                <w:rFonts w:ascii="Arial" w:cs="Arial" w:eastAsia="Arial" w:hAnsi="Arial"/>
                <w:sz w:val="13"/>
                <w:szCs w:val="13"/>
                <w:color w:val="auto"/>
              </w:rPr>
              <w:t>7.11 Use of Proceeds</w:t>
            </w:r>
          </w:p>
        </w:tc>
        <w:tc>
          <w:tcPr>
            <w:tcW w:w="3820" w:type="dxa"/>
            <w:vAlign w:val="bottom"/>
          </w:tcPr>
          <w:p>
            <w:pPr>
              <w:jc w:val="right"/>
              <w:spacing w:after="0"/>
              <w:rPr>
                <w:sz w:val="20"/>
                <w:szCs w:val="20"/>
                <w:color w:val="auto"/>
              </w:rPr>
            </w:pPr>
            <w:r>
              <w:rPr>
                <w:rFonts w:ascii="Arial" w:cs="Arial" w:eastAsia="Arial" w:hAnsi="Arial"/>
                <w:sz w:val="13"/>
                <w:szCs w:val="13"/>
                <w:color w:val="auto"/>
              </w:rPr>
              <w:t>62</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7.12</w:t>
            </w:r>
          </w:p>
        </w:tc>
        <w:tc>
          <w:tcPr>
            <w:tcW w:w="6320" w:type="dxa"/>
            <w:vAlign w:val="bottom"/>
          </w:tcPr>
          <w:p>
            <w:pPr>
              <w:ind w:left="20"/>
              <w:spacing w:after="0"/>
              <w:rPr>
                <w:sz w:val="20"/>
                <w:szCs w:val="20"/>
                <w:color w:val="auto"/>
              </w:rPr>
            </w:pPr>
            <w:r>
              <w:rPr>
                <w:rFonts w:ascii="Arial" w:cs="Arial" w:eastAsia="Arial" w:hAnsi="Arial"/>
                <w:sz w:val="13"/>
                <w:szCs w:val="13"/>
                <w:color w:val="auto"/>
              </w:rPr>
              <w:t>Additional Guarantors</w:t>
            </w:r>
          </w:p>
        </w:tc>
        <w:tc>
          <w:tcPr>
            <w:tcW w:w="3820" w:type="dxa"/>
            <w:vAlign w:val="bottom"/>
          </w:tcPr>
          <w:p>
            <w:pPr>
              <w:jc w:val="right"/>
              <w:spacing w:after="0"/>
              <w:rPr>
                <w:sz w:val="20"/>
                <w:szCs w:val="20"/>
                <w:color w:val="auto"/>
              </w:rPr>
            </w:pPr>
            <w:r>
              <w:rPr>
                <w:rFonts w:ascii="Arial" w:cs="Arial" w:eastAsia="Arial" w:hAnsi="Arial"/>
                <w:sz w:val="13"/>
                <w:szCs w:val="13"/>
                <w:color w:val="auto"/>
              </w:rPr>
              <w:t>62</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7.13</w:t>
            </w:r>
          </w:p>
        </w:tc>
        <w:tc>
          <w:tcPr>
            <w:tcW w:w="6320" w:type="dxa"/>
            <w:vAlign w:val="bottom"/>
          </w:tcPr>
          <w:p>
            <w:pPr>
              <w:ind w:left="20"/>
              <w:spacing w:after="0"/>
              <w:rPr>
                <w:sz w:val="20"/>
                <w:szCs w:val="20"/>
                <w:color w:val="auto"/>
              </w:rPr>
            </w:pPr>
            <w:r>
              <w:rPr>
                <w:rFonts w:ascii="Arial" w:cs="Arial" w:eastAsia="Arial" w:hAnsi="Arial"/>
                <w:sz w:val="13"/>
                <w:szCs w:val="13"/>
                <w:color w:val="auto"/>
              </w:rPr>
              <w:t>ERISA Compliance</w:t>
            </w:r>
          </w:p>
        </w:tc>
        <w:tc>
          <w:tcPr>
            <w:tcW w:w="3820" w:type="dxa"/>
            <w:vAlign w:val="bottom"/>
          </w:tcPr>
          <w:p>
            <w:pPr>
              <w:jc w:val="right"/>
              <w:spacing w:after="0"/>
              <w:rPr>
                <w:sz w:val="20"/>
                <w:szCs w:val="20"/>
                <w:color w:val="auto"/>
              </w:rPr>
            </w:pPr>
            <w:r>
              <w:rPr>
                <w:rFonts w:ascii="Arial" w:cs="Arial" w:eastAsia="Arial" w:hAnsi="Arial"/>
                <w:sz w:val="13"/>
                <w:szCs w:val="13"/>
                <w:color w:val="auto"/>
              </w:rPr>
              <w:t>63</w:t>
            </w:r>
          </w:p>
        </w:tc>
      </w:tr>
      <w:tr>
        <w:trPr>
          <w:trHeight w:val="157"/>
        </w:trPr>
        <w:tc>
          <w:tcPr>
            <w:tcW w:w="7400" w:type="dxa"/>
            <w:vAlign w:val="bottom"/>
            <w:gridSpan w:val="2"/>
          </w:tcPr>
          <w:p>
            <w:pPr>
              <w:spacing w:after="0"/>
              <w:rPr>
                <w:sz w:val="20"/>
                <w:szCs w:val="20"/>
                <w:color w:val="auto"/>
              </w:rPr>
            </w:pPr>
            <w:r>
              <w:rPr>
                <w:rFonts w:ascii="Arial" w:cs="Arial" w:eastAsia="Arial" w:hAnsi="Arial"/>
                <w:sz w:val="13"/>
                <w:szCs w:val="13"/>
                <w:color w:val="auto"/>
              </w:rPr>
              <w:t>ARTICLE VIII NEGATIVE COVENANTS</w:t>
            </w:r>
          </w:p>
        </w:tc>
        <w:tc>
          <w:tcPr>
            <w:tcW w:w="3820" w:type="dxa"/>
            <w:vAlign w:val="bottom"/>
          </w:tcPr>
          <w:p>
            <w:pPr>
              <w:jc w:val="right"/>
              <w:spacing w:after="0"/>
              <w:rPr>
                <w:sz w:val="20"/>
                <w:szCs w:val="20"/>
                <w:color w:val="auto"/>
              </w:rPr>
            </w:pPr>
            <w:r>
              <w:rPr>
                <w:rFonts w:ascii="Arial" w:cs="Arial" w:eastAsia="Arial" w:hAnsi="Arial"/>
                <w:sz w:val="13"/>
                <w:szCs w:val="13"/>
                <w:color w:val="auto"/>
              </w:rPr>
              <w:t>63</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8.01</w:t>
            </w:r>
          </w:p>
        </w:tc>
        <w:tc>
          <w:tcPr>
            <w:tcW w:w="6320" w:type="dxa"/>
            <w:vAlign w:val="bottom"/>
          </w:tcPr>
          <w:p>
            <w:pPr>
              <w:ind w:left="20"/>
              <w:spacing w:after="0"/>
              <w:rPr>
                <w:sz w:val="20"/>
                <w:szCs w:val="20"/>
                <w:color w:val="auto"/>
              </w:rPr>
            </w:pPr>
            <w:r>
              <w:rPr>
                <w:rFonts w:ascii="Arial" w:cs="Arial" w:eastAsia="Arial" w:hAnsi="Arial"/>
                <w:sz w:val="13"/>
                <w:szCs w:val="13"/>
                <w:color w:val="auto"/>
              </w:rPr>
              <w:t>Liens</w:t>
            </w:r>
          </w:p>
        </w:tc>
        <w:tc>
          <w:tcPr>
            <w:tcW w:w="3820" w:type="dxa"/>
            <w:vAlign w:val="bottom"/>
          </w:tcPr>
          <w:p>
            <w:pPr>
              <w:jc w:val="right"/>
              <w:spacing w:after="0"/>
              <w:rPr>
                <w:sz w:val="20"/>
                <w:szCs w:val="20"/>
                <w:color w:val="auto"/>
              </w:rPr>
            </w:pPr>
            <w:r>
              <w:rPr>
                <w:rFonts w:ascii="Arial" w:cs="Arial" w:eastAsia="Arial" w:hAnsi="Arial"/>
                <w:sz w:val="13"/>
                <w:szCs w:val="13"/>
                <w:color w:val="auto"/>
              </w:rPr>
              <w:t>63</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8.02</w:t>
            </w:r>
          </w:p>
        </w:tc>
        <w:tc>
          <w:tcPr>
            <w:tcW w:w="6320" w:type="dxa"/>
            <w:vAlign w:val="bottom"/>
          </w:tcPr>
          <w:p>
            <w:pPr>
              <w:ind w:left="20"/>
              <w:spacing w:after="0"/>
              <w:rPr>
                <w:sz w:val="20"/>
                <w:szCs w:val="20"/>
                <w:color w:val="auto"/>
              </w:rPr>
            </w:pPr>
            <w:r>
              <w:rPr>
                <w:rFonts w:ascii="Arial" w:cs="Arial" w:eastAsia="Arial" w:hAnsi="Arial"/>
                <w:sz w:val="13"/>
                <w:szCs w:val="13"/>
                <w:color w:val="auto"/>
              </w:rPr>
              <w:t>Investments</w:t>
            </w:r>
          </w:p>
        </w:tc>
        <w:tc>
          <w:tcPr>
            <w:tcW w:w="3820" w:type="dxa"/>
            <w:vAlign w:val="bottom"/>
          </w:tcPr>
          <w:p>
            <w:pPr>
              <w:jc w:val="right"/>
              <w:spacing w:after="0"/>
              <w:rPr>
                <w:sz w:val="20"/>
                <w:szCs w:val="20"/>
                <w:color w:val="auto"/>
              </w:rPr>
            </w:pPr>
            <w:r>
              <w:rPr>
                <w:rFonts w:ascii="Arial" w:cs="Arial" w:eastAsia="Arial" w:hAnsi="Arial"/>
                <w:sz w:val="13"/>
                <w:szCs w:val="13"/>
                <w:color w:val="auto"/>
              </w:rPr>
              <w:t>65</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8.03</w:t>
            </w:r>
          </w:p>
        </w:tc>
        <w:tc>
          <w:tcPr>
            <w:tcW w:w="6320" w:type="dxa"/>
            <w:vAlign w:val="bottom"/>
          </w:tcPr>
          <w:p>
            <w:pPr>
              <w:ind w:left="20"/>
              <w:spacing w:after="0"/>
              <w:rPr>
                <w:sz w:val="20"/>
                <w:szCs w:val="20"/>
                <w:color w:val="auto"/>
              </w:rPr>
            </w:pPr>
            <w:r>
              <w:rPr>
                <w:rFonts w:ascii="Arial" w:cs="Arial" w:eastAsia="Arial" w:hAnsi="Arial"/>
                <w:sz w:val="13"/>
                <w:szCs w:val="13"/>
                <w:color w:val="auto"/>
              </w:rPr>
              <w:t>Indebtedness</w:t>
            </w:r>
          </w:p>
        </w:tc>
        <w:tc>
          <w:tcPr>
            <w:tcW w:w="3820" w:type="dxa"/>
            <w:vAlign w:val="bottom"/>
          </w:tcPr>
          <w:p>
            <w:pPr>
              <w:jc w:val="right"/>
              <w:spacing w:after="0"/>
              <w:rPr>
                <w:sz w:val="20"/>
                <w:szCs w:val="20"/>
                <w:color w:val="auto"/>
              </w:rPr>
            </w:pPr>
            <w:r>
              <w:rPr>
                <w:rFonts w:ascii="Arial" w:cs="Arial" w:eastAsia="Arial" w:hAnsi="Arial"/>
                <w:sz w:val="13"/>
                <w:szCs w:val="13"/>
                <w:color w:val="auto"/>
              </w:rPr>
              <w:t>65</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8.04</w:t>
            </w:r>
          </w:p>
        </w:tc>
        <w:tc>
          <w:tcPr>
            <w:tcW w:w="6320" w:type="dxa"/>
            <w:vAlign w:val="bottom"/>
          </w:tcPr>
          <w:p>
            <w:pPr>
              <w:ind w:left="20"/>
              <w:spacing w:after="0"/>
              <w:rPr>
                <w:sz w:val="20"/>
                <w:szCs w:val="20"/>
                <w:color w:val="auto"/>
              </w:rPr>
            </w:pPr>
            <w:r>
              <w:rPr>
                <w:rFonts w:ascii="Arial" w:cs="Arial" w:eastAsia="Arial" w:hAnsi="Arial"/>
                <w:sz w:val="13"/>
                <w:szCs w:val="13"/>
                <w:color w:val="auto"/>
              </w:rPr>
              <w:t>Fundamental Changes</w:t>
            </w:r>
          </w:p>
        </w:tc>
        <w:tc>
          <w:tcPr>
            <w:tcW w:w="3820" w:type="dxa"/>
            <w:vAlign w:val="bottom"/>
          </w:tcPr>
          <w:p>
            <w:pPr>
              <w:jc w:val="right"/>
              <w:spacing w:after="0"/>
              <w:rPr>
                <w:sz w:val="20"/>
                <w:szCs w:val="20"/>
                <w:color w:val="auto"/>
              </w:rPr>
            </w:pPr>
            <w:r>
              <w:rPr>
                <w:rFonts w:ascii="Arial" w:cs="Arial" w:eastAsia="Arial" w:hAnsi="Arial"/>
                <w:sz w:val="13"/>
                <w:szCs w:val="13"/>
                <w:color w:val="auto"/>
              </w:rPr>
              <w:t>66</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8.05</w:t>
            </w:r>
          </w:p>
        </w:tc>
        <w:tc>
          <w:tcPr>
            <w:tcW w:w="6320" w:type="dxa"/>
            <w:vAlign w:val="bottom"/>
          </w:tcPr>
          <w:p>
            <w:pPr>
              <w:ind w:left="20"/>
              <w:spacing w:after="0"/>
              <w:rPr>
                <w:sz w:val="20"/>
                <w:szCs w:val="20"/>
                <w:color w:val="auto"/>
              </w:rPr>
            </w:pPr>
            <w:r>
              <w:rPr>
                <w:rFonts w:ascii="Arial" w:cs="Arial" w:eastAsia="Arial" w:hAnsi="Arial"/>
                <w:sz w:val="13"/>
                <w:szCs w:val="13"/>
                <w:color w:val="auto"/>
              </w:rPr>
              <w:t>Dispositions</w:t>
            </w:r>
          </w:p>
        </w:tc>
        <w:tc>
          <w:tcPr>
            <w:tcW w:w="3820" w:type="dxa"/>
            <w:vAlign w:val="bottom"/>
          </w:tcPr>
          <w:p>
            <w:pPr>
              <w:jc w:val="right"/>
              <w:spacing w:after="0"/>
              <w:rPr>
                <w:sz w:val="20"/>
                <w:szCs w:val="20"/>
                <w:color w:val="auto"/>
              </w:rPr>
            </w:pPr>
            <w:r>
              <w:rPr>
                <w:rFonts w:ascii="Arial" w:cs="Arial" w:eastAsia="Arial" w:hAnsi="Arial"/>
                <w:sz w:val="13"/>
                <w:szCs w:val="13"/>
                <w:color w:val="auto"/>
              </w:rPr>
              <w:t>67</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8.06</w:t>
            </w:r>
          </w:p>
        </w:tc>
        <w:tc>
          <w:tcPr>
            <w:tcW w:w="6320" w:type="dxa"/>
            <w:vAlign w:val="bottom"/>
          </w:tcPr>
          <w:p>
            <w:pPr>
              <w:ind w:left="20"/>
              <w:spacing w:after="0"/>
              <w:rPr>
                <w:sz w:val="20"/>
                <w:szCs w:val="20"/>
                <w:color w:val="auto"/>
              </w:rPr>
            </w:pPr>
            <w:r>
              <w:rPr>
                <w:rFonts w:ascii="Arial" w:cs="Arial" w:eastAsia="Arial" w:hAnsi="Arial"/>
                <w:sz w:val="13"/>
                <w:szCs w:val="13"/>
                <w:color w:val="auto"/>
              </w:rPr>
              <w:t>Restricted Payments</w:t>
            </w:r>
          </w:p>
        </w:tc>
        <w:tc>
          <w:tcPr>
            <w:tcW w:w="3820" w:type="dxa"/>
            <w:vAlign w:val="bottom"/>
          </w:tcPr>
          <w:p>
            <w:pPr>
              <w:jc w:val="right"/>
              <w:spacing w:after="0"/>
              <w:rPr>
                <w:sz w:val="20"/>
                <w:szCs w:val="20"/>
                <w:color w:val="auto"/>
              </w:rPr>
            </w:pPr>
            <w:r>
              <w:rPr>
                <w:rFonts w:ascii="Arial" w:cs="Arial" w:eastAsia="Arial" w:hAnsi="Arial"/>
                <w:sz w:val="13"/>
                <w:szCs w:val="13"/>
                <w:color w:val="auto"/>
              </w:rPr>
              <w:t>67</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8.07</w:t>
            </w:r>
          </w:p>
        </w:tc>
        <w:tc>
          <w:tcPr>
            <w:tcW w:w="6320" w:type="dxa"/>
            <w:vAlign w:val="bottom"/>
          </w:tcPr>
          <w:p>
            <w:pPr>
              <w:ind w:left="20"/>
              <w:spacing w:after="0"/>
              <w:rPr>
                <w:sz w:val="20"/>
                <w:szCs w:val="20"/>
                <w:color w:val="auto"/>
              </w:rPr>
            </w:pPr>
            <w:r>
              <w:rPr>
                <w:rFonts w:ascii="Arial" w:cs="Arial" w:eastAsia="Arial" w:hAnsi="Arial"/>
                <w:sz w:val="13"/>
                <w:szCs w:val="13"/>
                <w:color w:val="auto"/>
              </w:rPr>
              <w:t>Change in Nature of Business</w:t>
            </w:r>
          </w:p>
        </w:tc>
        <w:tc>
          <w:tcPr>
            <w:tcW w:w="3820" w:type="dxa"/>
            <w:vAlign w:val="bottom"/>
          </w:tcPr>
          <w:p>
            <w:pPr>
              <w:jc w:val="right"/>
              <w:spacing w:after="0"/>
              <w:rPr>
                <w:sz w:val="20"/>
                <w:szCs w:val="20"/>
                <w:color w:val="auto"/>
              </w:rPr>
            </w:pPr>
            <w:r>
              <w:rPr>
                <w:rFonts w:ascii="Arial" w:cs="Arial" w:eastAsia="Arial" w:hAnsi="Arial"/>
                <w:sz w:val="13"/>
                <w:szCs w:val="13"/>
                <w:color w:val="auto"/>
              </w:rPr>
              <w:t>68</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8.08</w:t>
            </w:r>
          </w:p>
        </w:tc>
        <w:tc>
          <w:tcPr>
            <w:tcW w:w="6320" w:type="dxa"/>
            <w:vAlign w:val="bottom"/>
          </w:tcPr>
          <w:p>
            <w:pPr>
              <w:ind w:left="20"/>
              <w:spacing w:after="0"/>
              <w:rPr>
                <w:sz w:val="20"/>
                <w:szCs w:val="20"/>
                <w:color w:val="auto"/>
              </w:rPr>
            </w:pPr>
            <w:r>
              <w:rPr>
                <w:rFonts w:ascii="Arial" w:cs="Arial" w:eastAsia="Arial" w:hAnsi="Arial"/>
                <w:sz w:val="13"/>
                <w:szCs w:val="13"/>
                <w:color w:val="auto"/>
              </w:rPr>
              <w:t>Transactions with Affiliates and Insiders</w:t>
            </w:r>
          </w:p>
        </w:tc>
        <w:tc>
          <w:tcPr>
            <w:tcW w:w="3820" w:type="dxa"/>
            <w:vAlign w:val="bottom"/>
          </w:tcPr>
          <w:p>
            <w:pPr>
              <w:jc w:val="right"/>
              <w:spacing w:after="0"/>
              <w:rPr>
                <w:sz w:val="20"/>
                <w:szCs w:val="20"/>
                <w:color w:val="auto"/>
              </w:rPr>
            </w:pPr>
            <w:r>
              <w:rPr>
                <w:rFonts w:ascii="Arial" w:cs="Arial" w:eastAsia="Arial" w:hAnsi="Arial"/>
                <w:sz w:val="13"/>
                <w:szCs w:val="13"/>
                <w:color w:val="auto"/>
              </w:rPr>
              <w:t>68</w:t>
            </w:r>
          </w:p>
        </w:tc>
      </w:tr>
      <w:tr>
        <w:trPr>
          <w:trHeight w:val="157"/>
        </w:trPr>
        <w:tc>
          <w:tcPr>
            <w:tcW w:w="1080" w:type="dxa"/>
            <w:vAlign w:val="bottom"/>
          </w:tcPr>
          <w:p>
            <w:pPr>
              <w:ind w:left="840"/>
              <w:spacing w:after="0"/>
              <w:rPr>
                <w:sz w:val="20"/>
                <w:szCs w:val="20"/>
                <w:color w:val="auto"/>
              </w:rPr>
            </w:pPr>
            <w:r>
              <w:rPr>
                <w:rFonts w:ascii="Arial" w:cs="Arial" w:eastAsia="Arial" w:hAnsi="Arial"/>
                <w:sz w:val="13"/>
                <w:szCs w:val="13"/>
                <w:color w:val="auto"/>
                <w:w w:val="86"/>
              </w:rPr>
              <w:t>8.09</w:t>
            </w:r>
          </w:p>
        </w:tc>
        <w:tc>
          <w:tcPr>
            <w:tcW w:w="6320" w:type="dxa"/>
            <w:vAlign w:val="bottom"/>
          </w:tcPr>
          <w:p>
            <w:pPr>
              <w:ind w:left="20"/>
              <w:spacing w:after="0"/>
              <w:rPr>
                <w:sz w:val="20"/>
                <w:szCs w:val="20"/>
                <w:color w:val="auto"/>
              </w:rPr>
            </w:pPr>
            <w:r>
              <w:rPr>
                <w:rFonts w:ascii="Arial" w:cs="Arial" w:eastAsia="Arial" w:hAnsi="Arial"/>
                <w:sz w:val="13"/>
                <w:szCs w:val="13"/>
                <w:color w:val="auto"/>
              </w:rPr>
              <w:t>Burdensome Agreements</w:t>
            </w:r>
          </w:p>
        </w:tc>
        <w:tc>
          <w:tcPr>
            <w:tcW w:w="3820" w:type="dxa"/>
            <w:vAlign w:val="bottom"/>
          </w:tcPr>
          <w:p>
            <w:pPr>
              <w:jc w:val="right"/>
              <w:spacing w:after="0"/>
              <w:rPr>
                <w:sz w:val="20"/>
                <w:szCs w:val="20"/>
                <w:color w:val="auto"/>
              </w:rPr>
            </w:pPr>
            <w:r>
              <w:rPr>
                <w:rFonts w:ascii="Arial" w:cs="Arial" w:eastAsia="Arial" w:hAnsi="Arial"/>
                <w:sz w:val="13"/>
                <w:szCs w:val="13"/>
                <w:color w:val="auto"/>
              </w:rPr>
              <w:t>68</w:t>
            </w:r>
          </w:p>
        </w:tc>
      </w:tr>
      <w:tr>
        <w:trPr>
          <w:trHeight w:val="165"/>
        </w:trPr>
        <w:tc>
          <w:tcPr>
            <w:tcW w:w="1080" w:type="dxa"/>
            <w:vAlign w:val="bottom"/>
          </w:tcPr>
          <w:p>
            <w:pPr>
              <w:ind w:left="840"/>
              <w:spacing w:after="0"/>
              <w:rPr>
                <w:sz w:val="20"/>
                <w:szCs w:val="20"/>
                <w:color w:val="auto"/>
              </w:rPr>
            </w:pPr>
            <w:r>
              <w:rPr>
                <w:rFonts w:ascii="Arial" w:cs="Arial" w:eastAsia="Arial" w:hAnsi="Arial"/>
                <w:sz w:val="13"/>
                <w:szCs w:val="13"/>
                <w:color w:val="auto"/>
                <w:w w:val="86"/>
              </w:rPr>
              <w:t>8.10</w:t>
            </w:r>
          </w:p>
        </w:tc>
        <w:tc>
          <w:tcPr>
            <w:tcW w:w="6320" w:type="dxa"/>
            <w:vAlign w:val="bottom"/>
          </w:tcPr>
          <w:p>
            <w:pPr>
              <w:ind w:left="20"/>
              <w:spacing w:after="0"/>
              <w:rPr>
                <w:sz w:val="20"/>
                <w:szCs w:val="20"/>
                <w:color w:val="auto"/>
              </w:rPr>
            </w:pPr>
            <w:r>
              <w:rPr>
                <w:rFonts w:ascii="Arial" w:cs="Arial" w:eastAsia="Arial" w:hAnsi="Arial"/>
                <w:sz w:val="13"/>
                <w:szCs w:val="13"/>
                <w:color w:val="auto"/>
              </w:rPr>
              <w:t>Use of Proceeds</w:t>
            </w:r>
          </w:p>
        </w:tc>
        <w:tc>
          <w:tcPr>
            <w:tcW w:w="3820" w:type="dxa"/>
            <w:vAlign w:val="bottom"/>
          </w:tcPr>
          <w:p>
            <w:pPr>
              <w:jc w:val="right"/>
              <w:spacing w:after="0"/>
              <w:rPr>
                <w:sz w:val="20"/>
                <w:szCs w:val="20"/>
                <w:color w:val="auto"/>
              </w:rPr>
            </w:pPr>
            <w:r>
              <w:rPr>
                <w:rFonts w:ascii="Arial" w:cs="Arial" w:eastAsia="Arial" w:hAnsi="Arial"/>
                <w:sz w:val="13"/>
                <w:szCs w:val="13"/>
                <w:color w:val="auto"/>
              </w:rPr>
              <w:t>69</w:t>
            </w:r>
          </w:p>
        </w:tc>
      </w:tr>
    </w:tbl>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220" w:top="878" w:right="45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57"/>
        </w:trPr>
        <w:tc>
          <w:tcPr>
            <w:tcW w:w="8480" w:type="dxa"/>
            <w:vAlign w:val="bottom"/>
            <w:gridSpan w:val="2"/>
          </w:tcPr>
          <w:p>
            <w:pPr>
              <w:ind w:left="840"/>
              <w:spacing w:after="0"/>
              <w:rPr>
                <w:sz w:val="20"/>
                <w:szCs w:val="20"/>
                <w:color w:val="auto"/>
              </w:rPr>
            </w:pPr>
            <w:r>
              <w:rPr>
                <w:rFonts w:ascii="Arial" w:cs="Arial" w:eastAsia="Arial" w:hAnsi="Arial"/>
                <w:sz w:val="13"/>
                <w:szCs w:val="13"/>
                <w:color w:val="auto"/>
              </w:rPr>
              <w:t>8.11 Financial Covenants</w:t>
            </w:r>
          </w:p>
        </w:tc>
        <w:tc>
          <w:tcPr>
            <w:tcW w:w="2740" w:type="dxa"/>
            <w:vAlign w:val="bottom"/>
          </w:tcPr>
          <w:p>
            <w:pPr>
              <w:jc w:val="right"/>
              <w:spacing w:after="0"/>
              <w:rPr>
                <w:sz w:val="20"/>
                <w:szCs w:val="20"/>
                <w:color w:val="auto"/>
              </w:rPr>
            </w:pPr>
            <w:r>
              <w:rPr>
                <w:rFonts w:ascii="Arial" w:cs="Arial" w:eastAsia="Arial" w:hAnsi="Arial"/>
                <w:sz w:val="13"/>
                <w:szCs w:val="13"/>
                <w:color w:val="auto"/>
              </w:rPr>
              <w:t>69</w:t>
            </w:r>
          </w:p>
        </w:tc>
      </w:tr>
      <w:tr>
        <w:trPr>
          <w:trHeight w:val="157"/>
        </w:trPr>
        <w:tc>
          <w:tcPr>
            <w:tcW w:w="8480" w:type="dxa"/>
            <w:vAlign w:val="bottom"/>
            <w:gridSpan w:val="2"/>
          </w:tcPr>
          <w:p>
            <w:pPr>
              <w:ind w:left="840"/>
              <w:spacing w:after="0"/>
              <w:rPr>
                <w:sz w:val="20"/>
                <w:szCs w:val="20"/>
                <w:color w:val="auto"/>
              </w:rPr>
            </w:pPr>
            <w:r>
              <w:rPr>
                <w:rFonts w:ascii="Arial" w:cs="Arial" w:eastAsia="Arial" w:hAnsi="Arial"/>
                <w:sz w:val="13"/>
                <w:szCs w:val="13"/>
                <w:color w:val="auto"/>
              </w:rPr>
              <w:t>8.12 Prepayment of Other Indebtedness, Etc.</w:t>
            </w:r>
          </w:p>
        </w:tc>
        <w:tc>
          <w:tcPr>
            <w:tcW w:w="2740" w:type="dxa"/>
            <w:vAlign w:val="bottom"/>
          </w:tcPr>
          <w:p>
            <w:pPr>
              <w:jc w:val="right"/>
              <w:spacing w:after="0"/>
              <w:rPr>
                <w:sz w:val="20"/>
                <w:szCs w:val="20"/>
                <w:color w:val="auto"/>
              </w:rPr>
            </w:pPr>
            <w:r>
              <w:rPr>
                <w:rFonts w:ascii="Arial" w:cs="Arial" w:eastAsia="Arial" w:hAnsi="Arial"/>
                <w:sz w:val="13"/>
                <w:szCs w:val="13"/>
                <w:color w:val="auto"/>
              </w:rPr>
              <w:t>69</w:t>
            </w:r>
          </w:p>
        </w:tc>
      </w:tr>
      <w:tr>
        <w:trPr>
          <w:trHeight w:val="157"/>
        </w:trPr>
        <w:tc>
          <w:tcPr>
            <w:tcW w:w="8480" w:type="dxa"/>
            <w:vAlign w:val="bottom"/>
            <w:gridSpan w:val="2"/>
          </w:tcPr>
          <w:p>
            <w:pPr>
              <w:ind w:left="840"/>
              <w:spacing w:after="0"/>
              <w:rPr>
                <w:sz w:val="20"/>
                <w:szCs w:val="20"/>
                <w:color w:val="auto"/>
              </w:rPr>
            </w:pPr>
            <w:r>
              <w:rPr>
                <w:rFonts w:ascii="Arial" w:cs="Arial" w:eastAsia="Arial" w:hAnsi="Arial"/>
                <w:sz w:val="13"/>
                <w:szCs w:val="13"/>
                <w:color w:val="auto"/>
              </w:rPr>
              <w:t>8.13 Organization Documents; Fiscal Year; Legal Name, State of Formation and Form of Entity</w:t>
            </w:r>
          </w:p>
        </w:tc>
        <w:tc>
          <w:tcPr>
            <w:tcW w:w="2740" w:type="dxa"/>
            <w:vAlign w:val="bottom"/>
          </w:tcPr>
          <w:p>
            <w:pPr>
              <w:jc w:val="right"/>
              <w:spacing w:after="0"/>
              <w:rPr>
                <w:sz w:val="20"/>
                <w:szCs w:val="20"/>
                <w:color w:val="auto"/>
              </w:rPr>
            </w:pPr>
            <w:r>
              <w:rPr>
                <w:rFonts w:ascii="Arial" w:cs="Arial" w:eastAsia="Arial" w:hAnsi="Arial"/>
                <w:sz w:val="13"/>
                <w:szCs w:val="13"/>
                <w:color w:val="auto"/>
              </w:rPr>
              <w:t>69</w:t>
            </w:r>
          </w:p>
        </w:tc>
      </w:tr>
      <w:tr>
        <w:trPr>
          <w:trHeight w:val="157"/>
        </w:trPr>
        <w:tc>
          <w:tcPr>
            <w:tcW w:w="8480" w:type="dxa"/>
            <w:vAlign w:val="bottom"/>
            <w:gridSpan w:val="2"/>
          </w:tcPr>
          <w:p>
            <w:pPr>
              <w:spacing w:after="0"/>
              <w:rPr>
                <w:sz w:val="20"/>
                <w:szCs w:val="20"/>
                <w:color w:val="auto"/>
              </w:rPr>
            </w:pPr>
            <w:r>
              <w:rPr>
                <w:rFonts w:ascii="Arial" w:cs="Arial" w:eastAsia="Arial" w:hAnsi="Arial"/>
                <w:sz w:val="13"/>
                <w:szCs w:val="13"/>
                <w:color w:val="auto"/>
              </w:rPr>
              <w:t>ARTICLE IX EVENTS OF DEFAULT AND REMEDIES</w:t>
            </w:r>
          </w:p>
        </w:tc>
        <w:tc>
          <w:tcPr>
            <w:tcW w:w="2740" w:type="dxa"/>
            <w:vAlign w:val="bottom"/>
          </w:tcPr>
          <w:p>
            <w:pPr>
              <w:jc w:val="right"/>
              <w:spacing w:after="0"/>
              <w:rPr>
                <w:sz w:val="20"/>
                <w:szCs w:val="20"/>
                <w:color w:val="auto"/>
              </w:rPr>
            </w:pPr>
            <w:r>
              <w:rPr>
                <w:rFonts w:ascii="Arial" w:cs="Arial" w:eastAsia="Arial" w:hAnsi="Arial"/>
                <w:sz w:val="13"/>
                <w:szCs w:val="13"/>
                <w:color w:val="auto"/>
              </w:rPr>
              <w:t>70</w:t>
            </w:r>
          </w:p>
        </w:tc>
      </w:tr>
      <w:tr>
        <w:trPr>
          <w:trHeight w:val="157"/>
        </w:trPr>
        <w:tc>
          <w:tcPr>
            <w:tcW w:w="8480" w:type="dxa"/>
            <w:vAlign w:val="bottom"/>
            <w:gridSpan w:val="2"/>
          </w:tcPr>
          <w:p>
            <w:pPr>
              <w:ind w:left="840"/>
              <w:spacing w:after="0"/>
              <w:rPr>
                <w:sz w:val="20"/>
                <w:szCs w:val="20"/>
                <w:color w:val="auto"/>
              </w:rPr>
            </w:pPr>
            <w:r>
              <w:rPr>
                <w:rFonts w:ascii="Arial" w:cs="Arial" w:eastAsia="Arial" w:hAnsi="Arial"/>
                <w:sz w:val="13"/>
                <w:szCs w:val="13"/>
                <w:color w:val="auto"/>
              </w:rPr>
              <w:t>9.01 Events of Default</w:t>
            </w:r>
          </w:p>
        </w:tc>
        <w:tc>
          <w:tcPr>
            <w:tcW w:w="2740" w:type="dxa"/>
            <w:vAlign w:val="bottom"/>
          </w:tcPr>
          <w:p>
            <w:pPr>
              <w:jc w:val="right"/>
              <w:spacing w:after="0"/>
              <w:rPr>
                <w:sz w:val="20"/>
                <w:szCs w:val="20"/>
                <w:color w:val="auto"/>
              </w:rPr>
            </w:pPr>
            <w:r>
              <w:rPr>
                <w:rFonts w:ascii="Arial" w:cs="Arial" w:eastAsia="Arial" w:hAnsi="Arial"/>
                <w:sz w:val="13"/>
                <w:szCs w:val="13"/>
                <w:color w:val="auto"/>
              </w:rPr>
              <w:t>70</w:t>
            </w:r>
          </w:p>
        </w:tc>
      </w:tr>
      <w:tr>
        <w:trPr>
          <w:trHeight w:val="157"/>
        </w:trPr>
        <w:tc>
          <w:tcPr>
            <w:tcW w:w="8480" w:type="dxa"/>
            <w:vAlign w:val="bottom"/>
            <w:gridSpan w:val="2"/>
          </w:tcPr>
          <w:p>
            <w:pPr>
              <w:ind w:left="840"/>
              <w:spacing w:after="0"/>
              <w:rPr>
                <w:sz w:val="20"/>
                <w:szCs w:val="20"/>
                <w:color w:val="auto"/>
              </w:rPr>
            </w:pPr>
            <w:r>
              <w:rPr>
                <w:rFonts w:ascii="Arial" w:cs="Arial" w:eastAsia="Arial" w:hAnsi="Arial"/>
                <w:sz w:val="13"/>
                <w:szCs w:val="13"/>
                <w:color w:val="auto"/>
              </w:rPr>
              <w:t>9.02 Remedies Upon Event of Default</w:t>
            </w:r>
          </w:p>
        </w:tc>
        <w:tc>
          <w:tcPr>
            <w:tcW w:w="2740" w:type="dxa"/>
            <w:vAlign w:val="bottom"/>
          </w:tcPr>
          <w:p>
            <w:pPr>
              <w:jc w:val="right"/>
              <w:spacing w:after="0"/>
              <w:rPr>
                <w:sz w:val="20"/>
                <w:szCs w:val="20"/>
                <w:color w:val="auto"/>
              </w:rPr>
            </w:pPr>
            <w:r>
              <w:rPr>
                <w:rFonts w:ascii="Arial" w:cs="Arial" w:eastAsia="Arial" w:hAnsi="Arial"/>
                <w:sz w:val="13"/>
                <w:szCs w:val="13"/>
                <w:color w:val="auto"/>
              </w:rPr>
              <w:t>71</w:t>
            </w:r>
          </w:p>
        </w:tc>
      </w:tr>
      <w:tr>
        <w:trPr>
          <w:trHeight w:val="157"/>
        </w:trPr>
        <w:tc>
          <w:tcPr>
            <w:tcW w:w="8480" w:type="dxa"/>
            <w:vAlign w:val="bottom"/>
            <w:gridSpan w:val="2"/>
          </w:tcPr>
          <w:p>
            <w:pPr>
              <w:ind w:left="840"/>
              <w:spacing w:after="0"/>
              <w:rPr>
                <w:sz w:val="20"/>
                <w:szCs w:val="20"/>
                <w:color w:val="auto"/>
              </w:rPr>
            </w:pPr>
            <w:r>
              <w:rPr>
                <w:rFonts w:ascii="Arial" w:cs="Arial" w:eastAsia="Arial" w:hAnsi="Arial"/>
                <w:sz w:val="13"/>
                <w:szCs w:val="13"/>
                <w:color w:val="auto"/>
              </w:rPr>
              <w:t>9.03 Application of Funds</w:t>
            </w:r>
          </w:p>
        </w:tc>
        <w:tc>
          <w:tcPr>
            <w:tcW w:w="2740" w:type="dxa"/>
            <w:vAlign w:val="bottom"/>
          </w:tcPr>
          <w:p>
            <w:pPr>
              <w:jc w:val="right"/>
              <w:spacing w:after="0"/>
              <w:rPr>
                <w:sz w:val="20"/>
                <w:szCs w:val="20"/>
                <w:color w:val="auto"/>
              </w:rPr>
            </w:pPr>
            <w:r>
              <w:rPr>
                <w:rFonts w:ascii="Arial" w:cs="Arial" w:eastAsia="Arial" w:hAnsi="Arial"/>
                <w:sz w:val="13"/>
                <w:szCs w:val="13"/>
                <w:color w:val="auto"/>
              </w:rPr>
              <w:t>72</w:t>
            </w:r>
          </w:p>
        </w:tc>
      </w:tr>
      <w:tr>
        <w:trPr>
          <w:trHeight w:val="157"/>
        </w:trPr>
        <w:tc>
          <w:tcPr>
            <w:tcW w:w="8480" w:type="dxa"/>
            <w:vAlign w:val="bottom"/>
            <w:gridSpan w:val="2"/>
          </w:tcPr>
          <w:p>
            <w:pPr>
              <w:spacing w:after="0"/>
              <w:rPr>
                <w:sz w:val="20"/>
                <w:szCs w:val="20"/>
                <w:color w:val="auto"/>
              </w:rPr>
            </w:pPr>
            <w:r>
              <w:rPr>
                <w:rFonts w:ascii="Arial" w:cs="Arial" w:eastAsia="Arial" w:hAnsi="Arial"/>
                <w:sz w:val="13"/>
                <w:szCs w:val="13"/>
                <w:color w:val="auto"/>
              </w:rPr>
              <w:t>ARTICLE X ADMINISTRATIVE AGENT</w:t>
            </w:r>
          </w:p>
        </w:tc>
        <w:tc>
          <w:tcPr>
            <w:tcW w:w="2740" w:type="dxa"/>
            <w:vAlign w:val="bottom"/>
          </w:tcPr>
          <w:p>
            <w:pPr>
              <w:jc w:val="right"/>
              <w:spacing w:after="0"/>
              <w:rPr>
                <w:sz w:val="20"/>
                <w:szCs w:val="20"/>
                <w:color w:val="auto"/>
              </w:rPr>
            </w:pPr>
            <w:r>
              <w:rPr>
                <w:rFonts w:ascii="Arial" w:cs="Arial" w:eastAsia="Arial" w:hAnsi="Arial"/>
                <w:sz w:val="13"/>
                <w:szCs w:val="13"/>
                <w:color w:val="auto"/>
              </w:rPr>
              <w:t>73</w:t>
            </w:r>
          </w:p>
        </w:tc>
      </w:tr>
      <w:tr>
        <w:trPr>
          <w:trHeight w:val="157"/>
        </w:trPr>
        <w:tc>
          <w:tcPr>
            <w:tcW w:w="8480" w:type="dxa"/>
            <w:vAlign w:val="bottom"/>
            <w:gridSpan w:val="2"/>
          </w:tcPr>
          <w:p>
            <w:pPr>
              <w:ind w:left="840"/>
              <w:spacing w:after="0"/>
              <w:rPr>
                <w:sz w:val="20"/>
                <w:szCs w:val="20"/>
                <w:color w:val="auto"/>
              </w:rPr>
            </w:pPr>
            <w:r>
              <w:rPr>
                <w:rFonts w:ascii="Arial" w:cs="Arial" w:eastAsia="Arial" w:hAnsi="Arial"/>
                <w:sz w:val="13"/>
                <w:szCs w:val="13"/>
                <w:color w:val="auto"/>
              </w:rPr>
              <w:t>10.01 Appointment and Authority</w:t>
            </w:r>
          </w:p>
        </w:tc>
        <w:tc>
          <w:tcPr>
            <w:tcW w:w="2740" w:type="dxa"/>
            <w:vAlign w:val="bottom"/>
          </w:tcPr>
          <w:p>
            <w:pPr>
              <w:jc w:val="right"/>
              <w:spacing w:after="0"/>
              <w:rPr>
                <w:sz w:val="20"/>
                <w:szCs w:val="20"/>
                <w:color w:val="auto"/>
              </w:rPr>
            </w:pPr>
            <w:r>
              <w:rPr>
                <w:rFonts w:ascii="Arial" w:cs="Arial" w:eastAsia="Arial" w:hAnsi="Arial"/>
                <w:sz w:val="13"/>
                <w:szCs w:val="13"/>
                <w:color w:val="auto"/>
              </w:rPr>
              <w:t>73</w:t>
            </w:r>
          </w:p>
        </w:tc>
      </w:tr>
      <w:tr>
        <w:trPr>
          <w:trHeight w:val="157"/>
        </w:trPr>
        <w:tc>
          <w:tcPr>
            <w:tcW w:w="8480" w:type="dxa"/>
            <w:vAlign w:val="bottom"/>
            <w:gridSpan w:val="2"/>
          </w:tcPr>
          <w:p>
            <w:pPr>
              <w:ind w:left="840"/>
              <w:spacing w:after="0"/>
              <w:rPr>
                <w:sz w:val="20"/>
                <w:szCs w:val="20"/>
                <w:color w:val="auto"/>
              </w:rPr>
            </w:pPr>
            <w:r>
              <w:rPr>
                <w:rFonts w:ascii="Arial" w:cs="Arial" w:eastAsia="Arial" w:hAnsi="Arial"/>
                <w:sz w:val="13"/>
                <w:szCs w:val="13"/>
                <w:color w:val="auto"/>
              </w:rPr>
              <w:t>10.02 Rights as a Lender</w:t>
            </w:r>
          </w:p>
        </w:tc>
        <w:tc>
          <w:tcPr>
            <w:tcW w:w="2740" w:type="dxa"/>
            <w:vAlign w:val="bottom"/>
          </w:tcPr>
          <w:p>
            <w:pPr>
              <w:jc w:val="right"/>
              <w:spacing w:after="0"/>
              <w:rPr>
                <w:sz w:val="20"/>
                <w:szCs w:val="20"/>
                <w:color w:val="auto"/>
              </w:rPr>
            </w:pPr>
            <w:r>
              <w:rPr>
                <w:rFonts w:ascii="Arial" w:cs="Arial" w:eastAsia="Arial" w:hAnsi="Arial"/>
                <w:sz w:val="13"/>
                <w:szCs w:val="13"/>
                <w:color w:val="auto"/>
              </w:rPr>
              <w:t>73</w:t>
            </w:r>
          </w:p>
        </w:tc>
      </w:tr>
      <w:tr>
        <w:trPr>
          <w:trHeight w:val="157"/>
        </w:trPr>
        <w:tc>
          <w:tcPr>
            <w:tcW w:w="8480" w:type="dxa"/>
            <w:vAlign w:val="bottom"/>
            <w:gridSpan w:val="2"/>
          </w:tcPr>
          <w:p>
            <w:pPr>
              <w:ind w:left="840"/>
              <w:spacing w:after="0"/>
              <w:rPr>
                <w:sz w:val="20"/>
                <w:szCs w:val="20"/>
                <w:color w:val="auto"/>
              </w:rPr>
            </w:pPr>
            <w:r>
              <w:rPr>
                <w:rFonts w:ascii="Arial" w:cs="Arial" w:eastAsia="Arial" w:hAnsi="Arial"/>
                <w:sz w:val="13"/>
                <w:szCs w:val="13"/>
                <w:color w:val="auto"/>
              </w:rPr>
              <w:t>10.03 Exculpatory Provisions</w:t>
            </w:r>
          </w:p>
        </w:tc>
        <w:tc>
          <w:tcPr>
            <w:tcW w:w="2740" w:type="dxa"/>
            <w:vAlign w:val="bottom"/>
          </w:tcPr>
          <w:p>
            <w:pPr>
              <w:jc w:val="right"/>
              <w:spacing w:after="0"/>
              <w:rPr>
                <w:sz w:val="20"/>
                <w:szCs w:val="20"/>
                <w:color w:val="auto"/>
              </w:rPr>
            </w:pPr>
            <w:r>
              <w:rPr>
                <w:rFonts w:ascii="Arial" w:cs="Arial" w:eastAsia="Arial" w:hAnsi="Arial"/>
                <w:sz w:val="13"/>
                <w:szCs w:val="13"/>
                <w:color w:val="auto"/>
              </w:rPr>
              <w:t>73</w:t>
            </w:r>
          </w:p>
        </w:tc>
      </w:tr>
      <w:tr>
        <w:trPr>
          <w:trHeight w:val="157"/>
        </w:trPr>
        <w:tc>
          <w:tcPr>
            <w:tcW w:w="8480" w:type="dxa"/>
            <w:vAlign w:val="bottom"/>
            <w:gridSpan w:val="2"/>
          </w:tcPr>
          <w:p>
            <w:pPr>
              <w:ind w:left="840"/>
              <w:spacing w:after="0"/>
              <w:rPr>
                <w:sz w:val="20"/>
                <w:szCs w:val="20"/>
                <w:color w:val="auto"/>
              </w:rPr>
            </w:pPr>
            <w:r>
              <w:rPr>
                <w:rFonts w:ascii="Arial" w:cs="Arial" w:eastAsia="Arial" w:hAnsi="Arial"/>
                <w:sz w:val="13"/>
                <w:szCs w:val="13"/>
                <w:color w:val="auto"/>
              </w:rPr>
              <w:t>10.04 Reliance by Administrative Agent</w:t>
            </w:r>
          </w:p>
        </w:tc>
        <w:tc>
          <w:tcPr>
            <w:tcW w:w="2740" w:type="dxa"/>
            <w:vAlign w:val="bottom"/>
          </w:tcPr>
          <w:p>
            <w:pPr>
              <w:jc w:val="right"/>
              <w:spacing w:after="0"/>
              <w:rPr>
                <w:sz w:val="20"/>
                <w:szCs w:val="20"/>
                <w:color w:val="auto"/>
              </w:rPr>
            </w:pPr>
            <w:r>
              <w:rPr>
                <w:rFonts w:ascii="Arial" w:cs="Arial" w:eastAsia="Arial" w:hAnsi="Arial"/>
                <w:sz w:val="13"/>
                <w:szCs w:val="13"/>
                <w:color w:val="auto"/>
              </w:rPr>
              <w:t>74</w:t>
            </w:r>
          </w:p>
        </w:tc>
      </w:tr>
      <w:tr>
        <w:trPr>
          <w:trHeight w:val="157"/>
        </w:trPr>
        <w:tc>
          <w:tcPr>
            <w:tcW w:w="8480" w:type="dxa"/>
            <w:vAlign w:val="bottom"/>
            <w:gridSpan w:val="2"/>
          </w:tcPr>
          <w:p>
            <w:pPr>
              <w:ind w:left="840"/>
              <w:spacing w:after="0"/>
              <w:rPr>
                <w:sz w:val="20"/>
                <w:szCs w:val="20"/>
                <w:color w:val="auto"/>
              </w:rPr>
            </w:pPr>
            <w:r>
              <w:rPr>
                <w:rFonts w:ascii="Arial" w:cs="Arial" w:eastAsia="Arial" w:hAnsi="Arial"/>
                <w:sz w:val="13"/>
                <w:szCs w:val="13"/>
                <w:color w:val="auto"/>
              </w:rPr>
              <w:t>10.05 Delegation of Duties</w:t>
            </w:r>
          </w:p>
        </w:tc>
        <w:tc>
          <w:tcPr>
            <w:tcW w:w="2740" w:type="dxa"/>
            <w:vAlign w:val="bottom"/>
          </w:tcPr>
          <w:p>
            <w:pPr>
              <w:jc w:val="right"/>
              <w:spacing w:after="0"/>
              <w:rPr>
                <w:sz w:val="20"/>
                <w:szCs w:val="20"/>
                <w:color w:val="auto"/>
              </w:rPr>
            </w:pPr>
            <w:r>
              <w:rPr>
                <w:rFonts w:ascii="Arial" w:cs="Arial" w:eastAsia="Arial" w:hAnsi="Arial"/>
                <w:sz w:val="13"/>
                <w:szCs w:val="13"/>
                <w:color w:val="auto"/>
              </w:rPr>
              <w:t>74</w:t>
            </w:r>
          </w:p>
        </w:tc>
      </w:tr>
      <w:tr>
        <w:trPr>
          <w:trHeight w:val="157"/>
        </w:trPr>
        <w:tc>
          <w:tcPr>
            <w:tcW w:w="8480" w:type="dxa"/>
            <w:vAlign w:val="bottom"/>
            <w:gridSpan w:val="2"/>
          </w:tcPr>
          <w:p>
            <w:pPr>
              <w:ind w:left="840"/>
              <w:spacing w:after="0"/>
              <w:rPr>
                <w:sz w:val="20"/>
                <w:szCs w:val="20"/>
                <w:color w:val="auto"/>
              </w:rPr>
            </w:pPr>
            <w:r>
              <w:rPr>
                <w:rFonts w:ascii="Arial" w:cs="Arial" w:eastAsia="Arial" w:hAnsi="Arial"/>
                <w:sz w:val="13"/>
                <w:szCs w:val="13"/>
                <w:color w:val="auto"/>
              </w:rPr>
              <w:t>10.06 Resignation of Administrative Agent</w:t>
            </w:r>
          </w:p>
        </w:tc>
        <w:tc>
          <w:tcPr>
            <w:tcW w:w="2740" w:type="dxa"/>
            <w:vAlign w:val="bottom"/>
          </w:tcPr>
          <w:p>
            <w:pPr>
              <w:jc w:val="right"/>
              <w:spacing w:after="0"/>
              <w:rPr>
                <w:sz w:val="20"/>
                <w:szCs w:val="20"/>
                <w:color w:val="auto"/>
              </w:rPr>
            </w:pPr>
            <w:r>
              <w:rPr>
                <w:rFonts w:ascii="Arial" w:cs="Arial" w:eastAsia="Arial" w:hAnsi="Arial"/>
                <w:sz w:val="13"/>
                <w:szCs w:val="13"/>
                <w:color w:val="auto"/>
              </w:rPr>
              <w:t>75</w:t>
            </w:r>
          </w:p>
        </w:tc>
      </w:tr>
      <w:tr>
        <w:trPr>
          <w:trHeight w:val="157"/>
        </w:trPr>
        <w:tc>
          <w:tcPr>
            <w:tcW w:w="8480" w:type="dxa"/>
            <w:vAlign w:val="bottom"/>
            <w:gridSpan w:val="2"/>
          </w:tcPr>
          <w:p>
            <w:pPr>
              <w:ind w:left="840"/>
              <w:spacing w:after="0"/>
              <w:rPr>
                <w:sz w:val="20"/>
                <w:szCs w:val="20"/>
                <w:color w:val="auto"/>
              </w:rPr>
            </w:pPr>
            <w:r>
              <w:rPr>
                <w:rFonts w:ascii="Arial" w:cs="Arial" w:eastAsia="Arial" w:hAnsi="Arial"/>
                <w:sz w:val="13"/>
                <w:szCs w:val="13"/>
                <w:color w:val="auto"/>
              </w:rPr>
              <w:t>10.07 Non-Reliance on Administrative Agent and Other Lenders</w:t>
            </w:r>
          </w:p>
        </w:tc>
        <w:tc>
          <w:tcPr>
            <w:tcW w:w="2740" w:type="dxa"/>
            <w:vAlign w:val="bottom"/>
          </w:tcPr>
          <w:p>
            <w:pPr>
              <w:jc w:val="right"/>
              <w:spacing w:after="0"/>
              <w:rPr>
                <w:sz w:val="20"/>
                <w:szCs w:val="20"/>
                <w:color w:val="auto"/>
              </w:rPr>
            </w:pPr>
            <w:r>
              <w:rPr>
                <w:rFonts w:ascii="Arial" w:cs="Arial" w:eastAsia="Arial" w:hAnsi="Arial"/>
                <w:sz w:val="13"/>
                <w:szCs w:val="13"/>
                <w:color w:val="auto"/>
              </w:rPr>
              <w:t>76</w:t>
            </w:r>
          </w:p>
        </w:tc>
      </w:tr>
      <w:tr>
        <w:trPr>
          <w:trHeight w:val="157"/>
        </w:trPr>
        <w:tc>
          <w:tcPr>
            <w:tcW w:w="8480" w:type="dxa"/>
            <w:vAlign w:val="bottom"/>
            <w:gridSpan w:val="2"/>
          </w:tcPr>
          <w:p>
            <w:pPr>
              <w:ind w:left="840"/>
              <w:spacing w:after="0"/>
              <w:rPr>
                <w:sz w:val="20"/>
                <w:szCs w:val="20"/>
                <w:color w:val="auto"/>
              </w:rPr>
            </w:pPr>
            <w:r>
              <w:rPr>
                <w:rFonts w:ascii="Arial" w:cs="Arial" w:eastAsia="Arial" w:hAnsi="Arial"/>
                <w:sz w:val="13"/>
                <w:szCs w:val="13"/>
                <w:color w:val="auto"/>
              </w:rPr>
              <w:t>10.08 No Other Duties; Etc.</w:t>
            </w:r>
          </w:p>
        </w:tc>
        <w:tc>
          <w:tcPr>
            <w:tcW w:w="2740" w:type="dxa"/>
            <w:vAlign w:val="bottom"/>
          </w:tcPr>
          <w:p>
            <w:pPr>
              <w:jc w:val="right"/>
              <w:spacing w:after="0"/>
              <w:rPr>
                <w:sz w:val="20"/>
                <w:szCs w:val="20"/>
                <w:color w:val="auto"/>
              </w:rPr>
            </w:pPr>
            <w:r>
              <w:rPr>
                <w:rFonts w:ascii="Arial" w:cs="Arial" w:eastAsia="Arial" w:hAnsi="Arial"/>
                <w:sz w:val="13"/>
                <w:szCs w:val="13"/>
                <w:color w:val="auto"/>
              </w:rPr>
              <w:t>76</w:t>
            </w:r>
          </w:p>
        </w:tc>
      </w:tr>
      <w:tr>
        <w:trPr>
          <w:trHeight w:val="157"/>
        </w:trPr>
        <w:tc>
          <w:tcPr>
            <w:tcW w:w="8480" w:type="dxa"/>
            <w:vAlign w:val="bottom"/>
            <w:gridSpan w:val="2"/>
          </w:tcPr>
          <w:p>
            <w:pPr>
              <w:ind w:left="840"/>
              <w:spacing w:after="0"/>
              <w:rPr>
                <w:sz w:val="20"/>
                <w:szCs w:val="20"/>
                <w:color w:val="auto"/>
              </w:rPr>
            </w:pPr>
            <w:r>
              <w:rPr>
                <w:rFonts w:ascii="Arial" w:cs="Arial" w:eastAsia="Arial" w:hAnsi="Arial"/>
                <w:sz w:val="13"/>
                <w:szCs w:val="13"/>
                <w:color w:val="auto"/>
              </w:rPr>
              <w:t>10.09 Administrative Agent May File Proofs of Claim</w:t>
            </w:r>
          </w:p>
        </w:tc>
        <w:tc>
          <w:tcPr>
            <w:tcW w:w="2740" w:type="dxa"/>
            <w:vAlign w:val="bottom"/>
          </w:tcPr>
          <w:p>
            <w:pPr>
              <w:jc w:val="right"/>
              <w:spacing w:after="0"/>
              <w:rPr>
                <w:sz w:val="20"/>
                <w:szCs w:val="20"/>
                <w:color w:val="auto"/>
              </w:rPr>
            </w:pPr>
            <w:r>
              <w:rPr>
                <w:rFonts w:ascii="Arial" w:cs="Arial" w:eastAsia="Arial" w:hAnsi="Arial"/>
                <w:sz w:val="13"/>
                <w:szCs w:val="13"/>
                <w:color w:val="auto"/>
              </w:rPr>
              <w:t>76</w:t>
            </w:r>
          </w:p>
        </w:tc>
      </w:tr>
      <w:tr>
        <w:trPr>
          <w:trHeight w:val="157"/>
        </w:trPr>
        <w:tc>
          <w:tcPr>
            <w:tcW w:w="8480" w:type="dxa"/>
            <w:vAlign w:val="bottom"/>
            <w:gridSpan w:val="2"/>
          </w:tcPr>
          <w:p>
            <w:pPr>
              <w:ind w:left="840"/>
              <w:spacing w:after="0"/>
              <w:rPr>
                <w:sz w:val="20"/>
                <w:szCs w:val="20"/>
                <w:color w:val="auto"/>
              </w:rPr>
            </w:pPr>
            <w:r>
              <w:rPr>
                <w:rFonts w:ascii="Arial" w:cs="Arial" w:eastAsia="Arial" w:hAnsi="Arial"/>
                <w:sz w:val="13"/>
                <w:szCs w:val="13"/>
                <w:color w:val="auto"/>
              </w:rPr>
              <w:t>10.10 Guaranty Matters</w:t>
            </w:r>
          </w:p>
        </w:tc>
        <w:tc>
          <w:tcPr>
            <w:tcW w:w="2740" w:type="dxa"/>
            <w:vAlign w:val="bottom"/>
          </w:tcPr>
          <w:p>
            <w:pPr>
              <w:jc w:val="right"/>
              <w:spacing w:after="0"/>
              <w:rPr>
                <w:sz w:val="20"/>
                <w:szCs w:val="20"/>
                <w:color w:val="auto"/>
              </w:rPr>
            </w:pPr>
            <w:r>
              <w:rPr>
                <w:rFonts w:ascii="Arial" w:cs="Arial" w:eastAsia="Arial" w:hAnsi="Arial"/>
                <w:sz w:val="13"/>
                <w:szCs w:val="13"/>
                <w:color w:val="auto"/>
              </w:rPr>
              <w:t>77</w:t>
            </w:r>
          </w:p>
        </w:tc>
      </w:tr>
      <w:tr>
        <w:trPr>
          <w:trHeight w:val="157"/>
        </w:trPr>
        <w:tc>
          <w:tcPr>
            <w:tcW w:w="8480" w:type="dxa"/>
            <w:vAlign w:val="bottom"/>
            <w:gridSpan w:val="2"/>
          </w:tcPr>
          <w:p>
            <w:pPr>
              <w:spacing w:after="0"/>
              <w:rPr>
                <w:sz w:val="20"/>
                <w:szCs w:val="20"/>
                <w:color w:val="auto"/>
              </w:rPr>
            </w:pPr>
            <w:r>
              <w:rPr>
                <w:rFonts w:ascii="Arial" w:cs="Arial" w:eastAsia="Arial" w:hAnsi="Arial"/>
                <w:sz w:val="13"/>
                <w:szCs w:val="13"/>
                <w:color w:val="auto"/>
              </w:rPr>
              <w:t>ARTICLE XI MISCELLANEOUS</w:t>
            </w:r>
          </w:p>
        </w:tc>
        <w:tc>
          <w:tcPr>
            <w:tcW w:w="2740" w:type="dxa"/>
            <w:vAlign w:val="bottom"/>
          </w:tcPr>
          <w:p>
            <w:pPr>
              <w:jc w:val="right"/>
              <w:spacing w:after="0"/>
              <w:rPr>
                <w:sz w:val="20"/>
                <w:szCs w:val="20"/>
                <w:color w:val="auto"/>
              </w:rPr>
            </w:pPr>
            <w:r>
              <w:rPr>
                <w:rFonts w:ascii="Arial" w:cs="Arial" w:eastAsia="Arial" w:hAnsi="Arial"/>
                <w:sz w:val="13"/>
                <w:szCs w:val="13"/>
                <w:color w:val="auto"/>
              </w:rPr>
              <w:t>77</w:t>
            </w:r>
          </w:p>
        </w:tc>
      </w:tr>
      <w:tr>
        <w:trPr>
          <w:trHeight w:val="157"/>
        </w:trPr>
        <w:tc>
          <w:tcPr>
            <w:tcW w:w="1160" w:type="dxa"/>
            <w:vAlign w:val="bottom"/>
          </w:tcPr>
          <w:p>
            <w:pPr>
              <w:ind w:left="840"/>
              <w:spacing w:after="0"/>
              <w:rPr>
                <w:sz w:val="20"/>
                <w:szCs w:val="20"/>
                <w:color w:val="auto"/>
              </w:rPr>
            </w:pPr>
            <w:r>
              <w:rPr>
                <w:rFonts w:ascii="Arial" w:cs="Arial" w:eastAsia="Arial" w:hAnsi="Arial"/>
                <w:sz w:val="13"/>
                <w:szCs w:val="13"/>
                <w:color w:val="auto"/>
                <w:w w:val="92"/>
              </w:rPr>
              <w:t>11.01</w:t>
            </w:r>
          </w:p>
        </w:tc>
        <w:tc>
          <w:tcPr>
            <w:tcW w:w="7320" w:type="dxa"/>
            <w:vAlign w:val="bottom"/>
          </w:tcPr>
          <w:p>
            <w:pPr>
              <w:spacing w:after="0"/>
              <w:rPr>
                <w:sz w:val="20"/>
                <w:szCs w:val="20"/>
                <w:color w:val="auto"/>
              </w:rPr>
            </w:pPr>
            <w:r>
              <w:rPr>
                <w:rFonts w:ascii="Arial" w:cs="Arial" w:eastAsia="Arial" w:hAnsi="Arial"/>
                <w:sz w:val="13"/>
                <w:szCs w:val="13"/>
                <w:color w:val="auto"/>
              </w:rPr>
              <w:t>Amendments, Etc.</w:t>
            </w:r>
          </w:p>
        </w:tc>
        <w:tc>
          <w:tcPr>
            <w:tcW w:w="2740" w:type="dxa"/>
            <w:vAlign w:val="bottom"/>
          </w:tcPr>
          <w:p>
            <w:pPr>
              <w:jc w:val="right"/>
              <w:spacing w:after="0"/>
              <w:rPr>
                <w:sz w:val="20"/>
                <w:szCs w:val="20"/>
                <w:color w:val="auto"/>
              </w:rPr>
            </w:pPr>
            <w:r>
              <w:rPr>
                <w:rFonts w:ascii="Arial" w:cs="Arial" w:eastAsia="Arial" w:hAnsi="Arial"/>
                <w:sz w:val="13"/>
                <w:szCs w:val="13"/>
                <w:color w:val="auto"/>
              </w:rPr>
              <w:t>77</w:t>
            </w:r>
          </w:p>
        </w:tc>
      </w:tr>
      <w:tr>
        <w:trPr>
          <w:trHeight w:val="157"/>
        </w:trPr>
        <w:tc>
          <w:tcPr>
            <w:tcW w:w="1160" w:type="dxa"/>
            <w:vAlign w:val="bottom"/>
          </w:tcPr>
          <w:p>
            <w:pPr>
              <w:ind w:left="840"/>
              <w:spacing w:after="0"/>
              <w:rPr>
                <w:sz w:val="20"/>
                <w:szCs w:val="20"/>
                <w:color w:val="auto"/>
              </w:rPr>
            </w:pPr>
            <w:r>
              <w:rPr>
                <w:rFonts w:ascii="Arial" w:cs="Arial" w:eastAsia="Arial" w:hAnsi="Arial"/>
                <w:sz w:val="13"/>
                <w:szCs w:val="13"/>
                <w:color w:val="auto"/>
                <w:w w:val="92"/>
              </w:rPr>
              <w:t>11.02</w:t>
            </w:r>
          </w:p>
        </w:tc>
        <w:tc>
          <w:tcPr>
            <w:tcW w:w="7320" w:type="dxa"/>
            <w:vAlign w:val="bottom"/>
          </w:tcPr>
          <w:p>
            <w:pPr>
              <w:spacing w:after="0"/>
              <w:rPr>
                <w:sz w:val="20"/>
                <w:szCs w:val="20"/>
                <w:color w:val="auto"/>
              </w:rPr>
            </w:pPr>
            <w:r>
              <w:rPr>
                <w:rFonts w:ascii="Arial" w:cs="Arial" w:eastAsia="Arial" w:hAnsi="Arial"/>
                <w:sz w:val="13"/>
                <w:szCs w:val="13"/>
                <w:color w:val="auto"/>
              </w:rPr>
              <w:t>Notices; Effectiveness; Electronic Communications</w:t>
            </w:r>
          </w:p>
        </w:tc>
        <w:tc>
          <w:tcPr>
            <w:tcW w:w="2740" w:type="dxa"/>
            <w:vAlign w:val="bottom"/>
          </w:tcPr>
          <w:p>
            <w:pPr>
              <w:jc w:val="right"/>
              <w:spacing w:after="0"/>
              <w:rPr>
                <w:sz w:val="20"/>
                <w:szCs w:val="20"/>
                <w:color w:val="auto"/>
              </w:rPr>
            </w:pPr>
            <w:r>
              <w:rPr>
                <w:rFonts w:ascii="Arial" w:cs="Arial" w:eastAsia="Arial" w:hAnsi="Arial"/>
                <w:sz w:val="13"/>
                <w:szCs w:val="13"/>
                <w:color w:val="auto"/>
              </w:rPr>
              <w:t>78</w:t>
            </w:r>
          </w:p>
        </w:tc>
      </w:tr>
      <w:tr>
        <w:trPr>
          <w:trHeight w:val="157"/>
        </w:trPr>
        <w:tc>
          <w:tcPr>
            <w:tcW w:w="1160" w:type="dxa"/>
            <w:vAlign w:val="bottom"/>
          </w:tcPr>
          <w:p>
            <w:pPr>
              <w:ind w:left="840"/>
              <w:spacing w:after="0"/>
              <w:rPr>
                <w:sz w:val="20"/>
                <w:szCs w:val="20"/>
                <w:color w:val="auto"/>
              </w:rPr>
            </w:pPr>
            <w:r>
              <w:rPr>
                <w:rFonts w:ascii="Arial" w:cs="Arial" w:eastAsia="Arial" w:hAnsi="Arial"/>
                <w:sz w:val="13"/>
                <w:szCs w:val="13"/>
                <w:color w:val="auto"/>
                <w:w w:val="92"/>
              </w:rPr>
              <w:t>11.03</w:t>
            </w:r>
          </w:p>
        </w:tc>
        <w:tc>
          <w:tcPr>
            <w:tcW w:w="7320" w:type="dxa"/>
            <w:vAlign w:val="bottom"/>
          </w:tcPr>
          <w:p>
            <w:pPr>
              <w:spacing w:after="0"/>
              <w:rPr>
                <w:sz w:val="20"/>
                <w:szCs w:val="20"/>
                <w:color w:val="auto"/>
              </w:rPr>
            </w:pPr>
            <w:r>
              <w:rPr>
                <w:rFonts w:ascii="Arial" w:cs="Arial" w:eastAsia="Arial" w:hAnsi="Arial"/>
                <w:sz w:val="13"/>
                <w:szCs w:val="13"/>
                <w:color w:val="auto"/>
              </w:rPr>
              <w:t>No Waiver; Cumulative Remedies</w:t>
            </w:r>
          </w:p>
        </w:tc>
        <w:tc>
          <w:tcPr>
            <w:tcW w:w="2740" w:type="dxa"/>
            <w:vAlign w:val="bottom"/>
          </w:tcPr>
          <w:p>
            <w:pPr>
              <w:jc w:val="right"/>
              <w:spacing w:after="0"/>
              <w:rPr>
                <w:sz w:val="20"/>
                <w:szCs w:val="20"/>
                <w:color w:val="auto"/>
              </w:rPr>
            </w:pPr>
            <w:r>
              <w:rPr>
                <w:rFonts w:ascii="Arial" w:cs="Arial" w:eastAsia="Arial" w:hAnsi="Arial"/>
                <w:sz w:val="13"/>
                <w:szCs w:val="13"/>
                <w:color w:val="auto"/>
              </w:rPr>
              <w:t>80</w:t>
            </w:r>
          </w:p>
        </w:tc>
      </w:tr>
      <w:tr>
        <w:trPr>
          <w:trHeight w:val="157"/>
        </w:trPr>
        <w:tc>
          <w:tcPr>
            <w:tcW w:w="1160" w:type="dxa"/>
            <w:vAlign w:val="bottom"/>
          </w:tcPr>
          <w:p>
            <w:pPr>
              <w:ind w:left="840"/>
              <w:spacing w:after="0"/>
              <w:rPr>
                <w:sz w:val="20"/>
                <w:szCs w:val="20"/>
                <w:color w:val="auto"/>
              </w:rPr>
            </w:pPr>
            <w:r>
              <w:rPr>
                <w:rFonts w:ascii="Arial" w:cs="Arial" w:eastAsia="Arial" w:hAnsi="Arial"/>
                <w:sz w:val="13"/>
                <w:szCs w:val="13"/>
                <w:color w:val="auto"/>
                <w:w w:val="92"/>
              </w:rPr>
              <w:t>11.04</w:t>
            </w:r>
          </w:p>
        </w:tc>
        <w:tc>
          <w:tcPr>
            <w:tcW w:w="7320" w:type="dxa"/>
            <w:vAlign w:val="bottom"/>
          </w:tcPr>
          <w:p>
            <w:pPr>
              <w:spacing w:after="0"/>
              <w:rPr>
                <w:sz w:val="20"/>
                <w:szCs w:val="20"/>
                <w:color w:val="auto"/>
              </w:rPr>
            </w:pPr>
            <w:r>
              <w:rPr>
                <w:rFonts w:ascii="Arial" w:cs="Arial" w:eastAsia="Arial" w:hAnsi="Arial"/>
                <w:sz w:val="13"/>
                <w:szCs w:val="13"/>
                <w:color w:val="auto"/>
              </w:rPr>
              <w:t>Expenses</w:t>
            </w:r>
          </w:p>
        </w:tc>
        <w:tc>
          <w:tcPr>
            <w:tcW w:w="2740" w:type="dxa"/>
            <w:vAlign w:val="bottom"/>
          </w:tcPr>
          <w:p>
            <w:pPr>
              <w:jc w:val="right"/>
              <w:spacing w:after="0"/>
              <w:rPr>
                <w:sz w:val="20"/>
                <w:szCs w:val="20"/>
                <w:color w:val="auto"/>
              </w:rPr>
            </w:pPr>
            <w:r>
              <w:rPr>
                <w:rFonts w:ascii="Arial" w:cs="Arial" w:eastAsia="Arial" w:hAnsi="Arial"/>
                <w:sz w:val="13"/>
                <w:szCs w:val="13"/>
                <w:color w:val="auto"/>
              </w:rPr>
              <w:t>80</w:t>
            </w:r>
          </w:p>
        </w:tc>
      </w:tr>
      <w:tr>
        <w:trPr>
          <w:trHeight w:val="157"/>
        </w:trPr>
        <w:tc>
          <w:tcPr>
            <w:tcW w:w="1160" w:type="dxa"/>
            <w:vAlign w:val="bottom"/>
          </w:tcPr>
          <w:p>
            <w:pPr>
              <w:ind w:left="840"/>
              <w:spacing w:after="0"/>
              <w:rPr>
                <w:sz w:val="20"/>
                <w:szCs w:val="20"/>
                <w:color w:val="auto"/>
              </w:rPr>
            </w:pPr>
            <w:r>
              <w:rPr>
                <w:rFonts w:ascii="Arial" w:cs="Arial" w:eastAsia="Arial" w:hAnsi="Arial"/>
                <w:sz w:val="13"/>
                <w:szCs w:val="13"/>
                <w:color w:val="auto"/>
                <w:w w:val="92"/>
              </w:rPr>
              <w:t>11.05</w:t>
            </w:r>
          </w:p>
        </w:tc>
        <w:tc>
          <w:tcPr>
            <w:tcW w:w="7320" w:type="dxa"/>
            <w:vAlign w:val="bottom"/>
          </w:tcPr>
          <w:p>
            <w:pPr>
              <w:spacing w:after="0"/>
              <w:rPr>
                <w:sz w:val="20"/>
                <w:szCs w:val="20"/>
                <w:color w:val="auto"/>
              </w:rPr>
            </w:pPr>
            <w:r>
              <w:rPr>
                <w:rFonts w:ascii="Arial" w:cs="Arial" w:eastAsia="Arial" w:hAnsi="Arial"/>
                <w:sz w:val="13"/>
                <w:szCs w:val="13"/>
                <w:color w:val="auto"/>
              </w:rPr>
              <w:t>Indemnification; Damage Waiver</w:t>
            </w:r>
          </w:p>
        </w:tc>
        <w:tc>
          <w:tcPr>
            <w:tcW w:w="2740" w:type="dxa"/>
            <w:vAlign w:val="bottom"/>
          </w:tcPr>
          <w:p>
            <w:pPr>
              <w:jc w:val="right"/>
              <w:spacing w:after="0"/>
              <w:rPr>
                <w:sz w:val="20"/>
                <w:szCs w:val="20"/>
                <w:color w:val="auto"/>
              </w:rPr>
            </w:pPr>
            <w:r>
              <w:rPr>
                <w:rFonts w:ascii="Arial" w:cs="Arial" w:eastAsia="Arial" w:hAnsi="Arial"/>
                <w:sz w:val="13"/>
                <w:szCs w:val="13"/>
                <w:color w:val="auto"/>
              </w:rPr>
              <w:t>81</w:t>
            </w:r>
          </w:p>
        </w:tc>
      </w:tr>
      <w:tr>
        <w:trPr>
          <w:trHeight w:val="157"/>
        </w:trPr>
        <w:tc>
          <w:tcPr>
            <w:tcW w:w="1160" w:type="dxa"/>
            <w:vAlign w:val="bottom"/>
          </w:tcPr>
          <w:p>
            <w:pPr>
              <w:ind w:left="840"/>
              <w:spacing w:after="0"/>
              <w:rPr>
                <w:sz w:val="20"/>
                <w:szCs w:val="20"/>
                <w:color w:val="auto"/>
              </w:rPr>
            </w:pPr>
            <w:r>
              <w:rPr>
                <w:rFonts w:ascii="Arial" w:cs="Arial" w:eastAsia="Arial" w:hAnsi="Arial"/>
                <w:sz w:val="13"/>
                <w:szCs w:val="13"/>
                <w:color w:val="auto"/>
                <w:w w:val="92"/>
              </w:rPr>
              <w:t>11.06</w:t>
            </w:r>
          </w:p>
        </w:tc>
        <w:tc>
          <w:tcPr>
            <w:tcW w:w="7320" w:type="dxa"/>
            <w:vAlign w:val="bottom"/>
          </w:tcPr>
          <w:p>
            <w:pPr>
              <w:spacing w:after="0"/>
              <w:rPr>
                <w:sz w:val="20"/>
                <w:szCs w:val="20"/>
                <w:color w:val="auto"/>
              </w:rPr>
            </w:pPr>
            <w:r>
              <w:rPr>
                <w:rFonts w:ascii="Arial" w:cs="Arial" w:eastAsia="Arial" w:hAnsi="Arial"/>
                <w:sz w:val="13"/>
                <w:szCs w:val="13"/>
                <w:color w:val="auto"/>
              </w:rPr>
              <w:t>Payments Set Aside</w:t>
            </w:r>
          </w:p>
        </w:tc>
        <w:tc>
          <w:tcPr>
            <w:tcW w:w="2740" w:type="dxa"/>
            <w:vAlign w:val="bottom"/>
          </w:tcPr>
          <w:p>
            <w:pPr>
              <w:jc w:val="right"/>
              <w:spacing w:after="0"/>
              <w:rPr>
                <w:sz w:val="20"/>
                <w:szCs w:val="20"/>
                <w:color w:val="auto"/>
              </w:rPr>
            </w:pPr>
            <w:r>
              <w:rPr>
                <w:rFonts w:ascii="Arial" w:cs="Arial" w:eastAsia="Arial" w:hAnsi="Arial"/>
                <w:sz w:val="13"/>
                <w:szCs w:val="13"/>
                <w:color w:val="auto"/>
              </w:rPr>
              <w:t>82</w:t>
            </w:r>
          </w:p>
        </w:tc>
      </w:tr>
      <w:tr>
        <w:trPr>
          <w:trHeight w:val="157"/>
        </w:trPr>
        <w:tc>
          <w:tcPr>
            <w:tcW w:w="1160" w:type="dxa"/>
            <w:vAlign w:val="bottom"/>
          </w:tcPr>
          <w:p>
            <w:pPr>
              <w:ind w:left="840"/>
              <w:spacing w:after="0"/>
              <w:rPr>
                <w:sz w:val="20"/>
                <w:szCs w:val="20"/>
                <w:color w:val="auto"/>
              </w:rPr>
            </w:pPr>
            <w:r>
              <w:rPr>
                <w:rFonts w:ascii="Arial" w:cs="Arial" w:eastAsia="Arial" w:hAnsi="Arial"/>
                <w:sz w:val="13"/>
                <w:szCs w:val="13"/>
                <w:color w:val="auto"/>
                <w:w w:val="92"/>
              </w:rPr>
              <w:t>11.07</w:t>
            </w:r>
          </w:p>
        </w:tc>
        <w:tc>
          <w:tcPr>
            <w:tcW w:w="7320" w:type="dxa"/>
            <w:vAlign w:val="bottom"/>
          </w:tcPr>
          <w:p>
            <w:pPr>
              <w:spacing w:after="0"/>
              <w:rPr>
                <w:sz w:val="20"/>
                <w:szCs w:val="20"/>
                <w:color w:val="auto"/>
              </w:rPr>
            </w:pPr>
            <w:r>
              <w:rPr>
                <w:rFonts w:ascii="Arial" w:cs="Arial" w:eastAsia="Arial" w:hAnsi="Arial"/>
                <w:sz w:val="13"/>
                <w:szCs w:val="13"/>
                <w:color w:val="auto"/>
              </w:rPr>
              <w:t>Successors and Assigns</w:t>
            </w:r>
          </w:p>
        </w:tc>
        <w:tc>
          <w:tcPr>
            <w:tcW w:w="2740" w:type="dxa"/>
            <w:vAlign w:val="bottom"/>
          </w:tcPr>
          <w:p>
            <w:pPr>
              <w:jc w:val="right"/>
              <w:spacing w:after="0"/>
              <w:rPr>
                <w:sz w:val="20"/>
                <w:szCs w:val="20"/>
                <w:color w:val="auto"/>
              </w:rPr>
            </w:pPr>
            <w:r>
              <w:rPr>
                <w:rFonts w:ascii="Arial" w:cs="Arial" w:eastAsia="Arial" w:hAnsi="Arial"/>
                <w:sz w:val="13"/>
                <w:szCs w:val="13"/>
                <w:color w:val="auto"/>
              </w:rPr>
              <w:t>82</w:t>
            </w:r>
          </w:p>
        </w:tc>
      </w:tr>
      <w:tr>
        <w:trPr>
          <w:trHeight w:val="157"/>
        </w:trPr>
        <w:tc>
          <w:tcPr>
            <w:tcW w:w="1160" w:type="dxa"/>
            <w:vAlign w:val="bottom"/>
          </w:tcPr>
          <w:p>
            <w:pPr>
              <w:ind w:left="840"/>
              <w:spacing w:after="0"/>
              <w:rPr>
                <w:sz w:val="20"/>
                <w:szCs w:val="20"/>
                <w:color w:val="auto"/>
              </w:rPr>
            </w:pPr>
            <w:r>
              <w:rPr>
                <w:rFonts w:ascii="Arial" w:cs="Arial" w:eastAsia="Arial" w:hAnsi="Arial"/>
                <w:sz w:val="13"/>
                <w:szCs w:val="13"/>
                <w:color w:val="auto"/>
                <w:w w:val="92"/>
              </w:rPr>
              <w:t>11.09</w:t>
            </w:r>
          </w:p>
        </w:tc>
        <w:tc>
          <w:tcPr>
            <w:tcW w:w="7320" w:type="dxa"/>
            <w:vAlign w:val="bottom"/>
          </w:tcPr>
          <w:p>
            <w:pPr>
              <w:spacing w:after="0"/>
              <w:rPr>
                <w:sz w:val="20"/>
                <w:szCs w:val="20"/>
                <w:color w:val="auto"/>
              </w:rPr>
            </w:pPr>
            <w:r>
              <w:rPr>
                <w:rFonts w:ascii="Arial" w:cs="Arial" w:eastAsia="Arial" w:hAnsi="Arial"/>
                <w:sz w:val="13"/>
                <w:szCs w:val="13"/>
                <w:color w:val="auto"/>
              </w:rPr>
              <w:t>Set-off</w:t>
            </w:r>
          </w:p>
        </w:tc>
        <w:tc>
          <w:tcPr>
            <w:tcW w:w="2740" w:type="dxa"/>
            <w:vAlign w:val="bottom"/>
          </w:tcPr>
          <w:p>
            <w:pPr>
              <w:jc w:val="right"/>
              <w:spacing w:after="0"/>
              <w:rPr>
                <w:sz w:val="20"/>
                <w:szCs w:val="20"/>
                <w:color w:val="auto"/>
              </w:rPr>
            </w:pPr>
            <w:r>
              <w:rPr>
                <w:rFonts w:ascii="Arial" w:cs="Arial" w:eastAsia="Arial" w:hAnsi="Arial"/>
                <w:sz w:val="13"/>
                <w:szCs w:val="13"/>
                <w:color w:val="auto"/>
              </w:rPr>
              <w:t>86</w:t>
            </w:r>
          </w:p>
        </w:tc>
      </w:tr>
      <w:tr>
        <w:trPr>
          <w:trHeight w:val="157"/>
        </w:trPr>
        <w:tc>
          <w:tcPr>
            <w:tcW w:w="1160" w:type="dxa"/>
            <w:vAlign w:val="bottom"/>
          </w:tcPr>
          <w:p>
            <w:pPr>
              <w:ind w:left="840"/>
              <w:spacing w:after="0"/>
              <w:rPr>
                <w:sz w:val="20"/>
                <w:szCs w:val="20"/>
                <w:color w:val="auto"/>
              </w:rPr>
            </w:pPr>
            <w:r>
              <w:rPr>
                <w:rFonts w:ascii="Arial" w:cs="Arial" w:eastAsia="Arial" w:hAnsi="Arial"/>
                <w:sz w:val="13"/>
                <w:szCs w:val="13"/>
                <w:color w:val="auto"/>
                <w:w w:val="92"/>
              </w:rPr>
              <w:t>11.10</w:t>
            </w:r>
          </w:p>
        </w:tc>
        <w:tc>
          <w:tcPr>
            <w:tcW w:w="7320" w:type="dxa"/>
            <w:vAlign w:val="bottom"/>
          </w:tcPr>
          <w:p>
            <w:pPr>
              <w:spacing w:after="0"/>
              <w:rPr>
                <w:sz w:val="20"/>
                <w:szCs w:val="20"/>
                <w:color w:val="auto"/>
              </w:rPr>
            </w:pPr>
            <w:r>
              <w:rPr>
                <w:rFonts w:ascii="Arial" w:cs="Arial" w:eastAsia="Arial" w:hAnsi="Arial"/>
                <w:sz w:val="13"/>
                <w:szCs w:val="13"/>
                <w:color w:val="auto"/>
              </w:rPr>
              <w:t>Interest Rate Limitation</w:t>
            </w:r>
          </w:p>
        </w:tc>
        <w:tc>
          <w:tcPr>
            <w:tcW w:w="2740" w:type="dxa"/>
            <w:vAlign w:val="bottom"/>
          </w:tcPr>
          <w:p>
            <w:pPr>
              <w:jc w:val="right"/>
              <w:spacing w:after="0"/>
              <w:rPr>
                <w:sz w:val="20"/>
                <w:szCs w:val="20"/>
                <w:color w:val="auto"/>
              </w:rPr>
            </w:pPr>
            <w:r>
              <w:rPr>
                <w:rFonts w:ascii="Arial" w:cs="Arial" w:eastAsia="Arial" w:hAnsi="Arial"/>
                <w:sz w:val="13"/>
                <w:szCs w:val="13"/>
                <w:color w:val="auto"/>
              </w:rPr>
              <w:t>87</w:t>
            </w:r>
          </w:p>
        </w:tc>
      </w:tr>
      <w:tr>
        <w:trPr>
          <w:trHeight w:val="157"/>
        </w:trPr>
        <w:tc>
          <w:tcPr>
            <w:tcW w:w="8480" w:type="dxa"/>
            <w:vAlign w:val="bottom"/>
            <w:gridSpan w:val="2"/>
          </w:tcPr>
          <w:p>
            <w:pPr>
              <w:ind w:left="840"/>
              <w:spacing w:after="0"/>
              <w:rPr>
                <w:sz w:val="20"/>
                <w:szCs w:val="20"/>
                <w:color w:val="auto"/>
              </w:rPr>
            </w:pPr>
            <w:r>
              <w:rPr>
                <w:rFonts w:ascii="Arial" w:cs="Arial" w:eastAsia="Arial" w:hAnsi="Arial"/>
                <w:sz w:val="13"/>
                <w:szCs w:val="13"/>
                <w:color w:val="auto"/>
              </w:rPr>
              <w:t>11.11 Counterparts</w:t>
            </w:r>
          </w:p>
        </w:tc>
        <w:tc>
          <w:tcPr>
            <w:tcW w:w="2740" w:type="dxa"/>
            <w:vAlign w:val="bottom"/>
          </w:tcPr>
          <w:p>
            <w:pPr>
              <w:jc w:val="right"/>
              <w:spacing w:after="0"/>
              <w:rPr>
                <w:sz w:val="20"/>
                <w:szCs w:val="20"/>
                <w:color w:val="auto"/>
              </w:rPr>
            </w:pPr>
            <w:r>
              <w:rPr>
                <w:rFonts w:ascii="Arial" w:cs="Arial" w:eastAsia="Arial" w:hAnsi="Arial"/>
                <w:sz w:val="13"/>
                <w:szCs w:val="13"/>
                <w:color w:val="auto"/>
              </w:rPr>
              <w:t>87</w:t>
            </w:r>
          </w:p>
        </w:tc>
      </w:tr>
      <w:tr>
        <w:trPr>
          <w:trHeight w:val="157"/>
        </w:trPr>
        <w:tc>
          <w:tcPr>
            <w:tcW w:w="1160" w:type="dxa"/>
            <w:vAlign w:val="bottom"/>
          </w:tcPr>
          <w:p>
            <w:pPr>
              <w:ind w:left="840"/>
              <w:spacing w:after="0"/>
              <w:rPr>
                <w:sz w:val="20"/>
                <w:szCs w:val="20"/>
                <w:color w:val="auto"/>
              </w:rPr>
            </w:pPr>
            <w:r>
              <w:rPr>
                <w:rFonts w:ascii="Arial" w:cs="Arial" w:eastAsia="Arial" w:hAnsi="Arial"/>
                <w:sz w:val="13"/>
                <w:szCs w:val="13"/>
                <w:color w:val="auto"/>
                <w:w w:val="92"/>
              </w:rPr>
              <w:t>11.12</w:t>
            </w:r>
          </w:p>
        </w:tc>
        <w:tc>
          <w:tcPr>
            <w:tcW w:w="7320" w:type="dxa"/>
            <w:vAlign w:val="bottom"/>
          </w:tcPr>
          <w:p>
            <w:pPr>
              <w:spacing w:after="0"/>
              <w:rPr>
                <w:sz w:val="20"/>
                <w:szCs w:val="20"/>
                <w:color w:val="auto"/>
              </w:rPr>
            </w:pPr>
            <w:r>
              <w:rPr>
                <w:rFonts w:ascii="Arial" w:cs="Arial" w:eastAsia="Arial" w:hAnsi="Arial"/>
                <w:sz w:val="13"/>
                <w:szCs w:val="13"/>
                <w:color w:val="auto"/>
              </w:rPr>
              <w:t>Integration</w:t>
            </w:r>
          </w:p>
        </w:tc>
        <w:tc>
          <w:tcPr>
            <w:tcW w:w="2740" w:type="dxa"/>
            <w:vAlign w:val="bottom"/>
          </w:tcPr>
          <w:p>
            <w:pPr>
              <w:jc w:val="right"/>
              <w:spacing w:after="0"/>
              <w:rPr>
                <w:sz w:val="20"/>
                <w:szCs w:val="20"/>
                <w:color w:val="auto"/>
              </w:rPr>
            </w:pPr>
            <w:r>
              <w:rPr>
                <w:rFonts w:ascii="Arial" w:cs="Arial" w:eastAsia="Arial" w:hAnsi="Arial"/>
                <w:sz w:val="13"/>
                <w:szCs w:val="13"/>
                <w:color w:val="auto"/>
              </w:rPr>
              <w:t>87</w:t>
            </w:r>
          </w:p>
        </w:tc>
      </w:tr>
      <w:tr>
        <w:trPr>
          <w:trHeight w:val="157"/>
        </w:trPr>
        <w:tc>
          <w:tcPr>
            <w:tcW w:w="1160" w:type="dxa"/>
            <w:vAlign w:val="bottom"/>
          </w:tcPr>
          <w:p>
            <w:pPr>
              <w:ind w:left="840"/>
              <w:spacing w:after="0"/>
              <w:rPr>
                <w:sz w:val="20"/>
                <w:szCs w:val="20"/>
                <w:color w:val="auto"/>
              </w:rPr>
            </w:pPr>
            <w:r>
              <w:rPr>
                <w:rFonts w:ascii="Arial" w:cs="Arial" w:eastAsia="Arial" w:hAnsi="Arial"/>
                <w:sz w:val="13"/>
                <w:szCs w:val="13"/>
                <w:color w:val="auto"/>
                <w:w w:val="92"/>
              </w:rPr>
              <w:t>11.13</w:t>
            </w:r>
          </w:p>
        </w:tc>
        <w:tc>
          <w:tcPr>
            <w:tcW w:w="7320" w:type="dxa"/>
            <w:vAlign w:val="bottom"/>
          </w:tcPr>
          <w:p>
            <w:pPr>
              <w:spacing w:after="0"/>
              <w:rPr>
                <w:sz w:val="20"/>
                <w:szCs w:val="20"/>
                <w:color w:val="auto"/>
              </w:rPr>
            </w:pPr>
            <w:r>
              <w:rPr>
                <w:rFonts w:ascii="Arial" w:cs="Arial" w:eastAsia="Arial" w:hAnsi="Arial"/>
                <w:sz w:val="13"/>
                <w:szCs w:val="13"/>
                <w:color w:val="auto"/>
              </w:rPr>
              <w:t>Survival of Representations and Warranties</w:t>
            </w:r>
          </w:p>
        </w:tc>
        <w:tc>
          <w:tcPr>
            <w:tcW w:w="2740" w:type="dxa"/>
            <w:vAlign w:val="bottom"/>
          </w:tcPr>
          <w:p>
            <w:pPr>
              <w:jc w:val="right"/>
              <w:spacing w:after="0"/>
              <w:rPr>
                <w:sz w:val="20"/>
                <w:szCs w:val="20"/>
                <w:color w:val="auto"/>
              </w:rPr>
            </w:pPr>
            <w:r>
              <w:rPr>
                <w:rFonts w:ascii="Arial" w:cs="Arial" w:eastAsia="Arial" w:hAnsi="Arial"/>
                <w:sz w:val="13"/>
                <w:szCs w:val="13"/>
                <w:color w:val="auto"/>
              </w:rPr>
              <w:t>87</w:t>
            </w:r>
          </w:p>
        </w:tc>
      </w:tr>
      <w:tr>
        <w:trPr>
          <w:trHeight w:val="157"/>
        </w:trPr>
        <w:tc>
          <w:tcPr>
            <w:tcW w:w="1160" w:type="dxa"/>
            <w:vAlign w:val="bottom"/>
          </w:tcPr>
          <w:p>
            <w:pPr>
              <w:ind w:left="840"/>
              <w:spacing w:after="0"/>
              <w:rPr>
                <w:sz w:val="20"/>
                <w:szCs w:val="20"/>
                <w:color w:val="auto"/>
              </w:rPr>
            </w:pPr>
            <w:r>
              <w:rPr>
                <w:rFonts w:ascii="Arial" w:cs="Arial" w:eastAsia="Arial" w:hAnsi="Arial"/>
                <w:sz w:val="13"/>
                <w:szCs w:val="13"/>
                <w:color w:val="auto"/>
                <w:w w:val="92"/>
              </w:rPr>
              <w:t>11.14</w:t>
            </w:r>
          </w:p>
        </w:tc>
        <w:tc>
          <w:tcPr>
            <w:tcW w:w="7320" w:type="dxa"/>
            <w:vAlign w:val="bottom"/>
          </w:tcPr>
          <w:p>
            <w:pPr>
              <w:spacing w:after="0"/>
              <w:rPr>
                <w:sz w:val="20"/>
                <w:szCs w:val="20"/>
                <w:color w:val="auto"/>
              </w:rPr>
            </w:pPr>
            <w:r>
              <w:rPr>
                <w:rFonts w:ascii="Arial" w:cs="Arial" w:eastAsia="Arial" w:hAnsi="Arial"/>
                <w:sz w:val="13"/>
                <w:szCs w:val="13"/>
                <w:color w:val="auto"/>
              </w:rPr>
              <w:t>Severability</w:t>
            </w:r>
          </w:p>
        </w:tc>
        <w:tc>
          <w:tcPr>
            <w:tcW w:w="2740" w:type="dxa"/>
            <w:vAlign w:val="bottom"/>
          </w:tcPr>
          <w:p>
            <w:pPr>
              <w:jc w:val="right"/>
              <w:spacing w:after="0"/>
              <w:rPr>
                <w:sz w:val="20"/>
                <w:szCs w:val="20"/>
                <w:color w:val="auto"/>
              </w:rPr>
            </w:pPr>
            <w:r>
              <w:rPr>
                <w:rFonts w:ascii="Arial" w:cs="Arial" w:eastAsia="Arial" w:hAnsi="Arial"/>
                <w:sz w:val="13"/>
                <w:szCs w:val="13"/>
                <w:color w:val="auto"/>
              </w:rPr>
              <w:t>87</w:t>
            </w:r>
          </w:p>
        </w:tc>
      </w:tr>
      <w:tr>
        <w:trPr>
          <w:trHeight w:val="157"/>
        </w:trPr>
        <w:tc>
          <w:tcPr>
            <w:tcW w:w="1160" w:type="dxa"/>
            <w:vAlign w:val="bottom"/>
          </w:tcPr>
          <w:p>
            <w:pPr>
              <w:ind w:left="840"/>
              <w:spacing w:after="0"/>
              <w:rPr>
                <w:sz w:val="20"/>
                <w:szCs w:val="20"/>
                <w:color w:val="auto"/>
              </w:rPr>
            </w:pPr>
            <w:r>
              <w:rPr>
                <w:rFonts w:ascii="Arial" w:cs="Arial" w:eastAsia="Arial" w:hAnsi="Arial"/>
                <w:sz w:val="13"/>
                <w:szCs w:val="13"/>
                <w:color w:val="auto"/>
                <w:w w:val="92"/>
              </w:rPr>
              <w:t>11.15</w:t>
            </w:r>
          </w:p>
        </w:tc>
        <w:tc>
          <w:tcPr>
            <w:tcW w:w="7320" w:type="dxa"/>
            <w:vAlign w:val="bottom"/>
          </w:tcPr>
          <w:p>
            <w:pPr>
              <w:spacing w:after="0"/>
              <w:rPr>
                <w:sz w:val="20"/>
                <w:szCs w:val="20"/>
                <w:color w:val="auto"/>
              </w:rPr>
            </w:pPr>
            <w:r>
              <w:rPr>
                <w:rFonts w:ascii="Arial" w:cs="Arial" w:eastAsia="Arial" w:hAnsi="Arial"/>
                <w:sz w:val="13"/>
                <w:szCs w:val="13"/>
                <w:color w:val="auto"/>
              </w:rPr>
              <w:t>Tax Forms</w:t>
            </w:r>
          </w:p>
        </w:tc>
        <w:tc>
          <w:tcPr>
            <w:tcW w:w="2740" w:type="dxa"/>
            <w:vAlign w:val="bottom"/>
          </w:tcPr>
          <w:p>
            <w:pPr>
              <w:jc w:val="right"/>
              <w:spacing w:after="0"/>
              <w:rPr>
                <w:sz w:val="20"/>
                <w:szCs w:val="20"/>
                <w:color w:val="auto"/>
              </w:rPr>
            </w:pPr>
            <w:r>
              <w:rPr>
                <w:rFonts w:ascii="Arial" w:cs="Arial" w:eastAsia="Arial" w:hAnsi="Arial"/>
                <w:sz w:val="13"/>
                <w:szCs w:val="13"/>
                <w:color w:val="auto"/>
              </w:rPr>
              <w:t>88</w:t>
            </w:r>
          </w:p>
        </w:tc>
      </w:tr>
      <w:tr>
        <w:trPr>
          <w:trHeight w:val="157"/>
        </w:trPr>
        <w:tc>
          <w:tcPr>
            <w:tcW w:w="1160" w:type="dxa"/>
            <w:vAlign w:val="bottom"/>
          </w:tcPr>
          <w:p>
            <w:pPr>
              <w:ind w:left="840"/>
              <w:spacing w:after="0"/>
              <w:rPr>
                <w:sz w:val="20"/>
                <w:szCs w:val="20"/>
                <w:color w:val="auto"/>
              </w:rPr>
            </w:pPr>
            <w:r>
              <w:rPr>
                <w:rFonts w:ascii="Arial" w:cs="Arial" w:eastAsia="Arial" w:hAnsi="Arial"/>
                <w:sz w:val="13"/>
                <w:szCs w:val="13"/>
                <w:color w:val="auto"/>
                <w:w w:val="92"/>
              </w:rPr>
              <w:t>11.16</w:t>
            </w:r>
          </w:p>
        </w:tc>
        <w:tc>
          <w:tcPr>
            <w:tcW w:w="7320" w:type="dxa"/>
            <w:vAlign w:val="bottom"/>
          </w:tcPr>
          <w:p>
            <w:pPr>
              <w:spacing w:after="0"/>
              <w:rPr>
                <w:sz w:val="20"/>
                <w:szCs w:val="20"/>
                <w:color w:val="auto"/>
              </w:rPr>
            </w:pPr>
            <w:r>
              <w:rPr>
                <w:rFonts w:ascii="Arial" w:cs="Arial" w:eastAsia="Arial" w:hAnsi="Arial"/>
                <w:sz w:val="13"/>
                <w:szCs w:val="13"/>
                <w:color w:val="auto"/>
              </w:rPr>
              <w:t>Replacement of Lenders</w:t>
            </w:r>
          </w:p>
        </w:tc>
        <w:tc>
          <w:tcPr>
            <w:tcW w:w="2740" w:type="dxa"/>
            <w:vAlign w:val="bottom"/>
          </w:tcPr>
          <w:p>
            <w:pPr>
              <w:jc w:val="right"/>
              <w:spacing w:after="0"/>
              <w:rPr>
                <w:sz w:val="20"/>
                <w:szCs w:val="20"/>
                <w:color w:val="auto"/>
              </w:rPr>
            </w:pPr>
            <w:r>
              <w:rPr>
                <w:rFonts w:ascii="Arial" w:cs="Arial" w:eastAsia="Arial" w:hAnsi="Arial"/>
                <w:sz w:val="13"/>
                <w:szCs w:val="13"/>
                <w:color w:val="auto"/>
              </w:rPr>
              <w:t>89</w:t>
            </w:r>
          </w:p>
        </w:tc>
      </w:tr>
      <w:tr>
        <w:trPr>
          <w:trHeight w:val="157"/>
        </w:trPr>
        <w:tc>
          <w:tcPr>
            <w:tcW w:w="1160" w:type="dxa"/>
            <w:vAlign w:val="bottom"/>
          </w:tcPr>
          <w:p>
            <w:pPr>
              <w:ind w:left="840"/>
              <w:spacing w:after="0"/>
              <w:rPr>
                <w:sz w:val="20"/>
                <w:szCs w:val="20"/>
                <w:color w:val="auto"/>
              </w:rPr>
            </w:pPr>
            <w:r>
              <w:rPr>
                <w:rFonts w:ascii="Arial" w:cs="Arial" w:eastAsia="Arial" w:hAnsi="Arial"/>
                <w:sz w:val="13"/>
                <w:szCs w:val="13"/>
                <w:color w:val="auto"/>
                <w:w w:val="92"/>
              </w:rPr>
              <w:t>11.17</w:t>
            </w:r>
          </w:p>
        </w:tc>
        <w:tc>
          <w:tcPr>
            <w:tcW w:w="7320" w:type="dxa"/>
            <w:vAlign w:val="bottom"/>
          </w:tcPr>
          <w:p>
            <w:pPr>
              <w:spacing w:after="0"/>
              <w:rPr>
                <w:sz w:val="20"/>
                <w:szCs w:val="20"/>
                <w:color w:val="auto"/>
              </w:rPr>
            </w:pPr>
            <w:r>
              <w:rPr>
                <w:rFonts w:ascii="Arial" w:cs="Arial" w:eastAsia="Arial" w:hAnsi="Arial"/>
                <w:sz w:val="13"/>
                <w:szCs w:val="13"/>
                <w:color w:val="auto"/>
              </w:rPr>
              <w:t>Governing Law</w:t>
            </w:r>
          </w:p>
        </w:tc>
        <w:tc>
          <w:tcPr>
            <w:tcW w:w="2740" w:type="dxa"/>
            <w:vAlign w:val="bottom"/>
          </w:tcPr>
          <w:p>
            <w:pPr>
              <w:jc w:val="right"/>
              <w:spacing w:after="0"/>
              <w:rPr>
                <w:sz w:val="20"/>
                <w:szCs w:val="20"/>
                <w:color w:val="auto"/>
              </w:rPr>
            </w:pPr>
            <w:r>
              <w:rPr>
                <w:rFonts w:ascii="Arial" w:cs="Arial" w:eastAsia="Arial" w:hAnsi="Arial"/>
                <w:sz w:val="13"/>
                <w:szCs w:val="13"/>
                <w:color w:val="auto"/>
              </w:rPr>
              <w:t>90</w:t>
            </w:r>
          </w:p>
        </w:tc>
      </w:tr>
      <w:tr>
        <w:trPr>
          <w:trHeight w:val="157"/>
        </w:trPr>
        <w:tc>
          <w:tcPr>
            <w:tcW w:w="1160" w:type="dxa"/>
            <w:vAlign w:val="bottom"/>
          </w:tcPr>
          <w:p>
            <w:pPr>
              <w:ind w:left="840"/>
              <w:spacing w:after="0"/>
              <w:rPr>
                <w:sz w:val="20"/>
                <w:szCs w:val="20"/>
                <w:color w:val="auto"/>
              </w:rPr>
            </w:pPr>
            <w:r>
              <w:rPr>
                <w:rFonts w:ascii="Arial" w:cs="Arial" w:eastAsia="Arial" w:hAnsi="Arial"/>
                <w:sz w:val="13"/>
                <w:szCs w:val="13"/>
                <w:color w:val="auto"/>
                <w:w w:val="92"/>
              </w:rPr>
              <w:t>11.18</w:t>
            </w:r>
          </w:p>
        </w:tc>
        <w:tc>
          <w:tcPr>
            <w:tcW w:w="7320" w:type="dxa"/>
            <w:vAlign w:val="bottom"/>
          </w:tcPr>
          <w:p>
            <w:pPr>
              <w:spacing w:after="0"/>
              <w:rPr>
                <w:sz w:val="20"/>
                <w:szCs w:val="20"/>
                <w:color w:val="auto"/>
              </w:rPr>
            </w:pPr>
            <w:r>
              <w:rPr>
                <w:rFonts w:ascii="Arial" w:cs="Arial" w:eastAsia="Arial" w:hAnsi="Arial"/>
                <w:sz w:val="13"/>
                <w:szCs w:val="13"/>
                <w:color w:val="auto"/>
              </w:rPr>
              <w:t>Waiver of Right to Trial by Jury</w:t>
            </w:r>
          </w:p>
        </w:tc>
        <w:tc>
          <w:tcPr>
            <w:tcW w:w="2740" w:type="dxa"/>
            <w:vAlign w:val="bottom"/>
          </w:tcPr>
          <w:p>
            <w:pPr>
              <w:jc w:val="right"/>
              <w:spacing w:after="0"/>
              <w:rPr>
                <w:sz w:val="20"/>
                <w:szCs w:val="20"/>
                <w:color w:val="auto"/>
              </w:rPr>
            </w:pPr>
            <w:r>
              <w:rPr>
                <w:rFonts w:ascii="Arial" w:cs="Arial" w:eastAsia="Arial" w:hAnsi="Arial"/>
                <w:sz w:val="13"/>
                <w:szCs w:val="13"/>
                <w:color w:val="auto"/>
              </w:rPr>
              <w:t>91</w:t>
            </w:r>
          </w:p>
        </w:tc>
      </w:tr>
      <w:tr>
        <w:trPr>
          <w:trHeight w:val="157"/>
        </w:trPr>
        <w:tc>
          <w:tcPr>
            <w:tcW w:w="8480" w:type="dxa"/>
            <w:vAlign w:val="bottom"/>
            <w:gridSpan w:val="2"/>
          </w:tcPr>
          <w:p>
            <w:pPr>
              <w:ind w:left="840"/>
              <w:spacing w:after="0"/>
              <w:rPr>
                <w:sz w:val="20"/>
                <w:szCs w:val="20"/>
                <w:color w:val="auto"/>
              </w:rPr>
            </w:pPr>
            <w:r>
              <w:rPr>
                <w:rFonts w:ascii="Arial" w:cs="Arial" w:eastAsia="Arial" w:hAnsi="Arial"/>
                <w:sz w:val="13"/>
                <w:szCs w:val="13"/>
                <w:color w:val="auto"/>
              </w:rPr>
              <w:t>11.19 USA PATRIOT Act Notice</w:t>
            </w:r>
          </w:p>
        </w:tc>
        <w:tc>
          <w:tcPr>
            <w:tcW w:w="2740" w:type="dxa"/>
            <w:vAlign w:val="bottom"/>
          </w:tcPr>
          <w:p>
            <w:pPr>
              <w:jc w:val="right"/>
              <w:spacing w:after="0"/>
              <w:rPr>
                <w:sz w:val="20"/>
                <w:szCs w:val="20"/>
                <w:color w:val="auto"/>
              </w:rPr>
            </w:pPr>
            <w:r>
              <w:rPr>
                <w:rFonts w:ascii="Arial" w:cs="Arial" w:eastAsia="Arial" w:hAnsi="Arial"/>
                <w:sz w:val="13"/>
                <w:szCs w:val="13"/>
                <w:color w:val="auto"/>
              </w:rPr>
              <w:t>91</w:t>
            </w:r>
          </w:p>
        </w:tc>
      </w:tr>
      <w:tr>
        <w:trPr>
          <w:trHeight w:val="157"/>
        </w:trPr>
        <w:tc>
          <w:tcPr>
            <w:tcW w:w="1160" w:type="dxa"/>
            <w:vAlign w:val="bottom"/>
          </w:tcPr>
          <w:p>
            <w:pPr>
              <w:ind w:left="840"/>
              <w:spacing w:after="0"/>
              <w:rPr>
                <w:sz w:val="20"/>
                <w:szCs w:val="20"/>
                <w:color w:val="auto"/>
              </w:rPr>
            </w:pPr>
            <w:r>
              <w:rPr>
                <w:rFonts w:ascii="Arial" w:cs="Arial" w:eastAsia="Arial" w:hAnsi="Arial"/>
                <w:sz w:val="13"/>
                <w:szCs w:val="13"/>
                <w:color w:val="auto"/>
                <w:w w:val="92"/>
              </w:rPr>
              <w:t>11.20</w:t>
            </w:r>
          </w:p>
        </w:tc>
        <w:tc>
          <w:tcPr>
            <w:tcW w:w="7320" w:type="dxa"/>
            <w:vAlign w:val="bottom"/>
          </w:tcPr>
          <w:p>
            <w:pPr>
              <w:spacing w:after="0"/>
              <w:rPr>
                <w:sz w:val="20"/>
                <w:szCs w:val="20"/>
                <w:color w:val="auto"/>
              </w:rPr>
            </w:pPr>
            <w:r>
              <w:rPr>
                <w:rFonts w:ascii="Arial" w:cs="Arial" w:eastAsia="Arial" w:hAnsi="Arial"/>
                <w:sz w:val="13"/>
                <w:szCs w:val="13"/>
                <w:color w:val="auto"/>
              </w:rPr>
              <w:t>Judgment Currency</w:t>
            </w:r>
          </w:p>
        </w:tc>
        <w:tc>
          <w:tcPr>
            <w:tcW w:w="2740" w:type="dxa"/>
            <w:vAlign w:val="bottom"/>
          </w:tcPr>
          <w:p>
            <w:pPr>
              <w:jc w:val="right"/>
              <w:spacing w:after="0"/>
              <w:rPr>
                <w:sz w:val="20"/>
                <w:szCs w:val="20"/>
                <w:color w:val="auto"/>
              </w:rPr>
            </w:pPr>
            <w:r>
              <w:rPr>
                <w:rFonts w:ascii="Arial" w:cs="Arial" w:eastAsia="Arial" w:hAnsi="Arial"/>
                <w:sz w:val="13"/>
                <w:szCs w:val="13"/>
                <w:color w:val="auto"/>
              </w:rPr>
              <w:t>91</w:t>
            </w:r>
          </w:p>
        </w:tc>
      </w:tr>
      <w:tr>
        <w:trPr>
          <w:trHeight w:val="157"/>
        </w:trPr>
        <w:tc>
          <w:tcPr>
            <w:tcW w:w="1160" w:type="dxa"/>
            <w:vAlign w:val="bottom"/>
          </w:tcPr>
          <w:p>
            <w:pPr>
              <w:ind w:left="840"/>
              <w:spacing w:after="0"/>
              <w:rPr>
                <w:sz w:val="20"/>
                <w:szCs w:val="20"/>
                <w:color w:val="auto"/>
              </w:rPr>
            </w:pPr>
            <w:r>
              <w:rPr>
                <w:rFonts w:ascii="Arial" w:cs="Arial" w:eastAsia="Arial" w:hAnsi="Arial"/>
                <w:sz w:val="13"/>
                <w:szCs w:val="13"/>
                <w:color w:val="auto"/>
                <w:w w:val="92"/>
              </w:rPr>
              <w:t>11.21</w:t>
            </w:r>
          </w:p>
        </w:tc>
        <w:tc>
          <w:tcPr>
            <w:tcW w:w="7320" w:type="dxa"/>
            <w:vAlign w:val="bottom"/>
          </w:tcPr>
          <w:p>
            <w:pPr>
              <w:spacing w:after="0"/>
              <w:rPr>
                <w:sz w:val="20"/>
                <w:szCs w:val="20"/>
                <w:color w:val="auto"/>
              </w:rPr>
            </w:pPr>
            <w:r>
              <w:rPr>
                <w:rFonts w:ascii="Arial" w:cs="Arial" w:eastAsia="Arial" w:hAnsi="Arial"/>
                <w:sz w:val="13"/>
                <w:szCs w:val="13"/>
                <w:color w:val="auto"/>
              </w:rPr>
              <w:t>Concerning Joint and Several Liability of the Borrowers</w:t>
            </w:r>
          </w:p>
        </w:tc>
        <w:tc>
          <w:tcPr>
            <w:tcW w:w="2740" w:type="dxa"/>
            <w:vAlign w:val="bottom"/>
          </w:tcPr>
          <w:p>
            <w:pPr>
              <w:jc w:val="right"/>
              <w:spacing w:after="0"/>
              <w:rPr>
                <w:sz w:val="20"/>
                <w:szCs w:val="20"/>
                <w:color w:val="auto"/>
              </w:rPr>
            </w:pPr>
            <w:r>
              <w:rPr>
                <w:rFonts w:ascii="Arial" w:cs="Arial" w:eastAsia="Arial" w:hAnsi="Arial"/>
                <w:sz w:val="13"/>
                <w:szCs w:val="13"/>
                <w:color w:val="auto"/>
              </w:rPr>
              <w:t>91</w:t>
            </w:r>
          </w:p>
        </w:tc>
      </w:tr>
      <w:tr>
        <w:trPr>
          <w:trHeight w:val="157"/>
        </w:trPr>
        <w:tc>
          <w:tcPr>
            <w:tcW w:w="1160" w:type="dxa"/>
            <w:vAlign w:val="bottom"/>
          </w:tcPr>
          <w:p>
            <w:pPr>
              <w:ind w:left="840"/>
              <w:spacing w:after="0"/>
              <w:rPr>
                <w:sz w:val="20"/>
                <w:szCs w:val="20"/>
                <w:color w:val="auto"/>
              </w:rPr>
            </w:pPr>
            <w:r>
              <w:rPr>
                <w:rFonts w:ascii="Arial" w:cs="Arial" w:eastAsia="Arial" w:hAnsi="Arial"/>
                <w:sz w:val="13"/>
                <w:szCs w:val="13"/>
                <w:color w:val="auto"/>
                <w:w w:val="92"/>
              </w:rPr>
              <w:t>11.22</w:t>
            </w:r>
          </w:p>
        </w:tc>
        <w:tc>
          <w:tcPr>
            <w:tcW w:w="7320" w:type="dxa"/>
            <w:vAlign w:val="bottom"/>
          </w:tcPr>
          <w:p>
            <w:pPr>
              <w:spacing w:after="0"/>
              <w:rPr>
                <w:sz w:val="20"/>
                <w:szCs w:val="20"/>
                <w:color w:val="auto"/>
              </w:rPr>
            </w:pPr>
            <w:r>
              <w:rPr>
                <w:rFonts w:ascii="Arial" w:cs="Arial" w:eastAsia="Arial" w:hAnsi="Arial"/>
                <w:sz w:val="13"/>
                <w:szCs w:val="13"/>
                <w:color w:val="auto"/>
              </w:rPr>
              <w:t>Subordination of Intercompany Debt</w:t>
            </w:r>
          </w:p>
        </w:tc>
        <w:tc>
          <w:tcPr>
            <w:tcW w:w="2740" w:type="dxa"/>
            <w:vAlign w:val="bottom"/>
          </w:tcPr>
          <w:p>
            <w:pPr>
              <w:jc w:val="right"/>
              <w:spacing w:after="0"/>
              <w:rPr>
                <w:sz w:val="20"/>
                <w:szCs w:val="20"/>
                <w:color w:val="auto"/>
              </w:rPr>
            </w:pPr>
            <w:r>
              <w:rPr>
                <w:rFonts w:ascii="Arial" w:cs="Arial" w:eastAsia="Arial" w:hAnsi="Arial"/>
                <w:sz w:val="13"/>
                <w:szCs w:val="13"/>
                <w:color w:val="auto"/>
              </w:rPr>
              <w:t>93</w:t>
            </w:r>
          </w:p>
        </w:tc>
      </w:tr>
      <w:tr>
        <w:trPr>
          <w:trHeight w:val="165"/>
        </w:trPr>
        <w:tc>
          <w:tcPr>
            <w:tcW w:w="1160" w:type="dxa"/>
            <w:vAlign w:val="bottom"/>
          </w:tcPr>
          <w:p>
            <w:pPr>
              <w:ind w:left="840"/>
              <w:spacing w:after="0"/>
              <w:rPr>
                <w:sz w:val="20"/>
                <w:szCs w:val="20"/>
                <w:color w:val="auto"/>
              </w:rPr>
            </w:pPr>
            <w:r>
              <w:rPr>
                <w:rFonts w:ascii="Arial" w:cs="Arial" w:eastAsia="Arial" w:hAnsi="Arial"/>
                <w:sz w:val="13"/>
                <w:szCs w:val="13"/>
                <w:color w:val="auto"/>
                <w:w w:val="92"/>
              </w:rPr>
              <w:t>11.23</w:t>
            </w:r>
          </w:p>
        </w:tc>
        <w:tc>
          <w:tcPr>
            <w:tcW w:w="7320" w:type="dxa"/>
            <w:vAlign w:val="bottom"/>
          </w:tcPr>
          <w:p>
            <w:pPr>
              <w:spacing w:after="0"/>
              <w:rPr>
                <w:sz w:val="20"/>
                <w:szCs w:val="20"/>
                <w:color w:val="auto"/>
              </w:rPr>
            </w:pPr>
            <w:r>
              <w:rPr>
                <w:rFonts w:ascii="Arial" w:cs="Arial" w:eastAsia="Arial" w:hAnsi="Arial"/>
                <w:sz w:val="13"/>
                <w:szCs w:val="13"/>
                <w:color w:val="auto"/>
              </w:rPr>
              <w:t>No Advisory or Fiduciary Responsibility</w:t>
            </w:r>
          </w:p>
        </w:tc>
        <w:tc>
          <w:tcPr>
            <w:tcW w:w="2740" w:type="dxa"/>
            <w:vAlign w:val="bottom"/>
          </w:tcPr>
          <w:p>
            <w:pPr>
              <w:jc w:val="right"/>
              <w:spacing w:after="0"/>
              <w:rPr>
                <w:sz w:val="20"/>
                <w:szCs w:val="20"/>
                <w:color w:val="auto"/>
              </w:rPr>
            </w:pPr>
            <w:r>
              <w:rPr>
                <w:rFonts w:ascii="Arial" w:cs="Arial" w:eastAsia="Arial" w:hAnsi="Arial"/>
                <w:sz w:val="13"/>
                <w:szCs w:val="13"/>
                <w:color w:val="auto"/>
              </w:rPr>
              <w:t>93</w:t>
            </w:r>
          </w:p>
        </w:tc>
      </w:tr>
    </w:tbl>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220" w:top="878" w:right="45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65"/>
        </w:trPr>
        <w:tc>
          <w:tcPr>
            <w:tcW w:w="1600" w:type="dxa"/>
            <w:vAlign w:val="bottom"/>
          </w:tcPr>
          <w:p>
            <w:pPr>
              <w:spacing w:after="0"/>
              <w:rPr>
                <w:sz w:val="20"/>
                <w:szCs w:val="20"/>
                <w:color w:val="auto"/>
              </w:rPr>
            </w:pPr>
            <w:r>
              <w:rPr>
                <w:rFonts w:ascii="Arial" w:cs="Arial" w:eastAsia="Arial" w:hAnsi="Arial"/>
                <w:sz w:val="13"/>
                <w:szCs w:val="13"/>
                <w:color w:val="auto"/>
              </w:rPr>
              <w:t>SCHEDULES</w:t>
            </w:r>
          </w:p>
        </w:tc>
        <w:tc>
          <w:tcPr>
            <w:tcW w:w="2320" w:type="dxa"/>
            <w:vAlign w:val="bottom"/>
          </w:tcPr>
          <w:p>
            <w:pPr>
              <w:spacing w:after="0"/>
              <w:rPr>
                <w:sz w:val="14"/>
                <w:szCs w:val="14"/>
                <w:color w:val="auto"/>
              </w:rPr>
            </w:pPr>
          </w:p>
        </w:tc>
      </w:tr>
      <w:tr>
        <w:trPr>
          <w:trHeight w:val="307"/>
        </w:trPr>
        <w:tc>
          <w:tcPr>
            <w:tcW w:w="1600" w:type="dxa"/>
            <w:vAlign w:val="bottom"/>
          </w:tcPr>
          <w:p>
            <w:pPr>
              <w:ind w:left="1140"/>
              <w:spacing w:after="0"/>
              <w:rPr>
                <w:sz w:val="20"/>
                <w:szCs w:val="20"/>
                <w:color w:val="auto"/>
              </w:rPr>
            </w:pPr>
            <w:r>
              <w:rPr>
                <w:rFonts w:ascii="Arial" w:cs="Arial" w:eastAsia="Arial" w:hAnsi="Arial"/>
                <w:sz w:val="13"/>
                <w:szCs w:val="13"/>
                <w:color w:val="auto"/>
              </w:rPr>
              <w:t>1.01(a)</w:t>
            </w:r>
          </w:p>
        </w:tc>
        <w:tc>
          <w:tcPr>
            <w:tcW w:w="2320" w:type="dxa"/>
            <w:vAlign w:val="bottom"/>
          </w:tcPr>
          <w:p>
            <w:pPr>
              <w:ind w:left="80"/>
              <w:spacing w:after="0"/>
              <w:rPr>
                <w:sz w:val="20"/>
                <w:szCs w:val="20"/>
                <w:color w:val="auto"/>
              </w:rPr>
            </w:pPr>
            <w:r>
              <w:rPr>
                <w:rFonts w:ascii="Arial" w:cs="Arial" w:eastAsia="Arial" w:hAnsi="Arial"/>
                <w:sz w:val="13"/>
                <w:szCs w:val="13"/>
                <w:color w:val="auto"/>
              </w:rPr>
              <w:t>Existing Letters of Credit</w:t>
            </w:r>
          </w:p>
        </w:tc>
      </w:tr>
      <w:tr>
        <w:trPr>
          <w:trHeight w:val="157"/>
        </w:trPr>
        <w:tc>
          <w:tcPr>
            <w:tcW w:w="1600" w:type="dxa"/>
            <w:vAlign w:val="bottom"/>
          </w:tcPr>
          <w:p>
            <w:pPr>
              <w:ind w:left="1140"/>
              <w:spacing w:after="0"/>
              <w:rPr>
                <w:sz w:val="20"/>
                <w:szCs w:val="20"/>
                <w:color w:val="auto"/>
              </w:rPr>
            </w:pPr>
            <w:r>
              <w:rPr>
                <w:rFonts w:ascii="Arial" w:cs="Arial" w:eastAsia="Arial" w:hAnsi="Arial"/>
                <w:sz w:val="13"/>
                <w:szCs w:val="13"/>
                <w:color w:val="auto"/>
              </w:rPr>
              <w:t>1.01(b)</w:t>
            </w:r>
          </w:p>
        </w:tc>
        <w:tc>
          <w:tcPr>
            <w:tcW w:w="2320" w:type="dxa"/>
            <w:vAlign w:val="bottom"/>
          </w:tcPr>
          <w:p>
            <w:pPr>
              <w:ind w:left="80"/>
              <w:spacing w:after="0"/>
              <w:rPr>
                <w:sz w:val="20"/>
                <w:szCs w:val="20"/>
                <w:color w:val="auto"/>
              </w:rPr>
            </w:pPr>
            <w:r>
              <w:rPr>
                <w:rFonts w:ascii="Arial" w:cs="Arial" w:eastAsia="Arial" w:hAnsi="Arial"/>
                <w:sz w:val="13"/>
                <w:szCs w:val="13"/>
                <w:color w:val="auto"/>
              </w:rPr>
              <w:t>Mandatory Cost Formulae</w:t>
            </w:r>
          </w:p>
        </w:tc>
      </w:tr>
      <w:tr>
        <w:trPr>
          <w:trHeight w:val="157"/>
        </w:trPr>
        <w:tc>
          <w:tcPr>
            <w:tcW w:w="1600" w:type="dxa"/>
            <w:vAlign w:val="bottom"/>
          </w:tcPr>
          <w:p>
            <w:pPr>
              <w:ind w:left="1140"/>
              <w:spacing w:after="0"/>
              <w:rPr>
                <w:sz w:val="20"/>
                <w:szCs w:val="20"/>
                <w:color w:val="auto"/>
              </w:rPr>
            </w:pPr>
            <w:r>
              <w:rPr>
                <w:rFonts w:ascii="Arial" w:cs="Arial" w:eastAsia="Arial" w:hAnsi="Arial"/>
                <w:sz w:val="13"/>
                <w:szCs w:val="13"/>
                <w:color w:val="auto"/>
              </w:rPr>
              <w:t>2.01</w:t>
            </w:r>
          </w:p>
        </w:tc>
        <w:tc>
          <w:tcPr>
            <w:tcW w:w="2320" w:type="dxa"/>
            <w:vAlign w:val="bottom"/>
          </w:tcPr>
          <w:p>
            <w:pPr>
              <w:ind w:left="80"/>
              <w:spacing w:after="0"/>
              <w:rPr>
                <w:sz w:val="20"/>
                <w:szCs w:val="20"/>
                <w:color w:val="auto"/>
              </w:rPr>
            </w:pPr>
            <w:r>
              <w:rPr>
                <w:rFonts w:ascii="Arial" w:cs="Arial" w:eastAsia="Arial" w:hAnsi="Arial"/>
                <w:sz w:val="13"/>
                <w:szCs w:val="13"/>
                <w:color w:val="auto"/>
              </w:rPr>
              <w:t>Commitments and Pro Rata Shares</w:t>
            </w:r>
          </w:p>
        </w:tc>
      </w:tr>
      <w:tr>
        <w:trPr>
          <w:trHeight w:val="157"/>
        </w:trPr>
        <w:tc>
          <w:tcPr>
            <w:tcW w:w="1600" w:type="dxa"/>
            <w:vAlign w:val="bottom"/>
          </w:tcPr>
          <w:p>
            <w:pPr>
              <w:ind w:left="1140"/>
              <w:spacing w:after="0"/>
              <w:rPr>
                <w:sz w:val="20"/>
                <w:szCs w:val="20"/>
                <w:color w:val="auto"/>
              </w:rPr>
            </w:pPr>
            <w:r>
              <w:rPr>
                <w:rFonts w:ascii="Arial" w:cs="Arial" w:eastAsia="Arial" w:hAnsi="Arial"/>
                <w:sz w:val="13"/>
                <w:szCs w:val="13"/>
                <w:color w:val="auto"/>
              </w:rPr>
              <w:t>6.13</w:t>
            </w:r>
          </w:p>
        </w:tc>
        <w:tc>
          <w:tcPr>
            <w:tcW w:w="2320" w:type="dxa"/>
            <w:vAlign w:val="bottom"/>
          </w:tcPr>
          <w:p>
            <w:pPr>
              <w:ind w:left="80"/>
              <w:spacing w:after="0"/>
              <w:rPr>
                <w:sz w:val="20"/>
                <w:szCs w:val="20"/>
                <w:color w:val="auto"/>
              </w:rPr>
            </w:pPr>
            <w:r>
              <w:rPr>
                <w:rFonts w:ascii="Arial" w:cs="Arial" w:eastAsia="Arial" w:hAnsi="Arial"/>
                <w:sz w:val="13"/>
                <w:szCs w:val="13"/>
                <w:color w:val="auto"/>
              </w:rPr>
              <w:t>Subsidiaries</w:t>
            </w:r>
          </w:p>
        </w:tc>
      </w:tr>
      <w:tr>
        <w:trPr>
          <w:trHeight w:val="157"/>
        </w:trPr>
        <w:tc>
          <w:tcPr>
            <w:tcW w:w="1600" w:type="dxa"/>
            <w:vAlign w:val="bottom"/>
          </w:tcPr>
          <w:p>
            <w:pPr>
              <w:ind w:left="1140"/>
              <w:spacing w:after="0"/>
              <w:rPr>
                <w:sz w:val="20"/>
                <w:szCs w:val="20"/>
                <w:color w:val="auto"/>
              </w:rPr>
            </w:pPr>
            <w:r>
              <w:rPr>
                <w:rFonts w:ascii="Arial" w:cs="Arial" w:eastAsia="Arial" w:hAnsi="Arial"/>
                <w:sz w:val="13"/>
                <w:szCs w:val="13"/>
                <w:color w:val="auto"/>
              </w:rPr>
              <w:t>8.01</w:t>
            </w:r>
          </w:p>
        </w:tc>
        <w:tc>
          <w:tcPr>
            <w:tcW w:w="2320" w:type="dxa"/>
            <w:vAlign w:val="bottom"/>
          </w:tcPr>
          <w:p>
            <w:pPr>
              <w:ind w:left="80"/>
              <w:spacing w:after="0"/>
              <w:rPr>
                <w:sz w:val="20"/>
                <w:szCs w:val="20"/>
                <w:color w:val="auto"/>
              </w:rPr>
            </w:pPr>
            <w:r>
              <w:rPr>
                <w:rFonts w:ascii="Arial" w:cs="Arial" w:eastAsia="Arial" w:hAnsi="Arial"/>
                <w:sz w:val="13"/>
                <w:szCs w:val="13"/>
                <w:color w:val="auto"/>
              </w:rPr>
              <w:t>Liens Existing on the Closing Date</w:t>
            </w:r>
          </w:p>
        </w:tc>
      </w:tr>
      <w:tr>
        <w:trPr>
          <w:trHeight w:val="157"/>
        </w:trPr>
        <w:tc>
          <w:tcPr>
            <w:tcW w:w="1600" w:type="dxa"/>
            <w:vAlign w:val="bottom"/>
          </w:tcPr>
          <w:p>
            <w:pPr>
              <w:ind w:left="1140"/>
              <w:spacing w:after="0"/>
              <w:rPr>
                <w:sz w:val="20"/>
                <w:szCs w:val="20"/>
                <w:color w:val="auto"/>
              </w:rPr>
            </w:pPr>
            <w:r>
              <w:rPr>
                <w:rFonts w:ascii="Arial" w:cs="Arial" w:eastAsia="Arial" w:hAnsi="Arial"/>
                <w:sz w:val="13"/>
                <w:szCs w:val="13"/>
                <w:color w:val="auto"/>
              </w:rPr>
              <w:t>8.02</w:t>
            </w:r>
          </w:p>
        </w:tc>
        <w:tc>
          <w:tcPr>
            <w:tcW w:w="2320" w:type="dxa"/>
            <w:vAlign w:val="bottom"/>
          </w:tcPr>
          <w:p>
            <w:pPr>
              <w:ind w:left="80"/>
              <w:spacing w:after="0"/>
              <w:rPr>
                <w:sz w:val="20"/>
                <w:szCs w:val="20"/>
                <w:color w:val="auto"/>
              </w:rPr>
            </w:pPr>
            <w:r>
              <w:rPr>
                <w:rFonts w:ascii="Arial" w:cs="Arial" w:eastAsia="Arial" w:hAnsi="Arial"/>
                <w:sz w:val="13"/>
                <w:szCs w:val="13"/>
                <w:color w:val="auto"/>
                <w:w w:val="93"/>
              </w:rPr>
              <w:t>Investments Existing on the Closing Date</w:t>
            </w:r>
          </w:p>
        </w:tc>
      </w:tr>
      <w:tr>
        <w:trPr>
          <w:trHeight w:val="157"/>
        </w:trPr>
        <w:tc>
          <w:tcPr>
            <w:tcW w:w="1600" w:type="dxa"/>
            <w:vAlign w:val="bottom"/>
          </w:tcPr>
          <w:p>
            <w:pPr>
              <w:ind w:left="1140"/>
              <w:spacing w:after="0"/>
              <w:rPr>
                <w:sz w:val="20"/>
                <w:szCs w:val="20"/>
                <w:color w:val="auto"/>
              </w:rPr>
            </w:pPr>
            <w:r>
              <w:rPr>
                <w:rFonts w:ascii="Arial" w:cs="Arial" w:eastAsia="Arial" w:hAnsi="Arial"/>
                <w:sz w:val="13"/>
                <w:szCs w:val="13"/>
                <w:color w:val="auto"/>
              </w:rPr>
              <w:t>8.03</w:t>
            </w:r>
          </w:p>
        </w:tc>
        <w:tc>
          <w:tcPr>
            <w:tcW w:w="2320" w:type="dxa"/>
            <w:vAlign w:val="bottom"/>
          </w:tcPr>
          <w:p>
            <w:pPr>
              <w:ind w:left="80"/>
              <w:spacing w:after="0"/>
              <w:rPr>
                <w:sz w:val="20"/>
                <w:szCs w:val="20"/>
                <w:color w:val="auto"/>
              </w:rPr>
            </w:pPr>
            <w:r>
              <w:rPr>
                <w:rFonts w:ascii="Arial" w:cs="Arial" w:eastAsia="Arial" w:hAnsi="Arial"/>
                <w:sz w:val="13"/>
                <w:szCs w:val="13"/>
                <w:color w:val="auto"/>
                <w:w w:val="90"/>
              </w:rPr>
              <w:t>Indebtedness Existing on the Closing Date</w:t>
            </w:r>
          </w:p>
        </w:tc>
      </w:tr>
      <w:tr>
        <w:trPr>
          <w:trHeight w:val="165"/>
        </w:trPr>
        <w:tc>
          <w:tcPr>
            <w:tcW w:w="1600" w:type="dxa"/>
            <w:vAlign w:val="bottom"/>
          </w:tcPr>
          <w:p>
            <w:pPr>
              <w:ind w:left="1140"/>
              <w:spacing w:after="0"/>
              <w:rPr>
                <w:sz w:val="20"/>
                <w:szCs w:val="20"/>
                <w:color w:val="auto"/>
              </w:rPr>
            </w:pPr>
            <w:r>
              <w:rPr>
                <w:rFonts w:ascii="Arial" w:cs="Arial" w:eastAsia="Arial" w:hAnsi="Arial"/>
                <w:sz w:val="13"/>
                <w:szCs w:val="13"/>
                <w:color w:val="auto"/>
              </w:rPr>
              <w:t>11.02</w:t>
            </w:r>
          </w:p>
        </w:tc>
        <w:tc>
          <w:tcPr>
            <w:tcW w:w="2320" w:type="dxa"/>
            <w:vAlign w:val="bottom"/>
          </w:tcPr>
          <w:p>
            <w:pPr>
              <w:ind w:left="80"/>
              <w:spacing w:after="0"/>
              <w:rPr>
                <w:sz w:val="20"/>
                <w:szCs w:val="20"/>
                <w:color w:val="auto"/>
              </w:rPr>
            </w:pPr>
            <w:r>
              <w:rPr>
                <w:rFonts w:ascii="Arial" w:cs="Arial" w:eastAsia="Arial" w:hAnsi="Arial"/>
                <w:sz w:val="13"/>
                <w:szCs w:val="13"/>
                <w:color w:val="auto"/>
              </w:rPr>
              <w:t>Certain Addresses for Notices</w:t>
            </w:r>
          </w:p>
        </w:tc>
      </w:tr>
      <w:tr>
        <w:trPr>
          <w:trHeight w:val="315"/>
        </w:trPr>
        <w:tc>
          <w:tcPr>
            <w:tcW w:w="1600" w:type="dxa"/>
            <w:vAlign w:val="bottom"/>
          </w:tcPr>
          <w:p>
            <w:pPr>
              <w:spacing w:after="0"/>
              <w:rPr>
                <w:sz w:val="20"/>
                <w:szCs w:val="20"/>
                <w:color w:val="auto"/>
              </w:rPr>
            </w:pPr>
            <w:r>
              <w:rPr>
                <w:rFonts w:ascii="Arial" w:cs="Arial" w:eastAsia="Arial" w:hAnsi="Arial"/>
                <w:sz w:val="13"/>
                <w:szCs w:val="13"/>
                <w:color w:val="auto"/>
              </w:rPr>
              <w:t>EXHIBITS</w:t>
            </w:r>
          </w:p>
        </w:tc>
        <w:tc>
          <w:tcPr>
            <w:tcW w:w="2320" w:type="dxa"/>
            <w:vAlign w:val="bottom"/>
          </w:tcPr>
          <w:p>
            <w:pPr>
              <w:spacing w:after="0"/>
              <w:rPr>
                <w:sz w:val="24"/>
                <w:szCs w:val="24"/>
                <w:color w:val="auto"/>
              </w:rPr>
            </w:pPr>
          </w:p>
        </w:tc>
      </w:tr>
      <w:tr>
        <w:trPr>
          <w:trHeight w:val="307"/>
        </w:trPr>
        <w:tc>
          <w:tcPr>
            <w:tcW w:w="1600" w:type="dxa"/>
            <w:vAlign w:val="bottom"/>
          </w:tcPr>
          <w:p>
            <w:pPr>
              <w:ind w:left="1140"/>
              <w:spacing w:after="0"/>
              <w:rPr>
                <w:sz w:val="20"/>
                <w:szCs w:val="20"/>
                <w:color w:val="auto"/>
              </w:rPr>
            </w:pPr>
            <w:r>
              <w:rPr>
                <w:rFonts w:ascii="Arial" w:cs="Arial" w:eastAsia="Arial" w:hAnsi="Arial"/>
                <w:sz w:val="13"/>
                <w:szCs w:val="13"/>
                <w:color w:val="auto"/>
              </w:rPr>
              <w:t>2.02</w:t>
            </w:r>
          </w:p>
        </w:tc>
        <w:tc>
          <w:tcPr>
            <w:tcW w:w="2320" w:type="dxa"/>
            <w:vAlign w:val="bottom"/>
          </w:tcPr>
          <w:p>
            <w:pPr>
              <w:ind w:left="80"/>
              <w:spacing w:after="0"/>
              <w:rPr>
                <w:sz w:val="20"/>
                <w:szCs w:val="20"/>
                <w:color w:val="auto"/>
              </w:rPr>
            </w:pPr>
            <w:r>
              <w:rPr>
                <w:rFonts w:ascii="Arial" w:cs="Arial" w:eastAsia="Arial" w:hAnsi="Arial"/>
                <w:sz w:val="13"/>
                <w:szCs w:val="13"/>
                <w:color w:val="auto"/>
              </w:rPr>
              <w:t>Form of Loan Notice</w:t>
            </w:r>
          </w:p>
        </w:tc>
      </w:tr>
      <w:tr>
        <w:trPr>
          <w:trHeight w:val="157"/>
        </w:trPr>
        <w:tc>
          <w:tcPr>
            <w:tcW w:w="1600" w:type="dxa"/>
            <w:vAlign w:val="bottom"/>
          </w:tcPr>
          <w:p>
            <w:pPr>
              <w:ind w:left="1140"/>
              <w:spacing w:after="0"/>
              <w:rPr>
                <w:sz w:val="20"/>
                <w:szCs w:val="20"/>
                <w:color w:val="auto"/>
              </w:rPr>
            </w:pPr>
            <w:r>
              <w:rPr>
                <w:rFonts w:ascii="Arial" w:cs="Arial" w:eastAsia="Arial" w:hAnsi="Arial"/>
                <w:sz w:val="13"/>
                <w:szCs w:val="13"/>
                <w:color w:val="auto"/>
              </w:rPr>
              <w:t>2.04</w:t>
            </w:r>
          </w:p>
        </w:tc>
        <w:tc>
          <w:tcPr>
            <w:tcW w:w="2320" w:type="dxa"/>
            <w:vAlign w:val="bottom"/>
          </w:tcPr>
          <w:p>
            <w:pPr>
              <w:ind w:left="80"/>
              <w:spacing w:after="0"/>
              <w:rPr>
                <w:sz w:val="20"/>
                <w:szCs w:val="20"/>
                <w:color w:val="auto"/>
              </w:rPr>
            </w:pPr>
            <w:r>
              <w:rPr>
                <w:rFonts w:ascii="Arial" w:cs="Arial" w:eastAsia="Arial" w:hAnsi="Arial"/>
                <w:sz w:val="13"/>
                <w:szCs w:val="13"/>
                <w:color w:val="auto"/>
              </w:rPr>
              <w:t>Form of Swing Line Loan Notice</w:t>
            </w:r>
          </w:p>
        </w:tc>
      </w:tr>
      <w:tr>
        <w:trPr>
          <w:trHeight w:val="157"/>
        </w:trPr>
        <w:tc>
          <w:tcPr>
            <w:tcW w:w="1600" w:type="dxa"/>
            <w:vAlign w:val="bottom"/>
          </w:tcPr>
          <w:p>
            <w:pPr>
              <w:ind w:left="1140"/>
              <w:spacing w:after="0"/>
              <w:rPr>
                <w:sz w:val="20"/>
                <w:szCs w:val="20"/>
                <w:color w:val="auto"/>
              </w:rPr>
            </w:pPr>
            <w:r>
              <w:rPr>
                <w:rFonts w:ascii="Arial" w:cs="Arial" w:eastAsia="Arial" w:hAnsi="Arial"/>
                <w:sz w:val="13"/>
                <w:szCs w:val="13"/>
                <w:color w:val="auto"/>
              </w:rPr>
              <w:t>2.11</w:t>
            </w:r>
          </w:p>
        </w:tc>
        <w:tc>
          <w:tcPr>
            <w:tcW w:w="2320" w:type="dxa"/>
            <w:vAlign w:val="bottom"/>
          </w:tcPr>
          <w:p>
            <w:pPr>
              <w:ind w:left="80"/>
              <w:spacing w:after="0"/>
              <w:rPr>
                <w:sz w:val="20"/>
                <w:szCs w:val="20"/>
                <w:color w:val="auto"/>
              </w:rPr>
            </w:pPr>
            <w:r>
              <w:rPr>
                <w:rFonts w:ascii="Arial" w:cs="Arial" w:eastAsia="Arial" w:hAnsi="Arial"/>
                <w:sz w:val="13"/>
                <w:szCs w:val="13"/>
                <w:color w:val="auto"/>
              </w:rPr>
              <w:t>Form of Note</w:t>
            </w:r>
          </w:p>
        </w:tc>
      </w:tr>
      <w:tr>
        <w:trPr>
          <w:trHeight w:val="157"/>
        </w:trPr>
        <w:tc>
          <w:tcPr>
            <w:tcW w:w="1600" w:type="dxa"/>
            <w:vAlign w:val="bottom"/>
          </w:tcPr>
          <w:p>
            <w:pPr>
              <w:ind w:left="1140"/>
              <w:spacing w:after="0"/>
              <w:rPr>
                <w:sz w:val="20"/>
                <w:szCs w:val="20"/>
                <w:color w:val="auto"/>
              </w:rPr>
            </w:pPr>
            <w:r>
              <w:rPr>
                <w:rFonts w:ascii="Arial" w:cs="Arial" w:eastAsia="Arial" w:hAnsi="Arial"/>
                <w:sz w:val="13"/>
                <w:szCs w:val="13"/>
                <w:color w:val="auto"/>
              </w:rPr>
              <w:t>7.02</w:t>
            </w:r>
          </w:p>
        </w:tc>
        <w:tc>
          <w:tcPr>
            <w:tcW w:w="2320" w:type="dxa"/>
            <w:vAlign w:val="bottom"/>
          </w:tcPr>
          <w:p>
            <w:pPr>
              <w:ind w:left="80"/>
              <w:spacing w:after="0"/>
              <w:rPr>
                <w:sz w:val="20"/>
                <w:szCs w:val="20"/>
                <w:color w:val="auto"/>
              </w:rPr>
            </w:pPr>
            <w:r>
              <w:rPr>
                <w:rFonts w:ascii="Arial" w:cs="Arial" w:eastAsia="Arial" w:hAnsi="Arial"/>
                <w:sz w:val="13"/>
                <w:szCs w:val="13"/>
                <w:color w:val="auto"/>
              </w:rPr>
              <w:t>Form of Compliance Certificate</w:t>
            </w:r>
          </w:p>
        </w:tc>
      </w:tr>
      <w:tr>
        <w:trPr>
          <w:trHeight w:val="157"/>
        </w:trPr>
        <w:tc>
          <w:tcPr>
            <w:tcW w:w="1600" w:type="dxa"/>
            <w:vAlign w:val="bottom"/>
          </w:tcPr>
          <w:p>
            <w:pPr>
              <w:ind w:left="1140"/>
              <w:spacing w:after="0"/>
              <w:rPr>
                <w:sz w:val="20"/>
                <w:szCs w:val="20"/>
                <w:color w:val="auto"/>
              </w:rPr>
            </w:pPr>
            <w:r>
              <w:rPr>
                <w:rFonts w:ascii="Arial" w:cs="Arial" w:eastAsia="Arial" w:hAnsi="Arial"/>
                <w:sz w:val="13"/>
                <w:szCs w:val="13"/>
                <w:color w:val="auto"/>
              </w:rPr>
              <w:t>7.12</w:t>
            </w:r>
          </w:p>
        </w:tc>
        <w:tc>
          <w:tcPr>
            <w:tcW w:w="2320" w:type="dxa"/>
            <w:vAlign w:val="bottom"/>
          </w:tcPr>
          <w:p>
            <w:pPr>
              <w:ind w:left="80"/>
              <w:spacing w:after="0"/>
              <w:rPr>
                <w:sz w:val="20"/>
                <w:szCs w:val="20"/>
                <w:color w:val="auto"/>
              </w:rPr>
            </w:pPr>
            <w:r>
              <w:rPr>
                <w:rFonts w:ascii="Arial" w:cs="Arial" w:eastAsia="Arial" w:hAnsi="Arial"/>
                <w:sz w:val="13"/>
                <w:szCs w:val="13"/>
                <w:color w:val="auto"/>
              </w:rPr>
              <w:t>Form of Joinder Agreement</w:t>
            </w:r>
          </w:p>
        </w:tc>
      </w:tr>
      <w:tr>
        <w:trPr>
          <w:trHeight w:val="165"/>
        </w:trPr>
        <w:tc>
          <w:tcPr>
            <w:tcW w:w="1600" w:type="dxa"/>
            <w:vAlign w:val="bottom"/>
          </w:tcPr>
          <w:p>
            <w:pPr>
              <w:ind w:left="1140"/>
              <w:spacing w:after="0"/>
              <w:rPr>
                <w:sz w:val="20"/>
                <w:szCs w:val="20"/>
                <w:color w:val="auto"/>
              </w:rPr>
            </w:pPr>
            <w:r>
              <w:rPr>
                <w:rFonts w:ascii="Arial" w:cs="Arial" w:eastAsia="Arial" w:hAnsi="Arial"/>
                <w:sz w:val="13"/>
                <w:szCs w:val="13"/>
                <w:color w:val="auto"/>
              </w:rPr>
              <w:t>11.07</w:t>
            </w:r>
          </w:p>
        </w:tc>
        <w:tc>
          <w:tcPr>
            <w:tcW w:w="2320" w:type="dxa"/>
            <w:vAlign w:val="bottom"/>
          </w:tcPr>
          <w:p>
            <w:pPr>
              <w:ind w:left="80"/>
              <w:spacing w:after="0"/>
              <w:rPr>
                <w:sz w:val="20"/>
                <w:szCs w:val="20"/>
                <w:color w:val="auto"/>
              </w:rPr>
            </w:pPr>
            <w:r>
              <w:rPr>
                <w:rFonts w:ascii="Arial" w:cs="Arial" w:eastAsia="Arial" w:hAnsi="Arial"/>
                <w:sz w:val="13"/>
                <w:szCs w:val="13"/>
                <w:color w:val="auto"/>
              </w:rPr>
              <w:t>Form of Assignment and Assumption</w:t>
            </w:r>
          </w:p>
        </w:tc>
      </w:tr>
    </w:tbl>
    <w:p>
      <w:pPr>
        <w:spacing w:after="0" w:line="130" w:lineRule="exact"/>
        <w:rPr>
          <w:sz w:val="20"/>
          <w:szCs w:val="20"/>
          <w:color w:val="auto"/>
        </w:rPr>
      </w:pPr>
    </w:p>
    <w:p>
      <w:pPr>
        <w:jc w:val="right"/>
        <w:ind w:right="4459"/>
        <w:spacing w:after="0"/>
        <w:rPr>
          <w:sz w:val="20"/>
          <w:szCs w:val="20"/>
          <w:color w:val="auto"/>
        </w:rPr>
      </w:pPr>
      <w:r>
        <w:rPr>
          <w:rFonts w:ascii="Arial" w:cs="Arial" w:eastAsia="Arial" w:hAnsi="Arial"/>
          <w:sz w:val="13"/>
          <w:szCs w:val="13"/>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878" w:right="1440"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3"/>
          <w:szCs w:val="13"/>
          <w:color w:val="auto"/>
        </w:rPr>
        <w:t>AMENDED AND RESTATED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CREDIT AGREEMENT</w:t>
      </w:r>
    </w:p>
    <w:p>
      <w:pPr>
        <w:spacing w:after="0" w:line="79" w:lineRule="exact"/>
        <w:rPr>
          <w:sz w:val="20"/>
          <w:szCs w:val="20"/>
          <w:color w:val="auto"/>
        </w:rPr>
      </w:pPr>
    </w:p>
    <w:p>
      <w:pPr>
        <w:ind w:right="140" w:firstLine="161"/>
        <w:spacing w:after="0" w:line="264" w:lineRule="auto"/>
        <w:rPr>
          <w:sz w:val="20"/>
          <w:szCs w:val="20"/>
          <w:color w:val="auto"/>
        </w:rPr>
      </w:pPr>
      <w:r>
        <w:rPr>
          <w:rFonts w:ascii="Arial" w:cs="Arial" w:eastAsia="Arial" w:hAnsi="Arial"/>
          <w:sz w:val="13"/>
          <w:szCs w:val="13"/>
          <w:color w:val="auto"/>
        </w:rPr>
        <w:t>This AMENDED AND RESTATED CREDIT AGREEMENT is entered into as of October 5, 2006 among BRADY CORPORATION, a Wisconsin corporation (the “</w:t>
      </w:r>
      <w:r>
        <w:rPr>
          <w:rFonts w:ascii="Arial" w:cs="Arial" w:eastAsia="Arial" w:hAnsi="Arial"/>
          <w:sz w:val="13"/>
          <w:szCs w:val="13"/>
          <w:u w:val="single" w:color="auto"/>
          <w:color w:val="auto"/>
        </w:rPr>
        <w:t>Company</w:t>
      </w:r>
      <w:r>
        <w:rPr>
          <w:rFonts w:ascii="Arial" w:cs="Arial" w:eastAsia="Arial" w:hAnsi="Arial"/>
          <w:sz w:val="13"/>
          <w:szCs w:val="13"/>
          <w:color w:val="auto"/>
        </w:rPr>
        <w:t>”), BRADY WORLDWIDE, INC., a Wisconsin corporation (“</w:t>
      </w:r>
      <w:r>
        <w:rPr>
          <w:rFonts w:ascii="Arial" w:cs="Arial" w:eastAsia="Arial" w:hAnsi="Arial"/>
          <w:sz w:val="13"/>
          <w:szCs w:val="13"/>
          <w:u w:val="single" w:color="auto"/>
          <w:color w:val="auto"/>
        </w:rPr>
        <w:t>Worldwide</w:t>
      </w:r>
      <w:r>
        <w:rPr>
          <w:rFonts w:ascii="Arial" w:cs="Arial" w:eastAsia="Arial" w:hAnsi="Arial"/>
          <w:sz w:val="13"/>
          <w:szCs w:val="13"/>
          <w:color w:val="auto"/>
        </w:rPr>
        <w:t>”), and TRICOR DIRECT, INC., a Delaware corporation (“</w:t>
      </w:r>
      <w:r>
        <w:rPr>
          <w:rFonts w:ascii="Arial" w:cs="Arial" w:eastAsia="Arial" w:hAnsi="Arial"/>
          <w:sz w:val="13"/>
          <w:szCs w:val="13"/>
          <w:u w:val="single" w:color="auto"/>
          <w:color w:val="auto"/>
        </w:rPr>
        <w:t>Tricor</w:t>
      </w:r>
      <w:r>
        <w:rPr>
          <w:rFonts w:ascii="Arial" w:cs="Arial" w:eastAsia="Arial" w:hAnsi="Arial"/>
          <w:sz w:val="13"/>
          <w:szCs w:val="13"/>
          <w:color w:val="auto"/>
        </w:rPr>
        <w:t>”, together with the Company and Worldwide, the “</w:t>
      </w:r>
      <w:r>
        <w:rPr>
          <w:rFonts w:ascii="Arial" w:cs="Arial" w:eastAsia="Arial" w:hAnsi="Arial"/>
          <w:sz w:val="13"/>
          <w:szCs w:val="13"/>
          <w:u w:val="single" w:color="auto"/>
          <w:color w:val="auto"/>
        </w:rPr>
        <w:t>Borrowers</w:t>
      </w:r>
      <w:r>
        <w:rPr>
          <w:rFonts w:ascii="Arial" w:cs="Arial" w:eastAsia="Arial" w:hAnsi="Arial"/>
          <w:sz w:val="13"/>
          <w:szCs w:val="13"/>
          <w:color w:val="auto"/>
        </w:rPr>
        <w:t>”), the Guarantors (defined herein), the Lenders (defined herein) and BANK OF AMERICA, N.A., as Administrative Agent, Swing Line Lender and L/C Issuer.</w:t>
      </w:r>
    </w:p>
    <w:p>
      <w:pPr>
        <w:spacing w:after="0" w:line="57" w:lineRule="exact"/>
        <w:rPr>
          <w:sz w:val="20"/>
          <w:szCs w:val="20"/>
          <w:color w:val="auto"/>
        </w:rPr>
      </w:pPr>
    </w:p>
    <w:p>
      <w:pPr>
        <w:ind w:right="60" w:firstLine="164"/>
        <w:spacing w:after="0" w:line="260" w:lineRule="auto"/>
        <w:rPr>
          <w:sz w:val="20"/>
          <w:szCs w:val="20"/>
          <w:color w:val="auto"/>
        </w:rPr>
      </w:pPr>
      <w:r>
        <w:rPr>
          <w:rFonts w:ascii="Arial" w:cs="Arial" w:eastAsia="Arial" w:hAnsi="Arial"/>
          <w:sz w:val="13"/>
          <w:szCs w:val="13"/>
          <w:color w:val="auto"/>
        </w:rPr>
        <w:t>Pursuant to that Credit Agreement (as amended, modified and supplemented, the “</w:t>
      </w:r>
      <w:r>
        <w:rPr>
          <w:rFonts w:ascii="Arial" w:cs="Arial" w:eastAsia="Arial" w:hAnsi="Arial"/>
          <w:sz w:val="13"/>
          <w:szCs w:val="13"/>
          <w:u w:val="single" w:color="auto"/>
          <w:color w:val="auto"/>
        </w:rPr>
        <w:t>Existing Credit Agreement</w:t>
      </w:r>
      <w:r>
        <w:rPr>
          <w:rFonts w:ascii="Arial" w:cs="Arial" w:eastAsia="Arial" w:hAnsi="Arial"/>
          <w:sz w:val="13"/>
          <w:szCs w:val="13"/>
          <w:color w:val="auto"/>
        </w:rPr>
        <w:t>”) dated as of March 31, 2004 among the Company, Worldwide, Tricor, the guarantors identified therein, the lenders identified therein and Bank of America, N.A., as administrative agent, swing line lender and l/c issuer, the lenders party thereto agreed to provide $200 million in credit facilities to the Borrowers. The Company has requested that the credit facilities provided pursuant to the Existing Credit Agreement be amended and restated on the terms and conditions set forth herein. The Lenders have agreed to the Company’s request and this Agreement is given in amendment to, restatement of and substitution for the Existing Credit Agreement.</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 consideration of the mutual covenants and agreements herein contained, the parties hereto covenant and agree as follows:</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ARTICLE I</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DEFINITIONS AND ACCOUNTING TERMS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1.01 </w:t>
      </w:r>
      <w:r>
        <w:rPr>
          <w:rFonts w:ascii="Arial" w:cs="Arial" w:eastAsia="Arial" w:hAnsi="Arial"/>
          <w:sz w:val="13"/>
          <w:szCs w:val="13"/>
          <w:u w:val="single" w:color="auto"/>
          <w:color w:val="auto"/>
        </w:rPr>
        <w:t>Defined Terms</w:t>
      </w:r>
      <w:r>
        <w:rPr>
          <w:rFonts w:ascii="Arial" w:cs="Arial" w:eastAsia="Arial" w:hAnsi="Arial"/>
          <w:sz w:val="13"/>
          <w:szCs w:val="13"/>
          <w:color w:val="auto"/>
        </w:rPr>
        <w: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As used in this Agreement, the following terms shall have the meanings set forth below:</w:t>
      </w:r>
    </w:p>
    <w:p>
      <w:pPr>
        <w:spacing w:after="0" w:line="86" w:lineRule="exact"/>
        <w:rPr>
          <w:sz w:val="20"/>
          <w:szCs w:val="20"/>
          <w:color w:val="auto"/>
        </w:rPr>
      </w:pPr>
    </w:p>
    <w:p>
      <w:pPr>
        <w:jc w:val="both"/>
        <w:ind w:firstLine="164"/>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Acquisition</w:t>
      </w:r>
      <w:r>
        <w:rPr>
          <w:rFonts w:ascii="Arial" w:cs="Arial" w:eastAsia="Arial" w:hAnsi="Arial"/>
          <w:sz w:val="13"/>
          <w:szCs w:val="13"/>
          <w:color w:val="auto"/>
        </w:rPr>
        <w:t>”, by any Person, means the acquisition by such Person, in a single transaction or in a series of related transactions, of all or any substantial portion of the Property of, or of a business unit or division of, another Person or at least a majority of the Voting Stock of another Person, in each case whether or not involving a merger or consolidation with such other Person and whether for cash, property, services, assumption of Indebtedness, securities or otherwise.</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Administrative Agent</w:t>
      </w:r>
      <w:r>
        <w:rPr>
          <w:rFonts w:ascii="Arial" w:cs="Arial" w:eastAsia="Arial" w:hAnsi="Arial"/>
          <w:sz w:val="13"/>
          <w:szCs w:val="13"/>
          <w:color w:val="auto"/>
        </w:rPr>
        <w:t>” means Bank of America in its capacity as administrative agent under any of the Loan Documents, or any successor administrative agent.</w:t>
      </w:r>
    </w:p>
    <w:p>
      <w:pPr>
        <w:spacing w:after="0" w:line="86" w:lineRule="exact"/>
        <w:rPr>
          <w:sz w:val="20"/>
          <w:szCs w:val="20"/>
          <w:color w:val="auto"/>
        </w:rPr>
      </w:pPr>
    </w:p>
    <w:p>
      <w:pPr>
        <w:ind w:right="34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Administrative Agent’s Office</w:t>
      </w:r>
      <w:r>
        <w:rPr>
          <w:rFonts w:ascii="Arial" w:cs="Arial" w:eastAsia="Arial" w:hAnsi="Arial"/>
          <w:sz w:val="13"/>
          <w:szCs w:val="13"/>
          <w:color w:val="auto"/>
        </w:rPr>
        <w:t xml:space="preserve">” means, with respect to any currency, the Administrative Agent’s address and, as appropriate, account as set forth on </w:t>
      </w:r>
      <w:r>
        <w:rPr>
          <w:rFonts w:ascii="Arial" w:cs="Arial" w:eastAsia="Arial" w:hAnsi="Arial"/>
          <w:sz w:val="13"/>
          <w:szCs w:val="13"/>
          <w:u w:val="single" w:color="auto"/>
          <w:color w:val="auto"/>
        </w:rPr>
        <w:t>Schedule 11.02</w:t>
      </w:r>
      <w:r>
        <w:rPr>
          <w:rFonts w:ascii="Arial" w:cs="Arial" w:eastAsia="Arial" w:hAnsi="Arial"/>
          <w:sz w:val="13"/>
          <w:szCs w:val="13"/>
          <w:color w:val="auto"/>
        </w:rPr>
        <w:t xml:space="preserve"> with respect to such currency, or such other address or account with respect to such currency as the Administrative Agent may from time to time notify to the Company and the Lenders.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Administrative Questionnaire</w:t>
      </w:r>
      <w:r>
        <w:rPr>
          <w:rFonts w:ascii="Arial" w:cs="Arial" w:eastAsia="Arial" w:hAnsi="Arial"/>
          <w:sz w:val="13"/>
          <w:szCs w:val="13"/>
          <w:color w:val="auto"/>
        </w:rPr>
        <w:t>” means an Administrative Questionnaire in a form supplied by the Administrative Agent.</w:t>
      </w:r>
    </w:p>
    <w:p>
      <w:pPr>
        <w:spacing w:after="0" w:line="86" w:lineRule="exact"/>
        <w:rPr>
          <w:sz w:val="20"/>
          <w:szCs w:val="20"/>
          <w:color w:val="auto"/>
        </w:rPr>
      </w:pPr>
    </w:p>
    <w:p>
      <w:pPr>
        <w:ind w:right="36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Affiliate</w:t>
      </w:r>
      <w:r>
        <w:rPr>
          <w:rFonts w:ascii="Arial" w:cs="Arial" w:eastAsia="Arial" w:hAnsi="Arial"/>
          <w:sz w:val="13"/>
          <w:szCs w:val="13"/>
          <w:color w:val="auto"/>
        </w:rPr>
        <w:t>” means, with respect to any Person, another Person that directly, or indirectly through one or more intermediaries, Controls or is Controlled by or is under common Control with the Person specified. “</w:t>
      </w:r>
      <w:r>
        <w:rPr>
          <w:rFonts w:ascii="Arial" w:cs="Arial" w:eastAsia="Arial" w:hAnsi="Arial"/>
          <w:sz w:val="13"/>
          <w:szCs w:val="13"/>
          <w:u w:val="single" w:color="auto"/>
          <w:color w:val="auto"/>
        </w:rPr>
        <w:t>Control</w:t>
      </w:r>
      <w:r>
        <w:rPr>
          <w:rFonts w:ascii="Arial" w:cs="Arial" w:eastAsia="Arial" w:hAnsi="Arial"/>
          <w:sz w:val="13"/>
          <w:szCs w:val="13"/>
          <w:color w:val="auto"/>
        </w:rPr>
        <w:t>” means the possession, directly or indirectly, of the power to direct or cause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40" w:right="239" w:bottom="1440" w:gutter="0" w:footer="0" w:header="0"/>
        </w:sectPr>
      </w:pPr>
    </w:p>
    <w:bookmarkStart w:id="91" w:name="page92"/>
    <w:bookmarkEnd w:id="91"/>
    <w:p>
      <w:pPr>
        <w:ind w:right="160"/>
        <w:spacing w:after="0" w:line="264" w:lineRule="auto"/>
        <w:rPr>
          <w:sz w:val="20"/>
          <w:szCs w:val="20"/>
          <w:color w:val="auto"/>
        </w:rPr>
      </w:pPr>
      <w:r>
        <w:rPr>
          <w:rFonts w:ascii="Arial" w:cs="Arial" w:eastAsia="Arial" w:hAnsi="Arial"/>
          <w:sz w:val="13"/>
          <w:szCs w:val="13"/>
          <w:color w:val="auto"/>
        </w:rPr>
        <w:t>direction of the management or policies of a Person, whether through the ability to exercise voting power, by contract or otherwise. “</w:t>
      </w:r>
      <w:r>
        <w:rPr>
          <w:rFonts w:ascii="Arial" w:cs="Arial" w:eastAsia="Arial" w:hAnsi="Arial"/>
          <w:sz w:val="13"/>
          <w:szCs w:val="13"/>
          <w:u w:val="single" w:color="auto"/>
          <w:color w:val="auto"/>
        </w:rPr>
        <w:t>Controlling</w:t>
      </w:r>
      <w:r>
        <w:rPr>
          <w:rFonts w:ascii="Arial" w:cs="Arial" w:eastAsia="Arial" w:hAnsi="Arial"/>
          <w:sz w:val="13"/>
          <w:szCs w:val="13"/>
          <w:color w:val="auto"/>
        </w:rPr>
        <w:t>” and “</w:t>
      </w:r>
      <w:r>
        <w:rPr>
          <w:rFonts w:ascii="Arial" w:cs="Arial" w:eastAsia="Arial" w:hAnsi="Arial"/>
          <w:sz w:val="13"/>
          <w:szCs w:val="13"/>
          <w:u w:val="single" w:color="auto"/>
          <w:color w:val="auto"/>
        </w:rPr>
        <w:t>Controlled</w:t>
      </w:r>
      <w:r>
        <w:rPr>
          <w:rFonts w:ascii="Arial" w:cs="Arial" w:eastAsia="Arial" w:hAnsi="Arial"/>
          <w:sz w:val="13"/>
          <w:szCs w:val="13"/>
          <w:color w:val="auto"/>
        </w:rPr>
        <w:t>” have meanings correlative thereto. Without limiting the generality of the foregoing, a Person shall be deemed to be Controlled by another Person if such other Person possesses, directly or indirectly, power to vote 10% or more of the securities having ordinary voting power for the election of directors, managing general partners or the equivalent.</w:t>
      </w:r>
    </w:p>
    <w:p>
      <w:pPr>
        <w:spacing w:after="0" w:line="57" w:lineRule="exact"/>
        <w:rPr>
          <w:sz w:val="20"/>
          <w:szCs w:val="20"/>
          <w:color w:val="auto"/>
        </w:rPr>
      </w:pPr>
    </w:p>
    <w:p>
      <w:pPr>
        <w:ind w:right="46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Aggregate Revolving Commitments</w:t>
      </w:r>
      <w:r>
        <w:rPr>
          <w:rFonts w:ascii="Arial" w:cs="Arial" w:eastAsia="Arial" w:hAnsi="Arial"/>
          <w:sz w:val="13"/>
          <w:szCs w:val="13"/>
          <w:color w:val="auto"/>
        </w:rPr>
        <w:t>” means the Revolving Commitments of all the Lenders. The initial amount of the Aggregate Revolving Commitments in effect on the Closing Date is TWO HUNDRED MILLION DOLLARS ($200,000,000).</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Agreement</w:t>
      </w:r>
      <w:r>
        <w:rPr>
          <w:rFonts w:ascii="Arial" w:cs="Arial" w:eastAsia="Arial" w:hAnsi="Arial"/>
          <w:sz w:val="13"/>
          <w:szCs w:val="13"/>
          <w:color w:val="auto"/>
        </w:rPr>
        <w:t>” means this Credit Agreement, as amended, modified, supplemented and extended from time to time.</w:t>
      </w:r>
    </w:p>
    <w:p>
      <w:pPr>
        <w:spacing w:after="0" w:line="86" w:lineRule="exact"/>
        <w:rPr>
          <w:sz w:val="20"/>
          <w:szCs w:val="20"/>
          <w:color w:val="auto"/>
        </w:rPr>
      </w:pPr>
    </w:p>
    <w:p>
      <w:pPr>
        <w:ind w:right="48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Alternative Currency</w:t>
      </w:r>
      <w:r>
        <w:rPr>
          <w:rFonts w:ascii="Arial" w:cs="Arial" w:eastAsia="Arial" w:hAnsi="Arial"/>
          <w:sz w:val="13"/>
          <w:szCs w:val="13"/>
          <w:color w:val="auto"/>
        </w:rPr>
        <w:t xml:space="preserve">” means each of Euro, Sterling, Australian Dollars, Singapore Dollars, Japanese Yen, Canadian Dollars and each other currency (other than Dollars) that is approved in accordance with </w:t>
      </w:r>
      <w:r>
        <w:rPr>
          <w:rFonts w:ascii="Arial" w:cs="Arial" w:eastAsia="Arial" w:hAnsi="Arial"/>
          <w:sz w:val="13"/>
          <w:szCs w:val="13"/>
          <w:u w:val="single" w:color="auto"/>
          <w:color w:val="auto"/>
        </w:rPr>
        <w:t>Section 1.07</w:t>
      </w:r>
      <w:r>
        <w:rPr>
          <w:rFonts w:ascii="Arial" w:cs="Arial" w:eastAsia="Arial" w:hAnsi="Arial"/>
          <w:sz w:val="13"/>
          <w:szCs w:val="13"/>
          <w:color w:val="auto"/>
        </w:rPr>
        <w:t>.</w:t>
      </w:r>
    </w:p>
    <w:p>
      <w:pPr>
        <w:spacing w:after="0" w:line="49" w:lineRule="exact"/>
        <w:rPr>
          <w:sz w:val="20"/>
          <w:szCs w:val="20"/>
          <w:color w:val="auto"/>
        </w:rPr>
      </w:pPr>
    </w:p>
    <w:p>
      <w:pPr>
        <w:ind w:right="100" w:firstLine="164"/>
        <w:spacing w:after="0" w:line="320"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Alternative Currency Equivalent</w:t>
      </w:r>
      <w:r>
        <w:rPr>
          <w:rFonts w:ascii="Arial" w:cs="Arial" w:eastAsia="Arial" w:hAnsi="Arial"/>
          <w:sz w:val="12"/>
          <w:szCs w:val="12"/>
          <w:color w:val="auto"/>
        </w:rPr>
        <w:t>” means, at any time, with respect to any amount denominated in Dollars, the equivalent amount thereof in the applicable Alternative Currency as determined by the Administrative Agent or the L/C Issuer, as the case may be, at such time on the basis of the Spot Rate (determined in respect of the most recent Revaluation Date) for the purchase of such Alternative Currency with Dollars.</w:t>
      </w:r>
    </w:p>
    <w:p>
      <w:pPr>
        <w:spacing w:after="0" w:line="25" w:lineRule="exact"/>
        <w:rPr>
          <w:sz w:val="20"/>
          <w:szCs w:val="20"/>
          <w:color w:val="auto"/>
        </w:rPr>
      </w:pPr>
    </w:p>
    <w:p>
      <w:pPr>
        <w:ind w:right="10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Alternative Currency Sublimit</w:t>
      </w:r>
      <w:r>
        <w:rPr>
          <w:rFonts w:ascii="Arial" w:cs="Arial" w:eastAsia="Arial" w:hAnsi="Arial"/>
          <w:sz w:val="13"/>
          <w:szCs w:val="13"/>
          <w:color w:val="auto"/>
        </w:rPr>
        <w:t>” means an amount equal to the lesser of the Aggregate Revolving Commitments and $50,000,000. The Alternative Currency Sublimit is part of, and not in addition to, the Aggregate Revolving Commitments.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Applicable Rate</w:t>
      </w:r>
      <w:r>
        <w:rPr>
          <w:rFonts w:ascii="Arial" w:cs="Arial" w:eastAsia="Arial" w:hAnsi="Arial"/>
          <w:sz w:val="12"/>
          <w:szCs w:val="12"/>
          <w:color w:val="auto"/>
        </w:rPr>
        <w:t>” means the following percentages per annum, based upon the Consolidated Leverage Ratio as set forth in the most recent Compliance Certificate received by the Administrative Agent pursuant to</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Section 7.02(b)</w:t>
      </w:r>
      <w:r>
        <w:rPr>
          <w:rFonts w:ascii="Arial" w:cs="Arial" w:eastAsia="Arial" w:hAnsi="Arial"/>
          <w:sz w:val="13"/>
          <w:szCs w:val="13"/>
          <w:color w:val="auto"/>
        </w:rPr>
        <w: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80" w:type="dxa"/>
            <w:vAlign w:val="bottom"/>
          </w:tcPr>
          <w:p>
            <w:pPr>
              <w:jc w:val="center"/>
              <w:spacing w:after="0"/>
              <w:rPr>
                <w:sz w:val="20"/>
                <w:szCs w:val="20"/>
                <w:color w:val="auto"/>
              </w:rPr>
            </w:pPr>
            <w:r>
              <w:rPr>
                <w:rFonts w:ascii="Arial" w:cs="Arial" w:eastAsia="Arial" w:hAnsi="Arial"/>
                <w:sz w:val="10"/>
                <w:szCs w:val="10"/>
                <w:color w:val="auto"/>
                <w:w w:val="92"/>
              </w:rPr>
              <w:t>Consolidated</w:t>
            </w:r>
          </w:p>
        </w:tc>
        <w:tc>
          <w:tcPr>
            <w:tcW w:w="7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108"/>
        </w:trPr>
        <w:tc>
          <w:tcPr>
            <w:tcW w:w="1260" w:type="dxa"/>
            <w:vAlign w:val="bottom"/>
            <w:gridSpan w:val="2"/>
          </w:tcPr>
          <w:p>
            <w:pPr>
              <w:spacing w:after="0" w:line="108" w:lineRule="exact"/>
              <w:rPr>
                <w:sz w:val="20"/>
                <w:szCs w:val="20"/>
                <w:color w:val="auto"/>
              </w:rPr>
            </w:pPr>
            <w:r>
              <w:rPr>
                <w:rFonts w:ascii="Arial" w:cs="Arial" w:eastAsia="Arial" w:hAnsi="Arial"/>
                <w:sz w:val="10"/>
                <w:szCs w:val="10"/>
                <w:color w:val="auto"/>
              </w:rPr>
              <w:t>Pricing</w:t>
            </w:r>
          </w:p>
        </w:tc>
        <w:tc>
          <w:tcPr>
            <w:tcW w:w="780" w:type="dxa"/>
            <w:vAlign w:val="bottom"/>
          </w:tcPr>
          <w:p>
            <w:pPr>
              <w:spacing w:after="0"/>
              <w:rPr>
                <w:sz w:val="9"/>
                <w:szCs w:val="9"/>
                <w:color w:val="auto"/>
              </w:rPr>
            </w:pPr>
          </w:p>
        </w:tc>
        <w:tc>
          <w:tcPr>
            <w:tcW w:w="1180" w:type="dxa"/>
            <w:vAlign w:val="bottom"/>
          </w:tcPr>
          <w:p>
            <w:pPr>
              <w:jc w:val="center"/>
              <w:spacing w:after="0" w:line="108" w:lineRule="exact"/>
              <w:rPr>
                <w:sz w:val="20"/>
                <w:szCs w:val="20"/>
                <w:color w:val="auto"/>
              </w:rPr>
            </w:pPr>
            <w:r>
              <w:rPr>
                <w:rFonts w:ascii="Arial" w:cs="Arial" w:eastAsia="Arial" w:hAnsi="Arial"/>
                <w:sz w:val="10"/>
                <w:szCs w:val="10"/>
                <w:color w:val="auto"/>
                <w:w w:val="91"/>
              </w:rPr>
              <w:t>Leverage</w:t>
            </w:r>
          </w:p>
        </w:tc>
        <w:tc>
          <w:tcPr>
            <w:tcW w:w="780" w:type="dxa"/>
            <w:vAlign w:val="bottom"/>
          </w:tcPr>
          <w:p>
            <w:pPr>
              <w:spacing w:after="0"/>
              <w:rPr>
                <w:sz w:val="9"/>
                <w:szCs w:val="9"/>
                <w:color w:val="auto"/>
              </w:rPr>
            </w:pPr>
          </w:p>
        </w:tc>
        <w:tc>
          <w:tcPr>
            <w:tcW w:w="1220" w:type="dxa"/>
            <w:vAlign w:val="bottom"/>
          </w:tcPr>
          <w:p>
            <w:pPr>
              <w:ind w:left="340"/>
              <w:spacing w:after="0" w:line="108" w:lineRule="exact"/>
              <w:rPr>
                <w:sz w:val="20"/>
                <w:szCs w:val="20"/>
                <w:color w:val="auto"/>
              </w:rPr>
            </w:pPr>
            <w:r>
              <w:rPr>
                <w:rFonts w:ascii="Arial" w:cs="Arial" w:eastAsia="Arial" w:hAnsi="Arial"/>
                <w:sz w:val="10"/>
                <w:szCs w:val="10"/>
                <w:color w:val="auto"/>
              </w:rPr>
              <w:t>Commitment</w:t>
            </w:r>
          </w:p>
        </w:tc>
        <w:tc>
          <w:tcPr>
            <w:tcW w:w="800" w:type="dxa"/>
            <w:vAlign w:val="bottom"/>
          </w:tcPr>
          <w:p>
            <w:pPr>
              <w:spacing w:after="0"/>
              <w:rPr>
                <w:sz w:val="9"/>
                <w:szCs w:val="9"/>
                <w:color w:val="auto"/>
              </w:rPr>
            </w:pPr>
          </w:p>
        </w:tc>
        <w:tc>
          <w:tcPr>
            <w:tcW w:w="1280" w:type="dxa"/>
            <w:vAlign w:val="bottom"/>
          </w:tcPr>
          <w:p>
            <w:pPr>
              <w:ind w:left="440"/>
              <w:spacing w:after="0" w:line="108" w:lineRule="exact"/>
              <w:rPr>
                <w:sz w:val="20"/>
                <w:szCs w:val="20"/>
                <w:color w:val="auto"/>
              </w:rPr>
            </w:pPr>
            <w:r>
              <w:rPr>
                <w:rFonts w:ascii="Arial" w:cs="Arial" w:eastAsia="Arial" w:hAnsi="Arial"/>
                <w:sz w:val="10"/>
                <w:szCs w:val="10"/>
                <w:color w:val="auto"/>
              </w:rPr>
              <w:t>Letters of</w:t>
            </w:r>
          </w:p>
        </w:tc>
        <w:tc>
          <w:tcPr>
            <w:tcW w:w="780" w:type="dxa"/>
            <w:vAlign w:val="bottom"/>
          </w:tcPr>
          <w:p>
            <w:pPr>
              <w:spacing w:after="0"/>
              <w:rPr>
                <w:sz w:val="9"/>
                <w:szCs w:val="9"/>
                <w:color w:val="auto"/>
              </w:rPr>
            </w:pPr>
          </w:p>
        </w:tc>
        <w:tc>
          <w:tcPr>
            <w:tcW w:w="1280" w:type="dxa"/>
            <w:vAlign w:val="bottom"/>
          </w:tcPr>
          <w:p>
            <w:pPr>
              <w:ind w:left="240"/>
              <w:spacing w:after="0" w:line="108" w:lineRule="exact"/>
              <w:rPr>
                <w:sz w:val="20"/>
                <w:szCs w:val="20"/>
                <w:color w:val="auto"/>
              </w:rPr>
            </w:pPr>
            <w:r>
              <w:rPr>
                <w:rFonts w:ascii="Arial" w:cs="Arial" w:eastAsia="Arial" w:hAnsi="Arial"/>
                <w:sz w:val="10"/>
                <w:szCs w:val="10"/>
                <w:color w:val="auto"/>
              </w:rPr>
              <w:t>Eurocurrency Rate</w:t>
            </w:r>
          </w:p>
        </w:tc>
        <w:tc>
          <w:tcPr>
            <w:tcW w:w="800" w:type="dxa"/>
            <w:vAlign w:val="bottom"/>
          </w:tcPr>
          <w:p>
            <w:pPr>
              <w:spacing w:after="0"/>
              <w:rPr>
                <w:sz w:val="9"/>
                <w:szCs w:val="9"/>
                <w:color w:val="auto"/>
              </w:rPr>
            </w:pPr>
          </w:p>
        </w:tc>
        <w:tc>
          <w:tcPr>
            <w:tcW w:w="1300" w:type="dxa"/>
            <w:vAlign w:val="bottom"/>
          </w:tcPr>
          <w:p>
            <w:pPr>
              <w:ind w:left="440"/>
              <w:spacing w:after="0" w:line="108" w:lineRule="exact"/>
              <w:rPr>
                <w:sz w:val="20"/>
                <w:szCs w:val="20"/>
                <w:color w:val="auto"/>
              </w:rPr>
            </w:pPr>
            <w:r>
              <w:rPr>
                <w:rFonts w:ascii="Arial" w:cs="Arial" w:eastAsia="Arial" w:hAnsi="Arial"/>
                <w:sz w:val="10"/>
                <w:szCs w:val="10"/>
                <w:color w:val="auto"/>
              </w:rPr>
              <w:t>Base Rate</w:t>
            </w:r>
          </w:p>
        </w:tc>
      </w:tr>
      <w:tr>
        <w:trPr>
          <w:trHeight w:val="121"/>
        </w:trPr>
        <w:tc>
          <w:tcPr>
            <w:tcW w:w="1260" w:type="dxa"/>
            <w:vAlign w:val="bottom"/>
            <w:gridSpan w:val="2"/>
          </w:tcPr>
          <w:p>
            <w:pPr>
              <w:spacing w:after="0"/>
              <w:rPr>
                <w:sz w:val="20"/>
                <w:szCs w:val="20"/>
                <w:color w:val="auto"/>
              </w:rPr>
            </w:pPr>
            <w:r>
              <w:rPr>
                <w:rFonts w:ascii="Arial" w:cs="Arial" w:eastAsia="Arial" w:hAnsi="Arial"/>
                <w:sz w:val="10"/>
                <w:szCs w:val="10"/>
                <w:color w:val="auto"/>
              </w:rPr>
              <w:t>Level</w:t>
            </w:r>
          </w:p>
        </w:tc>
        <w:tc>
          <w:tcPr>
            <w:tcW w:w="780" w:type="dxa"/>
            <w:vAlign w:val="bottom"/>
          </w:tcPr>
          <w:p>
            <w:pPr>
              <w:spacing w:after="0"/>
              <w:rPr>
                <w:sz w:val="10"/>
                <w:szCs w:val="10"/>
                <w:color w:val="auto"/>
              </w:rPr>
            </w:pPr>
          </w:p>
        </w:tc>
        <w:tc>
          <w:tcPr>
            <w:tcW w:w="1180" w:type="dxa"/>
            <w:vAlign w:val="bottom"/>
          </w:tcPr>
          <w:p>
            <w:pPr>
              <w:jc w:val="center"/>
              <w:spacing w:after="0"/>
              <w:rPr>
                <w:sz w:val="20"/>
                <w:szCs w:val="20"/>
                <w:color w:val="auto"/>
              </w:rPr>
            </w:pPr>
            <w:r>
              <w:rPr>
                <w:rFonts w:ascii="Arial" w:cs="Arial" w:eastAsia="Arial" w:hAnsi="Arial"/>
                <w:sz w:val="10"/>
                <w:szCs w:val="10"/>
                <w:color w:val="auto"/>
                <w:w w:val="94"/>
              </w:rPr>
              <w:t>Ratio</w:t>
            </w:r>
          </w:p>
        </w:tc>
        <w:tc>
          <w:tcPr>
            <w:tcW w:w="780" w:type="dxa"/>
            <w:vAlign w:val="bottom"/>
          </w:tcPr>
          <w:p>
            <w:pPr>
              <w:spacing w:after="0"/>
              <w:rPr>
                <w:sz w:val="10"/>
                <w:szCs w:val="10"/>
                <w:color w:val="auto"/>
              </w:rPr>
            </w:pPr>
          </w:p>
        </w:tc>
        <w:tc>
          <w:tcPr>
            <w:tcW w:w="1220" w:type="dxa"/>
            <w:vAlign w:val="bottom"/>
          </w:tcPr>
          <w:p>
            <w:pPr>
              <w:ind w:left="540"/>
              <w:spacing w:after="0"/>
              <w:rPr>
                <w:sz w:val="20"/>
                <w:szCs w:val="20"/>
                <w:color w:val="auto"/>
              </w:rPr>
            </w:pPr>
            <w:r>
              <w:rPr>
                <w:rFonts w:ascii="Arial" w:cs="Arial" w:eastAsia="Arial" w:hAnsi="Arial"/>
                <w:sz w:val="10"/>
                <w:szCs w:val="10"/>
                <w:color w:val="auto"/>
              </w:rPr>
              <w:t>Fee</w:t>
            </w:r>
          </w:p>
        </w:tc>
        <w:tc>
          <w:tcPr>
            <w:tcW w:w="800" w:type="dxa"/>
            <w:vAlign w:val="bottom"/>
          </w:tcPr>
          <w:p>
            <w:pPr>
              <w:spacing w:after="0"/>
              <w:rPr>
                <w:sz w:val="10"/>
                <w:szCs w:val="10"/>
                <w:color w:val="auto"/>
              </w:rPr>
            </w:pPr>
          </w:p>
        </w:tc>
        <w:tc>
          <w:tcPr>
            <w:tcW w:w="1280" w:type="dxa"/>
            <w:vAlign w:val="bottom"/>
          </w:tcPr>
          <w:p>
            <w:pPr>
              <w:ind w:left="500"/>
              <w:spacing w:after="0"/>
              <w:rPr>
                <w:sz w:val="20"/>
                <w:szCs w:val="20"/>
                <w:color w:val="auto"/>
              </w:rPr>
            </w:pPr>
            <w:r>
              <w:rPr>
                <w:rFonts w:ascii="Arial" w:cs="Arial" w:eastAsia="Arial" w:hAnsi="Arial"/>
                <w:sz w:val="10"/>
                <w:szCs w:val="10"/>
                <w:color w:val="auto"/>
              </w:rPr>
              <w:t>Credit</w:t>
            </w:r>
          </w:p>
        </w:tc>
        <w:tc>
          <w:tcPr>
            <w:tcW w:w="780" w:type="dxa"/>
            <w:vAlign w:val="bottom"/>
          </w:tcPr>
          <w:p>
            <w:pPr>
              <w:spacing w:after="0"/>
              <w:rPr>
                <w:sz w:val="10"/>
                <w:szCs w:val="10"/>
                <w:color w:val="auto"/>
              </w:rPr>
            </w:pPr>
          </w:p>
        </w:tc>
        <w:tc>
          <w:tcPr>
            <w:tcW w:w="1280" w:type="dxa"/>
            <w:vAlign w:val="bottom"/>
          </w:tcPr>
          <w:p>
            <w:pPr>
              <w:ind w:left="520"/>
              <w:spacing w:after="0"/>
              <w:rPr>
                <w:sz w:val="20"/>
                <w:szCs w:val="20"/>
                <w:color w:val="auto"/>
              </w:rPr>
            </w:pPr>
            <w:r>
              <w:rPr>
                <w:rFonts w:ascii="Arial" w:cs="Arial" w:eastAsia="Arial" w:hAnsi="Arial"/>
                <w:sz w:val="10"/>
                <w:szCs w:val="10"/>
                <w:color w:val="auto"/>
              </w:rPr>
              <w:t>Loans</w:t>
            </w:r>
          </w:p>
        </w:tc>
        <w:tc>
          <w:tcPr>
            <w:tcW w:w="800" w:type="dxa"/>
            <w:vAlign w:val="bottom"/>
          </w:tcPr>
          <w:p>
            <w:pPr>
              <w:spacing w:after="0"/>
              <w:rPr>
                <w:sz w:val="10"/>
                <w:szCs w:val="10"/>
                <w:color w:val="auto"/>
              </w:rPr>
            </w:pPr>
          </w:p>
        </w:tc>
        <w:tc>
          <w:tcPr>
            <w:tcW w:w="1300" w:type="dxa"/>
            <w:vAlign w:val="bottom"/>
          </w:tcPr>
          <w:p>
            <w:pPr>
              <w:ind w:left="520"/>
              <w:spacing w:after="0"/>
              <w:rPr>
                <w:sz w:val="20"/>
                <w:szCs w:val="20"/>
                <w:color w:val="auto"/>
              </w:rPr>
            </w:pPr>
            <w:r>
              <w:rPr>
                <w:rFonts w:ascii="Arial" w:cs="Arial" w:eastAsia="Arial" w:hAnsi="Arial"/>
                <w:sz w:val="10"/>
                <w:szCs w:val="10"/>
                <w:color w:val="auto"/>
              </w:rPr>
              <w:t>Loans</w:t>
            </w:r>
          </w:p>
        </w:tc>
      </w:tr>
      <w:tr>
        <w:trPr>
          <w:trHeight w:val="147"/>
        </w:trPr>
        <w:tc>
          <w:tcPr>
            <w:tcW w:w="20" w:type="dxa"/>
            <w:vAlign w:val="bottom"/>
          </w:tcPr>
          <w:p>
            <w:pPr>
              <w:spacing w:after="0"/>
              <w:rPr>
                <w:sz w:val="12"/>
                <w:szCs w:val="12"/>
                <w:color w:val="auto"/>
              </w:rPr>
            </w:pPr>
          </w:p>
        </w:tc>
        <w:tc>
          <w:tcPr>
            <w:tcW w:w="1240" w:type="dxa"/>
            <w:vAlign w:val="bottom"/>
            <w:tcBorders>
              <w:top w:val="single" w:sz="8" w:color="auto"/>
            </w:tcBorders>
            <w:shd w:val="clear" w:color="auto" w:fill="CCEEFF"/>
          </w:tcPr>
          <w:p>
            <w:pPr>
              <w:jc w:val="right"/>
              <w:ind w:right="534"/>
              <w:spacing w:after="0" w:line="148" w:lineRule="exact"/>
              <w:rPr>
                <w:sz w:val="20"/>
                <w:szCs w:val="20"/>
                <w:color w:val="auto"/>
              </w:rPr>
            </w:pPr>
            <w:r>
              <w:rPr>
                <w:rFonts w:ascii="Arial" w:cs="Arial" w:eastAsia="Arial" w:hAnsi="Arial"/>
                <w:sz w:val="13"/>
                <w:szCs w:val="13"/>
                <w:color w:val="auto"/>
              </w:rPr>
              <w:t>1</w:t>
            </w:r>
          </w:p>
        </w:tc>
        <w:tc>
          <w:tcPr>
            <w:tcW w:w="780" w:type="dxa"/>
            <w:vAlign w:val="bottom"/>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jc w:val="right"/>
              <w:ind w:right="301"/>
              <w:spacing w:after="0" w:line="148" w:lineRule="exact"/>
              <w:rPr>
                <w:sz w:val="20"/>
                <w:szCs w:val="20"/>
                <w:color w:val="auto"/>
              </w:rPr>
            </w:pPr>
            <w:r>
              <w:rPr>
                <w:rFonts w:ascii="Arial" w:cs="Arial" w:eastAsia="Arial" w:hAnsi="Arial"/>
                <w:sz w:val="13"/>
                <w:szCs w:val="13"/>
                <w:color w:val="auto"/>
              </w:rPr>
              <w:t>&lt;1.5:1.0</w:t>
            </w:r>
          </w:p>
        </w:tc>
        <w:tc>
          <w:tcPr>
            <w:tcW w:w="780" w:type="dxa"/>
            <w:vAlign w:val="bottom"/>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ind w:left="520"/>
              <w:spacing w:after="0" w:line="148" w:lineRule="exact"/>
              <w:rPr>
                <w:sz w:val="20"/>
                <w:szCs w:val="20"/>
                <w:color w:val="auto"/>
              </w:rPr>
            </w:pPr>
            <w:r>
              <w:rPr>
                <w:rFonts w:ascii="Arial" w:cs="Arial" w:eastAsia="Arial" w:hAnsi="Arial"/>
                <w:sz w:val="13"/>
                <w:szCs w:val="13"/>
                <w:color w:val="auto"/>
              </w:rPr>
              <w:t>0.09%</w:t>
            </w:r>
          </w:p>
        </w:tc>
        <w:tc>
          <w:tcPr>
            <w:tcW w:w="800" w:type="dxa"/>
            <w:vAlign w:val="bottom"/>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ind w:left="500"/>
              <w:spacing w:after="0" w:line="148" w:lineRule="exact"/>
              <w:rPr>
                <w:sz w:val="20"/>
                <w:szCs w:val="20"/>
                <w:color w:val="auto"/>
              </w:rPr>
            </w:pPr>
            <w:r>
              <w:rPr>
                <w:rFonts w:ascii="Arial" w:cs="Arial" w:eastAsia="Arial" w:hAnsi="Arial"/>
                <w:sz w:val="13"/>
                <w:szCs w:val="13"/>
                <w:color w:val="auto"/>
              </w:rPr>
              <w:t>0.500%</w:t>
            </w:r>
          </w:p>
        </w:tc>
        <w:tc>
          <w:tcPr>
            <w:tcW w:w="780" w:type="dxa"/>
            <w:vAlign w:val="bottom"/>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ind w:left="500"/>
              <w:spacing w:after="0" w:line="148" w:lineRule="exact"/>
              <w:rPr>
                <w:sz w:val="20"/>
                <w:szCs w:val="20"/>
                <w:color w:val="auto"/>
              </w:rPr>
            </w:pPr>
            <w:r>
              <w:rPr>
                <w:rFonts w:ascii="Arial" w:cs="Arial" w:eastAsia="Arial" w:hAnsi="Arial"/>
                <w:sz w:val="13"/>
                <w:szCs w:val="13"/>
                <w:color w:val="auto"/>
              </w:rPr>
              <w:t>0.500%</w:t>
            </w:r>
          </w:p>
        </w:tc>
        <w:tc>
          <w:tcPr>
            <w:tcW w:w="800" w:type="dxa"/>
            <w:vAlign w:val="bottom"/>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ind w:left="520"/>
              <w:spacing w:after="0" w:line="148" w:lineRule="exact"/>
              <w:rPr>
                <w:sz w:val="20"/>
                <w:szCs w:val="20"/>
                <w:color w:val="auto"/>
              </w:rPr>
            </w:pPr>
            <w:r>
              <w:rPr>
                <w:rFonts w:ascii="Arial" w:cs="Arial" w:eastAsia="Arial" w:hAnsi="Arial"/>
                <w:sz w:val="13"/>
                <w:szCs w:val="13"/>
                <w:color w:val="auto"/>
              </w:rPr>
              <w:t>0.000%</w:t>
            </w:r>
          </w:p>
        </w:tc>
      </w:tr>
      <w:tr>
        <w:trPr>
          <w:trHeight w:val="157"/>
        </w:trPr>
        <w:tc>
          <w:tcPr>
            <w:tcW w:w="20" w:type="dxa"/>
            <w:vAlign w:val="bottom"/>
          </w:tcPr>
          <w:p>
            <w:pPr>
              <w:spacing w:after="0"/>
              <w:rPr>
                <w:sz w:val="13"/>
                <w:szCs w:val="13"/>
                <w:color w:val="auto"/>
              </w:rPr>
            </w:pPr>
          </w:p>
        </w:tc>
        <w:tc>
          <w:tcPr>
            <w:tcW w:w="1240" w:type="dxa"/>
            <w:vAlign w:val="bottom"/>
          </w:tcPr>
          <w:p>
            <w:pPr>
              <w:jc w:val="right"/>
              <w:ind w:right="534"/>
              <w:spacing w:after="0"/>
              <w:rPr>
                <w:sz w:val="20"/>
                <w:szCs w:val="20"/>
                <w:color w:val="auto"/>
              </w:rPr>
            </w:pPr>
            <w:r>
              <w:rPr>
                <w:rFonts w:ascii="Arial" w:cs="Arial" w:eastAsia="Arial" w:hAnsi="Arial"/>
                <w:sz w:val="13"/>
                <w:szCs w:val="13"/>
                <w:color w:val="auto"/>
              </w:rPr>
              <w:t>2</w:t>
            </w:r>
          </w:p>
        </w:tc>
        <w:tc>
          <w:tcPr>
            <w:tcW w:w="78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3"/>
                <w:szCs w:val="13"/>
                <w:color w:val="auto"/>
                <w:w w:val="90"/>
              </w:rPr>
              <w:t>³1.5:1.0 but &lt;2.0</w:t>
            </w:r>
          </w:p>
        </w:tc>
        <w:tc>
          <w:tcPr>
            <w:tcW w:w="2000" w:type="dxa"/>
            <w:vAlign w:val="bottom"/>
            <w:gridSpan w:val="2"/>
          </w:tcPr>
          <w:p>
            <w:pPr>
              <w:ind w:left="1320"/>
              <w:spacing w:after="0"/>
              <w:rPr>
                <w:sz w:val="20"/>
                <w:szCs w:val="20"/>
                <w:color w:val="auto"/>
              </w:rPr>
            </w:pPr>
            <w:r>
              <w:rPr>
                <w:rFonts w:ascii="Arial" w:cs="Arial" w:eastAsia="Arial" w:hAnsi="Arial"/>
                <w:sz w:val="13"/>
                <w:szCs w:val="13"/>
                <w:color w:val="auto"/>
              </w:rPr>
              <w:t>0.11%</w:t>
            </w:r>
          </w:p>
        </w:tc>
        <w:tc>
          <w:tcPr>
            <w:tcW w:w="2080" w:type="dxa"/>
            <w:vAlign w:val="bottom"/>
            <w:gridSpan w:val="2"/>
          </w:tcPr>
          <w:p>
            <w:pPr>
              <w:ind w:left="1300"/>
              <w:spacing w:after="0"/>
              <w:rPr>
                <w:sz w:val="20"/>
                <w:szCs w:val="20"/>
                <w:color w:val="auto"/>
              </w:rPr>
            </w:pPr>
            <w:r>
              <w:rPr>
                <w:rFonts w:ascii="Arial" w:cs="Arial" w:eastAsia="Arial" w:hAnsi="Arial"/>
                <w:sz w:val="13"/>
                <w:szCs w:val="13"/>
                <w:color w:val="auto"/>
              </w:rPr>
              <w:t>0.625%</w:t>
            </w:r>
          </w:p>
        </w:tc>
        <w:tc>
          <w:tcPr>
            <w:tcW w:w="2060" w:type="dxa"/>
            <w:vAlign w:val="bottom"/>
            <w:gridSpan w:val="2"/>
          </w:tcPr>
          <w:p>
            <w:pPr>
              <w:ind w:left="1280"/>
              <w:spacing w:after="0"/>
              <w:rPr>
                <w:sz w:val="20"/>
                <w:szCs w:val="20"/>
                <w:color w:val="auto"/>
              </w:rPr>
            </w:pPr>
            <w:r>
              <w:rPr>
                <w:rFonts w:ascii="Arial" w:cs="Arial" w:eastAsia="Arial" w:hAnsi="Arial"/>
                <w:sz w:val="13"/>
                <w:szCs w:val="13"/>
                <w:color w:val="auto"/>
              </w:rPr>
              <w:t>0.625%</w:t>
            </w:r>
          </w:p>
        </w:tc>
        <w:tc>
          <w:tcPr>
            <w:tcW w:w="2100" w:type="dxa"/>
            <w:vAlign w:val="bottom"/>
            <w:gridSpan w:val="2"/>
          </w:tcPr>
          <w:p>
            <w:pPr>
              <w:ind w:left="1320"/>
              <w:spacing w:after="0"/>
              <w:rPr>
                <w:sz w:val="20"/>
                <w:szCs w:val="20"/>
                <w:color w:val="auto"/>
              </w:rPr>
            </w:pPr>
            <w:r>
              <w:rPr>
                <w:rFonts w:ascii="Arial" w:cs="Arial" w:eastAsia="Arial" w:hAnsi="Arial"/>
                <w:sz w:val="13"/>
                <w:szCs w:val="13"/>
                <w:color w:val="auto"/>
              </w:rPr>
              <w:t>0.000%</w:t>
            </w:r>
          </w:p>
        </w:tc>
      </w:tr>
      <w:tr>
        <w:trPr>
          <w:trHeight w:val="157"/>
        </w:trPr>
        <w:tc>
          <w:tcPr>
            <w:tcW w:w="20" w:type="dxa"/>
            <w:vAlign w:val="bottom"/>
          </w:tcPr>
          <w:p>
            <w:pPr>
              <w:spacing w:after="0"/>
              <w:rPr>
                <w:sz w:val="13"/>
                <w:szCs w:val="13"/>
                <w:color w:val="auto"/>
              </w:rPr>
            </w:pPr>
          </w:p>
        </w:tc>
        <w:tc>
          <w:tcPr>
            <w:tcW w:w="1240" w:type="dxa"/>
            <w:vAlign w:val="bottom"/>
            <w:shd w:val="clear" w:color="auto" w:fill="CCEEFF"/>
          </w:tcPr>
          <w:p>
            <w:pPr>
              <w:jc w:val="right"/>
              <w:ind w:right="534"/>
              <w:spacing w:after="0"/>
              <w:rPr>
                <w:sz w:val="20"/>
                <w:szCs w:val="20"/>
                <w:color w:val="auto"/>
              </w:rPr>
            </w:pPr>
            <w:r>
              <w:rPr>
                <w:rFonts w:ascii="Arial" w:cs="Arial" w:eastAsia="Arial" w:hAnsi="Arial"/>
                <w:sz w:val="13"/>
                <w:szCs w:val="13"/>
                <w:color w:val="auto"/>
              </w:rPr>
              <w:t>3</w:t>
            </w:r>
          </w:p>
        </w:tc>
        <w:tc>
          <w:tcPr>
            <w:tcW w:w="780" w:type="dxa"/>
            <w:vAlign w:val="bottom"/>
            <w:shd w:val="clear" w:color="auto" w:fill="CCEEFF"/>
          </w:tcPr>
          <w:p>
            <w:pPr>
              <w:spacing w:after="0"/>
              <w:rPr>
                <w:sz w:val="13"/>
                <w:szCs w:val="13"/>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³2.0:1.0 but &lt;2.5</w:t>
            </w:r>
          </w:p>
        </w:tc>
        <w:tc>
          <w:tcPr>
            <w:tcW w:w="2000" w:type="dxa"/>
            <w:vAlign w:val="bottom"/>
            <w:gridSpan w:val="2"/>
            <w:shd w:val="clear" w:color="auto" w:fill="CCEEFF"/>
          </w:tcPr>
          <w:p>
            <w:pPr>
              <w:ind w:left="1300"/>
              <w:spacing w:after="0"/>
              <w:rPr>
                <w:sz w:val="20"/>
                <w:szCs w:val="20"/>
                <w:color w:val="auto"/>
              </w:rPr>
            </w:pPr>
            <w:r>
              <w:rPr>
                <w:rFonts w:ascii="Arial" w:cs="Arial" w:eastAsia="Arial" w:hAnsi="Arial"/>
                <w:sz w:val="13"/>
                <w:szCs w:val="13"/>
                <w:color w:val="auto"/>
              </w:rPr>
              <w:t>0.15%</w:t>
            </w:r>
          </w:p>
        </w:tc>
        <w:tc>
          <w:tcPr>
            <w:tcW w:w="2080" w:type="dxa"/>
            <w:vAlign w:val="bottom"/>
            <w:gridSpan w:val="2"/>
            <w:shd w:val="clear" w:color="auto" w:fill="CCEEFF"/>
          </w:tcPr>
          <w:p>
            <w:pPr>
              <w:ind w:left="1300"/>
              <w:spacing w:after="0"/>
              <w:rPr>
                <w:sz w:val="20"/>
                <w:szCs w:val="20"/>
                <w:color w:val="auto"/>
              </w:rPr>
            </w:pPr>
            <w:r>
              <w:rPr>
                <w:rFonts w:ascii="Arial" w:cs="Arial" w:eastAsia="Arial" w:hAnsi="Arial"/>
                <w:sz w:val="13"/>
                <w:szCs w:val="13"/>
                <w:color w:val="auto"/>
              </w:rPr>
              <w:t>0.750%</w:t>
            </w:r>
          </w:p>
        </w:tc>
        <w:tc>
          <w:tcPr>
            <w:tcW w:w="2060" w:type="dxa"/>
            <w:vAlign w:val="bottom"/>
            <w:gridSpan w:val="2"/>
            <w:shd w:val="clear" w:color="auto" w:fill="CCEEFF"/>
          </w:tcPr>
          <w:p>
            <w:pPr>
              <w:ind w:left="1280"/>
              <w:spacing w:after="0"/>
              <w:rPr>
                <w:sz w:val="20"/>
                <w:szCs w:val="20"/>
                <w:color w:val="auto"/>
              </w:rPr>
            </w:pPr>
            <w:r>
              <w:rPr>
                <w:rFonts w:ascii="Arial" w:cs="Arial" w:eastAsia="Arial" w:hAnsi="Arial"/>
                <w:sz w:val="13"/>
                <w:szCs w:val="13"/>
                <w:color w:val="auto"/>
              </w:rPr>
              <w:t>0.750%</w:t>
            </w:r>
          </w:p>
        </w:tc>
        <w:tc>
          <w:tcPr>
            <w:tcW w:w="2100" w:type="dxa"/>
            <w:vAlign w:val="bottom"/>
            <w:gridSpan w:val="2"/>
            <w:shd w:val="clear" w:color="auto" w:fill="CCEEFF"/>
          </w:tcPr>
          <w:p>
            <w:pPr>
              <w:ind w:left="1320"/>
              <w:spacing w:after="0"/>
              <w:rPr>
                <w:sz w:val="20"/>
                <w:szCs w:val="20"/>
                <w:color w:val="auto"/>
              </w:rPr>
            </w:pPr>
            <w:r>
              <w:rPr>
                <w:rFonts w:ascii="Arial" w:cs="Arial" w:eastAsia="Arial" w:hAnsi="Arial"/>
                <w:sz w:val="13"/>
                <w:szCs w:val="13"/>
                <w:color w:val="auto"/>
              </w:rPr>
              <w:t>0.000%</w:t>
            </w:r>
          </w:p>
        </w:tc>
      </w:tr>
      <w:tr>
        <w:trPr>
          <w:trHeight w:val="165"/>
        </w:trPr>
        <w:tc>
          <w:tcPr>
            <w:tcW w:w="20" w:type="dxa"/>
            <w:vAlign w:val="bottom"/>
          </w:tcPr>
          <w:p>
            <w:pPr>
              <w:spacing w:after="0"/>
              <w:rPr>
                <w:sz w:val="14"/>
                <w:szCs w:val="14"/>
                <w:color w:val="auto"/>
              </w:rPr>
            </w:pPr>
          </w:p>
        </w:tc>
        <w:tc>
          <w:tcPr>
            <w:tcW w:w="1240" w:type="dxa"/>
            <w:vAlign w:val="bottom"/>
          </w:tcPr>
          <w:p>
            <w:pPr>
              <w:jc w:val="right"/>
              <w:ind w:right="534"/>
              <w:spacing w:after="0"/>
              <w:rPr>
                <w:sz w:val="20"/>
                <w:szCs w:val="20"/>
                <w:color w:val="auto"/>
              </w:rPr>
            </w:pPr>
            <w:r>
              <w:rPr>
                <w:rFonts w:ascii="Arial" w:cs="Arial" w:eastAsia="Arial" w:hAnsi="Arial"/>
                <w:sz w:val="13"/>
                <w:szCs w:val="13"/>
                <w:color w:val="auto"/>
              </w:rPr>
              <w:t>4</w:t>
            </w:r>
          </w:p>
        </w:tc>
        <w:tc>
          <w:tcPr>
            <w:tcW w:w="1960" w:type="dxa"/>
            <w:vAlign w:val="bottom"/>
            <w:gridSpan w:val="2"/>
          </w:tcPr>
          <w:p>
            <w:pPr>
              <w:jc w:val="right"/>
              <w:ind w:right="321"/>
              <w:spacing w:after="0"/>
              <w:rPr>
                <w:sz w:val="20"/>
                <w:szCs w:val="20"/>
                <w:color w:val="auto"/>
              </w:rPr>
            </w:pPr>
            <w:r>
              <w:rPr>
                <w:rFonts w:ascii="Arial" w:cs="Arial" w:eastAsia="Arial" w:hAnsi="Arial"/>
                <w:sz w:val="13"/>
                <w:szCs w:val="13"/>
                <w:color w:val="auto"/>
              </w:rPr>
              <w:t>³2.5:1.0</w:t>
            </w:r>
          </w:p>
        </w:tc>
        <w:tc>
          <w:tcPr>
            <w:tcW w:w="2000" w:type="dxa"/>
            <w:vAlign w:val="bottom"/>
            <w:gridSpan w:val="2"/>
          </w:tcPr>
          <w:p>
            <w:pPr>
              <w:ind w:left="1300"/>
              <w:spacing w:after="0"/>
              <w:rPr>
                <w:sz w:val="20"/>
                <w:szCs w:val="20"/>
                <w:color w:val="auto"/>
              </w:rPr>
            </w:pPr>
            <w:r>
              <w:rPr>
                <w:rFonts w:ascii="Arial" w:cs="Arial" w:eastAsia="Arial" w:hAnsi="Arial"/>
                <w:sz w:val="13"/>
                <w:szCs w:val="13"/>
                <w:color w:val="auto"/>
              </w:rPr>
              <w:t>0.20%</w:t>
            </w:r>
          </w:p>
        </w:tc>
        <w:tc>
          <w:tcPr>
            <w:tcW w:w="2080" w:type="dxa"/>
            <w:vAlign w:val="bottom"/>
            <w:gridSpan w:val="2"/>
          </w:tcPr>
          <w:p>
            <w:pPr>
              <w:ind w:left="1300"/>
              <w:spacing w:after="0"/>
              <w:rPr>
                <w:sz w:val="20"/>
                <w:szCs w:val="20"/>
                <w:color w:val="auto"/>
              </w:rPr>
            </w:pPr>
            <w:r>
              <w:rPr>
                <w:rFonts w:ascii="Arial" w:cs="Arial" w:eastAsia="Arial" w:hAnsi="Arial"/>
                <w:sz w:val="13"/>
                <w:szCs w:val="13"/>
                <w:color w:val="auto"/>
              </w:rPr>
              <w:t>1.000%</w:t>
            </w:r>
          </w:p>
        </w:tc>
        <w:tc>
          <w:tcPr>
            <w:tcW w:w="2060" w:type="dxa"/>
            <w:vAlign w:val="bottom"/>
            <w:gridSpan w:val="2"/>
          </w:tcPr>
          <w:p>
            <w:pPr>
              <w:ind w:left="1280"/>
              <w:spacing w:after="0"/>
              <w:rPr>
                <w:sz w:val="20"/>
                <w:szCs w:val="20"/>
                <w:color w:val="auto"/>
              </w:rPr>
            </w:pPr>
            <w:r>
              <w:rPr>
                <w:rFonts w:ascii="Arial" w:cs="Arial" w:eastAsia="Arial" w:hAnsi="Arial"/>
                <w:sz w:val="13"/>
                <w:szCs w:val="13"/>
                <w:color w:val="auto"/>
              </w:rPr>
              <w:t>1.000%</w:t>
            </w:r>
          </w:p>
        </w:tc>
        <w:tc>
          <w:tcPr>
            <w:tcW w:w="2100" w:type="dxa"/>
            <w:vAlign w:val="bottom"/>
            <w:gridSpan w:val="2"/>
          </w:tcPr>
          <w:p>
            <w:pPr>
              <w:ind w:left="1320"/>
              <w:spacing w:after="0"/>
              <w:rPr>
                <w:sz w:val="20"/>
                <w:szCs w:val="20"/>
                <w:color w:val="auto"/>
              </w:rPr>
            </w:pPr>
            <w:r>
              <w:rPr>
                <w:rFonts w:ascii="Arial" w:cs="Arial" w:eastAsia="Arial" w:hAnsi="Arial"/>
                <w:sz w:val="13"/>
                <w:szCs w:val="13"/>
                <w:color w:val="auto"/>
              </w:rPr>
              <w:t>0.000%</w:t>
            </w:r>
          </w:p>
        </w:tc>
      </w:tr>
    </w:tbl>
    <w:p>
      <w:pPr>
        <w:spacing w:after="0" w:line="62" w:lineRule="exact"/>
        <w:rPr>
          <w:sz w:val="20"/>
          <w:szCs w:val="20"/>
          <w:color w:val="auto"/>
        </w:rPr>
      </w:pPr>
    </w:p>
    <w:p>
      <w:pPr>
        <w:ind w:right="20"/>
        <w:spacing w:after="0" w:line="258" w:lineRule="auto"/>
        <w:rPr>
          <w:sz w:val="20"/>
          <w:szCs w:val="20"/>
          <w:color w:val="auto"/>
        </w:rPr>
      </w:pPr>
      <w:r>
        <w:rPr>
          <w:rFonts w:ascii="Arial" w:cs="Arial" w:eastAsia="Arial" w:hAnsi="Arial"/>
          <w:sz w:val="13"/>
          <w:szCs w:val="13"/>
          <w:color w:val="auto"/>
        </w:rPr>
        <w:t xml:space="preserve">Any increase or decrease in the Applicable Rate resulting from a change in the Consolidated Leverage Ratio shall become effective as of the first Business Day immediately following the date a Compliance Certificate is required to be delivered pursuant to </w:t>
      </w:r>
      <w:r>
        <w:rPr>
          <w:rFonts w:ascii="Arial" w:cs="Arial" w:eastAsia="Arial" w:hAnsi="Arial"/>
          <w:sz w:val="13"/>
          <w:szCs w:val="13"/>
          <w:u w:val="single" w:color="auto"/>
          <w:color w:val="auto"/>
        </w:rPr>
        <w:t>Section 7.02(b)</w:t>
      </w:r>
      <w:r>
        <w:rPr>
          <w:rFonts w:ascii="Arial" w:cs="Arial" w:eastAsia="Arial" w:hAnsi="Arial"/>
          <w:sz w:val="13"/>
          <w:szCs w:val="13"/>
          <w:color w:val="auto"/>
        </w:rPr>
        <w:t xml:space="preserv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if a Compliance Certificate is not delivered when due in accordance with such Section, then Pricing Level 4 shall apply as of the first Business Day after the date on which such Compliance Certificate was required to have been delivered and shall continue to apply until the first Business Day immediately following the date a Compliance Certificate is delivered in accordance with </w:t>
      </w:r>
      <w:r>
        <w:rPr>
          <w:rFonts w:ascii="Arial" w:cs="Arial" w:eastAsia="Arial" w:hAnsi="Arial"/>
          <w:sz w:val="13"/>
          <w:szCs w:val="13"/>
          <w:u w:val="single" w:color="auto"/>
          <w:color w:val="auto"/>
        </w:rPr>
        <w:t>Section 7.02(b)</w:t>
      </w:r>
      <w:r>
        <w:rPr>
          <w:rFonts w:ascii="Arial" w:cs="Arial" w:eastAsia="Arial" w:hAnsi="Arial"/>
          <w:sz w:val="13"/>
          <w:szCs w:val="13"/>
          <w:color w:val="auto"/>
        </w:rPr>
        <w:t>, whereupon the Applicable Rate shall be adjusted based upon the calculation of the Consolidated Leverage Ratio contained in such Compliance Certificate. The Applicable Rate in effect from the Closing Date through the first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278765</wp:posOffset>
            </wp:positionV>
            <wp:extent cx="7290435" cy="1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92" w:name="page93"/>
    <w:bookmarkEnd w:id="92"/>
    <w:p>
      <w:pPr>
        <w:ind w:left="1"/>
        <w:spacing w:after="0"/>
        <w:rPr>
          <w:sz w:val="20"/>
          <w:szCs w:val="20"/>
          <w:color w:val="auto"/>
        </w:rPr>
      </w:pPr>
      <w:r>
        <w:rPr>
          <w:rFonts w:ascii="Arial" w:cs="Arial" w:eastAsia="Arial" w:hAnsi="Arial"/>
          <w:sz w:val="12"/>
          <w:szCs w:val="12"/>
          <w:color w:val="auto"/>
        </w:rPr>
        <w:t xml:space="preserve">Day immediately following the date a Compliance Certificate is required to be delivered pursuant to </w:t>
      </w:r>
      <w:r>
        <w:rPr>
          <w:rFonts w:ascii="Arial" w:cs="Arial" w:eastAsia="Arial" w:hAnsi="Arial"/>
          <w:sz w:val="12"/>
          <w:szCs w:val="12"/>
          <w:u w:val="single" w:color="auto"/>
          <w:color w:val="auto"/>
        </w:rPr>
        <w:t>Section 7.02(b)</w:t>
      </w:r>
      <w:r>
        <w:rPr>
          <w:rFonts w:ascii="Arial" w:cs="Arial" w:eastAsia="Arial" w:hAnsi="Arial"/>
          <w:sz w:val="12"/>
          <w:szCs w:val="12"/>
          <w:color w:val="auto"/>
        </w:rPr>
        <w:t xml:space="preserve"> for the fiscal quarter ending October 31, 2006 shall be determined based upon Pricing Level 2.</w:t>
      </w:r>
    </w:p>
    <w:p>
      <w:pPr>
        <w:spacing w:after="0" w:line="98" w:lineRule="exact"/>
        <w:rPr>
          <w:sz w:val="20"/>
          <w:szCs w:val="20"/>
          <w:color w:val="auto"/>
        </w:rPr>
      </w:pPr>
    </w:p>
    <w:p>
      <w:pPr>
        <w:ind w:left="1" w:right="720" w:firstLine="164"/>
        <w:spacing w:after="0" w:line="320"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Applicable Time</w:t>
      </w:r>
      <w:r>
        <w:rPr>
          <w:rFonts w:ascii="Arial" w:cs="Arial" w:eastAsia="Arial" w:hAnsi="Arial"/>
          <w:sz w:val="12"/>
          <w:szCs w:val="12"/>
          <w:color w:val="auto"/>
        </w:rPr>
        <w:t>” means, with respect to any borrowings and payments in any Alternative Currency, the local time in the place of settlement for such Alternative Currency as may be determined by the Administrative Agent or the L/C Issuer, as the case may be, to be necessary for timely settlement on the relevant date in accordance with normal banking procedures in the place of payment.</w:t>
      </w:r>
    </w:p>
    <w:p>
      <w:pPr>
        <w:spacing w:after="0" w:line="25" w:lineRule="exact"/>
        <w:rPr>
          <w:sz w:val="20"/>
          <w:szCs w:val="20"/>
          <w:color w:val="auto"/>
        </w:rPr>
      </w:pPr>
    </w:p>
    <w:p>
      <w:pPr>
        <w:ind w:left="16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Approved Fund</w:t>
      </w:r>
      <w:r>
        <w:rPr>
          <w:rFonts w:ascii="Arial" w:cs="Arial" w:eastAsia="Arial" w:hAnsi="Arial"/>
          <w:sz w:val="13"/>
          <w:szCs w:val="13"/>
          <w:color w:val="auto"/>
        </w:rPr>
        <w:t>” means any Fund that is administered or managed by (a) a Lender, (b) an Affiliate of a Lender or (c) an entity or an Affiliate of an entity that administers or manages a Lender.</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Assignee Group</w:t>
      </w:r>
      <w:r>
        <w:rPr>
          <w:rFonts w:ascii="Arial" w:cs="Arial" w:eastAsia="Arial" w:hAnsi="Arial"/>
          <w:sz w:val="13"/>
          <w:szCs w:val="13"/>
          <w:color w:val="auto"/>
        </w:rPr>
        <w:t>” means two or more Eligible Assignees that are Affiliates of one another or two or more Approved Funds managed by the same investment advisor.</w:t>
      </w:r>
    </w:p>
    <w:p>
      <w:pPr>
        <w:spacing w:after="0" w:line="86" w:lineRule="exact"/>
        <w:rPr>
          <w:sz w:val="20"/>
          <w:szCs w:val="20"/>
          <w:color w:val="auto"/>
        </w:rPr>
      </w:pPr>
    </w:p>
    <w:p>
      <w:pPr>
        <w:ind w:left="1" w:right="28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Assignment and Assumption</w:t>
      </w:r>
      <w:r>
        <w:rPr>
          <w:rFonts w:ascii="Arial" w:cs="Arial" w:eastAsia="Arial" w:hAnsi="Arial"/>
          <w:sz w:val="13"/>
          <w:szCs w:val="13"/>
          <w:color w:val="auto"/>
        </w:rPr>
        <w:t xml:space="preserve">” means an assignment and assumption entered into by a Lender and an assignee (with the consent of any party whose consent is required by </w:t>
      </w:r>
      <w:r>
        <w:rPr>
          <w:rFonts w:ascii="Arial" w:cs="Arial" w:eastAsia="Arial" w:hAnsi="Arial"/>
          <w:sz w:val="13"/>
          <w:szCs w:val="13"/>
          <w:u w:val="single" w:color="auto"/>
          <w:color w:val="auto"/>
        </w:rPr>
        <w:t>Section 11.07(b)</w:t>
      </w:r>
      <w:r>
        <w:rPr>
          <w:rFonts w:ascii="Arial" w:cs="Arial" w:eastAsia="Arial" w:hAnsi="Arial"/>
          <w:sz w:val="13"/>
          <w:szCs w:val="13"/>
          <w:color w:val="auto"/>
        </w:rPr>
        <w:t xml:space="preserve">), and accepted by the Administrative Agent, in substantially the form of </w:t>
      </w:r>
      <w:r>
        <w:rPr>
          <w:rFonts w:ascii="Arial" w:cs="Arial" w:eastAsia="Arial" w:hAnsi="Arial"/>
          <w:sz w:val="13"/>
          <w:szCs w:val="13"/>
          <w:u w:val="single" w:color="auto"/>
          <w:color w:val="auto"/>
        </w:rPr>
        <w:t>Exhibit 11.07</w:t>
      </w:r>
      <w:r>
        <w:rPr>
          <w:rFonts w:ascii="Arial" w:cs="Arial" w:eastAsia="Arial" w:hAnsi="Arial"/>
          <w:sz w:val="13"/>
          <w:szCs w:val="13"/>
          <w:color w:val="auto"/>
        </w:rPr>
        <w:t xml:space="preserve"> or any other form approved by the Administrative Agent.</w:t>
      </w:r>
    </w:p>
    <w:p>
      <w:pPr>
        <w:spacing w:after="0" w:line="49" w:lineRule="exact"/>
        <w:rPr>
          <w:sz w:val="20"/>
          <w:szCs w:val="20"/>
          <w:color w:val="auto"/>
        </w:rPr>
      </w:pPr>
    </w:p>
    <w:p>
      <w:pPr>
        <w:ind w:left="1" w:right="10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Attorney Costs</w:t>
      </w:r>
      <w:r>
        <w:rPr>
          <w:rFonts w:ascii="Arial" w:cs="Arial" w:eastAsia="Arial" w:hAnsi="Arial"/>
          <w:sz w:val="13"/>
          <w:szCs w:val="13"/>
          <w:color w:val="auto"/>
        </w:rPr>
        <w:t>” means and includes all reasonable fees, expenses and disbursements of any law firm or other external counsel and, without duplication, the allocated cost of internal legal services and all expenses and disbursements of internal counsel.</w:t>
      </w:r>
    </w:p>
    <w:p>
      <w:pPr>
        <w:spacing w:after="0" w:line="49" w:lineRule="exact"/>
        <w:rPr>
          <w:sz w:val="20"/>
          <w:szCs w:val="20"/>
          <w:color w:val="auto"/>
        </w:rPr>
      </w:pPr>
    </w:p>
    <w:p>
      <w:pPr>
        <w:ind w:left="1" w:right="160" w:firstLine="164"/>
        <w:spacing w:after="0" w:line="285"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Attributable Indebtedness</w:t>
      </w:r>
      <w:r>
        <w:rPr>
          <w:rFonts w:ascii="Arial" w:cs="Arial" w:eastAsia="Arial" w:hAnsi="Arial"/>
          <w:sz w:val="12"/>
          <w:szCs w:val="12"/>
          <w:color w:val="auto"/>
        </w:rPr>
        <w:t>” means, on any date, (a) in respect of any Capital Lease of any Person, the capitalized amount thereof that would appear on a balance sheet of such Person prepared as of such date in accordance with GAAP, (b) in respect of any Synthetic Lease, the capitalized amount of the remaining lease payments under the relevant lease that would appear on a balance sheet of such Person prepared as of such date in accordance with GAAP if such lease were accounted for as a Capital Lease, (c) in respect of any Securitization Transaction of any Person, the outstanding principal amount of such financing, after taking into account reserve accounts and making appropriate adjustments, determined by the Administrative Agent in its reasonable judgment and (d) in the case of any Sale and Leaseback Transaction, the present value (discounted in accordance with GAAP at the debt rate implied in the applicable lease) of the obligations of the lessee for rental payments during the term of such lease).</w:t>
      </w:r>
    </w:p>
    <w:p>
      <w:pPr>
        <w:spacing w:after="0" w:line="46" w:lineRule="exact"/>
        <w:rPr>
          <w:sz w:val="20"/>
          <w:szCs w:val="20"/>
          <w:color w:val="auto"/>
        </w:rPr>
      </w:pPr>
    </w:p>
    <w:p>
      <w:pPr>
        <w:ind w:left="1" w:right="42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Audited Financial Statements</w:t>
      </w:r>
      <w:r>
        <w:rPr>
          <w:rFonts w:ascii="Arial" w:cs="Arial" w:eastAsia="Arial" w:hAnsi="Arial"/>
          <w:sz w:val="13"/>
          <w:szCs w:val="13"/>
          <w:color w:val="auto"/>
        </w:rPr>
        <w:t>” means the audited consolidated balance sheet of the Company and its Subsidiaries for the fiscal year ended July 31, 2005, and the related consolidated statements of income or operations, shareholders’ equity and cash flows for such fiscal year of the Company and its Subsidiaries, including the notes thereto.</w:t>
      </w:r>
    </w:p>
    <w:p>
      <w:pPr>
        <w:spacing w:after="0" w:line="49" w:lineRule="exact"/>
        <w:rPr>
          <w:sz w:val="20"/>
          <w:szCs w:val="20"/>
          <w:color w:val="auto"/>
        </w:rPr>
      </w:pPr>
    </w:p>
    <w:p>
      <w:pPr>
        <w:ind w:left="16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Availability Period</w:t>
      </w:r>
      <w:r>
        <w:rPr>
          <w:rFonts w:ascii="Arial" w:cs="Arial" w:eastAsia="Arial" w:hAnsi="Arial"/>
          <w:sz w:val="12"/>
          <w:szCs w:val="12"/>
          <w:color w:val="auto"/>
        </w:rPr>
        <w:t xml:space="preserve">” means the period from and including the Closing Date to the earliest of (a) the Maturity Date, (b) the date of termination of the Aggregate Revolving Commitments pursuant to </w:t>
      </w:r>
      <w:r>
        <w:rPr>
          <w:rFonts w:ascii="Arial" w:cs="Arial" w:eastAsia="Arial" w:hAnsi="Arial"/>
          <w:sz w:val="12"/>
          <w:szCs w:val="12"/>
          <w:u w:val="single" w:color="auto"/>
          <w:color w:val="auto"/>
        </w:rPr>
        <w:t>Section 2.06</w:t>
      </w:r>
      <w:r>
        <w:rPr>
          <w:rFonts w:ascii="Arial" w:cs="Arial" w:eastAsia="Arial" w:hAnsi="Arial"/>
          <w:sz w:val="12"/>
          <w:szCs w:val="12"/>
          <w:color w:val="auto"/>
        </w:rPr>
        <w:t>, and</w:t>
      </w:r>
    </w:p>
    <w:p>
      <w:pPr>
        <w:spacing w:after="0" w:line="27" w:lineRule="exact"/>
        <w:rPr>
          <w:sz w:val="20"/>
          <w:szCs w:val="20"/>
          <w:color w:val="auto"/>
        </w:rPr>
      </w:pPr>
    </w:p>
    <w:p>
      <w:pPr>
        <w:ind w:left="161" w:right="2380" w:hanging="161"/>
        <w:spacing w:after="0" w:line="372" w:lineRule="auto"/>
        <w:tabs>
          <w:tab w:leader="none" w:pos="176" w:val="left"/>
        </w:tabs>
        <w:numPr>
          <w:ilvl w:val="0"/>
          <w:numId w:val="49"/>
        </w:numPr>
        <w:rPr>
          <w:rFonts w:ascii="Arial" w:cs="Arial" w:eastAsia="Arial" w:hAnsi="Arial"/>
          <w:sz w:val="13"/>
          <w:szCs w:val="13"/>
          <w:color w:val="auto"/>
        </w:rPr>
      </w:pPr>
      <w:r>
        <w:rPr>
          <w:rFonts w:ascii="Arial" w:cs="Arial" w:eastAsia="Arial" w:hAnsi="Arial"/>
          <w:sz w:val="13"/>
          <w:szCs w:val="13"/>
          <w:color w:val="auto"/>
        </w:rPr>
        <w:t xml:space="preserve">the date of termination of the commitment of each Lender to make Loans and of the obligation of the L/C Issuer to make L/C Credit Extensions pursuant to </w:t>
      </w:r>
      <w:r>
        <w:rPr>
          <w:rFonts w:ascii="Arial" w:cs="Arial" w:eastAsia="Arial" w:hAnsi="Arial"/>
          <w:sz w:val="13"/>
          <w:szCs w:val="13"/>
          <w:u w:val="single" w:color="auto"/>
          <w:color w:val="auto"/>
        </w:rPr>
        <w:t>Section 9.02</w:t>
      </w:r>
      <w:r>
        <w:rPr>
          <w:rFonts w:ascii="Arial" w:cs="Arial" w:eastAsia="Arial" w:hAnsi="Arial"/>
          <w:sz w:val="13"/>
          <w:szCs w:val="13"/>
          <w:color w:val="auto"/>
        </w:rPr>
        <w:t>. “</w:t>
      </w:r>
      <w:r>
        <w:rPr>
          <w:rFonts w:ascii="Arial" w:cs="Arial" w:eastAsia="Arial" w:hAnsi="Arial"/>
          <w:sz w:val="13"/>
          <w:szCs w:val="13"/>
          <w:u w:val="single" w:color="auto"/>
          <w:color w:val="auto"/>
        </w:rPr>
        <w:t>Bank of America</w:t>
      </w:r>
      <w:r>
        <w:rPr>
          <w:rFonts w:ascii="Arial" w:cs="Arial" w:eastAsia="Arial" w:hAnsi="Arial"/>
          <w:sz w:val="13"/>
          <w:szCs w:val="13"/>
          <w:color w:val="auto"/>
        </w:rPr>
        <w:t>” means Bank of America, N.A. and its successors.</w:t>
      </w:r>
    </w:p>
    <w:p>
      <w:pPr>
        <w:ind w:left="161"/>
        <w:spacing w:after="0"/>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BAS</w:t>
      </w:r>
      <w:r>
        <w:rPr>
          <w:rFonts w:ascii="Arial" w:cs="Arial" w:eastAsia="Arial" w:hAnsi="Arial"/>
          <w:sz w:val="13"/>
          <w:szCs w:val="13"/>
          <w:color w:val="auto"/>
        </w:rPr>
        <w:t>” means Banc of America Securities LLC, in its capacity as sole lead arranger and book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294640</wp:posOffset>
            </wp:positionV>
            <wp:extent cx="7290435" cy="19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93" w:name="page94"/>
    <w:bookmarkEnd w:id="93"/>
    <w:p>
      <w:pPr>
        <w:ind w:right="80" w:firstLine="164"/>
        <w:spacing w:after="0" w:line="26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Base Rate</w:t>
      </w:r>
      <w:r>
        <w:rPr>
          <w:rFonts w:ascii="Arial" w:cs="Arial" w:eastAsia="Arial" w:hAnsi="Arial"/>
          <w:sz w:val="13"/>
          <w:szCs w:val="13"/>
          <w:color w:val="auto"/>
        </w:rPr>
        <w:t>” means for any day a fluctuating rate per annum equal to the higher of (a) the Federal Funds Rate plus 1/2 of 1% and (b) the rate of interest in effect for such day as publicly announced from time to time by Bank of America as its “prime rate.”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the “prime rate” announced by Bank of America shall take effect at the opening of business on the day specified in the public announcement of such change.</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Base Rate Loan</w:t>
      </w:r>
      <w:r>
        <w:rPr>
          <w:rFonts w:ascii="Arial" w:cs="Arial" w:eastAsia="Arial" w:hAnsi="Arial"/>
          <w:sz w:val="13"/>
          <w:szCs w:val="13"/>
          <w:color w:val="auto"/>
        </w:rPr>
        <w:t>” means a Loan that bears interest based on the Base Rate. All Base Rate Loans shall be denominated in Dollars.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Borrowers</w:t>
      </w:r>
      <w:r>
        <w:rPr>
          <w:rFonts w:ascii="Arial" w:cs="Arial" w:eastAsia="Arial" w:hAnsi="Arial"/>
          <w:sz w:val="13"/>
          <w:szCs w:val="13"/>
          <w:color w:val="auto"/>
        </w:rPr>
        <w:t>” has the meaning specified in the introductory paragraph hereto, and “</w:t>
      </w:r>
      <w:r>
        <w:rPr>
          <w:rFonts w:ascii="Arial" w:cs="Arial" w:eastAsia="Arial" w:hAnsi="Arial"/>
          <w:sz w:val="13"/>
          <w:szCs w:val="13"/>
          <w:u w:val="single" w:color="auto"/>
          <w:color w:val="auto"/>
        </w:rPr>
        <w:t>Borrower</w:t>
      </w:r>
      <w:r>
        <w:rPr>
          <w:rFonts w:ascii="Arial" w:cs="Arial" w:eastAsia="Arial" w:hAnsi="Arial"/>
          <w:sz w:val="13"/>
          <w:szCs w:val="13"/>
          <w:color w:val="auto"/>
        </w:rPr>
        <w:t>” means any one of them.</w:t>
      </w:r>
    </w:p>
    <w:p>
      <w:pPr>
        <w:spacing w:after="0" w:line="86" w:lineRule="exact"/>
        <w:rPr>
          <w:sz w:val="20"/>
          <w:szCs w:val="20"/>
          <w:color w:val="auto"/>
        </w:rPr>
      </w:pPr>
    </w:p>
    <w:p>
      <w:pPr>
        <w:ind w:right="10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Borrowing</w:t>
      </w:r>
      <w:r>
        <w:rPr>
          <w:rFonts w:ascii="Arial" w:cs="Arial" w:eastAsia="Arial" w:hAnsi="Arial"/>
          <w:sz w:val="13"/>
          <w:szCs w:val="13"/>
          <w:color w:val="auto"/>
        </w:rPr>
        <w:t xml:space="preserve">” means a borrowing consisting of simultaneous Loans of the same Type, in the same currency and, in the case of Eurocurrency Rate Loans, having the same Interest Period made by each of the Lenders pursuant to </w:t>
      </w:r>
      <w:r>
        <w:rPr>
          <w:rFonts w:ascii="Arial" w:cs="Arial" w:eastAsia="Arial" w:hAnsi="Arial"/>
          <w:sz w:val="13"/>
          <w:szCs w:val="13"/>
          <w:u w:val="single" w:color="auto"/>
          <w:color w:val="auto"/>
        </w:rPr>
        <w:t>Section 2.01</w:t>
      </w:r>
      <w:r>
        <w:rPr>
          <w:rFonts w:ascii="Arial" w:cs="Arial" w:eastAsia="Arial" w:hAnsi="Arial"/>
          <w:sz w:val="13"/>
          <w:szCs w:val="13"/>
          <w:color w:val="auto"/>
        </w:rPr>
        <w:t>.</w:t>
      </w:r>
    </w:p>
    <w:p>
      <w:pPr>
        <w:spacing w:after="0" w:line="49" w:lineRule="exact"/>
        <w:rPr>
          <w:sz w:val="20"/>
          <w:szCs w:val="20"/>
          <w:color w:val="auto"/>
        </w:rPr>
      </w:pPr>
    </w:p>
    <w:p>
      <w:pPr>
        <w:ind w:firstLine="164"/>
        <w:spacing w:after="0" w:line="278"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Business Day</w:t>
      </w:r>
      <w:r>
        <w:rPr>
          <w:rFonts w:ascii="Arial" w:cs="Arial" w:eastAsia="Arial" w:hAnsi="Arial"/>
          <w:sz w:val="12"/>
          <w:szCs w:val="12"/>
          <w:color w:val="auto"/>
        </w:rPr>
        <w:t>” means any day other than a Saturday, Sunday or other day on which commercial banks are authorized to close under the Laws of, or are in fact closed in, the state where the Administrative Agent’s Office with respect to Obligations denominated in Dollars is located and (a) if such day relates to any interest rate settings as to a Eurocurrency Rate Loan denominated in Dollars, any fundings, disbursements, settlements and payments in Dollars in respect of any such Eurocurrency Rate Loan, or any other dealings in Dollars to be carried out pursuant to this Agreement in respect of any such Eurocurrency Rate Loan, means any such day on which dealings in deposits in Dollars are conducted by and between banks in the London interbank eurodollar market; (b) if such day relates to any interest rate settings as to a Eurocurrency Rate Loan denominated in Euro, any fundings, disbursements, settlements and payments in Euro in respect of any such Eurocurrency Rate Loan, or any other dealings in Euro to be carried out pursuant to this Agreement in respect of any such Eurocurrency Rate Loan, means a TARGET Day; (c) if such day relates to any interest rate settings as to a Eurocurrency Rate Loan denominated in a currency other than Dollars or Euro, means any such day on which dealings in deposits in the relevant currency are conducted by and between banks in the London or other applicable offshore interbank market for such currency; and (d) if such day relates to any fundings, disbursements, settlements and payments in a currency other than Dollars or Euro in respect of a Eurocurrency Rate Loan denominated in a currency other than Dollars or Euro, or any other dealings in any currency other than Dollars or Euro to be carried out pursuant to this Agreement in respect of any such Eurocurrency Rate Loan (other than any interest rate settings), means any such day on which banks are open for foreign exchange business in the principal financial center of the country of such currency.</w:t>
      </w:r>
    </w:p>
    <w:p>
      <w:pPr>
        <w:spacing w:after="0" w:line="5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Businesses</w:t>
      </w:r>
      <w:r>
        <w:rPr>
          <w:rFonts w:ascii="Arial" w:cs="Arial" w:eastAsia="Arial" w:hAnsi="Arial"/>
          <w:sz w:val="13"/>
          <w:szCs w:val="13"/>
          <w:color w:val="auto"/>
        </w:rPr>
        <w:t>” means, at any time, a collective reference to the businesses operated by the Company and its Subsidiaries at such time.</w:t>
      </w:r>
    </w:p>
    <w:p>
      <w:pPr>
        <w:spacing w:after="0" w:line="86" w:lineRule="exact"/>
        <w:rPr>
          <w:sz w:val="20"/>
          <w:szCs w:val="20"/>
          <w:color w:val="auto"/>
        </w:rPr>
      </w:pPr>
    </w:p>
    <w:p>
      <w:pPr>
        <w:ind w:right="28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Capital Lease</w:t>
      </w:r>
      <w:r>
        <w:rPr>
          <w:rFonts w:ascii="Arial" w:cs="Arial" w:eastAsia="Arial" w:hAnsi="Arial"/>
          <w:sz w:val="13"/>
          <w:szCs w:val="13"/>
          <w:color w:val="auto"/>
        </w:rPr>
        <w:t>” means, as applied to any Person, any lease of any Property by that Person as lessee which, in accordance with GAAP, is required to be accounted for as a capital lease on the balance sheet of that Person.</w:t>
      </w:r>
    </w:p>
    <w:p>
      <w:pPr>
        <w:spacing w:after="0" w:line="49" w:lineRule="exact"/>
        <w:rPr>
          <w:sz w:val="20"/>
          <w:szCs w:val="20"/>
          <w:color w:val="auto"/>
        </w:rPr>
      </w:pPr>
    </w:p>
    <w:p>
      <w:pPr>
        <w:ind w:right="80" w:firstLine="164"/>
        <w:spacing w:after="0" w:line="320"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Capital Stock</w:t>
      </w:r>
      <w:r>
        <w:rPr>
          <w:rFonts w:ascii="Arial" w:cs="Arial" w:eastAsia="Arial" w:hAnsi="Arial"/>
          <w:sz w:val="12"/>
          <w:szCs w:val="12"/>
          <w:color w:val="auto"/>
        </w:rPr>
        <w:t>” means (i) in the case of a corporation, capital stock, (ii) in the case of an association or business entity, any and all shares, interests, participations, rights or other equivalents (however designated) of capital stock, (iii) in the case of a partnership, partnership interests (whether general or limited), (iv) in the case of a limited liability company, membership interests and (v) any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90435" cy="19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94" w:name="page95"/>
    <w:bookmarkEnd w:id="94"/>
    <w:p>
      <w:pPr>
        <w:spacing w:after="0"/>
        <w:rPr>
          <w:sz w:val="20"/>
          <w:szCs w:val="20"/>
          <w:color w:val="auto"/>
        </w:rPr>
      </w:pPr>
      <w:r>
        <w:rPr>
          <w:rFonts w:ascii="Arial" w:cs="Arial" w:eastAsia="Arial" w:hAnsi="Arial"/>
          <w:sz w:val="13"/>
          <w:szCs w:val="13"/>
          <w:color w:val="auto"/>
        </w:rPr>
        <w:t>interest or participation that confers on a Person the right to receive a share of the profits and losses of, or distributions of assets of, the issuing Person.</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Cash Collateralize</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2.03(g)</w:t>
      </w:r>
      <w:r>
        <w:rPr>
          <w:rFonts w:ascii="Arial" w:cs="Arial" w:eastAsia="Arial" w:hAnsi="Arial"/>
          <w:sz w:val="13"/>
          <w:szCs w:val="13"/>
          <w:color w:val="auto"/>
        </w:rPr>
        <w:t>.</w:t>
      </w:r>
    </w:p>
    <w:p>
      <w:pPr>
        <w:spacing w:after="0" w:line="86" w:lineRule="exact"/>
        <w:rPr>
          <w:sz w:val="20"/>
          <w:szCs w:val="20"/>
          <w:color w:val="auto"/>
        </w:rPr>
      </w:pPr>
    </w:p>
    <w:p>
      <w:pPr>
        <w:ind w:firstLine="164"/>
        <w:spacing w:after="0" w:line="278"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Cash Equivalents</w:t>
      </w:r>
      <w:r>
        <w:rPr>
          <w:rFonts w:ascii="Arial" w:cs="Arial" w:eastAsia="Arial" w:hAnsi="Arial"/>
          <w:sz w:val="12"/>
          <w:szCs w:val="12"/>
          <w:color w:val="auto"/>
        </w:rPr>
        <w:t>” means, as at any date, (a) treasury bills, treasury cash management bills and other securities issued or directly and fully guaranteed or insured by the United States or any agency or instrumentality thereof (provided that the full faith and credit of the United States is pledged in support thereof) having maturities of not more than twelve months from the date of acquisition, (b) Eurodollar denominated time deposits and Dollar denominated certificates of deposit and bankers acceptances, in each case of (i) any Lender or (ii) any commercial bank of recognized standing having capital and surplus in excess of $100,000,000 (each, an “Approved Lender”), (c) commercial paper issued by any Approved Lender (or by the parent company thereof) which is of investment grade or unrated commercial paper issued by Wisconsin corporations, provided, in each case, the aggregate principal amount of commercial paper issued by any one issuer shall not exceed $5,000,000, (d) repurchase agreements with an Approved Lender, but only to the extent the same is used as an overnight or over weekend investment, (e) obligations of any state of the United States or any political subdivision thereof, the interest with respect to which is entirely exempt from federal income taxation under Section 103 of the Internal Revenue Code and having a rating of A or above by S&amp;P, (f) investments in municipal put bonds and municipal market auction notes and bonds rated A or above by S&amp;P, (g) investments, classified in accordance with GAAP as current assets, in adjustable rate preferred stock (which must be purchased at the call price or below) and money market investment programs registered under the Investment Company Act of 1940, as amended, in each case, which are administered by reputable financial institutions having capital of at least $100,000,000, 70% of the interest with respect to which is exempt from federal income taxation under Section 103 of the Internal Revenue Code, and having a rating of A or above by S&amp;P, and (h) VEBA investments in municipal put bonds and notes, money market preferred stock and commercial paper, in each case, the interest with respect to which is taxable, and having a long term rating of A or above by S&amp;P.</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Change of Control</w:t>
      </w:r>
      <w:r>
        <w:rPr>
          <w:rFonts w:ascii="Arial" w:cs="Arial" w:eastAsia="Arial" w:hAnsi="Arial"/>
          <w:sz w:val="13"/>
          <w:szCs w:val="13"/>
          <w:color w:val="auto"/>
        </w:rPr>
        <w:t>” means an event or series of events by which:</w:t>
      </w:r>
    </w:p>
    <w:p>
      <w:pPr>
        <w:spacing w:after="0" w:line="86" w:lineRule="exact"/>
        <w:rPr>
          <w:sz w:val="20"/>
          <w:szCs w:val="20"/>
          <w:color w:val="auto"/>
        </w:rPr>
      </w:pPr>
    </w:p>
    <w:p>
      <w:pPr>
        <w:ind w:left="220" w:right="100" w:firstLine="172"/>
        <w:spacing w:after="0" w:line="282" w:lineRule="auto"/>
        <w:tabs>
          <w:tab w:leader="none" w:pos="562" w:val="left"/>
        </w:tabs>
        <w:numPr>
          <w:ilvl w:val="0"/>
          <w:numId w:val="50"/>
        </w:numPr>
        <w:rPr>
          <w:rFonts w:ascii="Arial" w:cs="Arial" w:eastAsia="Arial" w:hAnsi="Arial"/>
          <w:sz w:val="12"/>
          <w:szCs w:val="12"/>
          <w:color w:val="auto"/>
        </w:rPr>
      </w:pPr>
      <w:r>
        <w:rPr>
          <w:rFonts w:ascii="Arial" w:cs="Arial" w:eastAsia="Arial" w:hAnsi="Arial"/>
          <w:sz w:val="12"/>
          <w:szCs w:val="12"/>
          <w:color w:val="auto"/>
        </w:rPr>
        <w:t>any “person” or “group” (as such terms are used in Sections 13(d) and 14(d) of the Securities Exchange Act of 1934 (but excluding (i) any employee benefit plan of such person or its subsidiaries, (ii) any person or entity acting in its capacity as trustee, agent or other fiduciary or administrator of any such plan, or (iii) Elizabeth Brady, William Brady and their descendants or any trusts established for them or their descendants, and the W. H. Brady Foundation, Inc.) becomes the “beneficial owner” (as defined in Rules 13d-3 and 13d-5 under the Securities Exchange Act of 1934, except that a person or group shall be deemed to have “beneficial ownership” of all Capital Stock that such person or group has the right to acquire (such right, an “</w:t>
      </w:r>
      <w:r>
        <w:rPr>
          <w:rFonts w:ascii="Arial" w:cs="Arial" w:eastAsia="Arial" w:hAnsi="Arial"/>
          <w:sz w:val="12"/>
          <w:szCs w:val="12"/>
          <w:u w:val="single" w:color="auto"/>
          <w:color w:val="auto"/>
        </w:rPr>
        <w:t>option right</w:t>
      </w:r>
      <w:r>
        <w:rPr>
          <w:rFonts w:ascii="Arial" w:cs="Arial" w:eastAsia="Arial" w:hAnsi="Arial"/>
          <w:sz w:val="12"/>
          <w:szCs w:val="12"/>
          <w:color w:val="auto"/>
        </w:rPr>
        <w:t>”), whether such right is exercisable immediately or only after the passage of time), directly or indirectly, of 33 1/3% of the Capital Stock of the Company entitled to vote for members of the board of directors or equivalent governing body of the Company on a fully diluted basis (and taking into account all such securities that such person or group has the right to acquire pursuant to any option right);</w:t>
      </w:r>
    </w:p>
    <w:p>
      <w:pPr>
        <w:spacing w:after="0" w:line="49" w:lineRule="exact"/>
        <w:rPr>
          <w:rFonts w:ascii="Arial" w:cs="Arial" w:eastAsia="Arial" w:hAnsi="Arial"/>
          <w:sz w:val="12"/>
          <w:szCs w:val="12"/>
          <w:color w:val="auto"/>
        </w:rPr>
      </w:pPr>
    </w:p>
    <w:p>
      <w:pPr>
        <w:ind w:left="220" w:right="80" w:firstLine="172"/>
        <w:spacing w:after="0" w:line="260" w:lineRule="auto"/>
        <w:tabs>
          <w:tab w:leader="none" w:pos="569" w:val="left"/>
        </w:tabs>
        <w:numPr>
          <w:ilvl w:val="0"/>
          <w:numId w:val="50"/>
        </w:numPr>
        <w:rPr>
          <w:rFonts w:ascii="Arial" w:cs="Arial" w:eastAsia="Arial" w:hAnsi="Arial"/>
          <w:sz w:val="13"/>
          <w:szCs w:val="13"/>
          <w:color w:val="auto"/>
        </w:rPr>
      </w:pPr>
      <w:r>
        <w:rPr>
          <w:rFonts w:ascii="Arial" w:cs="Arial" w:eastAsia="Arial" w:hAnsi="Arial"/>
          <w:sz w:val="13"/>
          <w:szCs w:val="13"/>
          <w:color w:val="auto"/>
        </w:rPr>
        <w:t>during any period of 12 consecutive months, 75% of the members of the board of directors or other equivalent governing body of the Company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277495</wp:posOffset>
            </wp:positionV>
            <wp:extent cx="7290435" cy="19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95" w:name="page96"/>
    <w:bookmarkEnd w:id="95"/>
    <w:p>
      <w:pPr>
        <w:ind w:left="220" w:right="80"/>
        <w:spacing w:after="0" w:line="296" w:lineRule="auto"/>
        <w:rPr>
          <w:sz w:val="20"/>
          <w:szCs w:val="20"/>
          <w:color w:val="auto"/>
        </w:rPr>
      </w:pPr>
      <w:r>
        <w:rPr>
          <w:rFonts w:ascii="Arial" w:cs="Arial" w:eastAsia="Arial" w:hAnsi="Arial"/>
          <w:sz w:val="12"/>
          <w:szCs w:val="12"/>
          <w:color w:val="auto"/>
        </w:rPr>
        <w:t>referred to in clauses (i) and (ii) above constituting at the time of such election or nomination at least a majority of that board or equivalent governing body (excluding, in the case of both clause (ii) and clause (iii), any individual whose initial nomination for, or assumption of office as, a member of that board or equivalent governing body occurs as a result of an actual or threatened solicitation of proxies or consents for the election or removal of one or more directors by any person or group other than a solicitation for the election of one or more directors by or on behalf of the board of directors); or</w:t>
      </w:r>
    </w:p>
    <w:p>
      <w:pPr>
        <w:spacing w:after="0" w:line="40" w:lineRule="exact"/>
        <w:rPr>
          <w:sz w:val="20"/>
          <w:szCs w:val="20"/>
          <w:color w:val="auto"/>
        </w:rPr>
      </w:pPr>
    </w:p>
    <w:p>
      <w:pPr>
        <w:ind w:left="160" w:right="5000" w:firstLine="232"/>
        <w:spacing w:after="0" w:line="378" w:lineRule="auto"/>
        <w:tabs>
          <w:tab w:leader="none" w:pos="567"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Company fails to own (directly or indirectly) 100% of the outstanding Capital Stock of Worldwide or Tricor. “</w:t>
      </w:r>
      <w:r>
        <w:rPr>
          <w:rFonts w:ascii="Arial" w:cs="Arial" w:eastAsia="Arial" w:hAnsi="Arial"/>
          <w:sz w:val="13"/>
          <w:szCs w:val="13"/>
          <w:u w:val="single" w:color="auto"/>
          <w:color w:val="auto"/>
        </w:rPr>
        <w:t>Closing Date</w:t>
      </w:r>
      <w:r>
        <w:rPr>
          <w:rFonts w:ascii="Arial" w:cs="Arial" w:eastAsia="Arial" w:hAnsi="Arial"/>
          <w:sz w:val="13"/>
          <w:szCs w:val="13"/>
          <w:color w:val="auto"/>
        </w:rPr>
        <w:t>” means the date hereof.</w:t>
      </w:r>
    </w:p>
    <w:p>
      <w:pPr>
        <w:ind w:left="160" w:right="6760"/>
        <w:spacing w:after="0" w:line="378" w:lineRule="auto"/>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Commitment</w:t>
      </w:r>
      <w:r>
        <w:rPr>
          <w:rFonts w:ascii="Arial" w:cs="Arial" w:eastAsia="Arial" w:hAnsi="Arial"/>
          <w:sz w:val="13"/>
          <w:szCs w:val="13"/>
          <w:color w:val="auto"/>
        </w:rPr>
        <w:t>” means, as to each Lender, the Revolving Commitment of such Lender. “</w:t>
      </w:r>
      <w:r>
        <w:rPr>
          <w:rFonts w:ascii="Arial" w:cs="Arial" w:eastAsia="Arial" w:hAnsi="Arial"/>
          <w:sz w:val="13"/>
          <w:szCs w:val="13"/>
          <w:u w:val="single" w:color="auto"/>
          <w:color w:val="auto"/>
        </w:rPr>
        <w:t>Company</w:t>
      </w:r>
      <w:r>
        <w:rPr>
          <w:rFonts w:ascii="Arial" w:cs="Arial" w:eastAsia="Arial" w:hAnsi="Arial"/>
          <w:sz w:val="13"/>
          <w:szCs w:val="13"/>
          <w:color w:val="auto"/>
        </w:rPr>
        <w:t>” has the meaning specified in the introductory paragraph hereto. “</w:t>
      </w:r>
      <w:r>
        <w:rPr>
          <w:rFonts w:ascii="Arial" w:cs="Arial" w:eastAsia="Arial" w:hAnsi="Arial"/>
          <w:sz w:val="13"/>
          <w:szCs w:val="13"/>
          <w:u w:val="single" w:color="auto"/>
          <w:color w:val="auto"/>
        </w:rPr>
        <w:t>Company Materials</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7.02</w:t>
      </w:r>
      <w:r>
        <w:rPr>
          <w:rFonts w:ascii="Arial" w:cs="Arial" w:eastAsia="Arial" w:hAnsi="Arial"/>
          <w:sz w:val="13"/>
          <w:szCs w:val="13"/>
          <w:color w:val="auto"/>
        </w:rPr>
        <w:t>.</w:t>
      </w:r>
    </w:p>
    <w:p>
      <w:pPr>
        <w:spacing w:after="0" w:line="1" w:lineRule="exact"/>
        <w:rPr>
          <w:rFonts w:ascii="Arial" w:cs="Arial" w:eastAsia="Arial" w:hAnsi="Arial"/>
          <w:sz w:val="13"/>
          <w:szCs w:val="13"/>
          <w:color w:val="auto"/>
        </w:rPr>
      </w:pPr>
    </w:p>
    <w:p>
      <w:pPr>
        <w:ind w:left="160"/>
        <w:spacing w:after="0"/>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Compliance Certificate</w:t>
      </w:r>
      <w:r>
        <w:rPr>
          <w:rFonts w:ascii="Arial" w:cs="Arial" w:eastAsia="Arial" w:hAnsi="Arial"/>
          <w:sz w:val="13"/>
          <w:szCs w:val="13"/>
          <w:color w:val="auto"/>
        </w:rPr>
        <w:t xml:space="preserve">” means a certificate substantially in the form of </w:t>
      </w:r>
      <w:r>
        <w:rPr>
          <w:rFonts w:ascii="Arial" w:cs="Arial" w:eastAsia="Arial" w:hAnsi="Arial"/>
          <w:sz w:val="13"/>
          <w:szCs w:val="13"/>
          <w:u w:val="single" w:color="auto"/>
          <w:color w:val="auto"/>
        </w:rPr>
        <w:t>Exhibit 7.02</w:t>
      </w:r>
      <w:r>
        <w:rPr>
          <w:rFonts w:ascii="Arial" w:cs="Arial" w:eastAsia="Arial" w:hAnsi="Arial"/>
          <w:sz w:val="13"/>
          <w:szCs w:val="13"/>
          <w:color w:val="auto"/>
        </w:rPr>
        <w:t>.</w:t>
      </w:r>
    </w:p>
    <w:p>
      <w:pPr>
        <w:spacing w:after="0" w:line="86" w:lineRule="exact"/>
        <w:rPr>
          <w:sz w:val="20"/>
          <w:szCs w:val="20"/>
          <w:color w:val="auto"/>
        </w:rPr>
      </w:pPr>
    </w:p>
    <w:p>
      <w:pPr>
        <w:ind w:right="40" w:firstLine="164"/>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Consolidated Capital Expenditures</w:t>
      </w:r>
      <w:r>
        <w:rPr>
          <w:rFonts w:ascii="Arial" w:cs="Arial" w:eastAsia="Arial" w:hAnsi="Arial"/>
          <w:sz w:val="13"/>
          <w:szCs w:val="13"/>
          <w:color w:val="auto"/>
        </w:rPr>
        <w:t xml:space="preserve">” means, for any period, for the Company and its Subsidiaries on a consolidated basis, all capital expenditures, as determined in accordance with GAAP;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Consolidated Capital Expenditures shall not include (a) expenditures made with proceeds of any Involuntary Disposition to the extent such expenditures are used to purchase Property that is the same as or similar to the Property subject to such Involuntary Disposition or (b) Permitted Acquisitions.</w:t>
      </w:r>
    </w:p>
    <w:p>
      <w:pPr>
        <w:spacing w:after="0" w:line="57" w:lineRule="exact"/>
        <w:rPr>
          <w:sz w:val="20"/>
          <w:szCs w:val="20"/>
          <w:color w:val="auto"/>
        </w:rPr>
      </w:pPr>
    </w:p>
    <w:p>
      <w:pPr>
        <w:ind w:firstLine="164"/>
        <w:spacing w:after="0" w:line="26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Consolidated EBIT</w:t>
      </w:r>
      <w:r>
        <w:rPr>
          <w:rFonts w:ascii="Arial" w:cs="Arial" w:eastAsia="Arial" w:hAnsi="Arial"/>
          <w:sz w:val="13"/>
          <w:szCs w:val="13"/>
          <w:color w:val="auto"/>
        </w:rPr>
        <w:t xml:space="preserve">” means, for any period, for the Company and its Subsidiaries on a consolidated basis, an amount equal to Consolidated Net Income for such period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the following to the extent deducted in calculating such Consolidated Net Income: (a) Consolidated Interest Charges for such period, (b) consolidated tax expense for federal, state, local and foreign income taxes for the Company and its Subsidiaries for such period, (c) non-cash restructuring charges incurred after the Closing Date for such period and (d) cash restructuring charges incurred after the Closing Date not to exceed $5,000,000 during such period, all as determined in accordance with GAAP.</w:t>
      </w:r>
    </w:p>
    <w:p>
      <w:pPr>
        <w:spacing w:after="0" w:line="60"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Consolidated EBITDA</w:t>
      </w:r>
      <w:r>
        <w:rPr>
          <w:rFonts w:ascii="Arial" w:cs="Arial" w:eastAsia="Arial" w:hAnsi="Arial"/>
          <w:sz w:val="13"/>
          <w:szCs w:val="13"/>
          <w:color w:val="auto"/>
        </w:rPr>
        <w:t xml:space="preserve">” means, for any period, for the Company and its Subsidiaries on a consolidated basis, an amount equal to Consolidated EBIT for such period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the amount of depreciation and amortization expense for such period that was deducted in calculating Consolidated Net Income for such Period, all as determined in accordance with GAAP.</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Consolidated Funded Indebtedness</w:t>
      </w:r>
      <w:r>
        <w:rPr>
          <w:rFonts w:ascii="Arial" w:cs="Arial" w:eastAsia="Arial" w:hAnsi="Arial"/>
          <w:sz w:val="13"/>
          <w:szCs w:val="13"/>
          <w:color w:val="auto"/>
        </w:rPr>
        <w:t>” means Funded Indebtedness of the Company and its Subsidiaries on a consolidated basis determined in accordance with GAAP.</w:t>
      </w:r>
    </w:p>
    <w:p>
      <w:pPr>
        <w:spacing w:after="0" w:line="86" w:lineRule="exact"/>
        <w:rPr>
          <w:sz w:val="20"/>
          <w:szCs w:val="20"/>
          <w:color w:val="auto"/>
        </w:rPr>
      </w:pPr>
    </w:p>
    <w:p>
      <w:pPr>
        <w:ind w:right="60" w:firstLine="164"/>
        <w:spacing w:after="0" w:line="26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Consolidated Interest Charges</w:t>
      </w:r>
      <w:r>
        <w:rPr>
          <w:rFonts w:ascii="Arial" w:cs="Arial" w:eastAsia="Arial" w:hAnsi="Arial"/>
          <w:sz w:val="13"/>
          <w:szCs w:val="13"/>
          <w:color w:val="auto"/>
        </w:rPr>
        <w:t xml:space="preserve">” means, for any period, for the Company and its Subsidiaries on a consolidated basis, an amount equal to the sum of (i) all interest, premium payments, debt discount, fees, charges and related expenses in connection with borrowed money (including capitalized interest) or in connection with the deferred purchase price of assets, in each case to the extent treated as interest in accordance with GAAP,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(ii) the portion of rent expense with respect to such period under Capital Leases that is treated as interest in accordance with GAAP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(iii) the implied interest component of Synthetic Leases with respect to such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277495</wp:posOffset>
            </wp:positionV>
            <wp:extent cx="7290435" cy="19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96" w:name="page97"/>
    <w:bookmarkEnd w:id="96"/>
    <w:p>
      <w:pPr>
        <w:ind w:left="1" w:right="100" w:firstLine="164"/>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Consolidated Interest Coverage Ratio</w:t>
      </w:r>
      <w:r>
        <w:rPr>
          <w:rFonts w:ascii="Arial" w:cs="Arial" w:eastAsia="Arial" w:hAnsi="Arial"/>
          <w:sz w:val="13"/>
          <w:szCs w:val="13"/>
          <w:color w:val="auto"/>
        </w:rPr>
        <w:t xml:space="preserve">” means, as of any date of determination, the ratio of (a) Consolidated EBIT for the period of the four fiscal quarters most recently ended for which the Company has delivered financial statements pursuant to </w:t>
      </w:r>
      <w:r>
        <w:rPr>
          <w:rFonts w:ascii="Arial" w:cs="Arial" w:eastAsia="Arial" w:hAnsi="Arial"/>
          <w:sz w:val="13"/>
          <w:szCs w:val="13"/>
          <w:u w:val="single" w:color="auto"/>
          <w:color w:val="auto"/>
        </w:rPr>
        <w:t>Section 7.01(a)</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(b)</w:t>
      </w:r>
      <w:r>
        <w:rPr>
          <w:rFonts w:ascii="Arial" w:cs="Arial" w:eastAsia="Arial" w:hAnsi="Arial"/>
          <w:sz w:val="13"/>
          <w:szCs w:val="13"/>
          <w:color w:val="auto"/>
        </w:rPr>
        <w:t xml:space="preserve"> to (b) Consolidated Interest Charges for the period of the four fiscal quarters most recently ended for which the Company has delivered financial statements pursuant to </w:t>
      </w:r>
      <w:r>
        <w:rPr>
          <w:rFonts w:ascii="Arial" w:cs="Arial" w:eastAsia="Arial" w:hAnsi="Arial"/>
          <w:sz w:val="13"/>
          <w:szCs w:val="13"/>
          <w:u w:val="single" w:color="auto"/>
          <w:color w:val="auto"/>
        </w:rPr>
        <w:t>Section 7.01(a)</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(b)</w:t>
      </w:r>
      <w:r>
        <w:rPr>
          <w:rFonts w:ascii="Arial" w:cs="Arial" w:eastAsia="Arial" w:hAnsi="Arial"/>
          <w:sz w:val="13"/>
          <w:szCs w:val="13"/>
          <w:color w:val="auto"/>
        </w:rPr>
        <w:t>.</w:t>
      </w:r>
    </w:p>
    <w:p>
      <w:pPr>
        <w:spacing w:after="0" w:line="57" w:lineRule="exact"/>
        <w:rPr>
          <w:sz w:val="20"/>
          <w:szCs w:val="20"/>
          <w:color w:val="auto"/>
        </w:rPr>
      </w:pPr>
    </w:p>
    <w:p>
      <w:pPr>
        <w:ind w:left="1" w:right="16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Consolidated Leverage Ratio</w:t>
      </w:r>
      <w:r>
        <w:rPr>
          <w:rFonts w:ascii="Arial" w:cs="Arial" w:eastAsia="Arial" w:hAnsi="Arial"/>
          <w:sz w:val="13"/>
          <w:szCs w:val="13"/>
          <w:color w:val="auto"/>
        </w:rPr>
        <w:t xml:space="preserve">” means, as of any date of determination, the ratio of (a) Consolidated Funded Indebtedness as of such date to (b) Consolidated EBITDA for the period of the four fiscal quarters most recently ended for which the Company has delivered financial statements pursuant to </w:t>
      </w:r>
      <w:r>
        <w:rPr>
          <w:rFonts w:ascii="Arial" w:cs="Arial" w:eastAsia="Arial" w:hAnsi="Arial"/>
          <w:sz w:val="13"/>
          <w:szCs w:val="13"/>
          <w:u w:val="single" w:color="auto"/>
          <w:color w:val="auto"/>
        </w:rPr>
        <w:t>Section 7.01(a)</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(b)</w:t>
      </w:r>
      <w:r>
        <w:rPr>
          <w:rFonts w:ascii="Arial" w:cs="Arial" w:eastAsia="Arial" w:hAnsi="Arial"/>
          <w:sz w:val="13"/>
          <w:szCs w:val="13"/>
          <w:color w:val="auto"/>
        </w:rPr>
        <w:t>.</w:t>
      </w:r>
    </w:p>
    <w:p>
      <w:pPr>
        <w:spacing w:after="0" w:line="49" w:lineRule="exact"/>
        <w:rPr>
          <w:sz w:val="20"/>
          <w:szCs w:val="20"/>
          <w:color w:val="auto"/>
        </w:rPr>
      </w:pPr>
    </w:p>
    <w:p>
      <w:pPr>
        <w:ind w:left="1" w:right="16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Consolidated Net Income</w:t>
      </w:r>
      <w:r>
        <w:rPr>
          <w:rFonts w:ascii="Arial" w:cs="Arial" w:eastAsia="Arial" w:hAnsi="Arial"/>
          <w:sz w:val="13"/>
          <w:szCs w:val="13"/>
          <w:color w:val="auto"/>
        </w:rPr>
        <w:t>” means, for any period, for the Company and its Subsidiaries on a consolidated basis, the net income of the Company and its Subsidiaries (excluding (a) all extraordinary non-cash items and (b) income or loss of any Person in which the Company owns less than 50% of the Capital Stock thereof) for that period, as determined in accordance with GAAP.</w:t>
      </w:r>
    </w:p>
    <w:p>
      <w:pPr>
        <w:spacing w:after="0" w:line="49" w:lineRule="exact"/>
        <w:rPr>
          <w:sz w:val="20"/>
          <w:szCs w:val="20"/>
          <w:color w:val="auto"/>
        </w:rPr>
      </w:pPr>
    </w:p>
    <w:p>
      <w:pPr>
        <w:ind w:left="1"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Consolidated Tangible Net Worth</w:t>
      </w:r>
      <w:r>
        <w:rPr>
          <w:rFonts w:ascii="Arial" w:cs="Arial" w:eastAsia="Arial" w:hAnsi="Arial"/>
          <w:sz w:val="13"/>
          <w:szCs w:val="13"/>
          <w:color w:val="auto"/>
        </w:rPr>
        <w:t xml:space="preserve">” means, as of any date, the consolidated shareholders’ equity of the Company and its Subsidiaries </w:t>
      </w:r>
      <w:r>
        <w:rPr>
          <w:rFonts w:ascii="Arial" w:cs="Arial" w:eastAsia="Arial" w:hAnsi="Arial"/>
          <w:sz w:val="13"/>
          <w:szCs w:val="13"/>
          <w:u w:val="single" w:color="auto"/>
          <w:color w:val="auto"/>
        </w:rPr>
        <w:t>minus</w:t>
      </w:r>
      <w:r>
        <w:rPr>
          <w:rFonts w:ascii="Arial" w:cs="Arial" w:eastAsia="Arial" w:hAnsi="Arial"/>
          <w:sz w:val="13"/>
          <w:szCs w:val="13"/>
          <w:color w:val="auto"/>
        </w:rPr>
        <w:t xml:space="preserve"> intangible assets of the Company and its Subsidiaries as of such date, all as determined in accordance with GAAP.</w:t>
      </w:r>
    </w:p>
    <w:p>
      <w:pPr>
        <w:spacing w:after="0" w:line="49" w:lineRule="exact"/>
        <w:rPr>
          <w:sz w:val="20"/>
          <w:szCs w:val="20"/>
          <w:color w:val="auto"/>
        </w:rPr>
      </w:pPr>
    </w:p>
    <w:p>
      <w:pPr>
        <w:ind w:left="1"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Contractual Obligation</w:t>
      </w:r>
      <w:r>
        <w:rPr>
          <w:rFonts w:ascii="Arial" w:cs="Arial" w:eastAsia="Arial" w:hAnsi="Arial"/>
          <w:sz w:val="13"/>
          <w:szCs w:val="13"/>
          <w:color w:val="auto"/>
        </w:rPr>
        <w:t>” means, as to any Person, any provision of any security issued by such Person or of any agreement, instrument or other undertaking to which such Person is a party or by which it or any of its property is bound.</w:t>
      </w:r>
    </w:p>
    <w:p>
      <w:pPr>
        <w:spacing w:after="0" w:line="49" w:lineRule="exact"/>
        <w:rPr>
          <w:sz w:val="20"/>
          <w:szCs w:val="20"/>
          <w:color w:val="auto"/>
        </w:rPr>
      </w:pPr>
    </w:p>
    <w:p>
      <w:pPr>
        <w:ind w:left="16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Control</w:t>
      </w:r>
      <w:r>
        <w:rPr>
          <w:rFonts w:ascii="Arial" w:cs="Arial" w:eastAsia="Arial" w:hAnsi="Arial"/>
          <w:sz w:val="13"/>
          <w:szCs w:val="13"/>
          <w:color w:val="auto"/>
        </w:rPr>
        <w:t>” has the meaning specified in the definition of “Affiliate.”</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Credit Extension</w:t>
      </w:r>
      <w:r>
        <w:rPr>
          <w:rFonts w:ascii="Arial" w:cs="Arial" w:eastAsia="Arial" w:hAnsi="Arial"/>
          <w:sz w:val="13"/>
          <w:szCs w:val="13"/>
          <w:color w:val="auto"/>
        </w:rPr>
        <w:t>” means each of the following: (a) a Borrowing and (b) an L/C Credit Extension.</w:t>
      </w:r>
    </w:p>
    <w:p>
      <w:pPr>
        <w:spacing w:after="0" w:line="86" w:lineRule="exact"/>
        <w:rPr>
          <w:sz w:val="20"/>
          <w:szCs w:val="20"/>
          <w:color w:val="auto"/>
        </w:rPr>
      </w:pPr>
    </w:p>
    <w:p>
      <w:pPr>
        <w:ind w:left="1" w:right="400" w:firstLine="164"/>
        <w:spacing w:after="0" w:line="320"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Debtor Relief Laws</w:t>
      </w:r>
      <w:r>
        <w:rPr>
          <w:rFonts w:ascii="Arial" w:cs="Arial" w:eastAsia="Arial" w:hAnsi="Arial"/>
          <w:sz w:val="12"/>
          <w:szCs w:val="12"/>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25" w:lineRule="exact"/>
        <w:rPr>
          <w:sz w:val="20"/>
          <w:szCs w:val="20"/>
          <w:color w:val="auto"/>
        </w:rPr>
      </w:pPr>
    </w:p>
    <w:p>
      <w:pPr>
        <w:ind w:left="16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Default</w:t>
      </w:r>
      <w:r>
        <w:rPr>
          <w:rFonts w:ascii="Arial" w:cs="Arial" w:eastAsia="Arial" w:hAnsi="Arial"/>
          <w:sz w:val="13"/>
          <w:szCs w:val="13"/>
          <w:color w:val="auto"/>
        </w:rPr>
        <w:t>” means any event or condition that constitutes an Event of Default or that, with the giving of any notice, the passage of time, or both, would be an Event of Default.</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Default Rate</w:t>
      </w:r>
      <w:r>
        <w:rPr>
          <w:rFonts w:ascii="Arial" w:cs="Arial" w:eastAsia="Arial" w:hAnsi="Arial"/>
          <w:sz w:val="12"/>
          <w:szCs w:val="12"/>
          <w:color w:val="auto"/>
        </w:rPr>
        <w:t xml:space="preserve">” means (a) when used with respect to Obligations other than Letter of Credit Fees, an interest rate equal to (i) the Base Rate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(ii) the Applicable Rate, if any, applicable to Base Rate Loans </w:t>
      </w:r>
      <w:r>
        <w:rPr>
          <w:rFonts w:ascii="Arial" w:cs="Arial" w:eastAsia="Arial" w:hAnsi="Arial"/>
          <w:sz w:val="12"/>
          <w:szCs w:val="12"/>
          <w:u w:val="single" w:color="auto"/>
          <w:color w:val="auto"/>
        </w:rPr>
        <w:t>plus</w:t>
      </w:r>
    </w:p>
    <w:p>
      <w:pPr>
        <w:spacing w:after="0" w:line="27" w:lineRule="exact"/>
        <w:rPr>
          <w:sz w:val="20"/>
          <w:szCs w:val="20"/>
          <w:color w:val="auto"/>
        </w:rPr>
      </w:pPr>
    </w:p>
    <w:p>
      <w:pPr>
        <w:ind w:left="1" w:right="40" w:hanging="1"/>
        <w:spacing w:after="0" w:line="258" w:lineRule="auto"/>
        <w:tabs>
          <w:tab w:leader="none" w:pos="231" w:val="left"/>
        </w:tabs>
        <w:numPr>
          <w:ilvl w:val="0"/>
          <w:numId w:val="52"/>
        </w:numPr>
        <w:rPr>
          <w:rFonts w:ascii="Arial" w:cs="Arial" w:eastAsia="Arial" w:hAnsi="Arial"/>
          <w:sz w:val="13"/>
          <w:szCs w:val="13"/>
          <w:color w:val="auto"/>
        </w:rPr>
      </w:pPr>
      <w:r>
        <w:rPr>
          <w:rFonts w:ascii="Arial" w:cs="Arial" w:eastAsia="Arial" w:hAnsi="Arial"/>
          <w:sz w:val="13"/>
          <w:szCs w:val="13"/>
          <w:color w:val="auto"/>
        </w:rPr>
        <w:t xml:space="preserve">2% per annum;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with respect to a Eurocurrency Rate Loan, the Default Rate shall be an interest rate equal to the interest rate (including any Applicable Rate and any Mandatory Cost) otherwise applicable to such Loan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2% per annum, in each case to the fullest extent permitted by applicable Laws and (b) when used with respect to Letter of Credit Fees, a rate equal to the Applicable Rate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2% per annum, in all cases to the fullest extent permitted by applicable Laws.</w:t>
      </w:r>
    </w:p>
    <w:p>
      <w:pPr>
        <w:spacing w:after="0" w:line="61" w:lineRule="exact"/>
        <w:rPr>
          <w:sz w:val="20"/>
          <w:szCs w:val="20"/>
          <w:color w:val="auto"/>
        </w:rPr>
      </w:pPr>
    </w:p>
    <w:p>
      <w:pPr>
        <w:ind w:left="1" w:right="160" w:firstLine="164"/>
        <w:spacing w:after="0" w:line="29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Defaulting Lender</w:t>
      </w:r>
      <w:r>
        <w:rPr>
          <w:rFonts w:ascii="Arial" w:cs="Arial" w:eastAsia="Arial" w:hAnsi="Arial"/>
          <w:sz w:val="12"/>
          <w:szCs w:val="12"/>
          <w:color w:val="auto"/>
        </w:rPr>
        <w:t>” means any Lender that (a) has failed to fund any portion of the Loans, participations in L/C Obligations or participations in Swing Line Loans required to be funded by it hereunder within one Business Day of the date required to be funded by it hereunder, (b) has otherwise failed to pay over to the Administrative Agent or any other Lender any other amount required to be paid by it hereunder within one Business Day of the date when due, unless the subject of a good faith dispute, or (c) has been deemed insolvent or become the subject of a bankruptcy or insolvency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264795</wp:posOffset>
            </wp:positionV>
            <wp:extent cx="7290435" cy="19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97" w:name="page98"/>
    <w:bookmarkEnd w:id="97"/>
    <w:p>
      <w:pPr>
        <w:ind w:left="1" w:right="20" w:firstLine="164"/>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Disposition</w:t>
      </w:r>
      <w:r>
        <w:rPr>
          <w:rFonts w:ascii="Arial" w:cs="Arial" w:eastAsia="Arial" w:hAnsi="Arial"/>
          <w:sz w:val="13"/>
          <w:szCs w:val="13"/>
          <w:color w:val="auto"/>
        </w:rPr>
        <w:t>” or “</w:t>
      </w:r>
      <w:r>
        <w:rPr>
          <w:rFonts w:ascii="Arial" w:cs="Arial" w:eastAsia="Arial" w:hAnsi="Arial"/>
          <w:sz w:val="13"/>
          <w:szCs w:val="13"/>
          <w:u w:val="single" w:color="auto"/>
          <w:color w:val="auto"/>
        </w:rPr>
        <w:t>Dispose</w:t>
      </w:r>
      <w:r>
        <w:rPr>
          <w:rFonts w:ascii="Arial" w:cs="Arial" w:eastAsia="Arial" w:hAnsi="Arial"/>
          <w:sz w:val="13"/>
          <w:szCs w:val="13"/>
          <w:color w:val="auto"/>
        </w:rPr>
        <w:t>” means the sale, transfer, license, lease or other disposition (including any Sale and Leaseback Transaction) of any Property by the Company or any Subsidiary (including the Capital Stock of any Subsidiary), including any sale, assignment, transfer or other disposal, with or without recourse, of any notes or accounts receivable or any rights and claims associated therewith, but excluding Involuntary Dispositions.</w:t>
      </w:r>
    </w:p>
    <w:p>
      <w:pPr>
        <w:spacing w:after="0" w:line="57" w:lineRule="exact"/>
        <w:rPr>
          <w:sz w:val="20"/>
          <w:szCs w:val="20"/>
          <w:color w:val="auto"/>
        </w:rPr>
      </w:pPr>
    </w:p>
    <w:p>
      <w:pPr>
        <w:ind w:left="16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Dollar</w:t>
      </w:r>
      <w:r>
        <w:rPr>
          <w:rFonts w:ascii="Arial" w:cs="Arial" w:eastAsia="Arial" w:hAnsi="Arial"/>
          <w:sz w:val="13"/>
          <w:szCs w:val="13"/>
          <w:color w:val="auto"/>
        </w:rPr>
        <w:t>” and “</w:t>
      </w:r>
      <w:r>
        <w:rPr>
          <w:rFonts w:ascii="Arial" w:cs="Arial" w:eastAsia="Arial" w:hAnsi="Arial"/>
          <w:sz w:val="13"/>
          <w:szCs w:val="13"/>
          <w:u w:val="single" w:color="auto"/>
          <w:color w:val="auto"/>
        </w:rPr>
        <w:t>$</w:t>
      </w:r>
      <w:r>
        <w:rPr>
          <w:rFonts w:ascii="Arial" w:cs="Arial" w:eastAsia="Arial" w:hAnsi="Arial"/>
          <w:sz w:val="13"/>
          <w:szCs w:val="13"/>
          <w:color w:val="auto"/>
        </w:rPr>
        <w:t>” mean lawful money of the United States.</w:t>
      </w:r>
    </w:p>
    <w:p>
      <w:pPr>
        <w:spacing w:after="0" w:line="86" w:lineRule="exact"/>
        <w:rPr>
          <w:sz w:val="20"/>
          <w:szCs w:val="20"/>
          <w:color w:val="auto"/>
        </w:rPr>
      </w:pPr>
    </w:p>
    <w:p>
      <w:pPr>
        <w:ind w:left="1" w:firstLine="164"/>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Dollar Equivalent</w:t>
      </w:r>
      <w:r>
        <w:rPr>
          <w:rFonts w:ascii="Arial" w:cs="Arial" w:eastAsia="Arial" w:hAnsi="Arial"/>
          <w:sz w:val="13"/>
          <w:szCs w:val="13"/>
          <w:color w:val="auto"/>
        </w:rPr>
        <w:t>” means, at any time, (a) with respect to any amount denominated in Dollars, such amount, and (b) with respect to any amount denominated in any Alternative Currency, the equivalent amount thereof in Dollars as determined by the Administrative Agent or the L/C Issuer, as the case may be, at such time on the basis of the Spot Rate (determined in respect of the most recent Revaluation Date) for the purchase of Dollars with such Alternative Currency.</w:t>
      </w:r>
    </w:p>
    <w:p>
      <w:pPr>
        <w:spacing w:after="0" w:line="57" w:lineRule="exact"/>
        <w:rPr>
          <w:sz w:val="20"/>
          <w:szCs w:val="20"/>
          <w:color w:val="auto"/>
        </w:rPr>
      </w:pPr>
    </w:p>
    <w:p>
      <w:pPr>
        <w:ind w:left="16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Domestic Subsidiary</w:t>
      </w:r>
      <w:r>
        <w:rPr>
          <w:rFonts w:ascii="Arial" w:cs="Arial" w:eastAsia="Arial" w:hAnsi="Arial"/>
          <w:sz w:val="13"/>
          <w:szCs w:val="13"/>
          <w:color w:val="auto"/>
        </w:rPr>
        <w:t>” means any Subsidiary that is organized under the laws of any state of the United States or the District of Columbia.</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Eligible Assignee</w:t>
      </w:r>
      <w:r>
        <w:rPr>
          <w:rFonts w:ascii="Arial" w:cs="Arial" w:eastAsia="Arial" w:hAnsi="Arial"/>
          <w:sz w:val="12"/>
          <w:szCs w:val="12"/>
          <w:color w:val="auto"/>
        </w:rPr>
        <w:t xml:space="preserve">” means any Person that meets the requirements to be an assignee under </w:t>
      </w:r>
      <w:r>
        <w:rPr>
          <w:rFonts w:ascii="Arial" w:cs="Arial" w:eastAsia="Arial" w:hAnsi="Arial"/>
          <w:sz w:val="12"/>
          <w:szCs w:val="12"/>
          <w:u w:val="single" w:color="auto"/>
          <w:color w:val="auto"/>
        </w:rPr>
        <w:t>Sections 11.07(b)(iii)</w:t>
      </w:r>
      <w:r>
        <w:rPr>
          <w:rFonts w:ascii="Arial" w:cs="Arial" w:eastAsia="Arial" w:hAnsi="Arial"/>
          <w:sz w:val="12"/>
          <w:szCs w:val="12"/>
          <w:color w:val="auto"/>
        </w:rPr>
        <w:t xml:space="preserve">, </w:t>
      </w:r>
      <w:r>
        <w:rPr>
          <w:rFonts w:ascii="Arial" w:cs="Arial" w:eastAsia="Arial" w:hAnsi="Arial"/>
          <w:sz w:val="12"/>
          <w:szCs w:val="12"/>
          <w:u w:val="single" w:color="auto"/>
          <w:color w:val="auto"/>
        </w:rPr>
        <w:t>(v)</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(vi)</w:t>
      </w:r>
      <w:r>
        <w:rPr>
          <w:rFonts w:ascii="Arial" w:cs="Arial" w:eastAsia="Arial" w:hAnsi="Arial"/>
          <w:sz w:val="12"/>
          <w:szCs w:val="12"/>
          <w:color w:val="auto"/>
        </w:rPr>
        <w:t xml:space="preserve"> (subject to such consents, if any, as may be required under </w:t>
      </w:r>
      <w:r>
        <w:rPr>
          <w:rFonts w:ascii="Arial" w:cs="Arial" w:eastAsia="Arial" w:hAnsi="Arial"/>
          <w:sz w:val="12"/>
          <w:szCs w:val="12"/>
          <w:u w:val="single" w:color="auto"/>
          <w:color w:val="auto"/>
        </w:rPr>
        <w:t>Section 11.07(b)(iii)</w:t>
      </w:r>
      <w:r>
        <w:rPr>
          <w:rFonts w:ascii="Arial" w:cs="Arial" w:eastAsia="Arial" w:hAnsi="Arial"/>
          <w:sz w:val="12"/>
          <w:szCs w:val="12"/>
          <w:color w:val="auto"/>
        </w:rPr>
        <w:t>).</w:t>
      </w:r>
    </w:p>
    <w:p>
      <w:pPr>
        <w:spacing w:after="0" w:line="98" w:lineRule="exact"/>
        <w:rPr>
          <w:sz w:val="20"/>
          <w:szCs w:val="20"/>
          <w:color w:val="auto"/>
        </w:rPr>
      </w:pPr>
    </w:p>
    <w:p>
      <w:pPr>
        <w:ind w:left="16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EMU</w:t>
      </w:r>
      <w:r>
        <w:rPr>
          <w:rFonts w:ascii="Arial" w:cs="Arial" w:eastAsia="Arial" w:hAnsi="Arial"/>
          <w:sz w:val="12"/>
          <w:szCs w:val="12"/>
          <w:color w:val="auto"/>
        </w:rPr>
        <w:t>” means the economic and monetary union in accordance with the Treaty of Rome 1957, as amended by the Single European Act 1986, the Maastricht Treaty of 1992 and the Amsterdam Treaty of 1998.</w:t>
      </w:r>
    </w:p>
    <w:p>
      <w:pPr>
        <w:spacing w:after="0" w:line="98" w:lineRule="exact"/>
        <w:rPr>
          <w:sz w:val="20"/>
          <w:szCs w:val="20"/>
          <w:color w:val="auto"/>
        </w:rPr>
      </w:pPr>
    </w:p>
    <w:p>
      <w:pPr>
        <w:ind w:left="16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EMU Legislation</w:t>
      </w:r>
      <w:r>
        <w:rPr>
          <w:rFonts w:ascii="Arial" w:cs="Arial" w:eastAsia="Arial" w:hAnsi="Arial"/>
          <w:sz w:val="13"/>
          <w:szCs w:val="13"/>
          <w:color w:val="auto"/>
        </w:rPr>
        <w:t>” means the legislative measures of the European Council for the introduction of, changeover to or operation of a single or unified European currency.</w:t>
      </w:r>
    </w:p>
    <w:p>
      <w:pPr>
        <w:spacing w:after="0" w:line="86" w:lineRule="exact"/>
        <w:rPr>
          <w:sz w:val="20"/>
          <w:szCs w:val="20"/>
          <w:color w:val="auto"/>
        </w:rPr>
      </w:pPr>
    </w:p>
    <w:p>
      <w:pPr>
        <w:ind w:left="1" w:right="100" w:firstLine="164"/>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Environmental Laws</w:t>
      </w:r>
      <w:r>
        <w:rPr>
          <w:rFonts w:ascii="Arial" w:cs="Arial" w:eastAsia="Arial" w:hAnsi="Arial"/>
          <w:sz w:val="13"/>
          <w:szCs w:val="13"/>
          <w:color w:val="auto"/>
        </w:rPr>
        <w:t>” means any and all federal, state, local, foreign and other applicable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spacing w:after="0" w:line="57" w:lineRule="exact"/>
        <w:rPr>
          <w:sz w:val="20"/>
          <w:szCs w:val="20"/>
          <w:color w:val="auto"/>
        </w:rPr>
      </w:pPr>
    </w:p>
    <w:p>
      <w:pPr>
        <w:ind w:left="1" w:right="360" w:firstLine="164"/>
        <w:spacing w:after="0" w:line="305"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Environmental Liability</w:t>
      </w:r>
      <w:r>
        <w:rPr>
          <w:rFonts w:ascii="Arial" w:cs="Arial" w:eastAsia="Arial" w:hAnsi="Arial"/>
          <w:sz w:val="11"/>
          <w:szCs w:val="11"/>
          <w:color w:val="auto"/>
        </w:rPr>
        <w:t>” means any liability, contingent or otherwise (including any liability for damages, costs of environmental remediation, fines, penalties or indemnities), of the Company or any of its Subsidiaries directly or indirectly resulting from or based upon (a) violation of any Environmental Law, (b) the generation, use, handling, transportation, storage, treatment or disposal of any Hazardous Materials,</w:t>
      </w:r>
    </w:p>
    <w:p>
      <w:pPr>
        <w:spacing w:after="0" w:line="1" w:lineRule="exact"/>
        <w:rPr>
          <w:sz w:val="20"/>
          <w:szCs w:val="20"/>
          <w:color w:val="auto"/>
        </w:rPr>
      </w:pPr>
    </w:p>
    <w:p>
      <w:pPr>
        <w:ind w:left="1" w:right="20" w:hanging="1"/>
        <w:spacing w:after="0" w:line="264" w:lineRule="auto"/>
        <w:tabs>
          <w:tab w:leader="none" w:pos="1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57" w:lineRule="exact"/>
        <w:rPr>
          <w:sz w:val="20"/>
          <w:szCs w:val="20"/>
          <w:color w:val="auto"/>
        </w:rPr>
      </w:pPr>
    </w:p>
    <w:p>
      <w:pPr>
        <w:ind w:left="16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ERISA</w:t>
      </w:r>
      <w:r>
        <w:rPr>
          <w:rFonts w:ascii="Arial" w:cs="Arial" w:eastAsia="Arial" w:hAnsi="Arial"/>
          <w:sz w:val="13"/>
          <w:szCs w:val="13"/>
          <w:color w:val="auto"/>
        </w:rPr>
        <w:t>” means the Employee Retirement Income Security Act of 1974.</w:t>
      </w:r>
    </w:p>
    <w:p>
      <w:pPr>
        <w:spacing w:after="0" w:line="86" w:lineRule="exact"/>
        <w:rPr>
          <w:sz w:val="20"/>
          <w:szCs w:val="20"/>
          <w:color w:val="auto"/>
        </w:rPr>
      </w:pPr>
    </w:p>
    <w:p>
      <w:pPr>
        <w:ind w:left="1" w:right="36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ERISA Affiliate</w:t>
      </w:r>
      <w:r>
        <w:rPr>
          <w:rFonts w:ascii="Arial" w:cs="Arial" w:eastAsia="Arial" w:hAnsi="Arial"/>
          <w:sz w:val="13"/>
          <w:szCs w:val="13"/>
          <w:color w:val="auto"/>
        </w:rPr>
        <w:t>” means any trade or business (whether or not incorporated) under common control with the Company within the meaning of Section 414(b) or (c) of the Internal Revenue Code (and Sections 414(m) and (o) of the Internal Revenue Code for purposes of provisions relating to Section 412 of the Internal Revenue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271145</wp:posOffset>
            </wp:positionV>
            <wp:extent cx="7290435"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98" w:name="page99"/>
    <w:bookmarkEnd w:id="98"/>
    <w:p>
      <w:pPr>
        <w:ind w:right="40" w:firstLine="164"/>
        <w:spacing w:after="0" w:line="282"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ERISA Event</w:t>
      </w:r>
      <w:r>
        <w:rPr>
          <w:rFonts w:ascii="Arial" w:cs="Arial" w:eastAsia="Arial" w:hAnsi="Arial"/>
          <w:sz w:val="12"/>
          <w:szCs w:val="12"/>
          <w:color w:val="auto"/>
        </w:rPr>
        <w:t>” means (a) a Reportable Event with respect to a Pension Plan; (b) a withdrawal by the Company or any ERISA Affiliate from a Pension Plan subject to Section 4063 of ERISA during a plan year in which it was a substantial employer (as defined in Section 4001(a)(2) of ERISA) or a cessation of operations that is treated as such a withdrawal under Section 4062(e) of ERISA; (c) a complete or partial withdrawal by the Company or any ERISA Affiliate from a Multiemployer Plan or notification that a Multiemployer Plan is in reorganization; (d) the filing of a notice of intent to terminate, the treatment of a Plan amendment as a termination under Sections 4041 or 4041A of ERISA, or the commencement of proceedings by the PBGC to terminate a Pension Plan or Multiemployer Plan; (e) an event or condition which constitutes grounds under Section 4042 of ERISA for the termination of, or the appointment of a trustee to administer, any Pension Plan or Multiemployer Plan; or (f) the imposition of any liability under Title IV of ERISA, other than for PBGC premiums due but not delinquent under Section 4007 of ERISA, upon the Company or any ERISA Affiliate.</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Euro</w:t>
      </w:r>
      <w:r>
        <w:rPr>
          <w:rFonts w:ascii="Arial" w:cs="Arial" w:eastAsia="Arial" w:hAnsi="Arial"/>
          <w:sz w:val="13"/>
          <w:szCs w:val="13"/>
          <w:color w:val="auto"/>
        </w:rPr>
        <w:t>” and “</w:t>
      </w:r>
      <w:r>
        <w:rPr>
          <w:rFonts w:ascii="Arial" w:cs="Arial" w:eastAsia="Arial" w:hAnsi="Arial"/>
          <w:sz w:val="13"/>
          <w:szCs w:val="13"/>
          <w:u w:val="single" w:color="auto"/>
          <w:color w:val="auto"/>
        </w:rPr>
        <w:t>EUR</w:t>
      </w:r>
      <w:r>
        <w:rPr>
          <w:rFonts w:ascii="Arial" w:cs="Arial" w:eastAsia="Arial" w:hAnsi="Arial"/>
          <w:sz w:val="13"/>
          <w:szCs w:val="13"/>
          <w:color w:val="auto"/>
        </w:rPr>
        <w:t>” mean the lawful currency of the Participating Member States introduced in accordance with the EMU Legislation.</w:t>
      </w:r>
    </w:p>
    <w:p>
      <w:pPr>
        <w:spacing w:after="0" w:line="86" w:lineRule="exact"/>
        <w:rPr>
          <w:sz w:val="20"/>
          <w:szCs w:val="20"/>
          <w:color w:val="auto"/>
        </w:rPr>
      </w:pPr>
    </w:p>
    <w:p>
      <w:pPr>
        <w:ind w:firstLine="164"/>
        <w:spacing w:after="0" w:line="281"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Eurocurrency Base Rate</w:t>
      </w:r>
      <w:r>
        <w:rPr>
          <w:rFonts w:ascii="Arial" w:cs="Arial" w:eastAsia="Arial" w:hAnsi="Arial"/>
          <w:sz w:val="12"/>
          <w:szCs w:val="12"/>
          <w:color w:val="auto"/>
        </w:rPr>
        <w:t>” means, for any Interest Period with respect to a Eurocurrency Rate Loan, the rate per annum equal to the British Bankers Association LIBOR Rate (“</w:t>
      </w:r>
      <w:r>
        <w:rPr>
          <w:rFonts w:ascii="Arial" w:cs="Arial" w:eastAsia="Arial" w:hAnsi="Arial"/>
          <w:sz w:val="12"/>
          <w:szCs w:val="12"/>
          <w:u w:val="single" w:color="auto"/>
          <w:color w:val="auto"/>
        </w:rPr>
        <w:t>BBA LIBOR</w:t>
      </w:r>
      <w:r>
        <w:rPr>
          <w:rFonts w:ascii="Arial" w:cs="Arial" w:eastAsia="Arial" w:hAnsi="Arial"/>
          <w:sz w:val="12"/>
          <w:szCs w:val="12"/>
          <w:color w:val="auto"/>
        </w:rPr>
        <w:t>”), as published by Reuters (or other commercially available source providing quotations of BBA LIBOR as designated by the Administrative Agent from time to time) at approximately 11:00 a.m., London time, two Business Days prior to the commencement of such Interest Period, for deposits in the relevant currency (for delivery on the first day of such Interest Period) with a term equivalent to such Interest Period. If such rate is not available at such time for any reason, then the “Eurocurrency Rate” for such Interest Period shall be the rate per annum determined by the Administrative Agent to be the rate at which deposits in the relevant currency for delivery on the first day of such Interest Period in Same Day Funds in the approximate amount of the Eurocurrency Rate Loan being made, continued or converted by Bank of America and with a term equivalent to such Interest Period would be offered by Bank of America’s London Branch (or other Bank of America branch or Affiliate) to major banks in the London or other offshore interbank market for such currency at their request at approximately 11:00 a.m. (London time) two Business Days prior to the commencement of such Interest Period.</w:t>
      </w:r>
    </w:p>
    <w:p>
      <w:pPr>
        <w:spacing w:after="0" w:line="49" w:lineRule="exact"/>
        <w:rPr>
          <w:sz w:val="20"/>
          <w:szCs w:val="20"/>
          <w:color w:val="auto"/>
        </w:rPr>
      </w:pPr>
    </w:p>
    <w:p>
      <w:pPr>
        <w:ind w:right="260" w:firstLine="164"/>
        <w:spacing w:after="0" w:line="320"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Eurocurrency Rate</w:t>
      </w:r>
      <w:r>
        <w:rPr>
          <w:rFonts w:ascii="Arial" w:cs="Arial" w:eastAsia="Arial" w:hAnsi="Arial"/>
          <w:sz w:val="12"/>
          <w:szCs w:val="12"/>
          <w:color w:val="auto"/>
        </w:rPr>
        <w:t>” means, for any Interest Period with respect to any Eurocurrency Rate Loan, a rate per annum determined by the Administrative Agent to be equal to the quotient obtained by dividing (a) the Eurocurrency Base Rate for such Eurocurrency Rate Loan for such Interest Period by (b) one minus the Eurodollar Reserve Percentage for such Eurocurrency Rate Loan for such Interest Period.</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Eurocurrency Rate Loan</w:t>
      </w:r>
      <w:r>
        <w:rPr>
          <w:rFonts w:ascii="Arial" w:cs="Arial" w:eastAsia="Arial" w:hAnsi="Arial"/>
          <w:sz w:val="13"/>
          <w:szCs w:val="13"/>
          <w:color w:val="auto"/>
        </w:rPr>
        <w:t>” means a Loan that bears interest at a rate based on the Eurocurrency Rate. All Loans denominated in an Alternative Currency must be Eurocurrency Rate Loans.</w:t>
      </w:r>
    </w:p>
    <w:p>
      <w:pPr>
        <w:spacing w:after="0" w:line="86" w:lineRule="exact"/>
        <w:rPr>
          <w:sz w:val="20"/>
          <w:szCs w:val="20"/>
          <w:color w:val="auto"/>
        </w:rPr>
      </w:pPr>
    </w:p>
    <w:p>
      <w:pPr>
        <w:ind w:right="120" w:firstLine="164"/>
        <w:spacing w:after="0" w:line="26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Eurodollar Reserve Percentage</w:t>
      </w:r>
      <w:r>
        <w:rPr>
          <w:rFonts w:ascii="Arial" w:cs="Arial" w:eastAsia="Arial" w:hAnsi="Arial"/>
          <w:sz w:val="13"/>
          <w:szCs w:val="13"/>
          <w:color w:val="auto"/>
        </w:rPr>
        <w:t>” means, for any day during any Interest Period, the reserve percentage (expressed as a decimal, carried out to five decimal places) in effect on such day, whether or not applicable to any Lender, under regulations issued from time to time by the FRB for determining the maximum reserve requirement (including any emergency, supplemental or other marginal reserve requirement) with respect to Eurocurrency funding (currently referred to as “Eurocurrency liabilities”). The Eurocurrency Rate for each outstanding Eurocurrency Rate Loan shall be adjusted automatically as of the effective date of any change in the Eurodollar Reserve Percentage.</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Event of Default</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9.01</w:t>
      </w:r>
      <w:r>
        <w:rPr>
          <w:rFonts w:ascii="Arial" w:cs="Arial" w:eastAsia="Arial" w:hAnsi="Arial"/>
          <w:sz w:val="13"/>
          <w:szCs w:val="13"/>
          <w:color w:val="auto"/>
        </w:rPr>
        <w: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Existing Letters of Credit</w:t>
      </w:r>
      <w:r>
        <w:rPr>
          <w:rFonts w:ascii="Arial" w:cs="Arial" w:eastAsia="Arial" w:hAnsi="Arial"/>
          <w:sz w:val="13"/>
          <w:szCs w:val="13"/>
          <w:color w:val="auto"/>
        </w:rPr>
        <w:t xml:space="preserve">” means those letters of credit listed on </w:t>
      </w:r>
      <w:r>
        <w:rPr>
          <w:rFonts w:ascii="Arial" w:cs="Arial" w:eastAsia="Arial" w:hAnsi="Arial"/>
          <w:sz w:val="13"/>
          <w:szCs w:val="13"/>
          <w:u w:val="single" w:color="auto"/>
          <w:color w:val="auto"/>
        </w:rPr>
        <w:t>Schedule 1.01(a)</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99" w:name="page100"/>
    <w:bookmarkEnd w:id="99"/>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Facilities</w:t>
      </w:r>
      <w:r>
        <w:rPr>
          <w:rFonts w:ascii="Arial" w:cs="Arial" w:eastAsia="Arial" w:hAnsi="Arial"/>
          <w:sz w:val="13"/>
          <w:szCs w:val="13"/>
          <w:color w:val="auto"/>
        </w:rPr>
        <w:t>” means, at any time, a collective reference to the facilities and real properties owned, leased or operated by the Company or any Subsidiary.</w:t>
      </w:r>
    </w:p>
    <w:p>
      <w:pPr>
        <w:spacing w:after="0" w:line="86" w:lineRule="exact"/>
        <w:rPr>
          <w:sz w:val="20"/>
          <w:szCs w:val="20"/>
          <w:color w:val="auto"/>
        </w:rPr>
      </w:pPr>
    </w:p>
    <w:p>
      <w:pPr>
        <w:ind w:firstLine="164"/>
        <w:spacing w:after="0" w:line="25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Federal Funds Rate</w:t>
      </w:r>
      <w:r>
        <w:rPr>
          <w:rFonts w:ascii="Arial" w:cs="Arial" w:eastAsia="Arial" w:hAnsi="Arial"/>
          <w:sz w:val="13"/>
          <w:szCs w:val="13"/>
          <w:color w:val="auto"/>
        </w:rPr>
        <w:t xml:space="preserve">” means, for any day, the rate per annum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Fee Letter</w:t>
      </w:r>
      <w:r>
        <w:rPr>
          <w:rFonts w:ascii="Arial" w:cs="Arial" w:eastAsia="Arial" w:hAnsi="Arial"/>
          <w:sz w:val="13"/>
          <w:szCs w:val="13"/>
          <w:color w:val="auto"/>
        </w:rPr>
        <w:t>” means the letter agreement, dated September 7, 2006 among the Company, the Administrative Agent and BAS.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Foreign Lender</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11.15(a)(i)</w:t>
      </w:r>
      <w:r>
        <w:rPr>
          <w:rFonts w:ascii="Arial" w:cs="Arial" w:eastAsia="Arial" w:hAnsi="Arial"/>
          <w:sz w:val="13"/>
          <w:szCs w:val="13"/>
          <w:color w:val="auto"/>
        </w:rPr>
        <w: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Foreign Subsidiary</w:t>
      </w:r>
      <w:r>
        <w:rPr>
          <w:rFonts w:ascii="Arial" w:cs="Arial" w:eastAsia="Arial" w:hAnsi="Arial"/>
          <w:sz w:val="13"/>
          <w:szCs w:val="13"/>
          <w:color w:val="auto"/>
        </w:rPr>
        <w:t>” means any Subsidiary that is not a Domestic Subsidiary.</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FRB</w:t>
      </w:r>
      <w:r>
        <w:rPr>
          <w:rFonts w:ascii="Arial" w:cs="Arial" w:eastAsia="Arial" w:hAnsi="Arial"/>
          <w:sz w:val="13"/>
          <w:szCs w:val="13"/>
          <w:color w:val="auto"/>
        </w:rPr>
        <w:t>” means the Board of Governors of the Federal Reserve System of the United States.</w:t>
      </w:r>
    </w:p>
    <w:p>
      <w:pPr>
        <w:spacing w:after="0" w:line="86"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Fund</w:t>
      </w:r>
      <w:r>
        <w:rPr>
          <w:rFonts w:ascii="Arial" w:cs="Arial" w:eastAsia="Arial" w:hAnsi="Arial"/>
          <w:sz w:val="13"/>
          <w:szCs w:val="13"/>
          <w:color w:val="auto"/>
        </w:rPr>
        <w:t>” means any Person (other than a natural person) that is (or will be) engaged in making, purchasing, holding or otherwise investing in commercial loans and similar extensions of credit in the ordinary course of its business.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Funded Indebtedness</w:t>
      </w:r>
      <w:r>
        <w:rPr>
          <w:rFonts w:ascii="Arial" w:cs="Arial" w:eastAsia="Arial" w:hAnsi="Arial"/>
          <w:sz w:val="13"/>
          <w:szCs w:val="13"/>
          <w:color w:val="auto"/>
        </w:rPr>
        <w:t>” means, as to any Person at a particular time, without duplication, all of the following, whether or not included as indebtedness or liabilities in accordance with GAAP:</w:t>
      </w:r>
    </w:p>
    <w:p>
      <w:pPr>
        <w:spacing w:after="0" w:line="86" w:lineRule="exact"/>
        <w:rPr>
          <w:sz w:val="20"/>
          <w:szCs w:val="20"/>
          <w:color w:val="auto"/>
        </w:rPr>
      </w:pPr>
    </w:p>
    <w:p>
      <w:pPr>
        <w:ind w:left="220" w:right="380" w:firstLine="172"/>
        <w:spacing w:after="0" w:line="276" w:lineRule="auto"/>
        <w:tabs>
          <w:tab w:leader="none" w:pos="562" w:val="left"/>
        </w:tabs>
        <w:numPr>
          <w:ilvl w:val="0"/>
          <w:numId w:val="54"/>
        </w:numPr>
        <w:rPr>
          <w:rFonts w:ascii="Arial" w:cs="Arial" w:eastAsia="Arial" w:hAnsi="Arial"/>
          <w:sz w:val="13"/>
          <w:szCs w:val="13"/>
          <w:color w:val="auto"/>
        </w:rPr>
      </w:pPr>
      <w:r>
        <w:rPr>
          <w:rFonts w:ascii="Arial" w:cs="Arial" w:eastAsia="Arial" w:hAnsi="Arial"/>
          <w:sz w:val="13"/>
          <w:szCs w:val="13"/>
          <w:color w:val="auto"/>
        </w:rPr>
        <w:t>all obligations for borrowed money, whether current or long-term (including the Obligations) and all obligations of such Person evidenced by bonds, debentures, notes, loan agreements or other similar instruments;</w:t>
      </w:r>
    </w:p>
    <w:p>
      <w:pPr>
        <w:spacing w:after="0" w:line="49" w:lineRule="exact"/>
        <w:rPr>
          <w:rFonts w:ascii="Arial" w:cs="Arial" w:eastAsia="Arial" w:hAnsi="Arial"/>
          <w:sz w:val="13"/>
          <w:szCs w:val="13"/>
          <w:color w:val="auto"/>
        </w:rPr>
      </w:pPr>
    </w:p>
    <w:p>
      <w:pPr>
        <w:ind w:left="580" w:hanging="188"/>
        <w:spacing w:after="0"/>
        <w:tabs>
          <w:tab w:leader="none" w:pos="5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all purchase money Indebtedness;</w:t>
      </w:r>
    </w:p>
    <w:p>
      <w:pPr>
        <w:spacing w:after="0" w:line="86" w:lineRule="exact"/>
        <w:rPr>
          <w:rFonts w:ascii="Arial" w:cs="Arial" w:eastAsia="Arial" w:hAnsi="Arial"/>
          <w:sz w:val="13"/>
          <w:szCs w:val="13"/>
          <w:color w:val="auto"/>
        </w:rPr>
      </w:pPr>
    </w:p>
    <w:p>
      <w:pPr>
        <w:ind w:left="220" w:right="200" w:firstLine="172"/>
        <w:spacing w:after="0" w:line="276" w:lineRule="auto"/>
        <w:tabs>
          <w:tab w:leader="none" w:pos="562" w:val="left"/>
        </w:tabs>
        <w:numPr>
          <w:ilvl w:val="0"/>
          <w:numId w:val="54"/>
        </w:numPr>
        <w:rPr>
          <w:rFonts w:ascii="Arial" w:cs="Arial" w:eastAsia="Arial" w:hAnsi="Arial"/>
          <w:sz w:val="13"/>
          <w:szCs w:val="13"/>
          <w:color w:val="auto"/>
        </w:rPr>
      </w:pPr>
      <w:r>
        <w:rPr>
          <w:rFonts w:ascii="Arial" w:cs="Arial" w:eastAsia="Arial" w:hAnsi="Arial"/>
          <w:sz w:val="13"/>
          <w:szCs w:val="13"/>
          <w:color w:val="auto"/>
        </w:rPr>
        <w:t>the principal portion of all obligations under conditional sale or other title retention agreements relating to Property purchased by such Person (other than customary reservations or retentions of title under agreements with suppliers entered into in the ordinary course of business);</w:t>
      </w:r>
    </w:p>
    <w:p>
      <w:pPr>
        <w:spacing w:after="0" w:line="49" w:lineRule="exact"/>
        <w:rPr>
          <w:rFonts w:ascii="Arial" w:cs="Arial" w:eastAsia="Arial" w:hAnsi="Arial"/>
          <w:sz w:val="13"/>
          <w:szCs w:val="13"/>
          <w:color w:val="auto"/>
        </w:rPr>
      </w:pPr>
    </w:p>
    <w:p>
      <w:pPr>
        <w:ind w:left="580" w:hanging="188"/>
        <w:spacing w:after="0"/>
        <w:tabs>
          <w:tab w:leader="none" w:pos="5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all obligations arising under letters of credit (including standby and commercial), bankers’ acceptances, bank guaranties, surety bonds and similar instruments;</w:t>
      </w:r>
    </w:p>
    <w:p>
      <w:pPr>
        <w:spacing w:after="0" w:line="86" w:lineRule="exact"/>
        <w:rPr>
          <w:rFonts w:ascii="Arial" w:cs="Arial" w:eastAsia="Arial" w:hAnsi="Arial"/>
          <w:sz w:val="13"/>
          <w:szCs w:val="13"/>
          <w:color w:val="auto"/>
        </w:rPr>
      </w:pPr>
    </w:p>
    <w:p>
      <w:pPr>
        <w:ind w:left="560" w:hanging="168"/>
        <w:spacing w:after="0"/>
        <w:tabs>
          <w:tab w:leader="none" w:pos="560" w:val="left"/>
        </w:tabs>
        <w:numPr>
          <w:ilvl w:val="0"/>
          <w:numId w:val="54"/>
        </w:numPr>
        <w:rPr>
          <w:rFonts w:ascii="Arial" w:cs="Arial" w:eastAsia="Arial" w:hAnsi="Arial"/>
          <w:sz w:val="13"/>
          <w:szCs w:val="13"/>
          <w:color w:val="auto"/>
        </w:rPr>
      </w:pPr>
      <w:r>
        <w:rPr>
          <w:rFonts w:ascii="Arial" w:cs="Arial" w:eastAsia="Arial" w:hAnsi="Arial"/>
          <w:sz w:val="13"/>
          <w:szCs w:val="13"/>
          <w:color w:val="auto"/>
        </w:rPr>
        <w:t>all obligations in respect of the deferred purchase price of property or services (other than trade accounts payable in the ordinary course of business);</w:t>
      </w:r>
    </w:p>
    <w:p>
      <w:pPr>
        <w:spacing w:after="0" w:line="86" w:lineRule="exact"/>
        <w:rPr>
          <w:rFonts w:ascii="Arial" w:cs="Arial" w:eastAsia="Arial" w:hAnsi="Arial"/>
          <w:sz w:val="13"/>
          <w:szCs w:val="13"/>
          <w:color w:val="auto"/>
        </w:rPr>
      </w:pPr>
    </w:p>
    <w:p>
      <w:pPr>
        <w:ind w:left="560" w:hanging="168"/>
        <w:spacing w:after="0"/>
        <w:tabs>
          <w:tab w:leader="none" w:pos="560" w:val="left"/>
        </w:tabs>
        <w:numPr>
          <w:ilvl w:val="0"/>
          <w:numId w:val="54"/>
        </w:numPr>
        <w:rPr>
          <w:rFonts w:ascii="Arial" w:cs="Arial" w:eastAsia="Arial" w:hAnsi="Arial"/>
          <w:sz w:val="13"/>
          <w:szCs w:val="13"/>
          <w:color w:val="auto"/>
        </w:rPr>
      </w:pPr>
      <w:r>
        <w:rPr>
          <w:rFonts w:ascii="Arial" w:cs="Arial" w:eastAsia="Arial" w:hAnsi="Arial"/>
          <w:sz w:val="13"/>
          <w:szCs w:val="13"/>
          <w:color w:val="auto"/>
        </w:rPr>
        <w:t>the Attributable Indebtedness of Capital Leases, Sale and Leaseback Transactions and Synthetic Leases;</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the Attributable Indebtedness of Securitization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00" w:name="page101"/>
    <w:bookmarkEnd w:id="100"/>
    <w:p>
      <w:pPr>
        <w:ind w:left="580" w:hanging="188"/>
        <w:spacing w:after="0"/>
        <w:tabs>
          <w:tab w:leader="none" w:pos="580" w:val="left"/>
        </w:tabs>
        <w:numPr>
          <w:ilvl w:val="0"/>
          <w:numId w:val="55"/>
        </w:numPr>
        <w:rPr>
          <w:rFonts w:ascii="Arial" w:cs="Arial" w:eastAsia="Arial" w:hAnsi="Arial"/>
          <w:sz w:val="13"/>
          <w:szCs w:val="13"/>
          <w:color w:val="auto"/>
        </w:rPr>
      </w:pPr>
      <w:r>
        <w:rPr>
          <w:rFonts w:ascii="Arial" w:cs="Arial" w:eastAsia="Arial" w:hAnsi="Arial"/>
          <w:sz w:val="13"/>
          <w:szCs w:val="13"/>
          <w:color w:val="auto"/>
        </w:rPr>
        <w:t>all preferred stock or other equity interests providing for mandatory redemptions, sinking fund or like payments prior to the Maturity Date;</w:t>
      </w:r>
    </w:p>
    <w:p>
      <w:pPr>
        <w:spacing w:after="0" w:line="86" w:lineRule="exact"/>
        <w:rPr>
          <w:rFonts w:ascii="Arial" w:cs="Arial" w:eastAsia="Arial" w:hAnsi="Arial"/>
          <w:sz w:val="13"/>
          <w:szCs w:val="13"/>
          <w:color w:val="auto"/>
        </w:rPr>
      </w:pPr>
    </w:p>
    <w:p>
      <w:pPr>
        <w:ind w:left="220" w:right="40" w:firstLine="172"/>
        <w:spacing w:after="0" w:line="276" w:lineRule="auto"/>
        <w:tabs>
          <w:tab w:leader="none" w:pos="5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all Funded Indebtedness of others secured by (or for which the holder of such Funded Indebtedness has an existing right, contingent or otherwise, to be secured by) any Lien on, or payable out of the proceeds of production from, Property owned or acquired by such Person, whether or not the obligations secured thereby have been assumed;</w:t>
      </w:r>
    </w:p>
    <w:p>
      <w:pPr>
        <w:spacing w:after="0" w:line="49" w:lineRule="exact"/>
        <w:rPr>
          <w:rFonts w:ascii="Arial" w:cs="Arial" w:eastAsia="Arial" w:hAnsi="Arial"/>
          <w:sz w:val="13"/>
          <w:szCs w:val="13"/>
          <w:color w:val="auto"/>
        </w:rPr>
      </w:pPr>
    </w:p>
    <w:p>
      <w:pPr>
        <w:ind w:left="540" w:hanging="148"/>
        <w:spacing w:after="0"/>
        <w:tabs>
          <w:tab w:leader="none" w:pos="5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all Guarantees with respect to Funded Indebtedness of the types specified in clauses (a) through (i) above of another Person; and</w:t>
      </w:r>
    </w:p>
    <w:p>
      <w:pPr>
        <w:spacing w:after="0" w:line="86" w:lineRule="exact"/>
        <w:rPr>
          <w:rFonts w:ascii="Arial" w:cs="Arial" w:eastAsia="Arial" w:hAnsi="Arial"/>
          <w:sz w:val="13"/>
          <w:szCs w:val="13"/>
          <w:color w:val="auto"/>
        </w:rPr>
      </w:pPr>
    </w:p>
    <w:p>
      <w:pPr>
        <w:ind w:left="220" w:right="100" w:firstLine="172"/>
        <w:spacing w:after="0" w:line="276" w:lineRule="auto"/>
        <w:tabs>
          <w:tab w:leader="none" w:pos="569" w:val="left"/>
        </w:tabs>
        <w:numPr>
          <w:ilvl w:val="0"/>
          <w:numId w:val="55"/>
        </w:numPr>
        <w:rPr>
          <w:rFonts w:ascii="Arial" w:cs="Arial" w:eastAsia="Arial" w:hAnsi="Arial"/>
          <w:sz w:val="13"/>
          <w:szCs w:val="13"/>
          <w:color w:val="auto"/>
        </w:rPr>
      </w:pPr>
      <w:r>
        <w:rPr>
          <w:rFonts w:ascii="Arial" w:cs="Arial" w:eastAsia="Arial" w:hAnsi="Arial"/>
          <w:sz w:val="13"/>
          <w:szCs w:val="13"/>
          <w:color w:val="auto"/>
        </w:rPr>
        <w:t>all Funded Indebtedness of the types referred to in clauses (a) through (j) above of any partnership or joint venture (other than a joint venture that is itself a corporation or limited liability company) in which such Person is a general partner or joint venturer, except to the extent that Funded Indebtedness is expressly made non-recourse to such Person.</w:t>
      </w:r>
    </w:p>
    <w:p>
      <w:pPr>
        <w:spacing w:after="0" w:line="49" w:lineRule="exact"/>
        <w:rPr>
          <w:sz w:val="20"/>
          <w:szCs w:val="20"/>
          <w:color w:val="auto"/>
        </w:rPr>
      </w:pPr>
    </w:p>
    <w:p>
      <w:pPr>
        <w:ind w:left="340"/>
        <w:spacing w:after="0" w:line="276" w:lineRule="auto"/>
        <w:rPr>
          <w:sz w:val="20"/>
          <w:szCs w:val="20"/>
          <w:color w:val="auto"/>
        </w:rPr>
      </w:pPr>
      <w:r>
        <w:rPr>
          <w:rFonts w:ascii="Arial" w:cs="Arial" w:eastAsia="Arial" w:hAnsi="Arial"/>
          <w:sz w:val="13"/>
          <w:szCs w:val="13"/>
          <w:color w:val="auto"/>
        </w:rPr>
        <w:t>For purposes hereof, the amount of any direct obligation arising under letters of credit (including standby and commercial), bankers’ acceptances, bank guaranties, surety bonds and similar instruments shall be the maximum amount available to be drawn thereunder.</w:t>
      </w:r>
    </w:p>
    <w:p>
      <w:pPr>
        <w:spacing w:after="0" w:line="49" w:lineRule="exact"/>
        <w:rPr>
          <w:sz w:val="20"/>
          <w:szCs w:val="20"/>
          <w:color w:val="auto"/>
        </w:rPr>
      </w:pPr>
    </w:p>
    <w:p>
      <w:pPr>
        <w:ind w:right="50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GAAP</w:t>
      </w:r>
      <w:r>
        <w:rPr>
          <w:rFonts w:ascii="Arial" w:cs="Arial" w:eastAsia="Arial" w:hAnsi="Arial"/>
          <w:sz w:val="13"/>
          <w:szCs w:val="13"/>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consistently applied and as in effect from time to time.</w:t>
      </w:r>
    </w:p>
    <w:p>
      <w:pPr>
        <w:spacing w:after="0" w:line="49"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Governmental Authority</w:t>
      </w:r>
      <w:r>
        <w:rPr>
          <w:rFonts w:ascii="Arial" w:cs="Arial" w:eastAsia="Arial" w:hAnsi="Arial"/>
          <w:sz w:val="13"/>
          <w:szCs w:val="13"/>
          <w:color w:val="auto"/>
        </w:rPr>
        <w:t>” means any nation or government, any state or other political subdivision thereof, any agency, authority, instrumentality, regulatory body, court, administrative tribunal, central bank or other entity exercising executive, legislative, judicial, taxing, regulatory or administrative powers or functions of or pertaining to government.</w:t>
      </w:r>
    </w:p>
    <w:p>
      <w:pPr>
        <w:spacing w:after="0" w:line="49" w:lineRule="exact"/>
        <w:rPr>
          <w:sz w:val="20"/>
          <w:szCs w:val="20"/>
          <w:color w:val="auto"/>
        </w:rPr>
      </w:pPr>
    </w:p>
    <w:p>
      <w:pPr>
        <w:ind w:right="20" w:firstLine="164"/>
        <w:spacing w:after="0" w:line="27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Guarantee</w:t>
      </w:r>
      <w:r>
        <w:rPr>
          <w:rFonts w:ascii="Arial" w:cs="Arial" w:eastAsia="Arial" w:hAnsi="Arial"/>
          <w:sz w:val="12"/>
          <w:szCs w:val="12"/>
          <w:color w:val="auto"/>
        </w:rPr>
        <w:t>” means, as to any Person,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Guaranty</w:t>
      </w:r>
      <w:r>
        <w:rPr>
          <w:rFonts w:ascii="Arial" w:cs="Arial" w:eastAsia="Arial" w:hAnsi="Arial"/>
          <w:sz w:val="13"/>
          <w:szCs w:val="13"/>
          <w:color w:val="auto"/>
        </w:rPr>
        <w:t xml:space="preserve">” means the Guaranty made by the Guarantors in favor of the Administrative Agent and the Lenders pursuant to </w:t>
      </w:r>
      <w:r>
        <w:rPr>
          <w:rFonts w:ascii="Arial" w:cs="Arial" w:eastAsia="Arial" w:hAnsi="Arial"/>
          <w:sz w:val="13"/>
          <w:szCs w:val="13"/>
          <w:u w:val="single" w:color="auto"/>
          <w:color w:val="auto"/>
        </w:rPr>
        <w:t>Article IV</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01" w:name="page102"/>
    <w:bookmarkEnd w:id="101"/>
    <w:p>
      <w:pPr>
        <w:ind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Guarantors</w:t>
      </w:r>
      <w:r>
        <w:rPr>
          <w:rFonts w:ascii="Arial" w:cs="Arial" w:eastAsia="Arial" w:hAnsi="Arial"/>
          <w:sz w:val="13"/>
          <w:szCs w:val="13"/>
          <w:color w:val="auto"/>
        </w:rPr>
        <w:t xml:space="preserve">” means each Domestic Subsidiary of the Company (other than Tradex Converting, Inc. and Avenue One, Inc.) identified as a “Guarantor” on the signature pages hereto and each other Person that joins as a Guarantor pursuant to </w:t>
      </w:r>
      <w:r>
        <w:rPr>
          <w:rFonts w:ascii="Arial" w:cs="Arial" w:eastAsia="Arial" w:hAnsi="Arial"/>
          <w:sz w:val="13"/>
          <w:szCs w:val="13"/>
          <w:u w:val="single" w:color="auto"/>
          <w:color w:val="auto"/>
        </w:rPr>
        <w:t>Section 7.12</w:t>
      </w:r>
      <w:r>
        <w:rPr>
          <w:rFonts w:ascii="Arial" w:cs="Arial" w:eastAsia="Arial" w:hAnsi="Arial"/>
          <w:sz w:val="13"/>
          <w:szCs w:val="13"/>
          <w:color w:val="auto"/>
        </w:rPr>
        <w:t>, together with their successors and permitted assigns.</w:t>
      </w:r>
    </w:p>
    <w:p>
      <w:pPr>
        <w:spacing w:after="0" w:line="49" w:lineRule="exact"/>
        <w:rPr>
          <w:sz w:val="20"/>
          <w:szCs w:val="20"/>
          <w:color w:val="auto"/>
        </w:rPr>
      </w:pPr>
    </w:p>
    <w:p>
      <w:pPr>
        <w:ind w:right="240" w:firstLine="164"/>
        <w:spacing w:after="0" w:line="320"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Hazardous Materials</w:t>
      </w:r>
      <w:r>
        <w:rPr>
          <w:rFonts w:ascii="Arial" w:cs="Arial" w:eastAsia="Arial" w:hAnsi="Arial"/>
          <w:sz w:val="12"/>
          <w:szCs w:val="12"/>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Honor Date</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2.03(c)</w:t>
      </w:r>
      <w:r>
        <w:rPr>
          <w:rFonts w:ascii="Arial" w:cs="Arial" w:eastAsia="Arial" w:hAnsi="Arial"/>
          <w:sz w:val="13"/>
          <w:szCs w:val="13"/>
          <w:color w:val="auto"/>
        </w:rPr>
        <w: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Indebtedness</w:t>
      </w:r>
      <w:r>
        <w:rPr>
          <w:rFonts w:ascii="Arial" w:cs="Arial" w:eastAsia="Arial" w:hAnsi="Arial"/>
          <w:sz w:val="13"/>
          <w:szCs w:val="13"/>
          <w:color w:val="auto"/>
        </w:rPr>
        <w:t>” means, as to any Person at a particular time, without duplication, all of the following, whether or not included as indebtedness or liabilities in accordance with GAAP:</w:t>
      </w:r>
    </w:p>
    <w:p>
      <w:pPr>
        <w:spacing w:after="0" w:line="86" w:lineRule="exact"/>
        <w:rPr>
          <w:sz w:val="20"/>
          <w:szCs w:val="20"/>
          <w:color w:val="auto"/>
        </w:rPr>
      </w:pPr>
    </w:p>
    <w:p>
      <w:pPr>
        <w:ind w:left="560" w:hanging="168"/>
        <w:spacing w:after="0"/>
        <w:tabs>
          <w:tab w:leader="none" w:pos="560" w:val="left"/>
        </w:tabs>
        <w:numPr>
          <w:ilvl w:val="0"/>
          <w:numId w:val="56"/>
        </w:numPr>
        <w:rPr>
          <w:rFonts w:ascii="Arial" w:cs="Arial" w:eastAsia="Arial" w:hAnsi="Arial"/>
          <w:sz w:val="13"/>
          <w:szCs w:val="13"/>
          <w:color w:val="auto"/>
        </w:rPr>
      </w:pPr>
      <w:r>
        <w:rPr>
          <w:rFonts w:ascii="Arial" w:cs="Arial" w:eastAsia="Arial" w:hAnsi="Arial"/>
          <w:sz w:val="13"/>
          <w:szCs w:val="13"/>
          <w:color w:val="auto"/>
        </w:rPr>
        <w:t>all Funded Indebtedness;</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the Swap Termination Value of any Swap Contract;</w:t>
      </w:r>
    </w:p>
    <w:p>
      <w:pPr>
        <w:spacing w:after="0" w:line="86" w:lineRule="exact"/>
        <w:rPr>
          <w:rFonts w:ascii="Arial" w:cs="Arial" w:eastAsia="Arial" w:hAnsi="Arial"/>
          <w:sz w:val="13"/>
          <w:szCs w:val="13"/>
          <w:color w:val="auto"/>
        </w:rPr>
      </w:pPr>
    </w:p>
    <w:p>
      <w:pPr>
        <w:ind w:left="560" w:hanging="168"/>
        <w:spacing w:after="0"/>
        <w:tabs>
          <w:tab w:leader="none" w:pos="560" w:val="left"/>
        </w:tabs>
        <w:numPr>
          <w:ilvl w:val="0"/>
          <w:numId w:val="56"/>
        </w:numPr>
        <w:rPr>
          <w:rFonts w:ascii="Arial" w:cs="Arial" w:eastAsia="Arial" w:hAnsi="Arial"/>
          <w:sz w:val="13"/>
          <w:szCs w:val="13"/>
          <w:color w:val="auto"/>
        </w:rPr>
      </w:pPr>
      <w:r>
        <w:rPr>
          <w:rFonts w:ascii="Arial" w:cs="Arial" w:eastAsia="Arial" w:hAnsi="Arial"/>
          <w:sz w:val="13"/>
          <w:szCs w:val="13"/>
          <w:color w:val="auto"/>
        </w:rPr>
        <w:t>all Guarantees with respect to outstanding Indebtedness of the types specified in clauses (a) and (b) above of any other Person; and</w:t>
      </w:r>
    </w:p>
    <w:p>
      <w:pPr>
        <w:spacing w:after="0" w:line="86" w:lineRule="exact"/>
        <w:rPr>
          <w:rFonts w:ascii="Arial" w:cs="Arial" w:eastAsia="Arial" w:hAnsi="Arial"/>
          <w:sz w:val="13"/>
          <w:szCs w:val="13"/>
          <w:color w:val="auto"/>
        </w:rPr>
      </w:pPr>
    </w:p>
    <w:p>
      <w:pPr>
        <w:ind w:left="220" w:right="220" w:firstLine="172"/>
        <w:spacing w:after="0" w:line="276" w:lineRule="auto"/>
        <w:tabs>
          <w:tab w:leader="none" w:pos="569" w:val="left"/>
        </w:tabs>
        <w:numPr>
          <w:ilvl w:val="0"/>
          <w:numId w:val="56"/>
        </w:numPr>
        <w:rPr>
          <w:rFonts w:ascii="Arial" w:cs="Arial" w:eastAsia="Arial" w:hAnsi="Arial"/>
          <w:sz w:val="13"/>
          <w:szCs w:val="13"/>
          <w:color w:val="auto"/>
        </w:rPr>
      </w:pPr>
      <w:r>
        <w:rPr>
          <w:rFonts w:ascii="Arial" w:cs="Arial" w:eastAsia="Arial" w:hAnsi="Arial"/>
          <w:sz w:val="13"/>
          <w:szCs w:val="13"/>
          <w:color w:val="auto"/>
        </w:rPr>
        <w:t>all Indebtedness of the types referred to in clauses (a) through (c) above of any partnership or joint venture (other than a joint venture that is itself a corporation or limited liability company) in which such Person is a general partner or joint venturer, unless such Indebtedness is expressly made non-recourse to such Person.</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Indemnitees</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11.05</w:t>
      </w:r>
      <w:r>
        <w:rPr>
          <w:rFonts w:ascii="Arial" w:cs="Arial" w:eastAsia="Arial" w:hAnsi="Arial"/>
          <w:sz w:val="13"/>
          <w:szCs w:val="13"/>
          <w:color w:val="auto"/>
        </w:rPr>
        <w:t>.</w:t>
      </w:r>
    </w:p>
    <w:p>
      <w:pPr>
        <w:spacing w:after="0" w:line="86" w:lineRule="exact"/>
        <w:rPr>
          <w:sz w:val="20"/>
          <w:szCs w:val="20"/>
          <w:color w:val="auto"/>
        </w:rPr>
      </w:pPr>
    </w:p>
    <w:p>
      <w:pPr>
        <w:ind w:right="480" w:firstLine="164"/>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Interest Payment Date</w:t>
      </w:r>
      <w:r>
        <w:rPr>
          <w:rFonts w:ascii="Arial" w:cs="Arial" w:eastAsia="Arial" w:hAnsi="Arial"/>
          <w:sz w:val="13"/>
          <w:szCs w:val="13"/>
          <w:color w:val="auto"/>
        </w:rPr>
        <w:t xml:space="preserve">” means (a) as to any Eurocurrency Rate Loan, the last day of each Interest Period applicable to such Loan and the Maturity Date;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if any Interest Period for a Eurocurrency Rate Loan exceeds three months, the respective dates that fall every three months after the beginning of such Interest Period shall also be Interest Payment Dates; and (b) as to any Base Rate Loan (including a Swing Line Loan), the last Business Day of each March, June, September and December and the Maturity Date.</w:t>
      </w:r>
    </w:p>
    <w:p>
      <w:pPr>
        <w:spacing w:after="0" w:line="57" w:lineRule="exact"/>
        <w:rPr>
          <w:sz w:val="20"/>
          <w:szCs w:val="20"/>
          <w:color w:val="auto"/>
        </w:rPr>
      </w:pPr>
    </w:p>
    <w:p>
      <w:pPr>
        <w:ind w:right="14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Interest Period</w:t>
      </w:r>
      <w:r>
        <w:rPr>
          <w:rFonts w:ascii="Arial" w:cs="Arial" w:eastAsia="Arial" w:hAnsi="Arial"/>
          <w:sz w:val="13"/>
          <w:szCs w:val="13"/>
          <w:color w:val="auto"/>
        </w:rPr>
        <w:t xml:space="preserve">” means, as to each Eurocurrency Rate Loan, the period commencing on the date such Eurocurrency Rate Loan is disbursed or converted to or continued as a Eurocurrency Rate Loan and ending on the date seven days or one, two, three or six months thereafter as selected by the applicable Borrower in its Loan Notice;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w:t>
      </w:r>
    </w:p>
    <w:p>
      <w:pPr>
        <w:spacing w:after="0" w:line="49" w:lineRule="exact"/>
        <w:rPr>
          <w:sz w:val="20"/>
          <w:szCs w:val="20"/>
          <w:color w:val="auto"/>
        </w:rPr>
      </w:pPr>
    </w:p>
    <w:p>
      <w:pPr>
        <w:ind w:left="220" w:right="220" w:firstLine="172"/>
        <w:spacing w:after="0" w:line="276" w:lineRule="auto"/>
        <w:tabs>
          <w:tab w:leader="none" w:pos="562" w:val="left"/>
        </w:tabs>
        <w:numPr>
          <w:ilvl w:val="0"/>
          <w:numId w:val="57"/>
        </w:numPr>
        <w:rPr>
          <w:rFonts w:ascii="Arial" w:cs="Arial" w:eastAsia="Arial" w:hAnsi="Arial"/>
          <w:sz w:val="13"/>
          <w:szCs w:val="13"/>
          <w:color w:val="auto"/>
        </w:rPr>
      </w:pPr>
      <w:r>
        <w:rPr>
          <w:rFonts w:ascii="Arial" w:cs="Arial" w:eastAsia="Arial" w:hAnsi="Arial"/>
          <w:sz w:val="13"/>
          <w:szCs w:val="13"/>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49" w:lineRule="exact"/>
        <w:rPr>
          <w:rFonts w:ascii="Arial" w:cs="Arial" w:eastAsia="Arial" w:hAnsi="Arial"/>
          <w:sz w:val="13"/>
          <w:szCs w:val="13"/>
          <w:color w:val="auto"/>
        </w:rPr>
      </w:pPr>
    </w:p>
    <w:p>
      <w:pPr>
        <w:ind w:left="220" w:right="200" w:firstLine="172"/>
        <w:spacing w:after="0" w:line="276" w:lineRule="auto"/>
        <w:tabs>
          <w:tab w:leader="none" w:pos="569" w:val="left"/>
        </w:tabs>
        <w:numPr>
          <w:ilvl w:val="0"/>
          <w:numId w:val="57"/>
        </w:numPr>
        <w:rPr>
          <w:rFonts w:ascii="Arial" w:cs="Arial" w:eastAsia="Arial" w:hAnsi="Arial"/>
          <w:sz w:val="13"/>
          <w:szCs w:val="13"/>
          <w:color w:val="auto"/>
        </w:rPr>
      </w:pPr>
      <w:r>
        <w:rPr>
          <w:rFonts w:ascii="Arial" w:cs="Arial" w:eastAsia="Arial" w:hAnsi="Arial"/>
          <w:sz w:val="13"/>
          <w:szCs w:val="13"/>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49" w:lineRule="exact"/>
        <w:rPr>
          <w:rFonts w:ascii="Arial" w:cs="Arial" w:eastAsia="Arial" w:hAnsi="Arial"/>
          <w:sz w:val="13"/>
          <w:szCs w:val="13"/>
          <w:color w:val="auto"/>
        </w:rPr>
      </w:pPr>
    </w:p>
    <w:p>
      <w:pPr>
        <w:ind w:left="560" w:hanging="168"/>
        <w:spacing w:after="0"/>
        <w:tabs>
          <w:tab w:leader="none" w:pos="560" w:val="left"/>
        </w:tabs>
        <w:numPr>
          <w:ilvl w:val="0"/>
          <w:numId w:val="57"/>
        </w:numPr>
        <w:rPr>
          <w:rFonts w:ascii="Arial" w:cs="Arial" w:eastAsia="Arial" w:hAnsi="Arial"/>
          <w:sz w:val="13"/>
          <w:szCs w:val="13"/>
          <w:color w:val="auto"/>
        </w:rPr>
      </w:pPr>
      <w:r>
        <w:rPr>
          <w:rFonts w:ascii="Arial" w:cs="Arial" w:eastAsia="Arial" w:hAnsi="Arial"/>
          <w:sz w:val="13"/>
          <w:szCs w:val="13"/>
          <w:color w:val="auto"/>
        </w:rPr>
        <w:t>no Interest Period shall extend beyond the 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02" w:name="page103"/>
    <w:bookmarkEnd w:id="102"/>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Interim Financial Statements</w:t>
      </w:r>
      <w:r>
        <w:rPr>
          <w:rFonts w:ascii="Arial" w:cs="Arial" w:eastAsia="Arial" w:hAnsi="Arial"/>
          <w:sz w:val="13"/>
          <w:szCs w:val="13"/>
          <w:color w:val="auto"/>
        </w:rPr>
        <w:t xml:space="preserve">” has the meaning set forth in </w:t>
      </w:r>
      <w:r>
        <w:rPr>
          <w:rFonts w:ascii="Arial" w:cs="Arial" w:eastAsia="Arial" w:hAnsi="Arial"/>
          <w:sz w:val="13"/>
          <w:szCs w:val="13"/>
          <w:u w:val="single" w:color="auto"/>
          <w:color w:val="auto"/>
        </w:rPr>
        <w:t>Section 5.01(c)</w:t>
      </w:r>
      <w:r>
        <w:rPr>
          <w:rFonts w:ascii="Arial" w:cs="Arial" w:eastAsia="Arial" w:hAnsi="Arial"/>
          <w:sz w:val="13"/>
          <w:szCs w:val="13"/>
          <w:color w:val="auto"/>
        </w:rPr>
        <w: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Internal Revenue Code</w:t>
      </w:r>
      <w:r>
        <w:rPr>
          <w:rFonts w:ascii="Arial" w:cs="Arial" w:eastAsia="Arial" w:hAnsi="Arial"/>
          <w:sz w:val="13"/>
          <w:szCs w:val="13"/>
          <w:color w:val="auto"/>
        </w:rPr>
        <w:t>” means the Internal Revenue Code of 1986.</w:t>
      </w:r>
    </w:p>
    <w:p>
      <w:pPr>
        <w:spacing w:after="0" w:line="86" w:lineRule="exact"/>
        <w:rPr>
          <w:sz w:val="20"/>
          <w:szCs w:val="20"/>
          <w:color w:val="auto"/>
        </w:rPr>
      </w:pPr>
    </w:p>
    <w:p>
      <w:pPr>
        <w:ind w:right="160" w:firstLine="164"/>
        <w:spacing w:after="0" w:line="28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Investment</w:t>
      </w:r>
      <w:r>
        <w:rPr>
          <w:rFonts w:ascii="Arial" w:cs="Arial" w:eastAsia="Arial" w:hAnsi="Arial"/>
          <w:sz w:val="12"/>
          <w:szCs w:val="12"/>
          <w:color w:val="auto"/>
        </w:rPr>
        <w:t xml:space="preserve">” means, as to any Person, any direct or indirect acquisition or investment by such Person, whether by means of (a) the purchase or other acquisition of Capital Stock of another Person, (b) a loan, advance or capital contribution to, Guarantee or assumption of debt of, or purchase or other acquisition of any other debt or equity participation or interest in, another Person, including any partnership or joint venture interest in such other Person, (c) an Acquisition or (d) the Disposition of any Property for less than the fair market value thereof (other than Dispositions under </w:t>
      </w:r>
      <w:r>
        <w:rPr>
          <w:rFonts w:ascii="Arial" w:cs="Arial" w:eastAsia="Arial" w:hAnsi="Arial"/>
          <w:sz w:val="12"/>
          <w:szCs w:val="12"/>
          <w:u w:val="single" w:color="auto"/>
          <w:color w:val="auto"/>
        </w:rPr>
        <w:t>Sections 8.05(d)</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(e)</w:t>
      </w:r>
      <w:r>
        <w:rPr>
          <w:rFonts w:ascii="Arial" w:cs="Arial" w:eastAsia="Arial" w:hAnsi="Arial"/>
          <w:sz w:val="12"/>
          <w:szCs w:val="12"/>
          <w:color w:val="auto"/>
        </w:rPr>
        <w:t>). For purposes of covenant compliance, the amount of any Investment shall be the amount actually invested, without adjustment for subsequent increases or decreases in the value of such Investment.</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Involuntary Disposition</w:t>
      </w:r>
      <w:r>
        <w:rPr>
          <w:rFonts w:ascii="Arial" w:cs="Arial" w:eastAsia="Arial" w:hAnsi="Arial"/>
          <w:sz w:val="13"/>
          <w:szCs w:val="13"/>
          <w:color w:val="auto"/>
        </w:rPr>
        <w:t>” means any loss of, damage to or destruction of, or any condemnation or other taking for public use of, any Property of the Company or any of its Subsidiaries.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IP Rights</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6.17</w:t>
      </w:r>
      <w:r>
        <w:rPr>
          <w:rFonts w:ascii="Arial" w:cs="Arial" w:eastAsia="Arial" w:hAnsi="Arial"/>
          <w:sz w:val="13"/>
          <w:szCs w:val="13"/>
          <w:color w:val="auto"/>
        </w:rPr>
        <w: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IRS</w:t>
      </w:r>
      <w:r>
        <w:rPr>
          <w:rFonts w:ascii="Arial" w:cs="Arial" w:eastAsia="Arial" w:hAnsi="Arial"/>
          <w:sz w:val="13"/>
          <w:szCs w:val="13"/>
          <w:color w:val="auto"/>
        </w:rPr>
        <w:t>” means the United States Internal Revenue Service.</w:t>
      </w:r>
    </w:p>
    <w:p>
      <w:pPr>
        <w:spacing w:after="0" w:line="86" w:lineRule="exact"/>
        <w:rPr>
          <w:sz w:val="20"/>
          <w:szCs w:val="20"/>
          <w:color w:val="auto"/>
        </w:rPr>
      </w:pPr>
    </w:p>
    <w:p>
      <w:pPr>
        <w:ind w:right="18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ISP</w:t>
      </w:r>
      <w:r>
        <w:rPr>
          <w:rFonts w:ascii="Arial" w:cs="Arial" w:eastAsia="Arial" w:hAnsi="Arial"/>
          <w:sz w:val="13"/>
          <w:szCs w:val="13"/>
          <w:color w:val="auto"/>
        </w:rPr>
        <w:t>” means, with respect to any Letter of Credit, the “International Standby Practices 1998” published by the Institute of International Banking Law &amp; Practice (or such later version thereof as may be in effect at the time of issuance).</w:t>
      </w:r>
    </w:p>
    <w:p>
      <w:pPr>
        <w:spacing w:after="0" w:line="49"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Issuer Documents</w:t>
      </w:r>
      <w:r>
        <w:rPr>
          <w:rFonts w:ascii="Arial" w:cs="Arial" w:eastAsia="Arial" w:hAnsi="Arial"/>
          <w:sz w:val="13"/>
          <w:szCs w:val="13"/>
          <w:color w:val="auto"/>
        </w:rPr>
        <w:t>” means with respect to any Letter of Credit, the Letter of Credit Application, and any other document, agreement and instrument entered into by the L/C Issuer and the applicable Borrower (or any Subsidiary) or in favor the L/C Issuer and relating to any such Letter of Credit.</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Joinder Agreement</w:t>
      </w:r>
      <w:r>
        <w:rPr>
          <w:rFonts w:ascii="Arial" w:cs="Arial" w:eastAsia="Arial" w:hAnsi="Arial"/>
          <w:sz w:val="13"/>
          <w:szCs w:val="13"/>
          <w:color w:val="auto"/>
        </w:rPr>
        <w:t xml:space="preserve">” means a joinder agreement substantially in the form of </w:t>
      </w:r>
      <w:r>
        <w:rPr>
          <w:rFonts w:ascii="Arial" w:cs="Arial" w:eastAsia="Arial" w:hAnsi="Arial"/>
          <w:sz w:val="13"/>
          <w:szCs w:val="13"/>
          <w:u w:val="single" w:color="auto"/>
          <w:color w:val="auto"/>
        </w:rPr>
        <w:t>Exhibit 7.12</w:t>
      </w:r>
      <w:r>
        <w:rPr>
          <w:rFonts w:ascii="Arial" w:cs="Arial" w:eastAsia="Arial" w:hAnsi="Arial"/>
          <w:sz w:val="13"/>
          <w:szCs w:val="13"/>
          <w:color w:val="auto"/>
        </w:rPr>
        <w:t xml:space="preserve"> executed and delivered by a Domestic Subsidiary in accordance with the provisions of </w:t>
      </w:r>
      <w:r>
        <w:rPr>
          <w:rFonts w:ascii="Arial" w:cs="Arial" w:eastAsia="Arial" w:hAnsi="Arial"/>
          <w:sz w:val="13"/>
          <w:szCs w:val="13"/>
          <w:u w:val="single" w:color="auto"/>
          <w:color w:val="auto"/>
        </w:rPr>
        <w:t>Section 7.12</w:t>
      </w:r>
      <w:r>
        <w:rPr>
          <w:rFonts w:ascii="Arial" w:cs="Arial" w:eastAsia="Arial" w:hAnsi="Arial"/>
          <w:sz w:val="13"/>
          <w:szCs w:val="13"/>
          <w:color w:val="auto"/>
        </w:rPr>
        <w:t>.</w:t>
      </w:r>
    </w:p>
    <w:p>
      <w:pPr>
        <w:spacing w:after="0" w:line="86" w:lineRule="exact"/>
        <w:rPr>
          <w:sz w:val="20"/>
          <w:szCs w:val="20"/>
          <w:color w:val="auto"/>
        </w:rPr>
      </w:pPr>
    </w:p>
    <w:p>
      <w:pPr>
        <w:ind w:right="40" w:firstLine="164"/>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Laws</w:t>
      </w:r>
      <w:r>
        <w:rPr>
          <w:rFonts w:ascii="Arial" w:cs="Arial" w:eastAsia="Arial" w:hAnsi="Arial"/>
          <w:sz w:val="13"/>
          <w:szCs w:val="13"/>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L/C Advance</w:t>
      </w:r>
      <w:r>
        <w:rPr>
          <w:rFonts w:ascii="Arial" w:cs="Arial" w:eastAsia="Arial" w:hAnsi="Arial"/>
          <w:sz w:val="12"/>
          <w:szCs w:val="12"/>
          <w:color w:val="auto"/>
        </w:rPr>
        <w:t>” means, with respect to each Lender, such Lender’s funding of its participation in any L/C Borrowing in accordance with its Pro Rata Share. All L/C Advances shall be denominated in Dollars.</w:t>
      </w:r>
    </w:p>
    <w:p>
      <w:pPr>
        <w:spacing w:after="0" w:line="98" w:lineRule="exact"/>
        <w:rPr>
          <w:sz w:val="20"/>
          <w:szCs w:val="20"/>
          <w:color w:val="auto"/>
        </w:rPr>
      </w:pPr>
    </w:p>
    <w:p>
      <w:pPr>
        <w:ind w:right="10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L/C Borrowing</w:t>
      </w:r>
      <w:r>
        <w:rPr>
          <w:rFonts w:ascii="Arial" w:cs="Arial" w:eastAsia="Arial" w:hAnsi="Arial"/>
          <w:sz w:val="13"/>
          <w:szCs w:val="13"/>
          <w:color w:val="auto"/>
        </w:rPr>
        <w:t>” means an extension of credit resulting from a drawing under any Letter of Credit which has not been reimbursed on the date when made or refinanced as a Borrowing of Revolving Loans. All L/C Borrowings shall be denominated in Dollars.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L/C Credit Extension</w:t>
      </w:r>
      <w:r>
        <w:rPr>
          <w:rFonts w:ascii="Arial" w:cs="Arial" w:eastAsia="Arial" w:hAnsi="Arial"/>
          <w:sz w:val="13"/>
          <w:szCs w:val="13"/>
          <w:color w:val="auto"/>
        </w:rPr>
        <w:t>” means, with respect to any Letter of Credit, the issuance thereof or extension of the expiry date thereof, or the increase of the amount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03" w:name="page104"/>
    <w:bookmarkEnd w:id="103"/>
    <w:p>
      <w:pPr>
        <w:ind w:right="28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L/C Issuer</w:t>
      </w:r>
      <w:r>
        <w:rPr>
          <w:rFonts w:ascii="Arial" w:cs="Arial" w:eastAsia="Arial" w:hAnsi="Arial"/>
          <w:sz w:val="13"/>
          <w:szCs w:val="13"/>
          <w:color w:val="auto"/>
        </w:rPr>
        <w:t>” means Bank of America in its capacity as issuer of Letters of Credit hereunder, or any successor issuer of Letters of Credit hereunder. Letters of Credit may be issued in Dollars or in an Alternative Currency.</w:t>
      </w:r>
    </w:p>
    <w:p>
      <w:pPr>
        <w:spacing w:after="0" w:line="49" w:lineRule="exact"/>
        <w:rPr>
          <w:sz w:val="20"/>
          <w:szCs w:val="20"/>
          <w:color w:val="auto"/>
        </w:rPr>
      </w:pPr>
    </w:p>
    <w:p>
      <w:pPr>
        <w:ind w:right="160" w:firstLine="164"/>
        <w:spacing w:after="0" w:line="26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L/C Obligations</w:t>
      </w:r>
      <w:r>
        <w:rPr>
          <w:rFonts w:ascii="Arial" w:cs="Arial" w:eastAsia="Arial" w:hAnsi="Arial"/>
          <w:sz w:val="13"/>
          <w:szCs w:val="13"/>
          <w:color w:val="auto"/>
        </w:rPr>
        <w:t xml:space="preserve">” means, as at any date of determination, the aggregate undrawn amount of all outstanding Letters of Credit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Arial" w:cs="Arial" w:eastAsia="Arial" w:hAnsi="Arial"/>
          <w:sz w:val="13"/>
          <w:szCs w:val="13"/>
          <w:u w:val="single" w:color="auto"/>
          <w:color w:val="auto"/>
        </w:rPr>
        <w:t>Section 1.10</w:t>
      </w:r>
      <w:r>
        <w:rPr>
          <w:rFonts w:ascii="Arial" w:cs="Arial" w:eastAsia="Arial" w:hAnsi="Arial"/>
          <w:sz w:val="13"/>
          <w:szCs w:val="13"/>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60" w:lineRule="exact"/>
        <w:rPr>
          <w:sz w:val="20"/>
          <w:szCs w:val="20"/>
          <w:color w:val="auto"/>
        </w:rPr>
      </w:pPr>
    </w:p>
    <w:p>
      <w:pPr>
        <w:ind w:right="42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Lenders</w:t>
      </w:r>
      <w:r>
        <w:rPr>
          <w:rFonts w:ascii="Arial" w:cs="Arial" w:eastAsia="Arial" w:hAnsi="Arial"/>
          <w:sz w:val="13"/>
          <w:szCs w:val="13"/>
          <w:color w:val="auto"/>
        </w:rPr>
        <w:t xml:space="preserve">” means each of the Persons identified as a “Lender” on the signature pages hereto, any Person that becomes a Lender pursuant to </w:t>
      </w:r>
      <w:r>
        <w:rPr>
          <w:rFonts w:ascii="Arial" w:cs="Arial" w:eastAsia="Arial" w:hAnsi="Arial"/>
          <w:sz w:val="13"/>
          <w:szCs w:val="13"/>
          <w:u w:val="single" w:color="auto"/>
          <w:color w:val="auto"/>
        </w:rPr>
        <w:t>Section 2.01(b)</w:t>
      </w:r>
      <w:r>
        <w:rPr>
          <w:rFonts w:ascii="Arial" w:cs="Arial" w:eastAsia="Arial" w:hAnsi="Arial"/>
          <w:sz w:val="13"/>
          <w:szCs w:val="13"/>
          <w:color w:val="auto"/>
        </w:rPr>
        <w:t xml:space="preserve"> and their successors and assigns and, as the context requires, includes the L/C Issuer and the Swing Line Lender.</w:t>
      </w:r>
    </w:p>
    <w:p>
      <w:pPr>
        <w:spacing w:after="0" w:line="49" w:lineRule="exact"/>
        <w:rPr>
          <w:sz w:val="20"/>
          <w:szCs w:val="20"/>
          <w:color w:val="auto"/>
        </w:rPr>
      </w:pPr>
    </w:p>
    <w:p>
      <w:pPr>
        <w:ind w:right="24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Lending Office</w:t>
      </w:r>
      <w:r>
        <w:rPr>
          <w:rFonts w:ascii="Arial" w:cs="Arial" w:eastAsia="Arial" w:hAnsi="Arial"/>
          <w:sz w:val="13"/>
          <w:szCs w:val="13"/>
          <w:color w:val="auto"/>
        </w:rPr>
        <w:t>” means, as to any Lender, the office or offices of such Lender described as such in such Lender’s Administrative Questionnaire, or such other office or offices as a Lender may from time to time notify the Company and the Administrative Agent.</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Letter of Credit</w:t>
      </w:r>
      <w:r>
        <w:rPr>
          <w:rFonts w:ascii="Arial" w:cs="Arial" w:eastAsia="Arial" w:hAnsi="Arial"/>
          <w:sz w:val="13"/>
          <w:szCs w:val="13"/>
          <w:color w:val="auto"/>
        </w:rPr>
        <w:t>” means any letter of credit issued hereunder and shall include the Existing Letters of Credit. A Letter of Credit may be a commercial letter of credit or a standby letter of credit.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Letter of Credit Application</w:t>
      </w:r>
      <w:r>
        <w:rPr>
          <w:rFonts w:ascii="Arial" w:cs="Arial" w:eastAsia="Arial" w:hAnsi="Arial"/>
          <w:sz w:val="13"/>
          <w:szCs w:val="13"/>
          <w:color w:val="auto"/>
        </w:rPr>
        <w:t>” means an application and agreement for the issuance or amendment of a letter of credit in the form from time to time in use by the L/C Issuer.</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Letter of Credit Expiration Date</w:t>
      </w:r>
      <w:r>
        <w:rPr>
          <w:rFonts w:ascii="Arial" w:cs="Arial" w:eastAsia="Arial" w:hAnsi="Arial"/>
          <w:sz w:val="13"/>
          <w:szCs w:val="13"/>
          <w:color w:val="auto"/>
        </w:rPr>
        <w:t>” means the day that is thirty days prior to the Maturity Date then in effect (or, if such day is not a Business Day, the next preceding Business Day).</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Letter of Credit Fee</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2.03(i)</w:t>
      </w:r>
      <w:r>
        <w:rPr>
          <w:rFonts w:ascii="Arial" w:cs="Arial" w:eastAsia="Arial" w:hAnsi="Arial"/>
          <w:sz w:val="13"/>
          <w:szCs w:val="13"/>
          <w:color w:val="auto"/>
        </w:rPr>
        <w:t>.</w:t>
      </w:r>
    </w:p>
    <w:p>
      <w:pPr>
        <w:spacing w:after="0" w:line="86" w:lineRule="exact"/>
        <w:rPr>
          <w:sz w:val="20"/>
          <w:szCs w:val="20"/>
          <w:color w:val="auto"/>
        </w:rPr>
      </w:pPr>
    </w:p>
    <w:p>
      <w:pPr>
        <w:ind w:right="28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Letter of Credit Sublimit</w:t>
      </w:r>
      <w:r>
        <w:rPr>
          <w:rFonts w:ascii="Arial" w:cs="Arial" w:eastAsia="Arial" w:hAnsi="Arial"/>
          <w:sz w:val="13"/>
          <w:szCs w:val="13"/>
          <w:color w:val="auto"/>
        </w:rPr>
        <w:t>” means an amount equal to the lesser of (a) the Aggregate Revolving Commitments and (b) $15,000,000. The Letter of Credit Sublimit is part of, and not in addition to, the Aggregate Revolving Commitments.</w:t>
      </w:r>
    </w:p>
    <w:p>
      <w:pPr>
        <w:spacing w:after="0" w:line="49"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Lien</w:t>
      </w:r>
      <w:r>
        <w:rPr>
          <w:rFonts w:ascii="Arial" w:cs="Arial" w:eastAsia="Arial" w:hAnsi="Arial"/>
          <w:sz w:val="13"/>
          <w:szCs w:val="13"/>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and any financing lease having substantially the same economic effect as any of the foregoing).</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Loan</w:t>
      </w:r>
      <w:r>
        <w:rPr>
          <w:rFonts w:ascii="Arial" w:cs="Arial" w:eastAsia="Arial" w:hAnsi="Arial"/>
          <w:sz w:val="13"/>
          <w:szCs w:val="13"/>
          <w:color w:val="auto"/>
        </w:rPr>
        <w:t xml:space="preserve">” means an extension of credit by a Lender to a Borrower under </w:t>
      </w:r>
      <w:r>
        <w:rPr>
          <w:rFonts w:ascii="Arial" w:cs="Arial" w:eastAsia="Arial" w:hAnsi="Arial"/>
          <w:sz w:val="13"/>
          <w:szCs w:val="13"/>
          <w:u w:val="single" w:color="auto"/>
          <w:color w:val="auto"/>
        </w:rPr>
        <w:t>Article II</w:t>
      </w:r>
      <w:r>
        <w:rPr>
          <w:rFonts w:ascii="Arial" w:cs="Arial" w:eastAsia="Arial" w:hAnsi="Arial"/>
          <w:sz w:val="13"/>
          <w:szCs w:val="13"/>
          <w:color w:val="auto"/>
        </w:rPr>
        <w:t xml:space="preserve"> in the form of a Revolving Loan or a Swing Line Loan.</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Loan Documents</w:t>
      </w:r>
      <w:r>
        <w:rPr>
          <w:rFonts w:ascii="Arial" w:cs="Arial" w:eastAsia="Arial" w:hAnsi="Arial"/>
          <w:sz w:val="13"/>
          <w:szCs w:val="13"/>
          <w:color w:val="auto"/>
        </w:rPr>
        <w:t>” means this Agreement, each Note, each Issuer Document, each Joinder Agreement and the Fee Letter.</w:t>
      </w:r>
    </w:p>
    <w:p>
      <w:pPr>
        <w:spacing w:after="0" w:line="86" w:lineRule="exact"/>
        <w:rPr>
          <w:sz w:val="20"/>
          <w:szCs w:val="20"/>
          <w:color w:val="auto"/>
        </w:rPr>
      </w:pPr>
    </w:p>
    <w:p>
      <w:pPr>
        <w:ind w:right="80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Loan Notice</w:t>
      </w:r>
      <w:r>
        <w:rPr>
          <w:rFonts w:ascii="Arial" w:cs="Arial" w:eastAsia="Arial" w:hAnsi="Arial"/>
          <w:sz w:val="13"/>
          <w:szCs w:val="13"/>
          <w:color w:val="auto"/>
        </w:rPr>
        <w:t xml:space="preserve">” means a notice of (a) a Borrowing of Revolving Loans, (b) a conversion of Loans from one Type to the other, or (c) a continuation of Eurocurrency Rate Loans, in each case pursuant to </w:t>
      </w:r>
      <w:r>
        <w:rPr>
          <w:rFonts w:ascii="Arial" w:cs="Arial" w:eastAsia="Arial" w:hAnsi="Arial"/>
          <w:sz w:val="13"/>
          <w:szCs w:val="13"/>
          <w:u w:val="single" w:color="auto"/>
          <w:color w:val="auto"/>
        </w:rPr>
        <w:t>Section 2.02(a)</w:t>
      </w:r>
      <w:r>
        <w:rPr>
          <w:rFonts w:ascii="Arial" w:cs="Arial" w:eastAsia="Arial" w:hAnsi="Arial"/>
          <w:sz w:val="13"/>
          <w:szCs w:val="13"/>
          <w:color w:val="auto"/>
        </w:rPr>
        <w:t xml:space="preserve">, which, if in writing, shall be substantially in the form of </w:t>
      </w:r>
      <w:r>
        <w:rPr>
          <w:rFonts w:ascii="Arial" w:cs="Arial" w:eastAsia="Arial" w:hAnsi="Arial"/>
          <w:sz w:val="13"/>
          <w:szCs w:val="13"/>
          <w:u w:val="single" w:color="auto"/>
          <w:color w:val="auto"/>
        </w:rPr>
        <w:t>Exhibit 2.02</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104" w:name="page105"/>
    <w:bookmarkEnd w:id="104"/>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Loan Parties</w:t>
      </w:r>
      <w:r>
        <w:rPr>
          <w:rFonts w:ascii="Arial" w:cs="Arial" w:eastAsia="Arial" w:hAnsi="Arial"/>
          <w:sz w:val="13"/>
          <w:szCs w:val="13"/>
          <w:color w:val="auto"/>
        </w:rPr>
        <w:t>” means, collectively, each Borrower and each Guarantor.</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Mandatory Cost</w:t>
      </w:r>
      <w:r>
        <w:rPr>
          <w:rFonts w:ascii="Arial" w:cs="Arial" w:eastAsia="Arial" w:hAnsi="Arial"/>
          <w:sz w:val="13"/>
          <w:szCs w:val="13"/>
          <w:color w:val="auto"/>
        </w:rPr>
        <w:t xml:space="preserve">” means, with respect to any period, the percentage rate per annum determined in accordance with </w:t>
      </w:r>
      <w:r>
        <w:rPr>
          <w:rFonts w:ascii="Arial" w:cs="Arial" w:eastAsia="Arial" w:hAnsi="Arial"/>
          <w:sz w:val="13"/>
          <w:szCs w:val="13"/>
          <w:u w:val="single" w:color="auto"/>
          <w:color w:val="auto"/>
        </w:rPr>
        <w:t>Schedule 1.01(b)</w:t>
      </w:r>
      <w:r>
        <w:rPr>
          <w:rFonts w:ascii="Arial" w:cs="Arial" w:eastAsia="Arial" w:hAnsi="Arial"/>
          <w:sz w:val="13"/>
          <w:szCs w:val="13"/>
          <w:color w:val="auto"/>
        </w:rPr>
        <w:t>.</w:t>
      </w:r>
    </w:p>
    <w:p>
      <w:pPr>
        <w:spacing w:after="0" w:line="86" w:lineRule="exact"/>
        <w:rPr>
          <w:sz w:val="20"/>
          <w:szCs w:val="20"/>
          <w:color w:val="auto"/>
        </w:rPr>
      </w:pPr>
    </w:p>
    <w:p>
      <w:pPr>
        <w:ind w:right="220" w:firstLine="164"/>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Material Adverse Effect</w:t>
      </w:r>
      <w:r>
        <w:rPr>
          <w:rFonts w:ascii="Arial" w:cs="Arial" w:eastAsia="Arial" w:hAnsi="Arial"/>
          <w:sz w:val="13"/>
          <w:szCs w:val="13"/>
          <w:color w:val="auto"/>
        </w:rPr>
        <w:t>” means (a) a material adverse change in, or a material adverse effect upon, the operations, business, properties, liabilities (actual or contingent), condition (financial or otherwise) or prospects of the Company and its Subsidiaries taken as a whole; (b) a material impairment of the ability of any Loan Party to perform its obligations under any Loan Document to which it is a party; or (c) a material adverse effect upon the legality, validity, binding effect or enforceability against any Loan Party of any Loan Document to which it is a party.</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Maturity Date</w:t>
      </w:r>
      <w:r>
        <w:rPr>
          <w:rFonts w:ascii="Arial" w:cs="Arial" w:eastAsia="Arial" w:hAnsi="Arial"/>
          <w:sz w:val="13"/>
          <w:szCs w:val="13"/>
          <w:color w:val="auto"/>
        </w:rPr>
        <w:t xml:space="preserve">” means October 5, 2011;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if such date is not a Business Day, the Maturity Date shall be the next preceding Business Day.</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Moody’s</w:t>
      </w:r>
      <w:r>
        <w:rPr>
          <w:rFonts w:ascii="Arial" w:cs="Arial" w:eastAsia="Arial" w:hAnsi="Arial"/>
          <w:sz w:val="13"/>
          <w:szCs w:val="13"/>
          <w:color w:val="auto"/>
        </w:rPr>
        <w:t>” means Moody’s Investors Service, Inc. and any successor thereto.</w:t>
      </w:r>
    </w:p>
    <w:p>
      <w:pPr>
        <w:spacing w:after="0" w:line="86" w:lineRule="exact"/>
        <w:rPr>
          <w:sz w:val="20"/>
          <w:szCs w:val="20"/>
          <w:color w:val="auto"/>
        </w:rPr>
      </w:pPr>
    </w:p>
    <w:p>
      <w:pPr>
        <w:ind w:right="12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Multiemployer Plan</w:t>
      </w:r>
      <w:r>
        <w:rPr>
          <w:rFonts w:ascii="Arial" w:cs="Arial" w:eastAsia="Arial" w:hAnsi="Arial"/>
          <w:sz w:val="13"/>
          <w:szCs w:val="13"/>
          <w:color w:val="auto"/>
        </w:rPr>
        <w:t>” means any employee benefit plan of the type described in Section 4001(a)(3) of ERISA, to which the Company or any ERISA Affiliate makes or is obligated to make contributions, or during the preceding five plan years, has made or been obligated to make contributions.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Note</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2.11(a)</w:t>
      </w:r>
      <w:r>
        <w:rPr>
          <w:rFonts w:ascii="Arial" w:cs="Arial" w:eastAsia="Arial" w:hAnsi="Arial"/>
          <w:sz w:val="13"/>
          <w:szCs w:val="13"/>
          <w:color w:val="auto"/>
        </w:rPr>
        <w:t>.</w:t>
      </w:r>
    </w:p>
    <w:p>
      <w:pPr>
        <w:spacing w:after="0" w:line="86" w:lineRule="exact"/>
        <w:rPr>
          <w:sz w:val="20"/>
          <w:szCs w:val="20"/>
          <w:color w:val="auto"/>
        </w:rPr>
      </w:pPr>
    </w:p>
    <w:p>
      <w:pPr>
        <w:ind w:right="24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Note Purchase Agreement</w:t>
      </w:r>
      <w:r>
        <w:rPr>
          <w:rFonts w:ascii="Arial" w:cs="Arial" w:eastAsia="Arial" w:hAnsi="Arial"/>
          <w:sz w:val="13"/>
          <w:szCs w:val="13"/>
          <w:color w:val="auto"/>
        </w:rPr>
        <w:t>” means that certain Note Purchase Agreement dated as of June 28, 2004, among the Company and the purchasers party thereto, together with that certain First Supplement to the Note Purchase Agreement dated as of February 14, 2006.</w:t>
      </w:r>
    </w:p>
    <w:p>
      <w:pPr>
        <w:spacing w:after="0" w:line="49" w:lineRule="exact"/>
        <w:rPr>
          <w:sz w:val="20"/>
          <w:szCs w:val="20"/>
          <w:color w:val="auto"/>
        </w:rPr>
      </w:pPr>
    </w:p>
    <w:p>
      <w:pPr>
        <w:ind w:firstLine="164"/>
        <w:spacing w:after="0" w:line="285"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Obligations</w:t>
      </w:r>
      <w:r>
        <w:rPr>
          <w:rFonts w:ascii="Arial" w:cs="Arial" w:eastAsia="Arial" w:hAnsi="Arial"/>
          <w:sz w:val="12"/>
          <w:szCs w:val="12"/>
          <w:color w:val="auto"/>
        </w:rPr>
        <w:t xml:space="preserve">” means all advances to, and debts, liabilities, obligations, covenants and duties of, any Loan Party arising under any Loan Document or otherwise with respect to any Loan or Letter of Credit,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The foregoing shall also include (a) all obligations under any Swap Contract between any Loan Party and any Lender or Affiliate of a Lender that is permitted to be incurred pursuant to </w:t>
      </w:r>
      <w:r>
        <w:rPr>
          <w:rFonts w:ascii="Arial" w:cs="Arial" w:eastAsia="Arial" w:hAnsi="Arial"/>
          <w:sz w:val="12"/>
          <w:szCs w:val="12"/>
          <w:u w:val="single" w:color="auto"/>
          <w:color w:val="auto"/>
        </w:rPr>
        <w:t>Section 8.03(d)</w:t>
      </w:r>
      <w:r>
        <w:rPr>
          <w:rFonts w:ascii="Arial" w:cs="Arial" w:eastAsia="Arial" w:hAnsi="Arial"/>
          <w:sz w:val="12"/>
          <w:szCs w:val="12"/>
          <w:color w:val="auto"/>
        </w:rPr>
        <w:t xml:space="preserve"> and (b) all obligations under any Treasury Management Agreement between any Loan Party and any Lender or Affiliate of a Lender.</w:t>
      </w:r>
    </w:p>
    <w:p>
      <w:pPr>
        <w:spacing w:after="0" w:line="46" w:lineRule="exact"/>
        <w:rPr>
          <w:sz w:val="20"/>
          <w:szCs w:val="20"/>
          <w:color w:val="auto"/>
        </w:rPr>
      </w:pPr>
    </w:p>
    <w:p>
      <w:pPr>
        <w:ind w:right="40" w:firstLine="164"/>
        <w:spacing w:after="0" w:line="28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Organization Documents</w:t>
      </w:r>
      <w:r>
        <w:rPr>
          <w:rFonts w:ascii="Arial" w:cs="Arial" w:eastAsia="Arial" w:hAnsi="Arial"/>
          <w:sz w:val="12"/>
          <w:szCs w:val="12"/>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Outstanding Amount</w:t>
      </w:r>
      <w:r>
        <w:rPr>
          <w:rFonts w:ascii="Arial" w:cs="Arial" w:eastAsia="Arial" w:hAnsi="Arial"/>
          <w:sz w:val="13"/>
          <w:szCs w:val="13"/>
          <w:color w:val="auto"/>
        </w:rPr>
        <w:t>” means (a) with respect to any Revolving Loans on any date, the Dollar Equivalent amount of the aggregate outstanding principal amount thereof after giving effect to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105" w:name="page106"/>
    <w:bookmarkEnd w:id="105"/>
    <w:p>
      <w:pPr>
        <w:ind w:left="1" w:right="80"/>
        <w:spacing w:after="0" w:line="322" w:lineRule="auto"/>
        <w:rPr>
          <w:sz w:val="20"/>
          <w:szCs w:val="20"/>
          <w:color w:val="auto"/>
        </w:rPr>
      </w:pPr>
      <w:r>
        <w:rPr>
          <w:rFonts w:ascii="Arial" w:cs="Arial" w:eastAsia="Arial" w:hAnsi="Arial"/>
          <w:sz w:val="11"/>
          <w:szCs w:val="11"/>
          <w:color w:val="auto"/>
        </w:rPr>
        <w:t>borrowings and prepayments or repayments of any Revolving Loans occurring on such date; (b) with respect to Swing Line Loans on any date, the aggregate outstanding principal amount thereof after giving effect to any borrowings and prepayments or repayments of such Swing Line Loans occurring on such date and (c) with respect to any L/C Obligations on any date, the Dollar Equivalent amount of the aggregate outstanding amount of such L/C Obligations on such date after giving effect to any L/C Credit Extension occurring on such date and any other changes in the aggregate amount of the L/C Obligations as of such date, including as a result of any reimbursements of outstanding unpaid drawings under any Letters of Credit or any reductions in the maximum amount available for drawing under Letters of Credit taking effect on such date.</w:t>
      </w:r>
    </w:p>
    <w:p>
      <w:pPr>
        <w:spacing w:after="0" w:line="29" w:lineRule="exact"/>
        <w:rPr>
          <w:sz w:val="20"/>
          <w:szCs w:val="20"/>
          <w:color w:val="auto"/>
        </w:rPr>
      </w:pPr>
    </w:p>
    <w:p>
      <w:pPr>
        <w:ind w:left="1" w:firstLine="164"/>
        <w:spacing w:after="0" w:line="26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Overnight Rate</w:t>
      </w:r>
      <w:r>
        <w:rPr>
          <w:rFonts w:ascii="Arial" w:cs="Arial" w:eastAsia="Arial" w:hAnsi="Arial"/>
          <w:sz w:val="13"/>
          <w:szCs w:val="13"/>
          <w:color w:val="auto"/>
        </w:rPr>
        <w:t>” means, for any day, (a) with respect to any amount denominated in Dollars, the greater of (i) the Federal Funds Rate and (ii) an overnight rate determined by the Administrative Agent, the L/C Issuer, or the Swing Line Lender, as the case may be, in accordance with banking industry rules on interbank compensation, and (b) with respect to any amount denominated in an Alternative Currency, the rate of interest per annum at which overnight deposits in the applicable Alternative Currency, in an amount approximately equal to the amount with respect to which such rate is being determined, would be offered for such day by a branch or Affiliate of Bank of America in the applicable offshore interbank market for such currency to major banks in such interbank market.</w:t>
      </w:r>
    </w:p>
    <w:p>
      <w:pPr>
        <w:spacing w:after="0" w:line="60" w:lineRule="exact"/>
        <w:rPr>
          <w:sz w:val="20"/>
          <w:szCs w:val="20"/>
          <w:color w:val="auto"/>
        </w:rPr>
      </w:pPr>
    </w:p>
    <w:p>
      <w:pPr>
        <w:ind w:left="16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Participant</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11.07(d)</w:t>
      </w:r>
      <w:r>
        <w:rPr>
          <w:rFonts w:ascii="Arial" w:cs="Arial" w:eastAsia="Arial" w:hAnsi="Arial"/>
          <w:sz w:val="13"/>
          <w:szCs w:val="13"/>
          <w:color w:val="auto"/>
        </w:rPr>
        <w:t>.</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Participating Member State</w:t>
      </w:r>
      <w:r>
        <w:rPr>
          <w:rFonts w:ascii="Arial" w:cs="Arial" w:eastAsia="Arial" w:hAnsi="Arial"/>
          <w:sz w:val="13"/>
          <w:szCs w:val="13"/>
          <w:color w:val="auto"/>
        </w:rPr>
        <w:t>” means each state so described in any EMU Legislation.</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PBGC</w:t>
      </w:r>
      <w:r>
        <w:rPr>
          <w:rFonts w:ascii="Arial" w:cs="Arial" w:eastAsia="Arial" w:hAnsi="Arial"/>
          <w:sz w:val="13"/>
          <w:szCs w:val="13"/>
          <w:color w:val="auto"/>
        </w:rPr>
        <w:t>” means the Pension Benefit Guaranty Corporation or any successor thereto.</w:t>
      </w:r>
    </w:p>
    <w:p>
      <w:pPr>
        <w:spacing w:after="0" w:line="86" w:lineRule="exact"/>
        <w:rPr>
          <w:sz w:val="20"/>
          <w:szCs w:val="20"/>
          <w:color w:val="auto"/>
        </w:rPr>
      </w:pPr>
    </w:p>
    <w:p>
      <w:pPr>
        <w:jc w:val="both"/>
        <w:ind w:left="1" w:right="120" w:firstLine="164"/>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Pension Plan</w:t>
      </w:r>
      <w:r>
        <w:rPr>
          <w:rFonts w:ascii="Arial" w:cs="Arial" w:eastAsia="Arial" w:hAnsi="Arial"/>
          <w:sz w:val="13"/>
          <w:szCs w:val="13"/>
          <w:color w:val="auto"/>
        </w:rPr>
        <w:t>” means any “employee pension benefit plan” (as such term is defined in Section 3(2) of ERISA), other than a Multiemployer Plan, that is subject to Title IV of ERISA and is sponsored or maintained by the Company or any ERISA Affiliate or to which the Company or any ERISA Affiliate contributes or has an obligation to contribute, or in the case of a multiple employer or other plan described in Section 4064(a) of ERISA, has made contributions at any time during the immediately preceding five plan years.</w:t>
      </w:r>
    </w:p>
    <w:p>
      <w:pPr>
        <w:spacing w:after="0" w:line="57" w:lineRule="exact"/>
        <w:rPr>
          <w:sz w:val="20"/>
          <w:szCs w:val="20"/>
          <w:color w:val="auto"/>
        </w:rPr>
      </w:pPr>
    </w:p>
    <w:p>
      <w:pPr>
        <w:ind w:left="1" w:right="20" w:firstLine="164"/>
        <w:spacing w:after="0" w:line="301"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Permitted Acquisitions</w:t>
      </w:r>
      <w:r>
        <w:rPr>
          <w:rFonts w:ascii="Arial" w:cs="Arial" w:eastAsia="Arial" w:hAnsi="Arial"/>
          <w:sz w:val="11"/>
          <w:szCs w:val="11"/>
          <w:color w:val="auto"/>
        </w:rPr>
        <w:t xml:space="preserve">” means Investments consisting of an Acquisition by a Loan Party,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 the Property acquired (or the Property of the Person acquired) in such Acquisition is used or useful in the same or a similar line of business as the Company and its Subsidiaries were engaged in on the Closing Date (or any reasonable extensions or expansions thereof), (b) in the case of an Acquisition of the Capital Stock of another Person, the board of directors (or other comparable governing body) of such other Person shall have duly approved such Acquisition, (c) upon giving effect to such Acquisition on a Pro Forma Basis, the Loan Parties would be in compliance with the financial covenants set forth in </w:t>
      </w:r>
      <w:r>
        <w:rPr>
          <w:rFonts w:ascii="Arial" w:cs="Arial" w:eastAsia="Arial" w:hAnsi="Arial"/>
          <w:sz w:val="11"/>
          <w:szCs w:val="11"/>
          <w:u w:val="single" w:color="auto"/>
          <w:color w:val="auto"/>
        </w:rPr>
        <w:t>Section 8.11</w:t>
      </w:r>
      <w:r>
        <w:rPr>
          <w:rFonts w:ascii="Arial" w:cs="Arial" w:eastAsia="Arial" w:hAnsi="Arial"/>
          <w:sz w:val="11"/>
          <w:szCs w:val="11"/>
          <w:color w:val="auto"/>
        </w:rPr>
        <w:t xml:space="preserve"> as of the most recent fiscal quarter for which the Company was required to deliver financial statements pursuant to </w:t>
      </w:r>
      <w:r>
        <w:rPr>
          <w:rFonts w:ascii="Arial" w:cs="Arial" w:eastAsia="Arial" w:hAnsi="Arial"/>
          <w:sz w:val="11"/>
          <w:szCs w:val="11"/>
          <w:u w:val="single" w:color="auto"/>
          <w:color w:val="auto"/>
        </w:rPr>
        <w:t>Section 7.01(a)</w:t>
      </w:r>
      <w:r>
        <w:rPr>
          <w:rFonts w:ascii="Arial" w:cs="Arial" w:eastAsia="Arial" w:hAnsi="Arial"/>
          <w:sz w:val="11"/>
          <w:szCs w:val="11"/>
          <w:color w:val="auto"/>
        </w:rPr>
        <w:t xml:space="preserve"> or</w:t>
      </w:r>
    </w:p>
    <w:p>
      <w:pPr>
        <w:spacing w:after="0" w:line="2" w:lineRule="exact"/>
        <w:rPr>
          <w:sz w:val="20"/>
          <w:szCs w:val="20"/>
          <w:color w:val="auto"/>
        </w:rPr>
      </w:pPr>
    </w:p>
    <w:p>
      <w:pPr>
        <w:ind w:left="1" w:right="20" w:hanging="1"/>
        <w:spacing w:after="0" w:line="254" w:lineRule="auto"/>
        <w:tabs>
          <w:tab w:leader="none" w:pos="187" w:val="left"/>
        </w:tabs>
        <w:numPr>
          <w:ilvl w:val="0"/>
          <w:numId w:val="58"/>
        </w:numPr>
        <w:rPr>
          <w:rFonts w:ascii="Arial" w:cs="Arial" w:eastAsia="Arial" w:hAnsi="Arial"/>
          <w:sz w:val="13"/>
          <w:szCs w:val="13"/>
          <w:u w:val="single" w:color="auto"/>
          <w:color w:val="auto"/>
        </w:rPr>
      </w:pPr>
      <w:r>
        <w:rPr>
          <w:rFonts w:ascii="Arial" w:cs="Arial" w:eastAsia="Arial" w:hAnsi="Arial"/>
          <w:sz w:val="13"/>
          <w:szCs w:val="13"/>
          <w:color w:val="auto"/>
        </w:rPr>
        <w:t>(and if the aggregate consideration (including cash and non-cash consideration, any assumption of Indebtedness, any acquired Indebtedness, deferred purchase price and any earn-out payments) paid by the Company or any Subsidiary for any such Acquisition exceeds $100,000,000, the Company shall have delivered to the Administrative Agent a certificate demonstrating such compliance) (d) the representations and warranties made by the Loan Parties in each Loan Document shall be true and correct in all material respects at and as if made as of the date of such Acquisition (after giving effect thereto) except to the extent such representations and warranties expressly relate to an earlier date and (e) if such transaction involves the purchase of an interest in a partnership between the Company (or a Subsidiary) as a general partner and entities unaffiliated with the Company or such Subsidiary as the other partners, such transaction shall be effected by having such equity interest acquired by a corporate holding company directly or indirectly wholly-owned by the Company newly formed for the sole purpose of effecting such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281305</wp:posOffset>
            </wp:positionV>
            <wp:extent cx="7290435" cy="19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06" w:name="page107"/>
    <w:bookmarkEnd w:id="106"/>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Permitted Liens</w:t>
      </w:r>
      <w:r>
        <w:rPr>
          <w:rFonts w:ascii="Arial" w:cs="Arial" w:eastAsia="Arial" w:hAnsi="Arial"/>
          <w:sz w:val="13"/>
          <w:szCs w:val="13"/>
          <w:color w:val="auto"/>
        </w:rPr>
        <w:t xml:space="preserve">” means, at any time, Liens in respect of Property of the Company or any of its Subsidiaries permitted to exist at such time pursuant to the terms of </w:t>
      </w:r>
      <w:r>
        <w:rPr>
          <w:rFonts w:ascii="Arial" w:cs="Arial" w:eastAsia="Arial" w:hAnsi="Arial"/>
          <w:sz w:val="13"/>
          <w:szCs w:val="13"/>
          <w:u w:val="single" w:color="auto"/>
          <w:color w:val="auto"/>
        </w:rPr>
        <w:t>Section 8.01</w:t>
      </w:r>
      <w:r>
        <w:rPr>
          <w:rFonts w:ascii="Arial" w:cs="Arial" w:eastAsia="Arial" w:hAnsi="Arial"/>
          <w:sz w:val="13"/>
          <w:szCs w:val="13"/>
          <w:color w:val="auto"/>
        </w:rPr>
        <w: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Person</w:t>
      </w:r>
      <w:r>
        <w:rPr>
          <w:rFonts w:ascii="Arial" w:cs="Arial" w:eastAsia="Arial" w:hAnsi="Arial"/>
          <w:sz w:val="13"/>
          <w:szCs w:val="13"/>
          <w:color w:val="auto"/>
        </w:rPr>
        <w:t>” means any natural person, corporation, limited liability company, trust, joint venture, association, company, partnership, Governmental Authority or other entity.</w:t>
      </w:r>
    </w:p>
    <w:p>
      <w:pPr>
        <w:spacing w:after="0" w:line="86"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Plan</w:t>
      </w:r>
      <w:r>
        <w:rPr>
          <w:rFonts w:ascii="Arial" w:cs="Arial" w:eastAsia="Arial" w:hAnsi="Arial"/>
          <w:sz w:val="13"/>
          <w:szCs w:val="13"/>
          <w:color w:val="auto"/>
        </w:rPr>
        <w:t>” means any “employee benefit plan” (as such term is defined in Section 3(3) of ERISA) established by the Company or, with respect to any such plan that is subject to Section 412 of the Internal Revenue Code or Title IV of ERISA, any ERISA Affiliate.</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Platform</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7.02</w:t>
      </w:r>
      <w:r>
        <w:rPr>
          <w:rFonts w:ascii="Arial" w:cs="Arial" w:eastAsia="Arial" w:hAnsi="Arial"/>
          <w:sz w:val="13"/>
          <w:szCs w:val="13"/>
          <w:color w:val="auto"/>
        </w:rPr>
        <w:t>.</w:t>
      </w:r>
    </w:p>
    <w:p>
      <w:pPr>
        <w:spacing w:after="0" w:line="86" w:lineRule="exact"/>
        <w:rPr>
          <w:sz w:val="20"/>
          <w:szCs w:val="20"/>
          <w:color w:val="auto"/>
        </w:rPr>
      </w:pPr>
    </w:p>
    <w:p>
      <w:pPr>
        <w:ind w:right="20" w:firstLine="164"/>
        <w:spacing w:after="0" w:line="278"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Pro Forma Basis</w:t>
      </w:r>
      <w:r>
        <w:rPr>
          <w:rFonts w:ascii="Arial" w:cs="Arial" w:eastAsia="Arial" w:hAnsi="Arial"/>
          <w:sz w:val="12"/>
          <w:szCs w:val="12"/>
          <w:color w:val="auto"/>
        </w:rPr>
        <w:t xml:space="preserve">” means, for purposes of calculating the financial covenants set forth in </w:t>
      </w:r>
      <w:r>
        <w:rPr>
          <w:rFonts w:ascii="Arial" w:cs="Arial" w:eastAsia="Arial" w:hAnsi="Arial"/>
          <w:sz w:val="12"/>
          <w:szCs w:val="12"/>
          <w:u w:val="single" w:color="auto"/>
          <w:color w:val="auto"/>
        </w:rPr>
        <w:t>Section 8.11</w:t>
      </w:r>
      <w:r>
        <w:rPr>
          <w:rFonts w:ascii="Arial" w:cs="Arial" w:eastAsia="Arial" w:hAnsi="Arial"/>
          <w:sz w:val="12"/>
          <w:szCs w:val="12"/>
          <w:color w:val="auto"/>
        </w:rPr>
        <w:t xml:space="preserve"> (including for purposes of determining the Applicable Rate), that any Disposition, Involuntary Disposition or Acquisition shall be deemed to have occurred as of the first day of the most recent four fiscal quarter period preceding the date of such transaction for which the Company was required to deliver financial statements pursuant to </w:t>
      </w:r>
      <w:r>
        <w:rPr>
          <w:rFonts w:ascii="Arial" w:cs="Arial" w:eastAsia="Arial" w:hAnsi="Arial"/>
          <w:sz w:val="12"/>
          <w:szCs w:val="12"/>
          <w:u w:val="single" w:color="auto"/>
          <w:color w:val="auto"/>
        </w:rPr>
        <w:t>Section 7.01(a)</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(b)</w:t>
      </w:r>
      <w:r>
        <w:rPr>
          <w:rFonts w:ascii="Arial" w:cs="Arial" w:eastAsia="Arial" w:hAnsi="Arial"/>
          <w:sz w:val="12"/>
          <w:szCs w:val="12"/>
          <w:color w:val="auto"/>
        </w:rPr>
        <w:t xml:space="preserve">. In connection with the foregoing, (a) with respect to any Disposition or Involuntary Disposition, (i) income statement and cash flow statement items (whether positive or negative) attributable to the Property disposed of shall be excluded to the extent relating to any period occurring prior to the date of such transaction and (ii) Indebtedness which is retired shall be excluded and deemed to have been retired as of the first day of the applicable period and (b) with respect to any Acquisition, (i) income statement items attributable to the Person or Property acquired shall be included to the extent relating to any period applicable in such calculations to the extent (A) such items are not otherwise included in such income statement items for the Company and its Subsidiaries in accordance with GAAP or in accordance with any defined terms set forth in </w:t>
      </w:r>
      <w:r>
        <w:rPr>
          <w:rFonts w:ascii="Arial" w:cs="Arial" w:eastAsia="Arial" w:hAnsi="Arial"/>
          <w:sz w:val="12"/>
          <w:szCs w:val="12"/>
          <w:u w:val="single" w:color="auto"/>
          <w:color w:val="auto"/>
        </w:rPr>
        <w:t>Section 1.01</w:t>
      </w:r>
      <w:r>
        <w:rPr>
          <w:rFonts w:ascii="Arial" w:cs="Arial" w:eastAsia="Arial" w:hAnsi="Arial"/>
          <w:sz w:val="12"/>
          <w:szCs w:val="12"/>
          <w:color w:val="auto"/>
        </w:rPr>
        <w:t xml:space="preserve"> and (B) such items are supported by financial statements or other information reasonably satisfactory to the Administrative Agent and (ii) any Indebtedness incurred or assumed by the Company or any Subsidiary (including the Person or Property acquired) in connection with such transaction and any Indebtedness of the Person or Property acquired which is not retired in connection with such transaction (A) shall be deemed to have been incurred as of the first day of the applicable period and (B) if such Indebtedness has a floating or formula rate, shall have an implied rate of interest for the applicable period for purposes of this definition determined by utilizing the rate which is or would be in effect with respect to such Indebtedness as at the relevant date of determination.</w:t>
      </w:r>
    </w:p>
    <w:p>
      <w:pPr>
        <w:spacing w:after="0" w:line="53" w:lineRule="exact"/>
        <w:rPr>
          <w:sz w:val="20"/>
          <w:szCs w:val="20"/>
          <w:color w:val="auto"/>
        </w:rPr>
      </w:pPr>
    </w:p>
    <w:p>
      <w:pPr>
        <w:ind w:firstLine="164"/>
        <w:spacing w:after="0" w:line="25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Pro Rata Share</w:t>
      </w:r>
      <w:r>
        <w:rPr>
          <w:rFonts w:ascii="Arial" w:cs="Arial" w:eastAsia="Arial" w:hAnsi="Arial"/>
          <w:sz w:val="13"/>
          <w:szCs w:val="13"/>
          <w:color w:val="auto"/>
        </w:rPr>
        <w:t xml:space="preserve">” means, as to each Lender at any time, a fraction (expressed as a percentage, carried out to the ninth decimal place), the numerator of which is the amount of the Revolving Commitment of such Lender at such time and the denominator of which is the amount of the Aggregate Revolving Commitments at such time;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the commitment of each Lender to make Revolving Loans and the obligation of the L/C Issuer to make L/C Credit Extensions have been terminated pursuant to </w:t>
      </w:r>
      <w:r>
        <w:rPr>
          <w:rFonts w:ascii="Arial" w:cs="Arial" w:eastAsia="Arial" w:hAnsi="Arial"/>
          <w:sz w:val="13"/>
          <w:szCs w:val="13"/>
          <w:u w:val="single" w:color="auto"/>
          <w:color w:val="auto"/>
        </w:rPr>
        <w:t>Section 9.02</w:t>
      </w:r>
      <w:r>
        <w:rPr>
          <w:rFonts w:ascii="Arial" w:cs="Arial" w:eastAsia="Arial" w:hAnsi="Arial"/>
          <w:sz w:val="13"/>
          <w:szCs w:val="13"/>
          <w:color w:val="auto"/>
        </w:rPr>
        <w:t xml:space="preserve">, then the Pro Rata Share of each Lender shall be determined based on the Pro Rata Share of such Lender immediately prior to such termination and after giving effect to any subsequent assignments made pursuant to the terms hereof. The initial Pro Rata Share of each Lender is set forth opposite the name of such Lender on </w:t>
      </w:r>
      <w:r>
        <w:rPr>
          <w:rFonts w:ascii="Arial" w:cs="Arial" w:eastAsia="Arial" w:hAnsi="Arial"/>
          <w:sz w:val="13"/>
          <w:szCs w:val="13"/>
          <w:u w:val="single" w:color="auto"/>
          <w:color w:val="auto"/>
        </w:rPr>
        <w:t>Schedule 2.01</w:t>
      </w:r>
      <w:r>
        <w:rPr>
          <w:rFonts w:ascii="Arial" w:cs="Arial" w:eastAsia="Arial" w:hAnsi="Arial"/>
          <w:sz w:val="13"/>
          <w:szCs w:val="13"/>
          <w:color w:val="auto"/>
        </w:rPr>
        <w:t xml:space="preserve"> or in the Assignment and Assumption pursuant to which such Lender becomes a party hereto, as applicable.</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Property</w:t>
      </w:r>
      <w:r>
        <w:rPr>
          <w:rFonts w:ascii="Arial" w:cs="Arial" w:eastAsia="Arial" w:hAnsi="Arial"/>
          <w:sz w:val="13"/>
          <w:szCs w:val="13"/>
          <w:color w:val="auto"/>
        </w:rPr>
        <w:t>” means any interest of any kind in any property or asset, whether real, personal or mixed, or tangible or intangible.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Register</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11.07(c)</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07" w:name="page108"/>
    <w:bookmarkEnd w:id="107"/>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Related Parties</w:t>
      </w:r>
      <w:r>
        <w:rPr>
          <w:rFonts w:ascii="Arial" w:cs="Arial" w:eastAsia="Arial" w:hAnsi="Arial"/>
          <w:sz w:val="13"/>
          <w:szCs w:val="13"/>
          <w:color w:val="auto"/>
        </w:rPr>
        <w:t>” means, with respect to any Person, such Person’s Affiliates and the partners, directors, officers, employees, agents and advisors of such Person and of such Person’s Affiliates.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Reportable Event</w:t>
      </w:r>
      <w:r>
        <w:rPr>
          <w:rFonts w:ascii="Arial" w:cs="Arial" w:eastAsia="Arial" w:hAnsi="Arial"/>
          <w:sz w:val="13"/>
          <w:szCs w:val="13"/>
          <w:color w:val="auto"/>
        </w:rPr>
        <w:t>” means any of the events set forth in Section 4043(c) of ERISA, other than events for which the thirty-day notice period has been waived.</w:t>
      </w:r>
    </w:p>
    <w:p>
      <w:pPr>
        <w:spacing w:after="0" w:line="86" w:lineRule="exact"/>
        <w:rPr>
          <w:sz w:val="20"/>
          <w:szCs w:val="20"/>
          <w:color w:val="auto"/>
        </w:rPr>
      </w:pPr>
    </w:p>
    <w:p>
      <w:pPr>
        <w:ind w:right="20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Request for Credit Extension</w:t>
      </w:r>
      <w:r>
        <w:rPr>
          <w:rFonts w:ascii="Arial" w:cs="Arial" w:eastAsia="Arial" w:hAnsi="Arial"/>
          <w:sz w:val="13"/>
          <w:szCs w:val="13"/>
          <w:color w:val="auto"/>
        </w:rPr>
        <w:t>” means (a) with respect to a Borrowing, conversion or continuation of Loans, a Loan Notice, (b) with respect to an L/C Credit Extension, a Letter of Credit Application, and (c) with respect to a Swing Line Loan, a Swing Line Loan Notice.</w:t>
      </w:r>
    </w:p>
    <w:p>
      <w:pPr>
        <w:spacing w:after="0" w:line="49" w:lineRule="exact"/>
        <w:rPr>
          <w:sz w:val="20"/>
          <w:szCs w:val="20"/>
          <w:color w:val="auto"/>
        </w:rPr>
      </w:pPr>
    </w:p>
    <w:p>
      <w:pPr>
        <w:ind w:right="140" w:firstLine="164"/>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Required Lenders</w:t>
      </w:r>
      <w:r>
        <w:rPr>
          <w:rFonts w:ascii="Arial" w:cs="Arial" w:eastAsia="Arial" w:hAnsi="Arial"/>
          <w:sz w:val="13"/>
          <w:szCs w:val="13"/>
          <w:color w:val="auto"/>
        </w:rPr>
        <w:t>” means, at any time, Lenders holding in the aggregate more than fifty percent (50%) of (a) the Commitments or (b) if the Commitments have been terminated, the outstanding Loans, L/C Obligations, Swing Line Loans and participations therein. The Commitments of, and the outstanding Loans held or deemed held by, any Defaulting Lender shall be excluded for purposes of making a determination of Required Lenders.</w:t>
      </w:r>
    </w:p>
    <w:p>
      <w:pPr>
        <w:spacing w:after="0" w:line="57" w:lineRule="exact"/>
        <w:rPr>
          <w:sz w:val="20"/>
          <w:szCs w:val="20"/>
          <w:color w:val="auto"/>
        </w:rPr>
      </w:pPr>
    </w:p>
    <w:p>
      <w:pPr>
        <w:ind w:right="60" w:firstLine="164"/>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Responsible Officer</w:t>
      </w:r>
      <w:r>
        <w:rPr>
          <w:rFonts w:ascii="Arial" w:cs="Arial" w:eastAsia="Arial" w:hAnsi="Arial"/>
          <w:sz w:val="13"/>
          <w:szCs w:val="13"/>
          <w:color w:val="auto"/>
        </w:rPr>
        <w:t>” means the chief executive officer, president, treasurer or chief financial officer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57"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Restricted Payment</w:t>
      </w:r>
      <w:r>
        <w:rPr>
          <w:rFonts w:ascii="Arial" w:cs="Arial" w:eastAsia="Arial" w:hAnsi="Arial"/>
          <w:sz w:val="13"/>
          <w:szCs w:val="13"/>
          <w:color w:val="auto"/>
        </w:rPr>
        <w:t>” means any dividend or other distribution (whether in cash, securities or other property) with respect to any Capital Stock of the Company or any Subsidiary, or any payment (whether in cash, securities or other property), including any sinking fund or similar deposit, on account of the purchase, redemption, retirement, acquisition, cancellation or termination of any such Capital Stock or of any option, warrant or other right to acquire any such Capital Stock, or any setting apart of funds or Property for any of the foregoing.</w:t>
      </w:r>
    </w:p>
    <w:p>
      <w:pPr>
        <w:spacing w:after="0" w:line="57" w:lineRule="exact"/>
        <w:rPr>
          <w:sz w:val="20"/>
          <w:szCs w:val="20"/>
          <w:color w:val="auto"/>
        </w:rPr>
      </w:pPr>
    </w:p>
    <w:p>
      <w:pPr>
        <w:ind w:right="80" w:firstLine="164"/>
        <w:spacing w:after="0" w:line="285"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Revaluation Date</w:t>
      </w:r>
      <w:r>
        <w:rPr>
          <w:rFonts w:ascii="Arial" w:cs="Arial" w:eastAsia="Arial" w:hAnsi="Arial"/>
          <w:sz w:val="12"/>
          <w:szCs w:val="12"/>
          <w:color w:val="auto"/>
        </w:rPr>
        <w:t xml:space="preserve">” means (a) with respect to any Loan, each of the following: (i) each date of a Borrowing of a Eurocurrency Rate Loan denominated in an Alternative Currency, (ii) each date of a continuation of a Eurocurrency Rate Loan denominated in an Alternative Currency pursuant to </w:t>
      </w:r>
      <w:r>
        <w:rPr>
          <w:rFonts w:ascii="Arial" w:cs="Arial" w:eastAsia="Arial" w:hAnsi="Arial"/>
          <w:sz w:val="12"/>
          <w:szCs w:val="12"/>
          <w:u w:val="single" w:color="auto"/>
          <w:color w:val="auto"/>
        </w:rPr>
        <w:t>Section 2.02</w:t>
      </w:r>
      <w:r>
        <w:rPr>
          <w:rFonts w:ascii="Arial" w:cs="Arial" w:eastAsia="Arial" w:hAnsi="Arial"/>
          <w:sz w:val="12"/>
          <w:szCs w:val="12"/>
          <w:color w:val="auto"/>
        </w:rPr>
        <w:t>, and (iii) such additional dates as the Administrative Agent shall determine or the Required Lenders shall require; and (b) with respect to any Letter of Credit, each of the following: (i) each date of an issuance of a Letter of Credit denominated in an Alternative Currency, (ii) each date of an amendment of any such Letter of Credit having the effect of increasing the amount thereof (solely with respect to the increased amount), (iii) each date of any payment by the L/C Issuer of any Letter of Credit denominated in an Alternative Currency, (iv) in the case of the Existing Letters of Credit, the Closing Date and (v) such additional dates as the Administrative Agent or the L/C Issuer shall determine or the Required Lenders shall require.</w:t>
      </w:r>
    </w:p>
    <w:p>
      <w:pPr>
        <w:spacing w:after="0" w:line="46" w:lineRule="exact"/>
        <w:rPr>
          <w:sz w:val="20"/>
          <w:szCs w:val="20"/>
          <w:color w:val="auto"/>
        </w:rPr>
      </w:pPr>
    </w:p>
    <w:p>
      <w:pPr>
        <w:ind w:right="200" w:firstLine="164"/>
        <w:spacing w:after="0" w:line="26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Revolving Commitment</w:t>
      </w:r>
      <w:r>
        <w:rPr>
          <w:rFonts w:ascii="Arial" w:cs="Arial" w:eastAsia="Arial" w:hAnsi="Arial"/>
          <w:sz w:val="13"/>
          <w:szCs w:val="13"/>
          <w:color w:val="auto"/>
        </w:rPr>
        <w:t xml:space="preserve">” means, as to each Lender, its obligation to (a) make Revolving Loans to the Borrowers pursuant to </w:t>
      </w:r>
      <w:r>
        <w:rPr>
          <w:rFonts w:ascii="Arial" w:cs="Arial" w:eastAsia="Arial" w:hAnsi="Arial"/>
          <w:sz w:val="13"/>
          <w:szCs w:val="13"/>
          <w:u w:val="single" w:color="auto"/>
          <w:color w:val="auto"/>
        </w:rPr>
        <w:t>Section 2.01</w:t>
      </w:r>
      <w:r>
        <w:rPr>
          <w:rFonts w:ascii="Arial" w:cs="Arial" w:eastAsia="Arial" w:hAnsi="Arial"/>
          <w:sz w:val="13"/>
          <w:szCs w:val="13"/>
          <w:color w:val="auto"/>
        </w:rPr>
        <w:t xml:space="preserve">, (b) purchase participations in L/C Obligations, and (c) purchase participations in Swing Line Loans, in an aggregate principal amount at any one time outstanding not to exceed the Dollar amount set forth opposite such Lender’s name on </w:t>
      </w:r>
      <w:r>
        <w:rPr>
          <w:rFonts w:ascii="Arial" w:cs="Arial" w:eastAsia="Arial" w:hAnsi="Arial"/>
          <w:sz w:val="13"/>
          <w:szCs w:val="13"/>
          <w:u w:val="single" w:color="auto"/>
          <w:color w:val="auto"/>
        </w:rPr>
        <w:t>Schedule 2.01</w:t>
      </w:r>
      <w:r>
        <w:rPr>
          <w:rFonts w:ascii="Arial" w:cs="Arial" w:eastAsia="Arial" w:hAnsi="Arial"/>
          <w:sz w:val="13"/>
          <w:szCs w:val="13"/>
          <w:color w:val="auto"/>
        </w:rPr>
        <w:t xml:space="preserve">, in any documentation executed by such Lender pursuant to </w:t>
      </w:r>
      <w:r>
        <w:rPr>
          <w:rFonts w:ascii="Arial" w:cs="Arial" w:eastAsia="Arial" w:hAnsi="Arial"/>
          <w:sz w:val="13"/>
          <w:szCs w:val="13"/>
          <w:u w:val="single" w:color="auto"/>
          <w:color w:val="auto"/>
        </w:rPr>
        <w:t>Section 2.01(b)</w:t>
      </w:r>
      <w:r>
        <w:rPr>
          <w:rFonts w:ascii="Arial" w:cs="Arial" w:eastAsia="Arial" w:hAnsi="Arial"/>
          <w:sz w:val="13"/>
          <w:szCs w:val="13"/>
          <w:color w:val="auto"/>
        </w:rPr>
        <w:t xml:space="preserve"> or in the Assignment and Assumption pursuant to which such Lender becomes a party hereto, as applicable, as such amount may be adjusted from time to time in accordance with this Agreement.</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Revolving Loan</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2.01(a)</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08" w:name="page109"/>
    <w:bookmarkEnd w:id="108"/>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S&amp;P</w:t>
      </w:r>
      <w:r>
        <w:rPr>
          <w:rFonts w:ascii="Arial" w:cs="Arial" w:eastAsia="Arial" w:hAnsi="Arial"/>
          <w:sz w:val="13"/>
          <w:szCs w:val="13"/>
          <w:color w:val="auto"/>
        </w:rPr>
        <w:t>” means Standard &amp; Poor’s Ratings Services, a division of The McGraw-Hill Companies, Inc. and any successor thereto.</w:t>
      </w:r>
    </w:p>
    <w:p>
      <w:pPr>
        <w:spacing w:after="0" w:line="86" w:lineRule="exact"/>
        <w:rPr>
          <w:sz w:val="20"/>
          <w:szCs w:val="20"/>
          <w:color w:val="auto"/>
        </w:rPr>
      </w:pPr>
    </w:p>
    <w:p>
      <w:pPr>
        <w:ind w:right="100" w:firstLine="164"/>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Sale and Leaseback Transaction</w:t>
      </w:r>
      <w:r>
        <w:rPr>
          <w:rFonts w:ascii="Arial" w:cs="Arial" w:eastAsia="Arial" w:hAnsi="Arial"/>
          <w:sz w:val="13"/>
          <w:szCs w:val="13"/>
          <w:color w:val="auto"/>
        </w:rPr>
        <w:t>” means, with respect to the Company or any Subsidiary, any arrangement, directly or indirectly, with any Person whereby the Company or such Subsidiary shall sell or transfer any Property used or useful in its business, whether now owned or hereafter acquired, and thereafter rent or lease such Property or other Property that it intends to use for substantially the same purpose or purposes as the Property being sold or transferred.</w:t>
      </w:r>
    </w:p>
    <w:p>
      <w:pPr>
        <w:spacing w:after="0" w:line="57" w:lineRule="exact"/>
        <w:rPr>
          <w:sz w:val="20"/>
          <w:szCs w:val="20"/>
          <w:color w:val="auto"/>
        </w:rPr>
      </w:pPr>
    </w:p>
    <w:p>
      <w:pPr>
        <w:ind w:right="60" w:firstLine="164"/>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Same Day Funds</w:t>
      </w:r>
      <w:r>
        <w:rPr>
          <w:rFonts w:ascii="Arial" w:cs="Arial" w:eastAsia="Arial" w:hAnsi="Arial"/>
          <w:sz w:val="13"/>
          <w:szCs w:val="13"/>
          <w:color w:val="auto"/>
        </w:rPr>
        <w:t>” means (a) with respect to disbursements and payments in Dollars, immediately available funds, and (b) with respect to disbursements and payments in an Alternative Currency, same day or other funds as may be determined by the Administrative Agent or the L/C Issuer, as the case may be, to be customary in the place of disbursement or payment for the settlement of international banking transactions in the relevant Alternative Currency.</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w:t>
      </w:r>
      <w:r>
        <w:rPr>
          <w:rFonts w:ascii="Arial" w:cs="Arial" w:eastAsia="Arial" w:hAnsi="Arial"/>
          <w:sz w:val="13"/>
          <w:szCs w:val="13"/>
          <w:color w:val="auto"/>
        </w:rPr>
        <w:t>” means the Securities and Exchange Commission, or any Governmental Authority succeeding to any of its principal functions.</w:t>
      </w:r>
    </w:p>
    <w:p>
      <w:pPr>
        <w:spacing w:after="0" w:line="86" w:lineRule="exact"/>
        <w:rPr>
          <w:sz w:val="20"/>
          <w:szCs w:val="20"/>
          <w:color w:val="auto"/>
        </w:rPr>
      </w:pPr>
    </w:p>
    <w:p>
      <w:pPr>
        <w:ind w:right="20" w:firstLine="164"/>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Securitization Transaction</w:t>
      </w:r>
      <w:r>
        <w:rPr>
          <w:rFonts w:ascii="Arial" w:cs="Arial" w:eastAsia="Arial" w:hAnsi="Arial"/>
          <w:sz w:val="13"/>
          <w:szCs w:val="13"/>
          <w:color w:val="auto"/>
        </w:rPr>
        <w:t>” means, with respect to any Person, any financing transaction or series of financing transactions (including factoring arrangements) pursuant to which such Person or any Subsidiary of such Person may sell, convey or otherwise transfer, or grant a security interest in, accounts, payments, receivables, rights to future lease payments or residuals or similar rights to payment to a special purpose subsidiary or affiliate of such Person.</w:t>
      </w:r>
    </w:p>
    <w:p>
      <w:pPr>
        <w:spacing w:after="0" w:line="57" w:lineRule="exact"/>
        <w:rPr>
          <w:sz w:val="20"/>
          <w:szCs w:val="20"/>
          <w:color w:val="auto"/>
        </w:rPr>
      </w:pPr>
    </w:p>
    <w:p>
      <w:pPr>
        <w:ind w:firstLine="164"/>
        <w:spacing w:after="0" w:line="281"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Solvent</w:t>
      </w:r>
      <w:r>
        <w:rPr>
          <w:rFonts w:ascii="Arial" w:cs="Arial" w:eastAsia="Arial" w:hAnsi="Arial"/>
          <w:sz w:val="12"/>
          <w:szCs w:val="12"/>
          <w:color w:val="auto"/>
        </w:rPr>
        <w:t>” or “</w:t>
      </w:r>
      <w:r>
        <w:rPr>
          <w:rFonts w:ascii="Arial" w:cs="Arial" w:eastAsia="Arial" w:hAnsi="Arial"/>
          <w:sz w:val="12"/>
          <w:szCs w:val="12"/>
          <w:u w:val="single" w:color="auto"/>
          <w:color w:val="auto"/>
        </w:rPr>
        <w:t>Solvency</w:t>
      </w:r>
      <w:r>
        <w:rPr>
          <w:rFonts w:ascii="Arial" w:cs="Arial" w:eastAsia="Arial" w:hAnsi="Arial"/>
          <w:sz w:val="12"/>
          <w:szCs w:val="12"/>
          <w:color w:val="auto"/>
        </w:rPr>
        <w:t>” means, with respect to any Person as of a particular date, that on such date (a) such Person is able to pay its debts and other liabilities, contingent obligations and other commitments as they mature in the ordinary course of business, (b) such Person does not intend to, and does not believe that it will, incur debts or liabilities beyond such Person’s ability to pay as such debts and liabilities mature in their ordinary course, (c) such Person is not engaged in a business or a transaction, and is not about to engage in a business or a transaction, for which such Person’s Property would constitute unreasonably small capital after giving due consideration to the prevailing practice in the industry in which such Person is engaged or is to engage, (d) the fair value of the Property of such Person is greater than the total amount of liabilities, including, without limitation, contingent liabilities, of such Person and (e) the present fair salable value of the assets of such Person is not less than the amount that will be required to pay the probable liability of such Person on its debts as they become absolute and matured. In computing the amount of contingent liabilities at any time, it is intended that such liabilities will be computed at the amount which, in light of all the facts and circumstances existing at such time, represents the amount that can reasonably be expected to become an actual or matured liability.</w:t>
      </w:r>
    </w:p>
    <w:p>
      <w:pPr>
        <w:spacing w:after="0" w:line="49" w:lineRule="exact"/>
        <w:rPr>
          <w:sz w:val="20"/>
          <w:szCs w:val="20"/>
          <w:color w:val="auto"/>
        </w:rPr>
      </w:pPr>
    </w:p>
    <w:p>
      <w:pPr>
        <w:ind w:right="10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Special Notice Currency</w:t>
      </w:r>
      <w:r>
        <w:rPr>
          <w:rFonts w:ascii="Arial" w:cs="Arial" w:eastAsia="Arial" w:hAnsi="Arial"/>
          <w:sz w:val="13"/>
          <w:szCs w:val="13"/>
          <w:color w:val="auto"/>
        </w:rPr>
        <w:t>” means at any time an Alternative Currency, other than the currency of a country that is a member of the Organization for Economic Cooperation and Development at such time located in North America or Europe.</w:t>
      </w:r>
    </w:p>
    <w:p>
      <w:pPr>
        <w:spacing w:after="0" w:line="49" w:lineRule="exact"/>
        <w:rPr>
          <w:sz w:val="20"/>
          <w:szCs w:val="20"/>
          <w:color w:val="auto"/>
        </w:rPr>
      </w:pPr>
    </w:p>
    <w:p>
      <w:pPr>
        <w:ind w:right="40" w:firstLine="164"/>
        <w:spacing w:after="0" w:line="26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Spot Rate</w:t>
      </w:r>
      <w:r>
        <w:rPr>
          <w:rFonts w:ascii="Arial" w:cs="Arial" w:eastAsia="Arial" w:hAnsi="Arial"/>
          <w:sz w:val="13"/>
          <w:szCs w:val="13"/>
          <w:color w:val="auto"/>
        </w:rPr>
        <w:t xml:space="preserve">” for a currency means the rate determined by the Administrative Agent or the L/C Issuer, as applicable, to be the rate quoted by the Person acting in such capacity as the spot rate for the purchase by such Person of such currency with another currency through its principal foreign exchange trading office at approximately 11:00 a.m. on the date two Business Days prior to the date as of which the foreign exchange computation is made;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Administrative Agent or the L/C Issuer may obtain such spot rate from another financial institution designated by the Administrative Agent or the L/C Issuer if the Person acting in such capacity does not have as of the date of determination a spot buying rate for any such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277495</wp:posOffset>
            </wp:positionV>
            <wp:extent cx="7290435" cy="19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09" w:name="page110"/>
    <w:bookmarkEnd w:id="109"/>
    <w:p>
      <w:pPr>
        <w:spacing w:after="0"/>
        <w:rPr>
          <w:sz w:val="20"/>
          <w:szCs w:val="20"/>
          <w:color w:val="auto"/>
        </w:rPr>
      </w:pPr>
      <w:r>
        <w:rPr>
          <w:rFonts w:ascii="Arial" w:cs="Arial" w:eastAsia="Arial" w:hAnsi="Arial"/>
          <w:sz w:val="12"/>
          <w:szCs w:val="12"/>
          <w:color w:val="auto"/>
        </w:rPr>
        <w:t xml:space="preserve">and </w:t>
      </w:r>
      <w:r>
        <w:rPr>
          <w:rFonts w:ascii="Arial" w:cs="Arial" w:eastAsia="Arial" w:hAnsi="Arial"/>
          <w:sz w:val="12"/>
          <w:szCs w:val="12"/>
          <w:u w:val="single" w:color="auto"/>
          <w:color w:val="auto"/>
        </w:rPr>
        <w:t>provided further</w:t>
      </w:r>
      <w:r>
        <w:rPr>
          <w:rFonts w:ascii="Arial" w:cs="Arial" w:eastAsia="Arial" w:hAnsi="Arial"/>
          <w:sz w:val="12"/>
          <w:szCs w:val="12"/>
          <w:color w:val="auto"/>
        </w:rPr>
        <w:t xml:space="preserve"> that the L/C Issuer may use such spot rate quoted on the date as of which the foreign exchange computation is made in the case of any Letter of Credit denominated in an Alternative Currency.</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Sterling</w:t>
      </w:r>
      <w:r>
        <w:rPr>
          <w:rFonts w:ascii="Arial" w:cs="Arial" w:eastAsia="Arial" w:hAnsi="Arial"/>
          <w:sz w:val="13"/>
          <w:szCs w:val="13"/>
          <w:color w:val="auto"/>
        </w:rPr>
        <w:t>” and “</w:t>
      </w:r>
      <w:r>
        <w:rPr>
          <w:rFonts w:ascii="Arial" w:cs="Arial" w:eastAsia="Arial" w:hAnsi="Arial"/>
          <w:sz w:val="13"/>
          <w:szCs w:val="13"/>
          <w:u w:val="single" w:color="auto"/>
          <w:color w:val="auto"/>
        </w:rPr>
        <w:t>£</w:t>
      </w:r>
      <w:r>
        <w:rPr>
          <w:rFonts w:ascii="Arial" w:cs="Arial" w:eastAsia="Arial" w:hAnsi="Arial"/>
          <w:sz w:val="13"/>
          <w:szCs w:val="13"/>
          <w:color w:val="auto"/>
        </w:rPr>
        <w:t>” mean the lawful currency of the United Kingdom.</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Subordinated Indebtedness</w:t>
      </w:r>
      <w:r>
        <w:rPr>
          <w:rFonts w:ascii="Arial" w:cs="Arial" w:eastAsia="Arial" w:hAnsi="Arial"/>
          <w:sz w:val="12"/>
          <w:szCs w:val="12"/>
          <w:color w:val="auto"/>
        </w:rPr>
        <w:t>” means unsecured Indebtedness of the Borrower which by its terms is subordinated to the Obligations in a manner and to an extent acceptable to the Administrative Agent.</w:t>
      </w:r>
    </w:p>
    <w:p>
      <w:pPr>
        <w:spacing w:after="0" w:line="98" w:lineRule="exact"/>
        <w:rPr>
          <w:sz w:val="20"/>
          <w:szCs w:val="20"/>
          <w:color w:val="auto"/>
        </w:rPr>
      </w:pPr>
    </w:p>
    <w:p>
      <w:pPr>
        <w:jc w:val="both"/>
        <w:ind w:right="100" w:firstLine="164"/>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Subsidiary</w:t>
      </w:r>
      <w:r>
        <w:rPr>
          <w:rFonts w:ascii="Arial" w:cs="Arial" w:eastAsia="Arial" w:hAnsi="Arial"/>
          <w:sz w:val="13"/>
          <w:szCs w:val="13"/>
          <w:color w:val="auto"/>
        </w:rPr>
        <w:t>” of a Person means a corporation, partnership, joint venture, limited liability company or other business entity of which a majority of the shares of Voting Stock is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Company.</w:t>
      </w:r>
    </w:p>
    <w:p>
      <w:pPr>
        <w:spacing w:after="0" w:line="57" w:lineRule="exact"/>
        <w:rPr>
          <w:sz w:val="20"/>
          <w:szCs w:val="20"/>
          <w:color w:val="auto"/>
        </w:rPr>
      </w:pPr>
    </w:p>
    <w:p>
      <w:pPr>
        <w:ind w:firstLine="164"/>
        <w:spacing w:after="0" w:line="25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Swap Contract</w:t>
      </w:r>
      <w:r>
        <w:rPr>
          <w:rFonts w:ascii="Arial" w:cs="Arial" w:eastAsia="Arial" w:hAnsi="Arial"/>
          <w:sz w:val="13"/>
          <w:szCs w:val="13"/>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3"/>
          <w:szCs w:val="13"/>
          <w:u w:val="single" w:color="auto"/>
          <w:color w:val="auto"/>
        </w:rPr>
        <w:t>Master Agreement</w:t>
      </w:r>
      <w:r>
        <w:rPr>
          <w:rFonts w:ascii="Arial" w:cs="Arial" w:eastAsia="Arial" w:hAnsi="Arial"/>
          <w:sz w:val="13"/>
          <w:szCs w:val="13"/>
          <w:color w:val="auto"/>
        </w:rPr>
        <w:t>”), including any such obligations or liabilities under any Master Agreement.</w:t>
      </w:r>
    </w:p>
    <w:p>
      <w:pPr>
        <w:spacing w:after="0" w:line="63" w:lineRule="exact"/>
        <w:rPr>
          <w:sz w:val="20"/>
          <w:szCs w:val="20"/>
          <w:color w:val="auto"/>
        </w:rPr>
      </w:pPr>
    </w:p>
    <w:p>
      <w:pPr>
        <w:ind w:right="80" w:firstLine="164"/>
        <w:spacing w:after="0" w:line="26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Swap Termination Value</w:t>
      </w:r>
      <w:r>
        <w:rPr>
          <w:rFonts w:ascii="Arial" w:cs="Arial" w:eastAsia="Arial" w:hAnsi="Arial"/>
          <w:sz w:val="13"/>
          <w:szCs w:val="13"/>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Swing Line Lender</w:t>
      </w:r>
      <w:r>
        <w:rPr>
          <w:rFonts w:ascii="Arial" w:cs="Arial" w:eastAsia="Arial" w:hAnsi="Arial"/>
          <w:sz w:val="13"/>
          <w:szCs w:val="13"/>
          <w:color w:val="auto"/>
        </w:rPr>
        <w:t>” means Bank of America in its capacity as provider of Swing Line Loans, or any successor swing line lender hereunder.</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Swing Line Loan</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2.04(a)</w:t>
      </w:r>
      <w:r>
        <w:rPr>
          <w:rFonts w:ascii="Arial" w:cs="Arial" w:eastAsia="Arial" w:hAnsi="Arial"/>
          <w:sz w:val="13"/>
          <w:szCs w:val="13"/>
          <w:color w:val="auto"/>
        </w:rPr>
        <w: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Swing Line Loan Notice</w:t>
      </w:r>
      <w:r>
        <w:rPr>
          <w:rFonts w:ascii="Arial" w:cs="Arial" w:eastAsia="Arial" w:hAnsi="Arial"/>
          <w:sz w:val="13"/>
          <w:szCs w:val="13"/>
          <w:color w:val="auto"/>
        </w:rPr>
        <w:t xml:space="preserve">” means a notice of a Borrowing of Swing Line Loans pursuant to </w:t>
      </w:r>
      <w:r>
        <w:rPr>
          <w:rFonts w:ascii="Arial" w:cs="Arial" w:eastAsia="Arial" w:hAnsi="Arial"/>
          <w:sz w:val="13"/>
          <w:szCs w:val="13"/>
          <w:u w:val="single" w:color="auto"/>
          <w:color w:val="auto"/>
        </w:rPr>
        <w:t>Section 2.04(b)</w:t>
      </w:r>
      <w:r>
        <w:rPr>
          <w:rFonts w:ascii="Arial" w:cs="Arial" w:eastAsia="Arial" w:hAnsi="Arial"/>
          <w:sz w:val="13"/>
          <w:szCs w:val="13"/>
          <w:color w:val="auto"/>
        </w:rPr>
        <w:t xml:space="preserve">, which, if in writing, shall be substantially in the form of </w:t>
      </w:r>
      <w:r>
        <w:rPr>
          <w:rFonts w:ascii="Arial" w:cs="Arial" w:eastAsia="Arial" w:hAnsi="Arial"/>
          <w:sz w:val="13"/>
          <w:szCs w:val="13"/>
          <w:u w:val="single" w:color="auto"/>
          <w:color w:val="auto"/>
        </w:rPr>
        <w:t>Exhibit 2.04</w:t>
      </w:r>
      <w:r>
        <w:rPr>
          <w:rFonts w:ascii="Arial" w:cs="Arial" w:eastAsia="Arial" w:hAnsi="Arial"/>
          <w:sz w:val="13"/>
          <w:szCs w:val="13"/>
          <w:color w:val="auto"/>
        </w:rPr>
        <w:t>.</w:t>
      </w:r>
    </w:p>
    <w:p>
      <w:pPr>
        <w:spacing w:after="0" w:line="86" w:lineRule="exact"/>
        <w:rPr>
          <w:sz w:val="20"/>
          <w:szCs w:val="20"/>
          <w:color w:val="auto"/>
        </w:rPr>
      </w:pPr>
    </w:p>
    <w:p>
      <w:pPr>
        <w:ind w:right="14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Swing Line Sublimit</w:t>
      </w:r>
      <w:r>
        <w:rPr>
          <w:rFonts w:ascii="Arial" w:cs="Arial" w:eastAsia="Arial" w:hAnsi="Arial"/>
          <w:sz w:val="13"/>
          <w:szCs w:val="13"/>
          <w:color w:val="auto"/>
        </w:rPr>
        <w:t>” means an amount equal to the lesser of (a) $15,000,000 and (b) the Aggregate Revolving Commitments. The Swing Line Sublimit is part of, and not in addition to, the Aggregate Revolving Commitments.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Synthetic Lease</w:t>
      </w:r>
      <w:r>
        <w:rPr>
          <w:rFonts w:ascii="Arial" w:cs="Arial" w:eastAsia="Arial" w:hAnsi="Arial"/>
          <w:sz w:val="12"/>
          <w:szCs w:val="12"/>
          <w:color w:val="auto"/>
        </w:rPr>
        <w:t>” means any synthetic lease, tax retention operating lease, off-balance sheet loan or similar off-balance sheet financing arrangement whereby the arrangement is considered borrowed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301625</wp:posOffset>
            </wp:positionV>
            <wp:extent cx="7290435" cy="19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10" w:name="page111"/>
    <w:bookmarkEnd w:id="110"/>
    <w:p>
      <w:pPr>
        <w:spacing w:after="0"/>
        <w:rPr>
          <w:sz w:val="20"/>
          <w:szCs w:val="20"/>
          <w:color w:val="auto"/>
        </w:rPr>
      </w:pPr>
      <w:r>
        <w:rPr>
          <w:rFonts w:ascii="Arial" w:cs="Arial" w:eastAsia="Arial" w:hAnsi="Arial"/>
          <w:sz w:val="13"/>
          <w:szCs w:val="13"/>
          <w:color w:val="auto"/>
        </w:rPr>
        <w:t>money indebtedness for tax purposes but is classified as an operating lease or does not otherwise appear on a balance sheet under GAAP.</w:t>
      </w:r>
    </w:p>
    <w:p>
      <w:pPr>
        <w:spacing w:after="0" w:line="86" w:lineRule="exact"/>
        <w:rPr>
          <w:sz w:val="20"/>
          <w:szCs w:val="20"/>
          <w:color w:val="auto"/>
        </w:rPr>
      </w:pPr>
    </w:p>
    <w:p>
      <w:pPr>
        <w:ind w:right="2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TARGET Day</w:t>
      </w:r>
      <w:r>
        <w:rPr>
          <w:rFonts w:ascii="Arial" w:cs="Arial" w:eastAsia="Arial" w:hAnsi="Arial"/>
          <w:sz w:val="13"/>
          <w:szCs w:val="13"/>
          <w:color w:val="auto"/>
        </w:rPr>
        <w:t>” means any day on which the Trans-European Automated Real-time Gross Settlement Express Transfer (TARGET) payment system (or, if such payment system ceases to be operative, such other payment system (if any) determined by the Administrative Agent to be a suitable replacement) is open for the settlement of payments in Euro.</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Threshold Amount</w:t>
      </w:r>
      <w:r>
        <w:rPr>
          <w:rFonts w:ascii="Arial" w:cs="Arial" w:eastAsia="Arial" w:hAnsi="Arial"/>
          <w:sz w:val="13"/>
          <w:szCs w:val="13"/>
          <w:color w:val="auto"/>
        </w:rPr>
        <w:t>” means $15,000,000.</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Total Revolving Outstandings</w:t>
      </w:r>
      <w:r>
        <w:rPr>
          <w:rFonts w:ascii="Arial" w:cs="Arial" w:eastAsia="Arial" w:hAnsi="Arial"/>
          <w:sz w:val="13"/>
          <w:szCs w:val="13"/>
          <w:color w:val="auto"/>
        </w:rPr>
        <w:t>” means the aggregate Outstanding Amount of all Revolving Loans, all Swing Line Loans and all L/C Obligations.</w:t>
      </w:r>
    </w:p>
    <w:p>
      <w:pPr>
        <w:spacing w:after="0" w:line="86" w:lineRule="exact"/>
        <w:rPr>
          <w:sz w:val="20"/>
          <w:szCs w:val="20"/>
          <w:color w:val="auto"/>
        </w:rPr>
      </w:pPr>
    </w:p>
    <w:p>
      <w:pPr>
        <w:ind w:right="22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Treasury Management Agreement</w:t>
      </w:r>
      <w:r>
        <w:rPr>
          <w:rFonts w:ascii="Arial" w:cs="Arial" w:eastAsia="Arial" w:hAnsi="Arial"/>
          <w:sz w:val="13"/>
          <w:szCs w:val="13"/>
          <w:color w:val="auto"/>
        </w:rPr>
        <w:t>” means any agreement governing the provision of treasury or cash management services, including deposit accounts, funds transfer, automated clearinghouse, zero balance accounts, returned check concentration, controlled disbursement, lockbox, account reconciliation and reporting and trade finance services.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Tricor</w:t>
      </w:r>
      <w:r>
        <w:rPr>
          <w:rFonts w:ascii="Arial" w:cs="Arial" w:eastAsia="Arial" w:hAnsi="Arial"/>
          <w:sz w:val="13"/>
          <w:szCs w:val="13"/>
          <w:color w:val="auto"/>
        </w:rPr>
        <w:t>” has the meaning specified in the introductory paragraph hereto.</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Type</w:t>
      </w:r>
      <w:r>
        <w:rPr>
          <w:rFonts w:ascii="Arial" w:cs="Arial" w:eastAsia="Arial" w:hAnsi="Arial"/>
          <w:sz w:val="13"/>
          <w:szCs w:val="13"/>
          <w:color w:val="auto"/>
        </w:rPr>
        <w:t>” means, with respect to any Loan, its character as a Base Rate Loan or a Eurocurrency Rate Loan.</w:t>
      </w:r>
    </w:p>
    <w:p>
      <w:pPr>
        <w:spacing w:after="0" w:line="86" w:lineRule="exact"/>
        <w:rPr>
          <w:sz w:val="20"/>
          <w:szCs w:val="20"/>
          <w:color w:val="auto"/>
        </w:rPr>
      </w:pPr>
    </w:p>
    <w:p>
      <w:pPr>
        <w:ind w:right="6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Unfunded Pension Liability</w:t>
      </w:r>
      <w:r>
        <w:rPr>
          <w:rFonts w:ascii="Arial" w:cs="Arial" w:eastAsia="Arial" w:hAnsi="Arial"/>
          <w:sz w:val="13"/>
          <w:szCs w:val="13"/>
          <w:color w:val="auto"/>
        </w:rPr>
        <w:t>” means the excess of a Pension Plan’s benefit liabilities under Section 4001(a)(16) of ERISA, over the current value of that Pension Plan’s assets, determined in accordance with the assumptions used for funding that Pension Plan pursuant to Section 412 of the Internal Revenue Code for the applicable plan year.</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United States</w:t>
      </w:r>
      <w:r>
        <w:rPr>
          <w:rFonts w:ascii="Arial" w:cs="Arial" w:eastAsia="Arial" w:hAnsi="Arial"/>
          <w:sz w:val="13"/>
          <w:szCs w:val="13"/>
          <w:color w:val="auto"/>
        </w:rPr>
        <w:t>” and “</w:t>
      </w:r>
      <w:r>
        <w:rPr>
          <w:rFonts w:ascii="Arial" w:cs="Arial" w:eastAsia="Arial" w:hAnsi="Arial"/>
          <w:sz w:val="13"/>
          <w:szCs w:val="13"/>
          <w:u w:val="single" w:color="auto"/>
          <w:color w:val="auto"/>
        </w:rPr>
        <w:t>U.S.</w:t>
      </w:r>
      <w:r>
        <w:rPr>
          <w:rFonts w:ascii="Arial" w:cs="Arial" w:eastAsia="Arial" w:hAnsi="Arial"/>
          <w:sz w:val="13"/>
          <w:szCs w:val="13"/>
          <w:color w:val="auto"/>
        </w:rPr>
        <w:t>” mean the United States of America.</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Unreimbursed Amount</w:t>
      </w:r>
      <w:r>
        <w:rPr>
          <w:rFonts w:ascii="Arial" w:cs="Arial" w:eastAsia="Arial" w:hAnsi="Arial"/>
          <w:sz w:val="13"/>
          <w:szCs w:val="13"/>
          <w:color w:val="auto"/>
        </w:rPr>
        <w:t xml:space="preserve">” has the meaning specified in </w:t>
      </w:r>
      <w:r>
        <w:rPr>
          <w:rFonts w:ascii="Arial" w:cs="Arial" w:eastAsia="Arial" w:hAnsi="Arial"/>
          <w:sz w:val="13"/>
          <w:szCs w:val="13"/>
          <w:u w:val="single" w:color="auto"/>
          <w:color w:val="auto"/>
        </w:rPr>
        <w:t>Section 2.03(c)(i)</w:t>
      </w:r>
      <w:r>
        <w:rPr>
          <w:rFonts w:ascii="Arial" w:cs="Arial" w:eastAsia="Arial" w:hAnsi="Arial"/>
          <w:sz w:val="13"/>
          <w:szCs w:val="13"/>
          <w:color w:val="auto"/>
        </w:rPr>
        <w:t>.</w:t>
      </w:r>
    </w:p>
    <w:p>
      <w:pPr>
        <w:spacing w:after="0" w:line="86" w:lineRule="exact"/>
        <w:rPr>
          <w:sz w:val="20"/>
          <w:szCs w:val="20"/>
          <w:color w:val="auto"/>
        </w:rPr>
      </w:pPr>
    </w:p>
    <w:p>
      <w:pPr>
        <w:ind w:right="4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Voting Stock</w:t>
      </w:r>
      <w:r>
        <w:rPr>
          <w:rFonts w:ascii="Arial" w:cs="Arial" w:eastAsia="Arial" w:hAnsi="Arial"/>
          <w:sz w:val="13"/>
          <w:szCs w:val="13"/>
          <w:color w:val="auto"/>
        </w:rPr>
        <w:t>” means, with respect to any Person, Capital Stock issued by such Person the holders of which are ordinarily, in the absence of contingencies, entitled to vote for the election of directors (or persons performing similar functions) of such Person, even though the right so to vote has been suspended by the happening of such a contingency.</w:t>
      </w:r>
    </w:p>
    <w:p>
      <w:pPr>
        <w:spacing w:after="0" w:line="49"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Wholly Owned Subsidiary</w:t>
      </w:r>
      <w:r>
        <w:rPr>
          <w:rFonts w:ascii="Arial" w:cs="Arial" w:eastAsia="Arial" w:hAnsi="Arial"/>
          <w:sz w:val="13"/>
          <w:szCs w:val="13"/>
          <w:color w:val="auto"/>
        </w:rPr>
        <w:t>” means any Person 100% of whose Capital Stock is at the time owned by the Company directly or indirectly through other Persons 100% of whose Capital Stock is at the time owned, directly or indirectly, by the Company.</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Worldwide</w:t>
      </w:r>
      <w:r>
        <w:rPr>
          <w:rFonts w:ascii="Arial" w:cs="Arial" w:eastAsia="Arial" w:hAnsi="Arial"/>
          <w:sz w:val="13"/>
          <w:szCs w:val="13"/>
          <w:color w:val="auto"/>
        </w:rPr>
        <w:t>” has the meaning specified in the introductory paragraph hereto.</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1.02 </w:t>
      </w:r>
      <w:r>
        <w:rPr>
          <w:rFonts w:ascii="Arial" w:cs="Arial" w:eastAsia="Arial" w:hAnsi="Arial"/>
          <w:sz w:val="13"/>
          <w:szCs w:val="13"/>
          <w:u w:val="single" w:color="auto"/>
          <w:color w:val="auto"/>
        </w:rPr>
        <w:t>Other Interpretive Provisions</w:t>
      </w:r>
      <w:r>
        <w:rPr>
          <w:rFonts w:ascii="Arial" w:cs="Arial" w:eastAsia="Arial" w:hAnsi="Arial"/>
          <w:sz w:val="13"/>
          <w:szCs w:val="13"/>
          <w:color w:val="auto"/>
        </w:rPr>
        <w: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With reference to this Agreement and each other Loan Document, unless otherwise specified herein or in such other Loan Document:</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 The meanings of defined terms are equally applicable to the singular and plural forms of the defined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220" w:top="720" w:right="439" w:bottom="1440" w:gutter="0" w:footer="0" w:header="0"/>
        </w:sectPr>
      </w:pPr>
    </w:p>
    <w:bookmarkStart w:id="111" w:name="page112"/>
    <w:bookmarkEnd w:id="111"/>
    <w:p>
      <w:pPr>
        <w:ind w:left="460" w:right="480" w:firstLine="161"/>
        <w:spacing w:after="0" w:line="276" w:lineRule="auto"/>
        <w:tabs>
          <w:tab w:leader="none" w:pos="809" w:val="left"/>
        </w:tabs>
        <w:numPr>
          <w:ilvl w:val="1"/>
          <w:numId w:val="59"/>
        </w:numPr>
        <w:rPr>
          <w:rFonts w:ascii="Arial" w:cs="Arial" w:eastAsia="Arial" w:hAnsi="Arial"/>
          <w:sz w:val="13"/>
          <w:szCs w:val="13"/>
          <w:color w:val="auto"/>
        </w:rPr>
      </w:pPr>
      <w:r>
        <w:rPr>
          <w:rFonts w:ascii="Arial" w:cs="Arial" w:eastAsia="Arial" w:hAnsi="Arial"/>
          <w:sz w:val="13"/>
          <w:szCs w:val="13"/>
          <w:color w:val="auto"/>
        </w:rPr>
        <w:t>(i) The words “</w:t>
      </w:r>
      <w:r>
        <w:rPr>
          <w:rFonts w:ascii="Arial" w:cs="Arial" w:eastAsia="Arial" w:hAnsi="Arial"/>
          <w:sz w:val="13"/>
          <w:szCs w:val="13"/>
          <w:u w:val="single" w:color="auto"/>
          <w:color w:val="auto"/>
        </w:rPr>
        <w:t>herein</w:t>
      </w:r>
      <w:r>
        <w:rPr>
          <w:rFonts w:ascii="Arial" w:cs="Arial" w:eastAsia="Arial" w:hAnsi="Arial"/>
          <w:sz w:val="13"/>
          <w:szCs w:val="13"/>
          <w:color w:val="auto"/>
        </w:rPr>
        <w:t>,” “</w:t>
      </w:r>
      <w:r>
        <w:rPr>
          <w:rFonts w:ascii="Arial" w:cs="Arial" w:eastAsia="Arial" w:hAnsi="Arial"/>
          <w:sz w:val="13"/>
          <w:szCs w:val="13"/>
          <w:u w:val="single" w:color="auto"/>
          <w:color w:val="auto"/>
        </w:rPr>
        <w:t>hereto</w:t>
      </w:r>
      <w:r>
        <w:rPr>
          <w:rFonts w:ascii="Arial" w:cs="Arial" w:eastAsia="Arial" w:hAnsi="Arial"/>
          <w:sz w:val="13"/>
          <w:szCs w:val="13"/>
          <w:color w:val="auto"/>
        </w:rPr>
        <w:t>,” “</w:t>
      </w:r>
      <w:r>
        <w:rPr>
          <w:rFonts w:ascii="Arial" w:cs="Arial" w:eastAsia="Arial" w:hAnsi="Arial"/>
          <w:sz w:val="13"/>
          <w:szCs w:val="13"/>
          <w:u w:val="single" w:color="auto"/>
          <w:color w:val="auto"/>
        </w:rPr>
        <w:t>hereof</w:t>
      </w:r>
      <w:r>
        <w:rPr>
          <w:rFonts w:ascii="Arial" w:cs="Arial" w:eastAsia="Arial" w:hAnsi="Arial"/>
          <w:sz w:val="13"/>
          <w:szCs w:val="13"/>
          <w:color w:val="auto"/>
        </w:rPr>
        <w:t>” and “</w:t>
      </w:r>
      <w:r>
        <w:rPr>
          <w:rFonts w:ascii="Arial" w:cs="Arial" w:eastAsia="Arial" w:hAnsi="Arial"/>
          <w:sz w:val="13"/>
          <w:szCs w:val="13"/>
          <w:u w:val="single" w:color="auto"/>
          <w:color w:val="auto"/>
        </w:rPr>
        <w:t>hereunder</w:t>
      </w:r>
      <w:r>
        <w:rPr>
          <w:rFonts w:ascii="Arial" w:cs="Arial" w:eastAsia="Arial" w:hAnsi="Arial"/>
          <w:sz w:val="13"/>
          <w:szCs w:val="13"/>
          <w:color w:val="auto"/>
        </w:rPr>
        <w:t>” and words of similar import when used in any Loan Document shall refer to such Loan Document as a whole and not to any particular provision thereof.</w:t>
      </w:r>
    </w:p>
    <w:p>
      <w:pPr>
        <w:spacing w:after="0" w:line="49" w:lineRule="exact"/>
        <w:rPr>
          <w:rFonts w:ascii="Arial" w:cs="Arial" w:eastAsia="Arial" w:hAnsi="Arial"/>
          <w:sz w:val="13"/>
          <w:szCs w:val="13"/>
          <w:color w:val="auto"/>
        </w:rPr>
      </w:pPr>
    </w:p>
    <w:p>
      <w:pPr>
        <w:ind w:left="1160" w:hanging="195"/>
        <w:spacing w:after="0"/>
        <w:tabs>
          <w:tab w:leader="none" w:pos="1160" w:val="left"/>
        </w:tabs>
        <w:numPr>
          <w:ilvl w:val="2"/>
          <w:numId w:val="59"/>
        </w:numPr>
        <w:rPr>
          <w:rFonts w:ascii="Arial" w:cs="Arial" w:eastAsia="Arial" w:hAnsi="Arial"/>
          <w:sz w:val="13"/>
          <w:szCs w:val="13"/>
          <w:color w:val="auto"/>
        </w:rPr>
      </w:pPr>
      <w:r>
        <w:rPr>
          <w:rFonts w:ascii="Arial" w:cs="Arial" w:eastAsia="Arial" w:hAnsi="Arial"/>
          <w:sz w:val="13"/>
          <w:szCs w:val="13"/>
          <w:color w:val="auto"/>
        </w:rPr>
        <w:t>Article, Section, Exhibit and Schedule references are to the Loan Document in which such reference appears.</w:t>
      </w:r>
    </w:p>
    <w:p>
      <w:pPr>
        <w:spacing w:after="0" w:line="86" w:lineRule="exact"/>
        <w:rPr>
          <w:rFonts w:ascii="Arial" w:cs="Arial" w:eastAsia="Arial" w:hAnsi="Arial"/>
          <w:sz w:val="13"/>
          <w:szCs w:val="13"/>
          <w:color w:val="auto"/>
        </w:rPr>
      </w:pPr>
    </w:p>
    <w:p>
      <w:pPr>
        <w:ind w:left="1200" w:hanging="235"/>
        <w:spacing w:after="0"/>
        <w:tabs>
          <w:tab w:leader="none" w:pos="1200" w:val="left"/>
        </w:tabs>
        <w:numPr>
          <w:ilvl w:val="2"/>
          <w:numId w:val="59"/>
        </w:numPr>
        <w:rPr>
          <w:rFonts w:ascii="Arial" w:cs="Arial" w:eastAsia="Arial" w:hAnsi="Arial"/>
          <w:sz w:val="13"/>
          <w:szCs w:val="13"/>
          <w:color w:val="auto"/>
        </w:rPr>
      </w:pPr>
      <w:r>
        <w:rPr>
          <w:rFonts w:ascii="Arial" w:cs="Arial" w:eastAsia="Arial" w:hAnsi="Arial"/>
          <w:sz w:val="13"/>
          <w:szCs w:val="13"/>
          <w:color w:val="auto"/>
        </w:rPr>
        <w:t>The term “</w:t>
      </w:r>
      <w:r>
        <w:rPr>
          <w:rFonts w:ascii="Arial" w:cs="Arial" w:eastAsia="Arial" w:hAnsi="Arial"/>
          <w:sz w:val="13"/>
          <w:szCs w:val="13"/>
          <w:u w:val="single" w:color="auto"/>
          <w:color w:val="auto"/>
        </w:rPr>
        <w:t>including</w:t>
      </w:r>
      <w:r>
        <w:rPr>
          <w:rFonts w:ascii="Arial" w:cs="Arial" w:eastAsia="Arial" w:hAnsi="Arial"/>
          <w:sz w:val="13"/>
          <w:szCs w:val="13"/>
          <w:color w:val="auto"/>
        </w:rPr>
        <w:t>” is by way of example and not limitation.</w:t>
      </w:r>
    </w:p>
    <w:p>
      <w:pPr>
        <w:spacing w:after="0" w:line="86" w:lineRule="exact"/>
        <w:rPr>
          <w:rFonts w:ascii="Arial" w:cs="Arial" w:eastAsia="Arial" w:hAnsi="Arial"/>
          <w:sz w:val="13"/>
          <w:szCs w:val="13"/>
          <w:color w:val="auto"/>
        </w:rPr>
      </w:pPr>
    </w:p>
    <w:p>
      <w:pPr>
        <w:ind w:left="800" w:right="140" w:firstLine="165"/>
        <w:spacing w:after="0" w:line="276" w:lineRule="auto"/>
        <w:tabs>
          <w:tab w:leader="none" w:pos="1186" w:val="left"/>
        </w:tabs>
        <w:numPr>
          <w:ilvl w:val="2"/>
          <w:numId w:val="59"/>
        </w:numPr>
        <w:rPr>
          <w:rFonts w:ascii="Arial" w:cs="Arial" w:eastAsia="Arial" w:hAnsi="Arial"/>
          <w:sz w:val="13"/>
          <w:szCs w:val="13"/>
          <w:color w:val="auto"/>
        </w:rPr>
      </w:pPr>
      <w:r>
        <w:rPr>
          <w:rFonts w:ascii="Arial" w:cs="Arial" w:eastAsia="Arial" w:hAnsi="Arial"/>
          <w:sz w:val="13"/>
          <w:szCs w:val="13"/>
          <w:color w:val="auto"/>
        </w:rPr>
        <w:t>The term “</w:t>
      </w:r>
      <w:r>
        <w:rPr>
          <w:rFonts w:ascii="Arial" w:cs="Arial" w:eastAsia="Arial" w:hAnsi="Arial"/>
          <w:sz w:val="13"/>
          <w:szCs w:val="13"/>
          <w:u w:val="single" w:color="auto"/>
          <w:color w:val="auto"/>
        </w:rPr>
        <w:t>documents</w:t>
      </w:r>
      <w:r>
        <w:rPr>
          <w:rFonts w:ascii="Arial" w:cs="Arial" w:eastAsia="Arial" w:hAnsi="Arial"/>
          <w:sz w:val="13"/>
          <w:szCs w:val="13"/>
          <w:color w:val="auto"/>
        </w:rPr>
        <w:t>” includes any and all instruments, documents, agreements, certificates, notices, reports, financial statements and other writings, however evidenced, whether in physical or electronic form.</w:t>
      </w:r>
    </w:p>
    <w:p>
      <w:pPr>
        <w:spacing w:after="0" w:line="49" w:lineRule="exact"/>
        <w:rPr>
          <w:rFonts w:ascii="Arial" w:cs="Arial" w:eastAsia="Arial" w:hAnsi="Arial"/>
          <w:sz w:val="13"/>
          <w:szCs w:val="13"/>
          <w:color w:val="auto"/>
        </w:rPr>
      </w:pPr>
    </w:p>
    <w:p>
      <w:pPr>
        <w:ind w:left="560" w:hanging="168"/>
        <w:spacing w:after="0"/>
        <w:tabs>
          <w:tab w:leader="none" w:pos="560" w:val="left"/>
        </w:tabs>
        <w:numPr>
          <w:ilvl w:val="0"/>
          <w:numId w:val="60"/>
        </w:numPr>
        <w:rPr>
          <w:rFonts w:ascii="Arial" w:cs="Arial" w:eastAsia="Arial" w:hAnsi="Arial"/>
          <w:sz w:val="12"/>
          <w:szCs w:val="12"/>
          <w:color w:val="auto"/>
        </w:rPr>
      </w:pPr>
      <w:r>
        <w:rPr>
          <w:rFonts w:ascii="Arial" w:cs="Arial" w:eastAsia="Arial" w:hAnsi="Arial"/>
          <w:sz w:val="12"/>
          <w:szCs w:val="12"/>
          <w:color w:val="auto"/>
        </w:rPr>
        <w:t>In the computation of periods of time from a specified date to a later specified date, the word “</w:t>
      </w:r>
      <w:r>
        <w:rPr>
          <w:rFonts w:ascii="Arial" w:cs="Arial" w:eastAsia="Arial" w:hAnsi="Arial"/>
          <w:sz w:val="12"/>
          <w:szCs w:val="12"/>
          <w:u w:val="single" w:color="auto"/>
          <w:color w:val="auto"/>
        </w:rPr>
        <w:t>from</w:t>
      </w:r>
      <w:r>
        <w:rPr>
          <w:rFonts w:ascii="Arial" w:cs="Arial" w:eastAsia="Arial" w:hAnsi="Arial"/>
          <w:sz w:val="12"/>
          <w:szCs w:val="12"/>
          <w:color w:val="auto"/>
        </w:rPr>
        <w:t>” means “</w:t>
      </w:r>
      <w:r>
        <w:rPr>
          <w:rFonts w:ascii="Arial" w:cs="Arial" w:eastAsia="Arial" w:hAnsi="Arial"/>
          <w:sz w:val="12"/>
          <w:szCs w:val="12"/>
          <w:u w:val="single" w:color="auto"/>
          <w:color w:val="auto"/>
        </w:rPr>
        <w:t>from and including</w:t>
      </w:r>
      <w:r>
        <w:rPr>
          <w:rFonts w:ascii="Arial" w:cs="Arial" w:eastAsia="Arial" w:hAnsi="Arial"/>
          <w:sz w:val="12"/>
          <w:szCs w:val="12"/>
          <w:color w:val="auto"/>
        </w:rPr>
        <w:t>;” the words “</w:t>
      </w:r>
      <w:r>
        <w:rPr>
          <w:rFonts w:ascii="Arial" w:cs="Arial" w:eastAsia="Arial" w:hAnsi="Arial"/>
          <w:sz w:val="12"/>
          <w:szCs w:val="12"/>
          <w:u w:val="single" w:color="auto"/>
          <w:color w:val="auto"/>
        </w:rPr>
        <w:t>to</w:t>
      </w:r>
      <w:r>
        <w:rPr>
          <w:rFonts w:ascii="Arial" w:cs="Arial" w:eastAsia="Arial" w:hAnsi="Arial"/>
          <w:sz w:val="12"/>
          <w:szCs w:val="12"/>
          <w:color w:val="auto"/>
        </w:rPr>
        <w:t>” and “</w:t>
      </w:r>
      <w:r>
        <w:rPr>
          <w:rFonts w:ascii="Arial" w:cs="Arial" w:eastAsia="Arial" w:hAnsi="Arial"/>
          <w:sz w:val="12"/>
          <w:szCs w:val="12"/>
          <w:u w:val="single" w:color="auto"/>
          <w:color w:val="auto"/>
        </w:rPr>
        <w:t>until</w:t>
      </w:r>
      <w:r>
        <w:rPr>
          <w:rFonts w:ascii="Arial" w:cs="Arial" w:eastAsia="Arial" w:hAnsi="Arial"/>
          <w:sz w:val="12"/>
          <w:szCs w:val="12"/>
          <w:color w:val="auto"/>
        </w:rPr>
        <w:t>” each mean “</w:t>
      </w:r>
      <w:r>
        <w:rPr>
          <w:rFonts w:ascii="Arial" w:cs="Arial" w:eastAsia="Arial" w:hAnsi="Arial"/>
          <w:sz w:val="12"/>
          <w:szCs w:val="12"/>
          <w:u w:val="single" w:color="auto"/>
          <w:color w:val="auto"/>
        </w:rPr>
        <w:t>to but excluding</w:t>
      </w:r>
      <w:r>
        <w:rPr>
          <w:rFonts w:ascii="Arial" w:cs="Arial" w:eastAsia="Arial" w:hAnsi="Arial"/>
          <w:sz w:val="12"/>
          <w:szCs w:val="12"/>
          <w:color w:val="auto"/>
        </w:rPr>
        <w:t>;” and the word</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through</w:t>
      </w:r>
      <w:r>
        <w:rPr>
          <w:rFonts w:ascii="Arial" w:cs="Arial" w:eastAsia="Arial" w:hAnsi="Arial"/>
          <w:sz w:val="13"/>
          <w:szCs w:val="13"/>
          <w:color w:val="auto"/>
        </w:rPr>
        <w:t>” means “</w:t>
      </w:r>
      <w:r>
        <w:rPr>
          <w:rFonts w:ascii="Arial" w:cs="Arial" w:eastAsia="Arial" w:hAnsi="Arial"/>
          <w:sz w:val="13"/>
          <w:szCs w:val="13"/>
          <w:u w:val="single" w:color="auto"/>
          <w:color w:val="auto"/>
        </w:rPr>
        <w:t>to and including</w:t>
      </w:r>
      <w:r>
        <w:rPr>
          <w:rFonts w:ascii="Arial" w:cs="Arial" w:eastAsia="Arial" w:hAnsi="Arial"/>
          <w:sz w:val="13"/>
          <w:szCs w:val="13"/>
          <w:color w:val="auto"/>
        </w:rPr>
        <w:t>.”</w:t>
      </w:r>
    </w:p>
    <w:p>
      <w:pPr>
        <w:spacing w:after="0" w:line="79" w:lineRule="exact"/>
        <w:rPr>
          <w:sz w:val="20"/>
          <w:szCs w:val="20"/>
          <w:color w:val="auto"/>
        </w:rPr>
      </w:pPr>
    </w:p>
    <w:p>
      <w:pPr>
        <w:ind w:left="400"/>
        <w:spacing w:after="0"/>
        <w:rPr>
          <w:sz w:val="20"/>
          <w:szCs w:val="20"/>
          <w:color w:val="auto"/>
        </w:rPr>
      </w:pPr>
      <w:r>
        <w:rPr>
          <w:rFonts w:ascii="Arial" w:cs="Arial" w:eastAsia="Arial" w:hAnsi="Arial"/>
          <w:sz w:val="12"/>
          <w:szCs w:val="12"/>
          <w:color w:val="auto"/>
        </w:rPr>
        <w:t>(d) Section headings herein and in the other Loan Documents are included for convenience of reference only and shall not affect the interpretation of this Agreement or any other Loan Document.</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1.03 </w:t>
      </w:r>
      <w:r>
        <w:rPr>
          <w:rFonts w:ascii="Arial" w:cs="Arial" w:eastAsia="Arial" w:hAnsi="Arial"/>
          <w:sz w:val="13"/>
          <w:szCs w:val="13"/>
          <w:u w:val="single" w:color="auto"/>
          <w:color w:val="auto"/>
        </w:rPr>
        <w:t>Accounting Terms</w:t>
      </w:r>
      <w:r>
        <w:rPr>
          <w:rFonts w:ascii="Arial" w:cs="Arial" w:eastAsia="Arial" w:hAnsi="Arial"/>
          <w:sz w:val="13"/>
          <w:szCs w:val="13"/>
          <w:color w:val="auto"/>
        </w:rPr>
        <w:t>.</w:t>
      </w:r>
    </w:p>
    <w:p>
      <w:pPr>
        <w:spacing w:after="0" w:line="86" w:lineRule="exact"/>
        <w:rPr>
          <w:sz w:val="20"/>
          <w:szCs w:val="20"/>
          <w:color w:val="auto"/>
        </w:rPr>
      </w:pPr>
    </w:p>
    <w:p>
      <w:pPr>
        <w:ind w:right="60" w:firstLine="162"/>
        <w:spacing w:after="0" w:line="260" w:lineRule="auto"/>
        <w:tabs>
          <w:tab w:leader="none" w:pos="342" w:val="left"/>
        </w:tabs>
        <w:numPr>
          <w:ilvl w:val="0"/>
          <w:numId w:val="61"/>
        </w:numPr>
        <w:rPr>
          <w:rFonts w:ascii="Arial" w:cs="Arial" w:eastAsia="Arial" w:hAnsi="Arial"/>
          <w:sz w:val="13"/>
          <w:szCs w:val="13"/>
          <w:color w:val="auto"/>
        </w:rPr>
      </w:pPr>
      <w:r>
        <w:rPr>
          <w:rFonts w:ascii="Arial" w:cs="Arial" w:eastAsia="Arial" w:hAnsi="Arial"/>
          <w:sz w:val="13"/>
          <w:szCs w:val="13"/>
          <w:color w:val="auto"/>
        </w:rPr>
        <w:t>Except as otherwise specifically prescribed herein,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provided, however, that calculations of Attributable Indebtedness under any Synthetic Lease or the implied interest component of any Synthetic Lease shall be made by the Company in accordance with accepted financial practice and consistent with the terms of such Synthetic Lease.</w:t>
      </w:r>
    </w:p>
    <w:p>
      <w:pPr>
        <w:spacing w:after="0" w:line="59" w:lineRule="exact"/>
        <w:rPr>
          <w:rFonts w:ascii="Arial" w:cs="Arial" w:eastAsia="Arial" w:hAnsi="Arial"/>
          <w:sz w:val="13"/>
          <w:szCs w:val="13"/>
          <w:color w:val="auto"/>
        </w:rPr>
      </w:pPr>
    </w:p>
    <w:p>
      <w:pPr>
        <w:ind w:left="340" w:hanging="178"/>
        <w:spacing w:after="0"/>
        <w:tabs>
          <w:tab w:leader="none" w:pos="340" w:val="left"/>
        </w:tabs>
        <w:numPr>
          <w:ilvl w:val="0"/>
          <w:numId w:val="61"/>
        </w:numPr>
        <w:rPr>
          <w:rFonts w:ascii="Arial" w:cs="Arial" w:eastAsia="Arial" w:hAnsi="Arial"/>
          <w:sz w:val="12"/>
          <w:szCs w:val="12"/>
          <w:color w:val="auto"/>
        </w:rPr>
      </w:pPr>
      <w:r>
        <w:rPr>
          <w:rFonts w:ascii="Arial" w:cs="Arial" w:eastAsia="Arial" w:hAnsi="Arial"/>
          <w:sz w:val="12"/>
          <w:szCs w:val="12"/>
          <w:color w:val="auto"/>
        </w:rPr>
        <w:t>The Company will provide a written summary of material changes in GAAP and in the consistent application thereof with each annual and quarterly Compliance Certificate delivered in accordance with</w:t>
      </w:r>
    </w:p>
    <w:p>
      <w:pPr>
        <w:spacing w:after="0" w:line="27" w:lineRule="exact"/>
        <w:rPr>
          <w:sz w:val="20"/>
          <w:szCs w:val="20"/>
          <w:color w:val="auto"/>
        </w:rPr>
      </w:pPr>
    </w:p>
    <w:p>
      <w:pPr>
        <w:spacing w:after="0" w:line="255" w:lineRule="auto"/>
        <w:rPr>
          <w:sz w:val="20"/>
          <w:szCs w:val="20"/>
          <w:color w:val="auto"/>
        </w:rPr>
      </w:pPr>
      <w:r>
        <w:rPr>
          <w:rFonts w:ascii="Arial" w:cs="Arial" w:eastAsia="Arial" w:hAnsi="Arial"/>
          <w:sz w:val="13"/>
          <w:szCs w:val="13"/>
          <w:u w:val="single" w:color="auto"/>
          <w:color w:val="auto"/>
        </w:rPr>
        <w:t>Section 7.02(b)</w:t>
      </w:r>
      <w:r>
        <w:rPr>
          <w:rFonts w:ascii="Arial" w:cs="Arial" w:eastAsia="Arial" w:hAnsi="Arial"/>
          <w:sz w:val="13"/>
          <w:szCs w:val="13"/>
          <w:color w:val="auto"/>
        </w:rPr>
        <w:t xml:space="preserve">. If at any time any change in GAAP would affect the computation of any financial ratio or requirement set forth in any Loan Document, and either the Company or the Required Lenders shall so request, the Administrative Agent, the Lenders and the Company shall negotiate in good faith to amend such ratio or requirement to preserve the original intent thereof in light of such change in GAAP (subject to the approval of the Required Lenders); </w:t>
      </w:r>
      <w:r>
        <w:rPr>
          <w:rFonts w:ascii="Arial" w:cs="Arial" w:eastAsia="Arial" w:hAnsi="Arial"/>
          <w:sz w:val="13"/>
          <w:szCs w:val="13"/>
          <w:u w:val="single" w:color="auto"/>
          <w:color w:val="auto"/>
        </w:rPr>
        <w:t>provided that</w:t>
      </w:r>
      <w:r>
        <w:rPr>
          <w:rFonts w:ascii="Arial" w:cs="Arial" w:eastAsia="Arial" w:hAnsi="Arial"/>
          <w:sz w:val="13"/>
          <w:szCs w:val="13"/>
          <w:color w:val="auto"/>
        </w:rPr>
        <w:t>, until so amended, (i) such ratio or requirement shall continue to be computed in accordance with GAAP prior to such change therein and (ii) the Company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63" w:lineRule="exact"/>
        <w:rPr>
          <w:sz w:val="20"/>
          <w:szCs w:val="20"/>
          <w:color w:val="auto"/>
        </w:rPr>
      </w:pPr>
    </w:p>
    <w:p>
      <w:pPr>
        <w:ind w:right="40" w:firstLine="162"/>
        <w:spacing w:after="0" w:line="276" w:lineRule="auto"/>
        <w:tabs>
          <w:tab w:leader="none" w:pos="342" w:val="left"/>
        </w:tabs>
        <w:numPr>
          <w:ilvl w:val="0"/>
          <w:numId w:val="62"/>
        </w:numPr>
        <w:rPr>
          <w:rFonts w:ascii="Arial" w:cs="Arial" w:eastAsia="Arial" w:hAnsi="Arial"/>
          <w:sz w:val="13"/>
          <w:szCs w:val="13"/>
          <w:color w:val="auto"/>
        </w:rPr>
      </w:pPr>
      <w:r>
        <w:rPr>
          <w:rFonts w:ascii="Arial" w:cs="Arial" w:eastAsia="Arial" w:hAnsi="Arial"/>
          <w:sz w:val="13"/>
          <w:szCs w:val="13"/>
          <w:color w:val="auto"/>
        </w:rPr>
        <w:t xml:space="preserve">Notwithstanding the above, the parties hereto acknowledge and agree that all calculations of the financial covenants in </w:t>
      </w:r>
      <w:r>
        <w:rPr>
          <w:rFonts w:ascii="Arial" w:cs="Arial" w:eastAsia="Arial" w:hAnsi="Arial"/>
          <w:sz w:val="13"/>
          <w:szCs w:val="13"/>
          <w:u w:val="single" w:color="auto"/>
          <w:color w:val="auto"/>
        </w:rPr>
        <w:t>Section 8.11</w:t>
      </w:r>
      <w:r>
        <w:rPr>
          <w:rFonts w:ascii="Arial" w:cs="Arial" w:eastAsia="Arial" w:hAnsi="Arial"/>
          <w:sz w:val="13"/>
          <w:szCs w:val="13"/>
          <w:color w:val="auto"/>
        </w:rPr>
        <w:t xml:space="preserve"> (including for purposes of determining the Applicable Rate) shall be made on a Pro Forma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12" w:name="page113"/>
    <w:bookmarkEnd w:id="112"/>
    <w:p>
      <w:pPr>
        <w:spacing w:after="0"/>
        <w:rPr>
          <w:sz w:val="20"/>
          <w:szCs w:val="20"/>
          <w:color w:val="auto"/>
        </w:rPr>
      </w:pPr>
      <w:r>
        <w:rPr>
          <w:rFonts w:ascii="Arial" w:cs="Arial" w:eastAsia="Arial" w:hAnsi="Arial"/>
          <w:sz w:val="13"/>
          <w:szCs w:val="13"/>
          <w:color w:val="auto"/>
        </w:rPr>
        <w:t xml:space="preserve">1.04 </w:t>
      </w:r>
      <w:r>
        <w:rPr>
          <w:rFonts w:ascii="Arial" w:cs="Arial" w:eastAsia="Arial" w:hAnsi="Arial"/>
          <w:sz w:val="13"/>
          <w:szCs w:val="13"/>
          <w:u w:val="single" w:color="auto"/>
          <w:color w:val="auto"/>
        </w:rPr>
        <w:t>Rounding</w:t>
      </w:r>
      <w:r>
        <w:rPr>
          <w:rFonts w:ascii="Arial" w:cs="Arial" w:eastAsia="Arial" w:hAnsi="Arial"/>
          <w:sz w:val="13"/>
          <w:szCs w:val="13"/>
          <w:color w:val="auto"/>
        </w:rPr>
        <w:t>.</w:t>
      </w:r>
    </w:p>
    <w:p>
      <w:pPr>
        <w:spacing w:after="0" w:line="86" w:lineRule="exact"/>
        <w:rPr>
          <w:sz w:val="20"/>
          <w:szCs w:val="20"/>
          <w:color w:val="auto"/>
        </w:rPr>
      </w:pPr>
    </w:p>
    <w:p>
      <w:pPr>
        <w:ind w:right="200" w:firstLine="157"/>
        <w:spacing w:after="0" w:line="276" w:lineRule="auto"/>
        <w:rPr>
          <w:sz w:val="20"/>
          <w:szCs w:val="20"/>
          <w:color w:val="auto"/>
        </w:rPr>
      </w:pPr>
      <w:r>
        <w:rPr>
          <w:rFonts w:ascii="Arial" w:cs="Arial" w:eastAsia="Arial" w:hAnsi="Arial"/>
          <w:sz w:val="13"/>
          <w:szCs w:val="13"/>
          <w:color w:val="auto"/>
        </w:rPr>
        <w:t>Any financial ratios required to be maintained by the Company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1.05 </w:t>
      </w:r>
      <w:r>
        <w:rPr>
          <w:rFonts w:ascii="Arial" w:cs="Arial" w:eastAsia="Arial" w:hAnsi="Arial"/>
          <w:sz w:val="13"/>
          <w:szCs w:val="13"/>
          <w:u w:val="single" w:color="auto"/>
          <w:color w:val="auto"/>
        </w:rPr>
        <w:t>References to Agreements and Laws</w:t>
      </w:r>
      <w:r>
        <w:rPr>
          <w:rFonts w:ascii="Arial" w:cs="Arial" w:eastAsia="Arial" w:hAnsi="Arial"/>
          <w:sz w:val="13"/>
          <w:szCs w:val="13"/>
          <w:color w:val="auto"/>
        </w:rPr>
        <w:t>.</w:t>
      </w:r>
    </w:p>
    <w:p>
      <w:pPr>
        <w:spacing w:after="0" w:line="86" w:lineRule="exact"/>
        <w:rPr>
          <w:sz w:val="20"/>
          <w:szCs w:val="20"/>
          <w:color w:val="auto"/>
        </w:rPr>
      </w:pPr>
    </w:p>
    <w:p>
      <w:pPr>
        <w:ind w:firstLine="164"/>
        <w:spacing w:after="0" w:line="296" w:lineRule="auto"/>
        <w:rPr>
          <w:sz w:val="20"/>
          <w:szCs w:val="20"/>
          <w:color w:val="auto"/>
        </w:rPr>
      </w:pPr>
      <w:r>
        <w:rPr>
          <w:rFonts w:ascii="Arial" w:cs="Arial" w:eastAsia="Arial" w:hAnsi="Arial"/>
          <w:sz w:val="12"/>
          <w:szCs w:val="12"/>
          <w:color w:val="auto"/>
        </w:rPr>
        <w:t>Unless otherwise expressly provided herein, (a) references to Organization Documents, agreements (including the Loan Documents) and other contractual instruments shall be deemed to include all subsequent amendments, restatements, extensions, supplements and other modifications thereto, but only to the extent that such amendments, restatements, extensions, supplements and other modifications are not prohibited by any Loan Document; and (b) references to any Law shall include all statutory and regulatory provisions consolidating, amending, replacing, supplementing or interpreting such Law.</w:t>
      </w:r>
    </w:p>
    <w:p>
      <w:pPr>
        <w:spacing w:after="0" w:line="11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1.06 </w:t>
      </w:r>
      <w:r>
        <w:rPr>
          <w:rFonts w:ascii="Arial" w:cs="Arial" w:eastAsia="Arial" w:hAnsi="Arial"/>
          <w:sz w:val="13"/>
          <w:szCs w:val="13"/>
          <w:u w:val="single" w:color="auto"/>
          <w:color w:val="auto"/>
        </w:rPr>
        <w:t>Exchange Rates; Currency Equivalents</w:t>
      </w:r>
      <w:r>
        <w:rPr>
          <w:rFonts w:ascii="Arial" w:cs="Arial" w:eastAsia="Arial" w:hAnsi="Arial"/>
          <w:sz w:val="13"/>
          <w:szCs w:val="13"/>
          <w:color w:val="auto"/>
        </w:rPr>
        <w:t>.</w:t>
      </w:r>
    </w:p>
    <w:p>
      <w:pPr>
        <w:spacing w:after="0" w:line="86" w:lineRule="exact"/>
        <w:rPr>
          <w:sz w:val="20"/>
          <w:szCs w:val="20"/>
          <w:color w:val="auto"/>
        </w:rPr>
      </w:pPr>
    </w:p>
    <w:p>
      <w:pPr>
        <w:ind w:right="60" w:firstLine="162"/>
        <w:spacing w:after="0" w:line="322" w:lineRule="auto"/>
        <w:tabs>
          <w:tab w:leader="none" w:pos="340" w:val="left"/>
        </w:tabs>
        <w:numPr>
          <w:ilvl w:val="0"/>
          <w:numId w:val="63"/>
        </w:numPr>
        <w:rPr>
          <w:rFonts w:ascii="Arial" w:cs="Arial" w:eastAsia="Arial" w:hAnsi="Arial"/>
          <w:sz w:val="11"/>
          <w:szCs w:val="11"/>
          <w:color w:val="auto"/>
        </w:rPr>
      </w:pPr>
      <w:r>
        <w:rPr>
          <w:rFonts w:ascii="Arial" w:cs="Arial" w:eastAsia="Arial" w:hAnsi="Arial"/>
          <w:sz w:val="11"/>
          <w:szCs w:val="11"/>
          <w:color w:val="auto"/>
        </w:rPr>
        <w:t>The Administrative Agent or the L/C Issuer, as applicable, shall determine the Spot Rates as of each Revaluation Date to be used for calculating Dollar Equivalent amounts of Credit Extensions and Outstanding Amounts denominated in Alternative Currencies. Such Spot Rates shall become effective as of such Revaluation Date and shall be the Spot Rates employed in converting any amounts between the applicable currencies until the next Revaluation Date to occur. Except for purposes of financial statements delivered by Loan Parties hereunder or calculating financial covenants hereunder or except as otherwise provided herein, the applicable amount of any currency (other than Dollars) for purposes of the Loan Documents shall be such Dollar Equivalent amount as so determined by the Administrative Agent or the L/C Issuer, as applicable.</w:t>
      </w:r>
    </w:p>
    <w:p>
      <w:pPr>
        <w:spacing w:after="0" w:line="28" w:lineRule="exact"/>
        <w:rPr>
          <w:rFonts w:ascii="Arial" w:cs="Arial" w:eastAsia="Arial" w:hAnsi="Arial"/>
          <w:sz w:val="11"/>
          <w:szCs w:val="11"/>
          <w:color w:val="auto"/>
        </w:rPr>
      </w:pPr>
    </w:p>
    <w:p>
      <w:pPr>
        <w:ind w:right="40" w:firstLine="162"/>
        <w:spacing w:after="0" w:line="260" w:lineRule="auto"/>
        <w:tabs>
          <w:tab w:leader="none" w:pos="347" w:val="left"/>
        </w:tabs>
        <w:numPr>
          <w:ilvl w:val="0"/>
          <w:numId w:val="63"/>
        </w:numPr>
        <w:rPr>
          <w:rFonts w:ascii="Arial" w:cs="Arial" w:eastAsia="Arial" w:hAnsi="Arial"/>
          <w:sz w:val="13"/>
          <w:szCs w:val="13"/>
          <w:color w:val="auto"/>
        </w:rPr>
      </w:pPr>
      <w:r>
        <w:rPr>
          <w:rFonts w:ascii="Arial" w:cs="Arial" w:eastAsia="Arial" w:hAnsi="Arial"/>
          <w:sz w:val="13"/>
          <w:szCs w:val="13"/>
          <w:color w:val="auto"/>
        </w:rPr>
        <w:t>Wherever in this Agreement in connection with a Borrowing, conversion, continuation or prepayment of a Eurocurrency Rate Loan or the issuance, amendment or extension of a Letter of Credit, an amount, such as a required minimum or multiple amount, is expressed in Dollars, but such Borrowing, Eurocurrency Rate Loan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L/C Issuer, as the case may be.</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1.07 </w:t>
      </w:r>
      <w:r>
        <w:rPr>
          <w:rFonts w:ascii="Arial" w:cs="Arial" w:eastAsia="Arial" w:hAnsi="Arial"/>
          <w:sz w:val="13"/>
          <w:szCs w:val="13"/>
          <w:u w:val="single" w:color="auto"/>
          <w:color w:val="auto"/>
        </w:rPr>
        <w:t>Additional Alternative Currencies</w:t>
      </w:r>
      <w:r>
        <w:rPr>
          <w:rFonts w:ascii="Arial" w:cs="Arial" w:eastAsia="Arial" w:hAnsi="Arial"/>
          <w:sz w:val="13"/>
          <w:szCs w:val="13"/>
          <w:color w:val="auto"/>
        </w:rPr>
        <w:t>.</w:t>
      </w:r>
    </w:p>
    <w:p>
      <w:pPr>
        <w:spacing w:after="0" w:line="86" w:lineRule="exact"/>
        <w:rPr>
          <w:sz w:val="20"/>
          <w:szCs w:val="20"/>
          <w:color w:val="auto"/>
        </w:rPr>
      </w:pPr>
    </w:p>
    <w:p>
      <w:pPr>
        <w:ind w:right="60" w:firstLine="162"/>
        <w:spacing w:after="0" w:line="260" w:lineRule="auto"/>
        <w:tabs>
          <w:tab w:leader="none" w:pos="340" w:val="left"/>
        </w:tabs>
        <w:numPr>
          <w:ilvl w:val="0"/>
          <w:numId w:val="64"/>
        </w:numPr>
        <w:rPr>
          <w:rFonts w:ascii="Arial" w:cs="Arial" w:eastAsia="Arial" w:hAnsi="Arial"/>
          <w:sz w:val="13"/>
          <w:szCs w:val="13"/>
          <w:color w:val="auto"/>
        </w:rPr>
      </w:pPr>
      <w:r>
        <w:rPr>
          <w:rFonts w:ascii="Arial" w:cs="Arial" w:eastAsia="Arial" w:hAnsi="Arial"/>
          <w:sz w:val="13"/>
          <w:szCs w:val="13"/>
          <w:color w:val="auto"/>
        </w:rPr>
        <w:t xml:space="preserve">The Company may from time to time request that Eurocurrency Rate Loans be made and/or Letters of Credit be issued in a currency other than those specifically listed in the definition of “Alternative Currency;”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such requested currency is a lawful currency (other than Dollars) that is readily available and freely transferable and convertible into Dollars. In the case of any such request with respect to the making of Eurocurrency Rate Loans, such request shall be subject to the approval of the Administrative Agent and the Lenders; and in the case of any such request with respect to the issuance of Letters of Credit, such request shall be subject to the approval of the Administrative Agent and the L/C Issuer.</w:t>
      </w:r>
    </w:p>
    <w:p>
      <w:pPr>
        <w:spacing w:after="0" w:line="59" w:lineRule="exact"/>
        <w:rPr>
          <w:rFonts w:ascii="Arial" w:cs="Arial" w:eastAsia="Arial" w:hAnsi="Arial"/>
          <w:sz w:val="13"/>
          <w:szCs w:val="13"/>
          <w:color w:val="auto"/>
        </w:rPr>
      </w:pPr>
    </w:p>
    <w:p>
      <w:pPr>
        <w:ind w:right="200" w:firstLine="162"/>
        <w:spacing w:after="0" w:line="320" w:lineRule="auto"/>
        <w:tabs>
          <w:tab w:leader="none" w:pos="342" w:val="left"/>
        </w:tabs>
        <w:numPr>
          <w:ilvl w:val="0"/>
          <w:numId w:val="64"/>
        </w:numPr>
        <w:rPr>
          <w:rFonts w:ascii="Arial" w:cs="Arial" w:eastAsia="Arial" w:hAnsi="Arial"/>
          <w:sz w:val="12"/>
          <w:szCs w:val="12"/>
          <w:color w:val="auto"/>
        </w:rPr>
      </w:pPr>
      <w:r>
        <w:rPr>
          <w:rFonts w:ascii="Arial" w:cs="Arial" w:eastAsia="Arial" w:hAnsi="Arial"/>
          <w:sz w:val="12"/>
          <w:szCs w:val="12"/>
          <w:color w:val="auto"/>
        </w:rPr>
        <w:t>Any such request shall be made to the Administrative Agent not later than 11:00 a.m., fifteen Business Days prior to the date of the desired Credit Extension (or such other time or date as may be agreed by the Administrative Agent and, in the case of any such request pertaining to Letters of Credit, the L/C Issuer, in its or their sole discretion). In the case of any such request pertaining to Eurocurrency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90435" cy="19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13" w:name="page114"/>
    <w:bookmarkEnd w:id="113"/>
    <w:p>
      <w:pPr>
        <w:ind w:right="20"/>
        <w:spacing w:after="0" w:line="260" w:lineRule="auto"/>
        <w:rPr>
          <w:sz w:val="20"/>
          <w:szCs w:val="20"/>
          <w:color w:val="auto"/>
        </w:rPr>
      </w:pPr>
      <w:r>
        <w:rPr>
          <w:rFonts w:ascii="Arial" w:cs="Arial" w:eastAsia="Arial" w:hAnsi="Arial"/>
          <w:sz w:val="13"/>
          <w:szCs w:val="13"/>
          <w:color w:val="auto"/>
        </w:rPr>
        <w:t>Rate Loans, the Administrative Agent shall promptly notify each Lender thereof; and in the case of any such request pertaining to Letters of Credit, the Administrative Agent shall promptly notify the L/C Issuer thereof. Each Lender (in the case of any such request pertaining to Eurocurrency Rate Loans) or the L/C Issuer (in the case of a request pertaining to Letters of Credit) shall notify the Administrative Agent, not later than 11:00 a.m., seven Business Days after receipt of such request whether it consents, in its sole discretion, to the making of Eurocurrency Rate Loans or the issuance of Letters of Credit, as the case may be, in such requested currency.</w:t>
      </w:r>
    </w:p>
    <w:p>
      <w:pPr>
        <w:spacing w:after="0" w:line="60" w:lineRule="exact"/>
        <w:rPr>
          <w:sz w:val="20"/>
          <w:szCs w:val="20"/>
          <w:color w:val="auto"/>
        </w:rPr>
      </w:pPr>
    </w:p>
    <w:p>
      <w:pPr>
        <w:ind w:firstLine="162"/>
        <w:spacing w:after="0" w:line="282" w:lineRule="auto"/>
        <w:tabs>
          <w:tab w:leader="none" w:pos="335" w:val="left"/>
        </w:tabs>
        <w:numPr>
          <w:ilvl w:val="0"/>
          <w:numId w:val="65"/>
        </w:numPr>
        <w:rPr>
          <w:rFonts w:ascii="Arial" w:cs="Arial" w:eastAsia="Arial" w:hAnsi="Arial"/>
          <w:sz w:val="12"/>
          <w:szCs w:val="12"/>
          <w:color w:val="auto"/>
        </w:rPr>
      </w:pPr>
      <w:r>
        <w:rPr>
          <w:rFonts w:ascii="Arial" w:cs="Arial" w:eastAsia="Arial" w:hAnsi="Arial"/>
          <w:sz w:val="12"/>
          <w:szCs w:val="12"/>
          <w:color w:val="auto"/>
        </w:rPr>
        <w:t xml:space="preserve">Any failure by a Lender or the L/C Issuer, as the case may be, to respond to such request within the time period specified in the preceding sentence shall be deemed to be a refusal by such Lender or the L/C Issuer, as the case may be, to permit Eurocurrency Rate Loans to be made or Letters of Credit to be issued in such requested currency. If the Administrative Agent and all the Lenders consent to making Eurocurrency Rate Loans in such requested currency, the Administrative Agent shall so notify the Company and such currency shall thereupon be deemed for all purposes to be an Alternative Currency hereunder for purposes of any Borrowings of Eurocurrency Rate Loans; and if the Administrative Agent and the L/C Issuer consent to the issuance of Letters of Credit in such requested currency, the Administrative Agent shall so notify the Company and such currency shall thereupon be deemed for all purposes to be an Alternative Currency hereunder for purposes of any Letter of Credit issuances. If the Administrative Agent shall fail to obtain consent to any request for an additional currency under this </w:t>
      </w:r>
      <w:r>
        <w:rPr>
          <w:rFonts w:ascii="Arial" w:cs="Arial" w:eastAsia="Arial" w:hAnsi="Arial"/>
          <w:sz w:val="12"/>
          <w:szCs w:val="12"/>
          <w:u w:val="single" w:color="auto"/>
          <w:color w:val="auto"/>
        </w:rPr>
        <w:t>Section 1.07</w:t>
      </w:r>
      <w:r>
        <w:rPr>
          <w:rFonts w:ascii="Arial" w:cs="Arial" w:eastAsia="Arial" w:hAnsi="Arial"/>
          <w:sz w:val="12"/>
          <w:szCs w:val="12"/>
          <w:color w:val="auto"/>
        </w:rPr>
        <w:t>, the Administrative Agent shall promptly so notify the Company.</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1.08 </w:t>
      </w:r>
      <w:r>
        <w:rPr>
          <w:rFonts w:ascii="Arial" w:cs="Arial" w:eastAsia="Arial" w:hAnsi="Arial"/>
          <w:sz w:val="13"/>
          <w:szCs w:val="13"/>
          <w:u w:val="single" w:color="auto"/>
          <w:color w:val="auto"/>
        </w:rPr>
        <w:t>Change of Currency</w:t>
      </w:r>
      <w:r>
        <w:rPr>
          <w:rFonts w:ascii="Arial" w:cs="Arial" w:eastAsia="Arial" w:hAnsi="Arial"/>
          <w:sz w:val="13"/>
          <w:szCs w:val="13"/>
          <w:color w:val="auto"/>
        </w:rPr>
        <w:t>.</w:t>
      </w:r>
    </w:p>
    <w:p>
      <w:pPr>
        <w:spacing w:after="0" w:line="86" w:lineRule="exact"/>
        <w:rPr>
          <w:sz w:val="20"/>
          <w:szCs w:val="20"/>
          <w:color w:val="auto"/>
        </w:rPr>
      </w:pPr>
    </w:p>
    <w:p>
      <w:pPr>
        <w:ind w:right="20" w:firstLine="162"/>
        <w:spacing w:after="0" w:line="285" w:lineRule="auto"/>
        <w:tabs>
          <w:tab w:leader="none" w:pos="342" w:val="left"/>
        </w:tabs>
        <w:numPr>
          <w:ilvl w:val="0"/>
          <w:numId w:val="66"/>
        </w:numPr>
        <w:rPr>
          <w:rFonts w:ascii="Arial" w:cs="Arial" w:eastAsia="Arial" w:hAnsi="Arial"/>
          <w:sz w:val="12"/>
          <w:szCs w:val="12"/>
          <w:color w:val="auto"/>
        </w:rPr>
      </w:pPr>
      <w:r>
        <w:rPr>
          <w:rFonts w:ascii="Arial" w:cs="Arial" w:eastAsia="Arial" w:hAnsi="Arial"/>
          <w:sz w:val="12"/>
          <w:szCs w:val="12"/>
          <w:color w:val="auto"/>
        </w:rPr>
        <w:t xml:space="preserve">Each obligation of the Borrowers to make a payment denominated in the national currency unit of any member state of the European Union that adopts the Euro as its lawful currency after the date hereof shall be redenominated into Euro at the time of such adoption (in accordance with the EMU Legislation).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if any Borrowing in the currency of such member state is outstanding immediately prior to such date, such replacement shall take effect, with respect to such Borrowing, at the end of the then current Interest Period.</w:t>
      </w:r>
    </w:p>
    <w:p>
      <w:pPr>
        <w:spacing w:after="0" w:line="45" w:lineRule="exact"/>
        <w:rPr>
          <w:rFonts w:ascii="Arial" w:cs="Arial" w:eastAsia="Arial" w:hAnsi="Arial"/>
          <w:sz w:val="12"/>
          <w:szCs w:val="12"/>
          <w:color w:val="auto"/>
        </w:rPr>
      </w:pPr>
    </w:p>
    <w:p>
      <w:pPr>
        <w:ind w:right="200" w:firstLine="162"/>
        <w:spacing w:after="0" w:line="276" w:lineRule="auto"/>
        <w:tabs>
          <w:tab w:leader="none" w:pos="349" w:val="left"/>
        </w:tabs>
        <w:numPr>
          <w:ilvl w:val="0"/>
          <w:numId w:val="66"/>
        </w:numPr>
        <w:rPr>
          <w:rFonts w:ascii="Arial" w:cs="Arial" w:eastAsia="Arial" w:hAnsi="Arial"/>
          <w:sz w:val="13"/>
          <w:szCs w:val="13"/>
          <w:color w:val="auto"/>
        </w:rPr>
      </w:pPr>
      <w:r>
        <w:rPr>
          <w:rFonts w:ascii="Arial" w:cs="Arial" w:eastAsia="Arial" w:hAnsi="Arial"/>
          <w:sz w:val="13"/>
          <w:szCs w:val="13"/>
          <w:color w:val="auto"/>
        </w:rPr>
        <w:t>Each provision of this Agreement shall be subject to such reasonable changes of construction as the Administrative Agent may from time to time specify to be appropriate to reflect the adoption of the Euro by any member state of the European Union and any relevant market conventions or practices relating to the Euro.</w:t>
      </w:r>
    </w:p>
    <w:p>
      <w:pPr>
        <w:spacing w:after="0" w:line="49" w:lineRule="exact"/>
        <w:rPr>
          <w:rFonts w:ascii="Arial" w:cs="Arial" w:eastAsia="Arial" w:hAnsi="Arial"/>
          <w:sz w:val="13"/>
          <w:szCs w:val="13"/>
          <w:color w:val="auto"/>
        </w:rPr>
      </w:pPr>
    </w:p>
    <w:p>
      <w:pPr>
        <w:ind w:right="180" w:firstLine="162"/>
        <w:spacing w:after="0" w:line="276" w:lineRule="auto"/>
        <w:tabs>
          <w:tab w:leader="none" w:pos="342" w:val="left"/>
        </w:tabs>
        <w:numPr>
          <w:ilvl w:val="0"/>
          <w:numId w:val="66"/>
        </w:numPr>
        <w:rPr>
          <w:rFonts w:ascii="Arial" w:cs="Arial" w:eastAsia="Arial" w:hAnsi="Arial"/>
          <w:sz w:val="13"/>
          <w:szCs w:val="13"/>
          <w:color w:val="auto"/>
        </w:rPr>
      </w:pPr>
      <w:r>
        <w:rPr>
          <w:rFonts w:ascii="Arial" w:cs="Arial" w:eastAsia="Arial" w:hAnsi="Arial"/>
          <w:sz w:val="13"/>
          <w:szCs w:val="13"/>
          <w:color w:val="auto"/>
        </w:rPr>
        <w:t>Each provision of this Agreement also shall be subject to such reasonable changes of construction as the Administrative Agent may from time to time specify to be appropriate to reflect a change in currency of any other country and any relevant market conventions or practices relating to the change in currency.</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1.09 </w:t>
      </w:r>
      <w:r>
        <w:rPr>
          <w:rFonts w:ascii="Arial" w:cs="Arial" w:eastAsia="Arial" w:hAnsi="Arial"/>
          <w:sz w:val="13"/>
          <w:szCs w:val="13"/>
          <w:u w:val="single" w:color="auto"/>
          <w:color w:val="auto"/>
        </w:rPr>
        <w:t>Times of Day</w:t>
      </w:r>
      <w:r>
        <w:rPr>
          <w:rFonts w:ascii="Arial" w:cs="Arial" w:eastAsia="Arial" w:hAnsi="Arial"/>
          <w:sz w:val="13"/>
          <w:szCs w:val="13"/>
          <w:color w:val="auto"/>
        </w:rPr>
        <w: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Unless otherwise specified, all references herein to times of day shall be references to Central time (daylight or standard,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14" w:name="page115"/>
    <w:bookmarkEnd w:id="114"/>
    <w:p>
      <w:pPr>
        <w:spacing w:after="0"/>
        <w:rPr>
          <w:sz w:val="20"/>
          <w:szCs w:val="20"/>
          <w:color w:val="auto"/>
        </w:rPr>
      </w:pPr>
      <w:r>
        <w:rPr>
          <w:rFonts w:ascii="Arial" w:cs="Arial" w:eastAsia="Arial" w:hAnsi="Arial"/>
          <w:sz w:val="13"/>
          <w:szCs w:val="13"/>
          <w:color w:val="auto"/>
        </w:rPr>
        <w:t xml:space="preserve">1.10 </w:t>
      </w:r>
      <w:r>
        <w:rPr>
          <w:rFonts w:ascii="Arial" w:cs="Arial" w:eastAsia="Arial" w:hAnsi="Arial"/>
          <w:sz w:val="13"/>
          <w:szCs w:val="13"/>
          <w:u w:val="single" w:color="auto"/>
          <w:color w:val="auto"/>
        </w:rPr>
        <w:t>Letter of Credit Amounts</w:t>
      </w:r>
      <w:r>
        <w:rPr>
          <w:rFonts w:ascii="Arial" w:cs="Arial" w:eastAsia="Arial" w:hAnsi="Arial"/>
          <w:sz w:val="13"/>
          <w:szCs w:val="13"/>
          <w:color w:val="auto"/>
        </w:rPr>
        <w:t>.</w:t>
      </w:r>
    </w:p>
    <w:p>
      <w:pPr>
        <w:spacing w:after="0" w:line="86" w:lineRule="exact"/>
        <w:rPr>
          <w:sz w:val="20"/>
          <w:szCs w:val="20"/>
          <w:color w:val="auto"/>
        </w:rPr>
      </w:pPr>
    </w:p>
    <w:p>
      <w:pPr>
        <w:ind w:right="20" w:firstLine="164"/>
        <w:spacing w:after="0" w:line="334" w:lineRule="auto"/>
        <w:rPr>
          <w:sz w:val="20"/>
          <w:szCs w:val="20"/>
          <w:color w:val="auto"/>
        </w:rPr>
      </w:pPr>
      <w:r>
        <w:rPr>
          <w:rFonts w:ascii="Arial" w:cs="Arial" w:eastAsia="Arial" w:hAnsi="Arial"/>
          <w:sz w:val="11"/>
          <w:szCs w:val="11"/>
          <w:color w:val="auto"/>
        </w:rPr>
        <w:t xml:space="preserve">Unless otherwise specified herein, the amount of a Letter of Credit at any time shall be deemed to be the Dollar Equivalent of the stated amount of such Letter of Credit in effect at such time;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with respect to any Letter of Credit that, by its terms or the terms of any Issuer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ARTICLE II</w:t>
      </w: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THE COMMITMENTS AND CREDIT EXTENSIONS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2.01 </w:t>
      </w:r>
      <w:r>
        <w:rPr>
          <w:rFonts w:ascii="Arial" w:cs="Arial" w:eastAsia="Arial" w:hAnsi="Arial"/>
          <w:sz w:val="13"/>
          <w:szCs w:val="13"/>
          <w:u w:val="single" w:color="auto"/>
          <w:color w:val="auto"/>
        </w:rPr>
        <w:t>Revolving Loans</w:t>
      </w:r>
      <w:r>
        <w:rPr>
          <w:rFonts w:ascii="Arial" w:cs="Arial" w:eastAsia="Arial" w:hAnsi="Arial"/>
          <w:sz w:val="13"/>
          <w:szCs w:val="13"/>
          <w:color w:val="auto"/>
        </w:rPr>
        <w:t>.</w:t>
      </w:r>
    </w:p>
    <w:p>
      <w:pPr>
        <w:spacing w:after="0" w:line="86" w:lineRule="exact"/>
        <w:rPr>
          <w:sz w:val="20"/>
          <w:szCs w:val="20"/>
          <w:color w:val="auto"/>
        </w:rPr>
      </w:pPr>
    </w:p>
    <w:p>
      <w:pPr>
        <w:ind w:firstLine="162"/>
        <w:spacing w:after="0" w:line="281" w:lineRule="auto"/>
        <w:tabs>
          <w:tab w:leader="none" w:pos="342" w:val="left"/>
        </w:tabs>
        <w:numPr>
          <w:ilvl w:val="0"/>
          <w:numId w:val="67"/>
        </w:numPr>
        <w:rPr>
          <w:rFonts w:ascii="Arial" w:cs="Arial" w:eastAsia="Arial" w:hAnsi="Arial"/>
          <w:sz w:val="12"/>
          <w:szCs w:val="12"/>
          <w:color w:val="auto"/>
        </w:rPr>
      </w:pPr>
      <w:r>
        <w:rPr>
          <w:rFonts w:ascii="Arial" w:cs="Arial" w:eastAsia="Arial" w:hAnsi="Arial"/>
          <w:sz w:val="12"/>
          <w:szCs w:val="12"/>
          <w:u w:val="single" w:color="auto"/>
          <w:color w:val="auto"/>
        </w:rPr>
        <w:t>Revolving Loans</w:t>
      </w:r>
      <w:r>
        <w:rPr>
          <w:rFonts w:ascii="Arial" w:cs="Arial" w:eastAsia="Arial" w:hAnsi="Arial"/>
          <w:sz w:val="12"/>
          <w:szCs w:val="12"/>
          <w:color w:val="auto"/>
        </w:rPr>
        <w:t>. Subject to the terms and conditions set forth herein, each Lender severally agrees to make loans (each such loan, a “</w:t>
      </w:r>
      <w:r>
        <w:rPr>
          <w:rFonts w:ascii="Arial" w:cs="Arial" w:eastAsia="Arial" w:hAnsi="Arial"/>
          <w:sz w:val="12"/>
          <w:szCs w:val="12"/>
          <w:u w:val="single" w:color="auto"/>
          <w:color w:val="auto"/>
        </w:rPr>
        <w:t>Revolving Loan</w:t>
      </w:r>
      <w:r>
        <w:rPr>
          <w:rFonts w:ascii="Arial" w:cs="Arial" w:eastAsia="Arial" w:hAnsi="Arial"/>
          <w:sz w:val="12"/>
          <w:szCs w:val="12"/>
          <w:color w:val="auto"/>
        </w:rPr>
        <w:t xml:space="preserve">”) to the Borrowers in Dollars or in one or more Alternative Currencies from time to time on any Business Day during the Availability Period in an aggregate amount not to exceed at any time outstanding the amount of such Lender’s Revolving Commitment;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after giving effect to any Borrowing of Revolving Loans, (i) the Total Revolving Outstandings shall not exceed the Aggregate Revolving Commitments, (ii) the aggregate Outstanding Amount of the Revolving Loans of any Lender,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such Lender’s Pro Rata Share of the Outstanding Amount of all L/C Obligations,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such Lender’s Pro Rata Share of the Outstanding Amount of all Swing Line Loans shall not exceed such Lender’s Revolving Commitment, and (iii) the aggregate Outstanding Amount of all Revolving Loans and L/C Obligations denominated in Alternative Currencies shall not exceed the Alternative Currency Sublimit. Within the limits of each Lender’s Revolving Commitment, and subject to the other terms and conditions hereof, the Borrowers may borrow under this </w:t>
      </w:r>
      <w:r>
        <w:rPr>
          <w:rFonts w:ascii="Arial" w:cs="Arial" w:eastAsia="Arial" w:hAnsi="Arial"/>
          <w:sz w:val="12"/>
          <w:szCs w:val="12"/>
          <w:u w:val="single" w:color="auto"/>
          <w:color w:val="auto"/>
        </w:rPr>
        <w:t>Section 2.01</w:t>
      </w:r>
      <w:r>
        <w:rPr>
          <w:rFonts w:ascii="Arial" w:cs="Arial" w:eastAsia="Arial" w:hAnsi="Arial"/>
          <w:sz w:val="12"/>
          <w:szCs w:val="12"/>
          <w:color w:val="auto"/>
        </w:rPr>
        <w:t xml:space="preserve">, prepay under </w:t>
      </w:r>
      <w:r>
        <w:rPr>
          <w:rFonts w:ascii="Arial" w:cs="Arial" w:eastAsia="Arial" w:hAnsi="Arial"/>
          <w:sz w:val="12"/>
          <w:szCs w:val="12"/>
          <w:u w:val="single" w:color="auto"/>
          <w:color w:val="auto"/>
        </w:rPr>
        <w:t>Section 2.05</w:t>
      </w:r>
      <w:r>
        <w:rPr>
          <w:rFonts w:ascii="Arial" w:cs="Arial" w:eastAsia="Arial" w:hAnsi="Arial"/>
          <w:sz w:val="12"/>
          <w:szCs w:val="12"/>
          <w:color w:val="auto"/>
        </w:rPr>
        <w:t xml:space="preserve">, and reborrow under this </w:t>
      </w:r>
      <w:r>
        <w:rPr>
          <w:rFonts w:ascii="Arial" w:cs="Arial" w:eastAsia="Arial" w:hAnsi="Arial"/>
          <w:sz w:val="12"/>
          <w:szCs w:val="12"/>
          <w:u w:val="single" w:color="auto"/>
          <w:color w:val="auto"/>
        </w:rPr>
        <w:t>Section 2.01</w:t>
      </w:r>
      <w:r>
        <w:rPr>
          <w:rFonts w:ascii="Arial" w:cs="Arial" w:eastAsia="Arial" w:hAnsi="Arial"/>
          <w:sz w:val="12"/>
          <w:szCs w:val="12"/>
          <w:color w:val="auto"/>
        </w:rPr>
        <w:t>. Revolving Loans may be Base Rate Loans or Eurocurrency Rate Loans, as further provided herein.</w:t>
      </w:r>
    </w:p>
    <w:p>
      <w:pPr>
        <w:spacing w:after="0" w:line="48" w:lineRule="exact"/>
        <w:rPr>
          <w:rFonts w:ascii="Arial" w:cs="Arial" w:eastAsia="Arial" w:hAnsi="Arial"/>
          <w:sz w:val="12"/>
          <w:szCs w:val="12"/>
          <w:color w:val="auto"/>
        </w:rPr>
      </w:pPr>
    </w:p>
    <w:p>
      <w:pPr>
        <w:jc w:val="both"/>
        <w:ind w:right="80" w:firstLine="162"/>
        <w:spacing w:after="0" w:line="264" w:lineRule="auto"/>
        <w:tabs>
          <w:tab w:leader="none" w:pos="349" w:val="left"/>
        </w:tabs>
        <w:numPr>
          <w:ilvl w:val="0"/>
          <w:numId w:val="67"/>
        </w:numPr>
        <w:rPr>
          <w:rFonts w:ascii="Arial" w:cs="Arial" w:eastAsia="Arial" w:hAnsi="Arial"/>
          <w:sz w:val="13"/>
          <w:szCs w:val="13"/>
          <w:color w:val="auto"/>
        </w:rPr>
      </w:pPr>
      <w:r>
        <w:rPr>
          <w:rFonts w:ascii="Arial" w:cs="Arial" w:eastAsia="Arial" w:hAnsi="Arial"/>
          <w:sz w:val="13"/>
          <w:szCs w:val="13"/>
          <w:u w:val="single" w:color="auto"/>
          <w:color w:val="auto"/>
        </w:rPr>
        <w:t>Increase of Aggregate Revolving Commitments</w:t>
      </w:r>
      <w:r>
        <w:rPr>
          <w:rFonts w:ascii="Arial" w:cs="Arial" w:eastAsia="Arial" w:hAnsi="Arial"/>
          <w:sz w:val="13"/>
          <w:szCs w:val="13"/>
          <w:color w:val="auto"/>
        </w:rPr>
        <w:t xml:space="preserve">. The Company may at any time and from time to time, upon prior written notice by the Company to the Administrative Agent, increase the Aggregate Revolving Commitments by up to ONE HUNDRED MILLION DOLLARS ($100,000,000) with additional Revolving Commitments from any existing Lender or new Revolving Commitments from any other Person selected by the Company and approved by the Administrative Agent (which approval shall not be unreasonably withheld in the absence of a Default);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w:t>
      </w:r>
    </w:p>
    <w:p>
      <w:pPr>
        <w:spacing w:after="0" w:line="57" w:lineRule="exact"/>
        <w:rPr>
          <w:rFonts w:ascii="Arial" w:cs="Arial" w:eastAsia="Arial" w:hAnsi="Arial"/>
          <w:sz w:val="13"/>
          <w:szCs w:val="13"/>
          <w:color w:val="auto"/>
        </w:rPr>
      </w:pPr>
    </w:p>
    <w:p>
      <w:pPr>
        <w:ind w:left="540" w:hanging="148"/>
        <w:spacing w:after="0"/>
        <w:tabs>
          <w:tab w:leader="none" w:pos="540" w:val="left"/>
        </w:tabs>
        <w:numPr>
          <w:ilvl w:val="1"/>
          <w:numId w:val="67"/>
        </w:numPr>
        <w:rPr>
          <w:rFonts w:ascii="Arial" w:cs="Arial" w:eastAsia="Arial" w:hAnsi="Arial"/>
          <w:sz w:val="13"/>
          <w:szCs w:val="13"/>
          <w:color w:val="auto"/>
        </w:rPr>
      </w:pPr>
      <w:r>
        <w:rPr>
          <w:rFonts w:ascii="Arial" w:cs="Arial" w:eastAsia="Arial" w:hAnsi="Arial"/>
          <w:sz w:val="13"/>
          <w:szCs w:val="13"/>
          <w:color w:val="auto"/>
        </w:rPr>
        <w:t>any such increase shall be in a minimum principal amount of $5,000,000 and in integral multiples of $5,000,000 in excess thereof;</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1"/>
          <w:numId w:val="67"/>
        </w:numPr>
        <w:rPr>
          <w:rFonts w:ascii="Arial" w:cs="Arial" w:eastAsia="Arial" w:hAnsi="Arial"/>
          <w:sz w:val="13"/>
          <w:szCs w:val="13"/>
          <w:color w:val="auto"/>
        </w:rPr>
      </w:pPr>
      <w:r>
        <w:rPr>
          <w:rFonts w:ascii="Arial" w:cs="Arial" w:eastAsia="Arial" w:hAnsi="Arial"/>
          <w:sz w:val="13"/>
          <w:szCs w:val="13"/>
          <w:color w:val="auto"/>
        </w:rPr>
        <w:t>no Default shall be continuing at the time of any such increase;</w:t>
      </w:r>
    </w:p>
    <w:p>
      <w:pPr>
        <w:spacing w:after="0" w:line="86" w:lineRule="exact"/>
        <w:rPr>
          <w:rFonts w:ascii="Arial" w:cs="Arial" w:eastAsia="Arial" w:hAnsi="Arial"/>
          <w:sz w:val="13"/>
          <w:szCs w:val="13"/>
          <w:color w:val="auto"/>
        </w:rPr>
      </w:pPr>
    </w:p>
    <w:p>
      <w:pPr>
        <w:ind w:left="220" w:right="240" w:firstLine="172"/>
        <w:spacing w:after="0" w:line="276" w:lineRule="auto"/>
        <w:tabs>
          <w:tab w:leader="none" w:pos="613" w:val="left"/>
        </w:tabs>
        <w:numPr>
          <w:ilvl w:val="1"/>
          <w:numId w:val="67"/>
        </w:numPr>
        <w:rPr>
          <w:rFonts w:ascii="Arial" w:cs="Arial" w:eastAsia="Arial" w:hAnsi="Arial"/>
          <w:sz w:val="13"/>
          <w:szCs w:val="13"/>
          <w:color w:val="auto"/>
        </w:rPr>
      </w:pPr>
      <w:r>
        <w:rPr>
          <w:rFonts w:ascii="Arial" w:cs="Arial" w:eastAsia="Arial" w:hAnsi="Arial"/>
          <w:sz w:val="13"/>
          <w:szCs w:val="13"/>
          <w:color w:val="auto"/>
        </w:rPr>
        <w:t>no existing Lender shall be under any obligation to increase its Revolving Commitment and any such decision whether to increase its Revolving Commitment shall be in such Lender’s sole and absolute discretion; and</w:t>
      </w:r>
    </w:p>
    <w:p>
      <w:pPr>
        <w:spacing w:after="0" w:line="49" w:lineRule="exact"/>
        <w:rPr>
          <w:rFonts w:ascii="Arial" w:cs="Arial" w:eastAsia="Arial" w:hAnsi="Arial"/>
          <w:sz w:val="13"/>
          <w:szCs w:val="13"/>
          <w:color w:val="auto"/>
        </w:rPr>
      </w:pPr>
    </w:p>
    <w:p>
      <w:pPr>
        <w:ind w:left="620" w:hanging="228"/>
        <w:spacing w:after="0"/>
        <w:tabs>
          <w:tab w:leader="none" w:pos="620" w:val="left"/>
        </w:tabs>
        <w:numPr>
          <w:ilvl w:val="1"/>
          <w:numId w:val="67"/>
        </w:numPr>
        <w:rPr>
          <w:rFonts w:ascii="Arial" w:cs="Arial" w:eastAsia="Arial" w:hAnsi="Arial"/>
          <w:sz w:val="13"/>
          <w:szCs w:val="13"/>
          <w:color w:val="auto"/>
        </w:rPr>
      </w:pPr>
      <w:r>
        <w:rPr>
          <w:rFonts w:ascii="Arial" w:cs="Arial" w:eastAsia="Arial" w:hAnsi="Arial"/>
          <w:sz w:val="13"/>
          <w:szCs w:val="13"/>
          <w:color w:val="auto"/>
        </w:rPr>
        <w:t>any new Lender shall join this Agreement by executing such joinder documents reasonably required by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115" w:name="page116"/>
    <w:bookmarkEnd w:id="115"/>
    <w:p>
      <w:pPr>
        <w:spacing w:after="0"/>
        <w:rPr>
          <w:sz w:val="20"/>
          <w:szCs w:val="20"/>
          <w:color w:val="auto"/>
        </w:rPr>
      </w:pPr>
      <w:r>
        <w:rPr>
          <w:rFonts w:ascii="Arial" w:cs="Arial" w:eastAsia="Arial" w:hAnsi="Arial"/>
          <w:sz w:val="13"/>
          <w:szCs w:val="13"/>
          <w:color w:val="auto"/>
        </w:rPr>
        <w:t xml:space="preserve">2.02 </w:t>
      </w:r>
      <w:r>
        <w:rPr>
          <w:rFonts w:ascii="Arial" w:cs="Arial" w:eastAsia="Arial" w:hAnsi="Arial"/>
          <w:sz w:val="13"/>
          <w:szCs w:val="13"/>
          <w:u w:val="single" w:color="auto"/>
          <w:color w:val="auto"/>
        </w:rPr>
        <w:t>Borrowings, Conversions and Continuations of Loans</w:t>
      </w:r>
      <w:r>
        <w:rPr>
          <w:rFonts w:ascii="Arial" w:cs="Arial" w:eastAsia="Arial" w:hAnsi="Arial"/>
          <w:sz w:val="13"/>
          <w:szCs w:val="13"/>
          <w:color w:val="auto"/>
        </w:rPr>
        <w:t>.</w:t>
      </w:r>
    </w:p>
    <w:p>
      <w:pPr>
        <w:spacing w:after="0" w:line="86" w:lineRule="exact"/>
        <w:rPr>
          <w:sz w:val="20"/>
          <w:szCs w:val="20"/>
          <w:color w:val="auto"/>
        </w:rPr>
      </w:pPr>
    </w:p>
    <w:p>
      <w:pPr>
        <w:ind w:firstLine="162"/>
        <w:spacing w:after="0" w:line="276" w:lineRule="auto"/>
        <w:tabs>
          <w:tab w:leader="none" w:pos="342" w:val="left"/>
        </w:tabs>
        <w:numPr>
          <w:ilvl w:val="0"/>
          <w:numId w:val="68"/>
        </w:numPr>
        <w:rPr>
          <w:rFonts w:ascii="Arial" w:cs="Arial" w:eastAsia="Arial" w:hAnsi="Arial"/>
          <w:sz w:val="12"/>
          <w:szCs w:val="12"/>
          <w:color w:val="auto"/>
        </w:rPr>
      </w:pPr>
      <w:r>
        <w:rPr>
          <w:rFonts w:ascii="Arial" w:cs="Arial" w:eastAsia="Arial" w:hAnsi="Arial"/>
          <w:sz w:val="12"/>
          <w:szCs w:val="12"/>
          <w:color w:val="auto"/>
        </w:rPr>
        <w:t xml:space="preserve">Each Borrowing, each conversion of Loans from one Type to the other, and each continuation of Eurocurrency Rate Loans shall be made upon the applicable Borrower’s irrevocable notice to the Administrative Agent, which may be given by telephone. Each such notice must be received by the Administrative Agent not later than 11:00 a.m. (i) three Business Days prior to the requested date of any Borrowing of, conversion to or continuation of, Eurocurrency Rate Loans denominated in Dollars or of any conversion of Eurocurrency Rate Loans denominated in Dollars to Base Rate Loans, (ii) four Business Days (or five Business Days in the case of a Special Notice Currency) prior to the requested date of any Borrowing or continuation of Eurocurrency Rate Loans denominated in Alternative Currencies and (iii) on the requested date of any Borrowing of Base Rate Loans. Each telephonic notice by any Borrower pursuant to this </w:t>
      </w:r>
      <w:r>
        <w:rPr>
          <w:rFonts w:ascii="Arial" w:cs="Arial" w:eastAsia="Arial" w:hAnsi="Arial"/>
          <w:sz w:val="12"/>
          <w:szCs w:val="12"/>
          <w:u w:val="single" w:color="auto"/>
          <w:color w:val="auto"/>
        </w:rPr>
        <w:t>Section 2.02(a)</w:t>
      </w:r>
      <w:r>
        <w:rPr>
          <w:rFonts w:ascii="Arial" w:cs="Arial" w:eastAsia="Arial" w:hAnsi="Arial"/>
          <w:sz w:val="12"/>
          <w:szCs w:val="12"/>
          <w:color w:val="auto"/>
        </w:rPr>
        <w:t xml:space="preserve"> must be confirmed promptly by delivery to the Administrative Agent of a written Loan Notice, appropriately completed and signed by a Responsible Officer of such Borrower. Each Borrowing of, conversion to or continuation of Eurocurrency Rate Loans shall be in a principal amount of $5,000,000 or a whole multiple of $1,000,000 in excess thereof. Except as provided in </w:t>
      </w:r>
      <w:r>
        <w:rPr>
          <w:rFonts w:ascii="Arial" w:cs="Arial" w:eastAsia="Arial" w:hAnsi="Arial"/>
          <w:sz w:val="12"/>
          <w:szCs w:val="12"/>
          <w:u w:val="single" w:color="auto"/>
          <w:color w:val="auto"/>
        </w:rPr>
        <w:t>Sections 2.03(c)</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2.04(c)</w:t>
      </w:r>
      <w:r>
        <w:rPr>
          <w:rFonts w:ascii="Arial" w:cs="Arial" w:eastAsia="Arial" w:hAnsi="Arial"/>
          <w:sz w:val="12"/>
          <w:szCs w:val="12"/>
          <w:color w:val="auto"/>
        </w:rPr>
        <w:t xml:space="preserve">, each Borrowing of or conversion to Base Rate Loans shall be in a principal amount of $1,000,000 or a whole multiple of $500,000 in excess thereof. Each Loan Notice (whether telephonic or written) shall specify (i) whether such Borrower is requesting a Borrowing, a conversion of Loans from one Type to the other, or a continuation of Eurocurrency Rate Loans, (ii) the requested date of the Borrowing, conversion or continuation, as the case may be (which shall be a Business Day), (iii) the principal amount of Loans to be borrowed, converted or continued, (iv) the Type of Loans to be borrowed or to which existing Loans are to be converted, (v) if applicable, the duration of the Interest Period with respect thereto, and (vi) the currency of the Loans to be borrowed. If the applicable Borrower fails to specify a currency in a Loan Notice requesting a Borrowing, then the Loans so requested shall be made in Dollars. If the applicable Borrower fails to specify a Type of a Loan in a Loan Notice or if such Borrower fails to give a timely notice requesting a conversion or continuation, then the applicable Loans shall be made as, or converted to, Base Rate Loans;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in the case of a failure to timely request a continuation of Loans denominated in an Alternative Currency, such Loans shall be continued as Eurocurrency Rate Loans in their original currency with an Interest Period of one month. Any automatic conversion to Base Rate Loans shall be effective as of the last day of the Interest Period then in effect with respect to the applicable Eurocurrency Rate Loans. If a Borrower requests a Borrowing of, conversion to, or continuation of Eurocurrency Rate Loans in any Loan Notice, but fails to specify an Interest Period, it will be deemed to have specified an Interest Period of one month. No Loan may be converted into or continued as a Loan denominated in a different currency, but instead must be prepaid in the original currency of such Loan and reborrowed in the other currency.</w:t>
      </w:r>
    </w:p>
    <w:p>
      <w:pPr>
        <w:spacing w:after="0" w:line="55" w:lineRule="exact"/>
        <w:rPr>
          <w:rFonts w:ascii="Arial" w:cs="Arial" w:eastAsia="Arial" w:hAnsi="Arial"/>
          <w:sz w:val="12"/>
          <w:szCs w:val="12"/>
          <w:color w:val="auto"/>
        </w:rPr>
      </w:pPr>
    </w:p>
    <w:p>
      <w:pPr>
        <w:ind w:firstLine="162"/>
        <w:spacing w:after="0" w:line="310" w:lineRule="auto"/>
        <w:tabs>
          <w:tab w:leader="none" w:pos="349" w:val="left"/>
        </w:tabs>
        <w:numPr>
          <w:ilvl w:val="0"/>
          <w:numId w:val="68"/>
        </w:numPr>
        <w:rPr>
          <w:rFonts w:ascii="Arial" w:cs="Arial" w:eastAsia="Arial" w:hAnsi="Arial"/>
          <w:sz w:val="11"/>
          <w:szCs w:val="11"/>
          <w:color w:val="auto"/>
        </w:rPr>
      </w:pPr>
      <w:r>
        <w:rPr>
          <w:rFonts w:ascii="Arial" w:cs="Arial" w:eastAsia="Arial" w:hAnsi="Arial"/>
          <w:sz w:val="11"/>
          <w:szCs w:val="11"/>
          <w:color w:val="auto"/>
        </w:rPr>
        <w:t xml:space="preserve">Following receipt of a Loan Notice, the Administrative Agent shall promptly notify each Lender of the amount (and currency) of its Pro Rata Share of the applicable Loans, and if no timely notice of a conversion or continuation is provided by the applicable Borrower, the Administrative Agent shall notify each Lender of the details of any automatic conversion to Base Rate Loans or continuation of Loans denominated in a currency other than Dollars, in each case as described in the preceding subsection. In the case of a Borrowing, each Lender shall make the amount of its Loan available to the Administrative Agent in Same Day Funds at the Administrative Agent’s Office for the applicable currency not later than 1:00 p.m., in the case of any Loan denominated in Dollars, and not later than the Applicable Time specified by the Administrative Agent in the case of any Loan in an Alternative Currency, in each case on the Business Day specified in the applicable Loan Notice. Upon satisfaction of the applicable conditions set forth in </w:t>
      </w:r>
      <w:r>
        <w:rPr>
          <w:rFonts w:ascii="Arial" w:cs="Arial" w:eastAsia="Arial" w:hAnsi="Arial"/>
          <w:sz w:val="11"/>
          <w:szCs w:val="11"/>
          <w:u w:val="single" w:color="auto"/>
          <w:color w:val="auto"/>
        </w:rPr>
        <w:t>Section 5.02</w:t>
      </w:r>
      <w:r>
        <w:rPr>
          <w:rFonts w:ascii="Arial" w:cs="Arial" w:eastAsia="Arial" w:hAnsi="Arial"/>
          <w:sz w:val="11"/>
          <w:szCs w:val="11"/>
          <w:color w:val="auto"/>
        </w:rPr>
        <w:t xml:space="preserve"> (and, if such Borrowing is the initial Credit Extension, </w:t>
      </w:r>
      <w:r>
        <w:rPr>
          <w:rFonts w:ascii="Arial" w:cs="Arial" w:eastAsia="Arial" w:hAnsi="Arial"/>
          <w:sz w:val="11"/>
          <w:szCs w:val="11"/>
          <w:u w:val="single" w:color="auto"/>
          <w:color w:val="auto"/>
        </w:rPr>
        <w:t>Section 5.01</w:t>
      </w:r>
      <w:r>
        <w:rPr>
          <w:rFonts w:ascii="Arial" w:cs="Arial" w:eastAsia="Arial" w:hAnsi="Arial"/>
          <w:sz w:val="11"/>
          <w:szCs w:val="11"/>
          <w:color w:val="auto"/>
        </w:rPr>
        <w:t>), the Administrative Agent shall make all funds so received available to the applicable Borrower in like funds as received by the Administrative Agent either by (i) crediting the account of such Borrower on the books of Bank of America with the amount of such funds or (ii) wire transfer of such funds, in each case in accordance with instructions provided to (and reasonably acceptable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90435" cy="19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16" w:name="page117"/>
    <w:bookmarkEnd w:id="116"/>
    <w:p>
      <w:pPr>
        <w:spacing w:after="0" w:line="276" w:lineRule="auto"/>
        <w:rPr>
          <w:sz w:val="20"/>
          <w:szCs w:val="20"/>
          <w:color w:val="auto"/>
        </w:rPr>
      </w:pPr>
      <w:r>
        <w:rPr>
          <w:rFonts w:ascii="Arial" w:cs="Arial" w:eastAsia="Arial" w:hAnsi="Arial"/>
          <w:sz w:val="13"/>
          <w:szCs w:val="13"/>
          <w:color w:val="auto"/>
        </w:rPr>
        <w:t xml:space="preserve">Administrative Agent by such Borrower;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if, on the date of a Borrowing of Revolving Loans denominated in Dollars, there are L/C Borrowings outstanding, then the proceeds of such Borrowing, first, shall be applied to the payment in full of any such L/C Borrowings and </w:t>
      </w:r>
      <w:r>
        <w:rPr>
          <w:rFonts w:ascii="Arial" w:cs="Arial" w:eastAsia="Arial" w:hAnsi="Arial"/>
          <w:sz w:val="13"/>
          <w:szCs w:val="13"/>
          <w:u w:val="single" w:color="auto"/>
          <w:color w:val="auto"/>
        </w:rPr>
        <w:t>second</w:t>
      </w:r>
      <w:r>
        <w:rPr>
          <w:rFonts w:ascii="Arial" w:cs="Arial" w:eastAsia="Arial" w:hAnsi="Arial"/>
          <w:sz w:val="13"/>
          <w:szCs w:val="13"/>
          <w:color w:val="auto"/>
        </w:rPr>
        <w:t>, shall be made available to such Borrower as provided above.</w:t>
      </w:r>
    </w:p>
    <w:p>
      <w:pPr>
        <w:spacing w:after="0" w:line="49" w:lineRule="exact"/>
        <w:rPr>
          <w:sz w:val="20"/>
          <w:szCs w:val="20"/>
          <w:color w:val="auto"/>
        </w:rPr>
      </w:pPr>
    </w:p>
    <w:p>
      <w:pPr>
        <w:jc w:val="both"/>
        <w:ind w:right="80" w:firstLine="162"/>
        <w:spacing w:after="0" w:line="260" w:lineRule="auto"/>
        <w:tabs>
          <w:tab w:leader="none" w:pos="342" w:val="left"/>
        </w:tabs>
        <w:numPr>
          <w:ilvl w:val="0"/>
          <w:numId w:val="69"/>
        </w:numPr>
        <w:rPr>
          <w:rFonts w:ascii="Arial" w:cs="Arial" w:eastAsia="Arial" w:hAnsi="Arial"/>
          <w:sz w:val="13"/>
          <w:szCs w:val="13"/>
          <w:color w:val="auto"/>
        </w:rPr>
      </w:pPr>
      <w:r>
        <w:rPr>
          <w:rFonts w:ascii="Arial" w:cs="Arial" w:eastAsia="Arial" w:hAnsi="Arial"/>
          <w:sz w:val="13"/>
          <w:szCs w:val="13"/>
          <w:color w:val="auto"/>
        </w:rPr>
        <w:t>Except as otherwise provided herein, a Eurocurrency Rate Loan may be continued or converted only on the last day of the Interest Period for such Eurocurrency Rate Loan. During the existence of a Default, no Loans may be requested as, converted to or continued as Eurocurrency Rate Loans (whether in Dollars or an Alternative Currency) without the consent of the Required Lenders, and the Required Lenders may demand that any or all of the then outstanding Eurocurrency Rate Loans denominated in an Alternative Currency be prepaid, or redenominated into Dollars in the amount of the Dollar Equivalent thereof, on the last day of the then current Interest Period with respect thereto.</w:t>
      </w:r>
    </w:p>
    <w:p>
      <w:pPr>
        <w:spacing w:after="0" w:line="59" w:lineRule="exact"/>
        <w:rPr>
          <w:rFonts w:ascii="Arial" w:cs="Arial" w:eastAsia="Arial" w:hAnsi="Arial"/>
          <w:sz w:val="13"/>
          <w:szCs w:val="13"/>
          <w:color w:val="auto"/>
        </w:rPr>
      </w:pPr>
    </w:p>
    <w:p>
      <w:pPr>
        <w:jc w:val="both"/>
        <w:ind w:right="220" w:firstLine="162"/>
        <w:spacing w:after="0" w:line="296" w:lineRule="auto"/>
        <w:tabs>
          <w:tab w:leader="none" w:pos="347" w:val="left"/>
        </w:tabs>
        <w:numPr>
          <w:ilvl w:val="0"/>
          <w:numId w:val="69"/>
        </w:numPr>
        <w:rPr>
          <w:rFonts w:ascii="Arial" w:cs="Arial" w:eastAsia="Arial" w:hAnsi="Arial"/>
          <w:sz w:val="12"/>
          <w:szCs w:val="12"/>
          <w:color w:val="auto"/>
        </w:rPr>
      </w:pPr>
      <w:r>
        <w:rPr>
          <w:rFonts w:ascii="Arial" w:cs="Arial" w:eastAsia="Arial" w:hAnsi="Arial"/>
          <w:sz w:val="12"/>
          <w:szCs w:val="12"/>
          <w:color w:val="auto"/>
        </w:rPr>
        <w:t>The Administrative Agent shall promptly notify the Borrowers and the Lenders of the interest rate applicable to any Interest Period for Eurocurrency Rate Loans upon determination of such interest rate. The determination of the Eurocurrency Rate by the Administrative Agent shall be conclusive in the absence of manifest error. At any time that Base Rate Loans are outstanding, the Administrative Agent shall notify the Borrowers and the Lenders of any change in Bank of America’s prime rate used in determining the Base Rate promptly following the public announcement of such change.</w:t>
      </w:r>
    </w:p>
    <w:p>
      <w:pPr>
        <w:spacing w:after="0" w:line="39" w:lineRule="exact"/>
        <w:rPr>
          <w:rFonts w:ascii="Arial" w:cs="Arial" w:eastAsia="Arial" w:hAnsi="Arial"/>
          <w:sz w:val="12"/>
          <w:szCs w:val="12"/>
          <w:color w:val="auto"/>
        </w:rPr>
      </w:pPr>
    </w:p>
    <w:p>
      <w:pPr>
        <w:ind w:right="60" w:firstLine="162"/>
        <w:spacing w:after="0" w:line="276" w:lineRule="auto"/>
        <w:tabs>
          <w:tab w:leader="none" w:pos="335" w:val="left"/>
        </w:tabs>
        <w:numPr>
          <w:ilvl w:val="0"/>
          <w:numId w:val="69"/>
        </w:numPr>
        <w:rPr>
          <w:rFonts w:ascii="Arial" w:cs="Arial" w:eastAsia="Arial" w:hAnsi="Arial"/>
          <w:sz w:val="13"/>
          <w:szCs w:val="13"/>
          <w:color w:val="auto"/>
        </w:rPr>
      </w:pPr>
      <w:r>
        <w:rPr>
          <w:rFonts w:ascii="Arial" w:cs="Arial" w:eastAsia="Arial" w:hAnsi="Arial"/>
          <w:sz w:val="13"/>
          <w:szCs w:val="13"/>
          <w:color w:val="auto"/>
        </w:rPr>
        <w:t>After giving effect to all Borrowings, all conversions of Loans from one Type to the other, and all continuations of Loans as the same Type, there shall not be more than 8 Interest Periods in effect with respect to Revolving Loans (no more than 4 of such Interest Periods may be for 7 days).</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2.03 </w:t>
      </w:r>
      <w:r>
        <w:rPr>
          <w:rFonts w:ascii="Arial" w:cs="Arial" w:eastAsia="Arial" w:hAnsi="Arial"/>
          <w:sz w:val="13"/>
          <w:szCs w:val="13"/>
          <w:u w:val="single" w:color="auto"/>
          <w:color w:val="auto"/>
        </w:rPr>
        <w:t>Letters of Credit</w:t>
      </w:r>
      <w:r>
        <w:rPr>
          <w:rFonts w:ascii="Arial" w:cs="Arial" w:eastAsia="Arial" w:hAnsi="Arial"/>
          <w:sz w:val="13"/>
          <w:szCs w:val="13"/>
          <w:color w:val="auto"/>
        </w:rPr>
        <w:t>.</w:t>
      </w:r>
    </w:p>
    <w:p>
      <w:pPr>
        <w:spacing w:after="0" w:line="86" w:lineRule="exact"/>
        <w:rPr>
          <w:sz w:val="20"/>
          <w:szCs w:val="20"/>
          <w:color w:val="auto"/>
        </w:rPr>
      </w:pPr>
    </w:p>
    <w:p>
      <w:pPr>
        <w:ind w:left="380" w:hanging="218"/>
        <w:spacing w:after="0"/>
        <w:tabs>
          <w:tab w:leader="none" w:pos="380" w:val="left"/>
        </w:tabs>
        <w:numPr>
          <w:ilvl w:val="0"/>
          <w:numId w:val="70"/>
        </w:numPr>
        <w:rPr>
          <w:rFonts w:ascii="Arial" w:cs="Arial" w:eastAsia="Arial" w:hAnsi="Arial"/>
          <w:sz w:val="13"/>
          <w:szCs w:val="13"/>
          <w:color w:val="auto"/>
        </w:rPr>
      </w:pPr>
      <w:r>
        <w:rPr>
          <w:rFonts w:ascii="Arial" w:cs="Arial" w:eastAsia="Arial" w:hAnsi="Arial"/>
          <w:sz w:val="13"/>
          <w:szCs w:val="13"/>
          <w:u w:val="single" w:color="auto"/>
          <w:color w:val="auto"/>
        </w:rPr>
        <w:t>The Letter of Credit Commitment</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220" w:right="20" w:firstLine="172"/>
        <w:spacing w:after="0" w:line="275" w:lineRule="auto"/>
        <w:tabs>
          <w:tab w:leader="none" w:pos="540" w:val="left"/>
        </w:tabs>
        <w:numPr>
          <w:ilvl w:val="2"/>
          <w:numId w:val="70"/>
        </w:numPr>
        <w:rPr>
          <w:rFonts w:ascii="Arial" w:cs="Arial" w:eastAsia="Arial" w:hAnsi="Arial"/>
          <w:sz w:val="12"/>
          <w:szCs w:val="12"/>
          <w:color w:val="auto"/>
        </w:rPr>
      </w:pPr>
      <w:r>
        <w:rPr>
          <w:rFonts w:ascii="Arial" w:cs="Arial" w:eastAsia="Arial" w:hAnsi="Arial"/>
          <w:sz w:val="12"/>
          <w:szCs w:val="12"/>
          <w:color w:val="auto"/>
        </w:rPr>
        <w:t xml:space="preserve">Subject to the terms and conditions set forth herein, (A) the L/C Issuer agrees, in reliance upon the agreements of the other Lenders set forth in this </w:t>
      </w:r>
      <w:r>
        <w:rPr>
          <w:rFonts w:ascii="Arial" w:cs="Arial" w:eastAsia="Arial" w:hAnsi="Arial"/>
          <w:sz w:val="12"/>
          <w:szCs w:val="12"/>
          <w:u w:val="single" w:color="auto"/>
          <w:color w:val="auto"/>
        </w:rPr>
        <w:t>Section 2.03</w:t>
      </w:r>
      <w:r>
        <w:rPr>
          <w:rFonts w:ascii="Arial" w:cs="Arial" w:eastAsia="Arial" w:hAnsi="Arial"/>
          <w:sz w:val="12"/>
          <w:szCs w:val="12"/>
          <w:color w:val="auto"/>
        </w:rPr>
        <w:t xml:space="preserve">, (1) from time to time on any Business Day during the period from the Closing Date until the Letter of Credit Expiration Date, to issue Letters of Credit denominated in Dollars or in one or more Alternative Currencies for the account of the Borrowers or any of their Subsidiaries, and to amend or extend Letters of Credit previously issued by it, in accordance with subsection (b) below, and (2) to honor drawings under the Letters of Credit; and (B) the Lenders severally agree to participate in Letters of Credit issued for the account of the Borrowers or their Subsidiaries and any drawings thereunder;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after giving effect to any L/C Credit Extension with respect to any Letter of Credit, (w) the Total Revolving Outstandings shall not exceed the Aggregate Revolving Commitments, (x) the aggregate Outstanding Amount of the Revolving Loans of any Lender,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such Lender’s Pro Rata Share of the Outstanding Amount of all L/C Obligations,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such Lender’s Pro Rata Share of the Outstanding Amount of all Swing Line Loans shall not exceed such Lender’s Revolving Commitment,</w:t>
      </w:r>
    </w:p>
    <w:p>
      <w:pPr>
        <w:spacing w:after="0" w:line="2" w:lineRule="exact"/>
        <w:rPr>
          <w:rFonts w:ascii="Arial" w:cs="Arial" w:eastAsia="Arial" w:hAnsi="Arial"/>
          <w:sz w:val="12"/>
          <w:szCs w:val="12"/>
          <w:color w:val="auto"/>
        </w:rPr>
      </w:pPr>
    </w:p>
    <w:p>
      <w:pPr>
        <w:ind w:left="220" w:right="20" w:firstLine="8"/>
        <w:spacing w:after="0" w:line="284" w:lineRule="auto"/>
        <w:tabs>
          <w:tab w:leader="none" w:pos="405" w:val="left"/>
        </w:tabs>
        <w:numPr>
          <w:ilvl w:val="1"/>
          <w:numId w:val="70"/>
        </w:numPr>
        <w:rPr>
          <w:rFonts w:ascii="Arial" w:cs="Arial" w:eastAsia="Arial" w:hAnsi="Arial"/>
          <w:sz w:val="12"/>
          <w:szCs w:val="12"/>
          <w:color w:val="auto"/>
        </w:rPr>
      </w:pPr>
      <w:r>
        <w:rPr>
          <w:rFonts w:ascii="Arial" w:cs="Arial" w:eastAsia="Arial" w:hAnsi="Arial"/>
          <w:sz w:val="12"/>
          <w:szCs w:val="12"/>
          <w:color w:val="auto"/>
        </w:rPr>
        <w:t>the Outstanding Amount of the L/C Obligations shall not exceed the Letter of Credit Sublimit or (z) the aggregate Outstanding Amount of all L/C Obligations and all Loans denominated in Alternative Currencies shall not exceed the Alternative Currency Sublimit. Each request by a Borrower for the issuance or amendment of a Letter of Credit shall be deemed to be a representation by such Borrower that the L/C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Borrowers may, during the foregoing period, obtain Letters of Credit to replace Letters of Credit that have expired or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269240</wp:posOffset>
            </wp:positionV>
            <wp:extent cx="7290435" cy="19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117" w:name="page118"/>
    <w:bookmarkEnd w:id="117"/>
    <w:p>
      <w:pPr>
        <w:ind w:right="220"/>
        <w:spacing w:after="0" w:line="276" w:lineRule="auto"/>
        <w:rPr>
          <w:sz w:val="20"/>
          <w:szCs w:val="20"/>
          <w:color w:val="auto"/>
        </w:rPr>
      </w:pPr>
      <w:r>
        <w:rPr>
          <w:rFonts w:ascii="Arial" w:cs="Arial" w:eastAsia="Arial" w:hAnsi="Arial"/>
          <w:sz w:val="13"/>
          <w:szCs w:val="13"/>
          <w:color w:val="auto"/>
        </w:rPr>
        <w:t>have been drawn upon and reimbursed. All Existing Letters of Credit shall be deemed to have been issued pursuant hereto, and from and after the Closing Date shall be subject to and governed by the terms and conditions hereof.</w:t>
      </w:r>
    </w:p>
    <w:p>
      <w:pPr>
        <w:spacing w:after="0" w:line="49" w:lineRule="exact"/>
        <w:rPr>
          <w:sz w:val="20"/>
          <w:szCs w:val="20"/>
          <w:color w:val="auto"/>
        </w:rPr>
      </w:pPr>
    </w:p>
    <w:p>
      <w:pPr>
        <w:ind w:left="360" w:hanging="188"/>
        <w:spacing w:after="0"/>
        <w:tabs>
          <w:tab w:leader="none" w:pos="360" w:val="left"/>
        </w:tabs>
        <w:numPr>
          <w:ilvl w:val="0"/>
          <w:numId w:val="71"/>
        </w:numPr>
        <w:rPr>
          <w:rFonts w:ascii="Arial" w:cs="Arial" w:eastAsia="Arial" w:hAnsi="Arial"/>
          <w:sz w:val="13"/>
          <w:szCs w:val="13"/>
          <w:color w:val="auto"/>
        </w:rPr>
      </w:pPr>
      <w:r>
        <w:rPr>
          <w:rFonts w:ascii="Arial" w:cs="Arial" w:eastAsia="Arial" w:hAnsi="Arial"/>
          <w:sz w:val="13"/>
          <w:szCs w:val="13"/>
          <w:color w:val="auto"/>
        </w:rPr>
        <w:t>The L/C Issuer shall not issue any Letter of Credit if:</w:t>
      </w:r>
    </w:p>
    <w:p>
      <w:pPr>
        <w:spacing w:after="0" w:line="86" w:lineRule="exact"/>
        <w:rPr>
          <w:rFonts w:ascii="Arial" w:cs="Arial" w:eastAsia="Arial" w:hAnsi="Arial"/>
          <w:sz w:val="13"/>
          <w:szCs w:val="13"/>
          <w:color w:val="auto"/>
        </w:rPr>
      </w:pPr>
    </w:p>
    <w:p>
      <w:pPr>
        <w:ind w:left="240" w:right="300" w:firstLine="161"/>
        <w:spacing w:after="0" w:line="276" w:lineRule="auto"/>
        <w:tabs>
          <w:tab w:leader="none" w:pos="618" w:val="left"/>
        </w:tabs>
        <w:numPr>
          <w:ilvl w:val="1"/>
          <w:numId w:val="71"/>
        </w:numPr>
        <w:rPr>
          <w:rFonts w:ascii="Arial" w:cs="Arial" w:eastAsia="Arial" w:hAnsi="Arial"/>
          <w:sz w:val="13"/>
          <w:szCs w:val="13"/>
          <w:color w:val="auto"/>
        </w:rPr>
      </w:pPr>
      <w:r>
        <w:rPr>
          <w:rFonts w:ascii="Arial" w:cs="Arial" w:eastAsia="Arial" w:hAnsi="Arial"/>
          <w:sz w:val="13"/>
          <w:szCs w:val="13"/>
          <w:color w:val="auto"/>
        </w:rPr>
        <w:t xml:space="preserve">subject to </w:t>
      </w:r>
      <w:r>
        <w:rPr>
          <w:rFonts w:ascii="Arial" w:cs="Arial" w:eastAsia="Arial" w:hAnsi="Arial"/>
          <w:sz w:val="13"/>
          <w:szCs w:val="13"/>
          <w:u w:val="single" w:color="auto"/>
          <w:color w:val="auto"/>
        </w:rPr>
        <w:t>Section 2.03(b)(iii)</w:t>
      </w:r>
      <w:r>
        <w:rPr>
          <w:rFonts w:ascii="Arial" w:cs="Arial" w:eastAsia="Arial" w:hAnsi="Arial"/>
          <w:sz w:val="13"/>
          <w:szCs w:val="13"/>
          <w:color w:val="auto"/>
        </w:rPr>
        <w:t>, the expiry date of such requested Letter of Credit would occur more than twelve months after the date of issuance or last extension, unless the Required Lenders have approved such expiry date;</w:t>
      </w:r>
    </w:p>
    <w:p>
      <w:pPr>
        <w:spacing w:after="0" w:line="49" w:lineRule="exact"/>
        <w:rPr>
          <w:rFonts w:ascii="Arial" w:cs="Arial" w:eastAsia="Arial" w:hAnsi="Arial"/>
          <w:sz w:val="13"/>
          <w:szCs w:val="13"/>
          <w:color w:val="auto"/>
        </w:rPr>
      </w:pPr>
    </w:p>
    <w:p>
      <w:pPr>
        <w:ind w:left="600" w:hanging="199"/>
        <w:spacing w:after="0"/>
        <w:tabs>
          <w:tab w:leader="none" w:pos="600" w:val="left"/>
        </w:tabs>
        <w:numPr>
          <w:ilvl w:val="1"/>
          <w:numId w:val="71"/>
        </w:numPr>
        <w:rPr>
          <w:rFonts w:ascii="Arial" w:cs="Arial" w:eastAsia="Arial" w:hAnsi="Arial"/>
          <w:sz w:val="13"/>
          <w:szCs w:val="13"/>
          <w:color w:val="auto"/>
        </w:rPr>
      </w:pPr>
      <w:r>
        <w:rPr>
          <w:rFonts w:ascii="Arial" w:cs="Arial" w:eastAsia="Arial" w:hAnsi="Arial"/>
          <w:sz w:val="13"/>
          <w:szCs w:val="13"/>
          <w:color w:val="auto"/>
        </w:rPr>
        <w:t>the expiry date of such requested Letter of Credit would occur after the Letter of Credit Expiration Date, unless all the Lenders have approved such expiry date; or</w:t>
      </w:r>
    </w:p>
    <w:p>
      <w:pPr>
        <w:spacing w:after="0" w:line="86" w:lineRule="exact"/>
        <w:rPr>
          <w:rFonts w:ascii="Arial" w:cs="Arial" w:eastAsia="Arial" w:hAnsi="Arial"/>
          <w:sz w:val="13"/>
          <w:szCs w:val="13"/>
          <w:color w:val="auto"/>
        </w:rPr>
      </w:pPr>
    </w:p>
    <w:p>
      <w:pPr>
        <w:ind w:left="600" w:hanging="199"/>
        <w:spacing w:after="0"/>
        <w:tabs>
          <w:tab w:leader="none" w:pos="600" w:val="left"/>
        </w:tabs>
        <w:numPr>
          <w:ilvl w:val="1"/>
          <w:numId w:val="71"/>
        </w:numPr>
        <w:rPr>
          <w:rFonts w:ascii="Arial" w:cs="Arial" w:eastAsia="Arial" w:hAnsi="Arial"/>
          <w:sz w:val="13"/>
          <w:szCs w:val="13"/>
          <w:color w:val="auto"/>
        </w:rPr>
      </w:pPr>
      <w:r>
        <w:rPr>
          <w:rFonts w:ascii="Arial" w:cs="Arial" w:eastAsia="Arial" w:hAnsi="Arial"/>
          <w:sz w:val="13"/>
          <w:szCs w:val="13"/>
          <w:color w:val="auto"/>
        </w:rPr>
        <w:t>such Letter of Credit is to be denominated in a currency other than Dollars or an Alternative Currency, unless all the Lenders have consented thereto</w:t>
      </w:r>
    </w:p>
    <w:p>
      <w:pPr>
        <w:spacing w:after="0" w:line="86" w:lineRule="exact"/>
        <w:rPr>
          <w:rFonts w:ascii="Arial" w:cs="Arial" w:eastAsia="Arial" w:hAnsi="Arial"/>
          <w:sz w:val="13"/>
          <w:szCs w:val="13"/>
          <w:color w:val="auto"/>
        </w:rPr>
      </w:pPr>
    </w:p>
    <w:p>
      <w:pPr>
        <w:ind w:left="400" w:hanging="228"/>
        <w:spacing w:after="0"/>
        <w:tabs>
          <w:tab w:leader="none" w:pos="400" w:val="left"/>
        </w:tabs>
        <w:numPr>
          <w:ilvl w:val="0"/>
          <w:numId w:val="71"/>
        </w:numPr>
        <w:rPr>
          <w:rFonts w:ascii="Arial" w:cs="Arial" w:eastAsia="Arial" w:hAnsi="Arial"/>
          <w:sz w:val="13"/>
          <w:szCs w:val="13"/>
          <w:color w:val="auto"/>
        </w:rPr>
      </w:pPr>
      <w:r>
        <w:rPr>
          <w:rFonts w:ascii="Arial" w:cs="Arial" w:eastAsia="Arial" w:hAnsi="Arial"/>
          <w:sz w:val="13"/>
          <w:szCs w:val="13"/>
          <w:color w:val="auto"/>
        </w:rPr>
        <w:t>The L/C Issuer shall not be under any obligation to issue any Letter of Credit if:</w:t>
      </w:r>
    </w:p>
    <w:p>
      <w:pPr>
        <w:spacing w:after="0" w:line="86" w:lineRule="exact"/>
        <w:rPr>
          <w:rFonts w:ascii="Arial" w:cs="Arial" w:eastAsia="Arial" w:hAnsi="Arial"/>
          <w:sz w:val="13"/>
          <w:szCs w:val="13"/>
          <w:color w:val="auto"/>
        </w:rPr>
      </w:pPr>
    </w:p>
    <w:p>
      <w:pPr>
        <w:jc w:val="both"/>
        <w:ind w:left="240" w:right="80" w:firstLine="161"/>
        <w:spacing w:after="0" w:line="258" w:lineRule="auto"/>
        <w:tabs>
          <w:tab w:leader="none" w:pos="618" w:val="left"/>
        </w:tabs>
        <w:numPr>
          <w:ilvl w:val="1"/>
          <w:numId w:val="71"/>
        </w:numPr>
        <w:rPr>
          <w:rFonts w:ascii="Arial" w:cs="Arial" w:eastAsia="Arial" w:hAnsi="Arial"/>
          <w:sz w:val="13"/>
          <w:szCs w:val="13"/>
          <w:color w:val="auto"/>
        </w:rPr>
      </w:pPr>
      <w:r>
        <w:rPr>
          <w:rFonts w:ascii="Arial" w:cs="Arial" w:eastAsia="Arial" w:hAnsi="Arial"/>
          <w:sz w:val="13"/>
          <w:szCs w:val="13"/>
          <w:color w:val="auto"/>
        </w:rPr>
        <w:t>any order, judgment or decree of any Governmental Authority or arbitrator shall by its terms purport to enjoin or restrain the L/C Issuer from issuing such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such Letter of Credit in particular or shall impose upon the L/C Issuer with respect to such Letter of Credit any restriction, reserve or capital requirement (for which the L/C Issuer is not otherwise compensated hereunder) not in effect on the Closing Date, or shall impose upon the L/C Issuer any unreimbursed loss, cost or expense which was not applicable on the Closing Date and which the L/C Issuer in good faith deems material to it;</w:t>
      </w:r>
    </w:p>
    <w:p>
      <w:pPr>
        <w:spacing w:after="0" w:line="61" w:lineRule="exact"/>
        <w:rPr>
          <w:rFonts w:ascii="Arial" w:cs="Arial" w:eastAsia="Arial" w:hAnsi="Arial"/>
          <w:sz w:val="13"/>
          <w:szCs w:val="13"/>
          <w:color w:val="auto"/>
        </w:rPr>
      </w:pPr>
    </w:p>
    <w:p>
      <w:pPr>
        <w:ind w:left="600" w:hanging="199"/>
        <w:spacing w:after="0"/>
        <w:tabs>
          <w:tab w:leader="none" w:pos="600" w:val="left"/>
        </w:tabs>
        <w:numPr>
          <w:ilvl w:val="1"/>
          <w:numId w:val="71"/>
        </w:numPr>
        <w:rPr>
          <w:rFonts w:ascii="Arial" w:cs="Arial" w:eastAsia="Arial" w:hAnsi="Arial"/>
          <w:sz w:val="13"/>
          <w:szCs w:val="13"/>
          <w:color w:val="auto"/>
        </w:rPr>
      </w:pPr>
      <w:r>
        <w:rPr>
          <w:rFonts w:ascii="Arial" w:cs="Arial" w:eastAsia="Arial" w:hAnsi="Arial"/>
          <w:sz w:val="13"/>
          <w:szCs w:val="13"/>
          <w:color w:val="auto"/>
        </w:rPr>
        <w:t>the issuance of such Letter of Credit would violate any Laws or one or more policies of the L/C Issuer;</w:t>
      </w:r>
    </w:p>
    <w:p>
      <w:pPr>
        <w:spacing w:after="0" w:line="86" w:lineRule="exact"/>
        <w:rPr>
          <w:rFonts w:ascii="Arial" w:cs="Arial" w:eastAsia="Arial" w:hAnsi="Arial"/>
          <w:sz w:val="13"/>
          <w:szCs w:val="13"/>
          <w:color w:val="auto"/>
        </w:rPr>
      </w:pPr>
    </w:p>
    <w:p>
      <w:pPr>
        <w:ind w:left="240" w:firstLine="161"/>
        <w:spacing w:after="0" w:line="276" w:lineRule="auto"/>
        <w:tabs>
          <w:tab w:leader="none" w:pos="611" w:val="left"/>
        </w:tabs>
        <w:numPr>
          <w:ilvl w:val="1"/>
          <w:numId w:val="71"/>
        </w:numPr>
        <w:rPr>
          <w:rFonts w:ascii="Arial" w:cs="Arial" w:eastAsia="Arial" w:hAnsi="Arial"/>
          <w:sz w:val="13"/>
          <w:szCs w:val="13"/>
          <w:color w:val="auto"/>
        </w:rPr>
      </w:pPr>
      <w:r>
        <w:rPr>
          <w:rFonts w:ascii="Arial" w:cs="Arial" w:eastAsia="Arial" w:hAnsi="Arial"/>
          <w:sz w:val="13"/>
          <w:szCs w:val="13"/>
          <w:color w:val="auto"/>
        </w:rPr>
        <w:t>except as otherwise agreed by the Administrative Agent and the L/C Issuer, such Letter of Credit is in an initial face amount less than $100,000, in the case of a commercial Letter of Credit, or $500,000, in the case of a standby Letter of Credit;</w:t>
      </w:r>
    </w:p>
    <w:p>
      <w:pPr>
        <w:spacing w:after="0" w:line="49" w:lineRule="exact"/>
        <w:rPr>
          <w:rFonts w:ascii="Arial" w:cs="Arial" w:eastAsia="Arial" w:hAnsi="Arial"/>
          <w:sz w:val="13"/>
          <w:szCs w:val="13"/>
          <w:color w:val="auto"/>
        </w:rPr>
      </w:pPr>
    </w:p>
    <w:p>
      <w:pPr>
        <w:ind w:left="620" w:hanging="219"/>
        <w:spacing w:after="0"/>
        <w:tabs>
          <w:tab w:leader="none" w:pos="620" w:val="left"/>
        </w:tabs>
        <w:numPr>
          <w:ilvl w:val="1"/>
          <w:numId w:val="71"/>
        </w:numPr>
        <w:rPr>
          <w:rFonts w:ascii="Arial" w:cs="Arial" w:eastAsia="Arial" w:hAnsi="Arial"/>
          <w:sz w:val="13"/>
          <w:szCs w:val="13"/>
          <w:color w:val="auto"/>
        </w:rPr>
      </w:pPr>
      <w:r>
        <w:rPr>
          <w:rFonts w:ascii="Arial" w:cs="Arial" w:eastAsia="Arial" w:hAnsi="Arial"/>
          <w:sz w:val="13"/>
          <w:szCs w:val="13"/>
          <w:color w:val="auto"/>
        </w:rPr>
        <w:t>the L/C Issuer does not as of the issuance date of such requested Letter of Credit issue Letters of Credit in the requested currency;</w:t>
      </w:r>
    </w:p>
    <w:p>
      <w:pPr>
        <w:spacing w:after="0" w:line="86" w:lineRule="exact"/>
        <w:rPr>
          <w:rFonts w:ascii="Arial" w:cs="Arial" w:eastAsia="Arial" w:hAnsi="Arial"/>
          <w:sz w:val="13"/>
          <w:szCs w:val="13"/>
          <w:color w:val="auto"/>
        </w:rPr>
      </w:pPr>
    </w:p>
    <w:p>
      <w:pPr>
        <w:ind w:left="600" w:hanging="199"/>
        <w:spacing w:after="0"/>
        <w:tabs>
          <w:tab w:leader="none" w:pos="600" w:val="left"/>
        </w:tabs>
        <w:numPr>
          <w:ilvl w:val="1"/>
          <w:numId w:val="71"/>
        </w:numPr>
        <w:rPr>
          <w:rFonts w:ascii="Arial" w:cs="Arial" w:eastAsia="Arial" w:hAnsi="Arial"/>
          <w:sz w:val="13"/>
          <w:szCs w:val="13"/>
          <w:color w:val="auto"/>
        </w:rPr>
      </w:pPr>
      <w:r>
        <w:rPr>
          <w:rFonts w:ascii="Arial" w:cs="Arial" w:eastAsia="Arial" w:hAnsi="Arial"/>
          <w:sz w:val="13"/>
          <w:szCs w:val="13"/>
          <w:color w:val="auto"/>
        </w:rPr>
        <w:t>such Letter of Credit contains any provisions for automatic reinstatement of the stated amount after any drawing thereunder; or</w:t>
      </w:r>
    </w:p>
    <w:p>
      <w:pPr>
        <w:spacing w:after="0" w:line="86" w:lineRule="exact"/>
        <w:rPr>
          <w:rFonts w:ascii="Arial" w:cs="Arial" w:eastAsia="Arial" w:hAnsi="Arial"/>
          <w:sz w:val="13"/>
          <w:szCs w:val="13"/>
          <w:color w:val="auto"/>
        </w:rPr>
      </w:pPr>
    </w:p>
    <w:p>
      <w:pPr>
        <w:ind w:left="240" w:right="180" w:firstLine="161"/>
        <w:spacing w:after="0" w:line="276" w:lineRule="auto"/>
        <w:tabs>
          <w:tab w:leader="none" w:pos="597" w:val="left"/>
        </w:tabs>
        <w:numPr>
          <w:ilvl w:val="1"/>
          <w:numId w:val="71"/>
        </w:numPr>
        <w:rPr>
          <w:rFonts w:ascii="Arial" w:cs="Arial" w:eastAsia="Arial" w:hAnsi="Arial"/>
          <w:sz w:val="13"/>
          <w:szCs w:val="13"/>
          <w:color w:val="auto"/>
        </w:rPr>
      </w:pPr>
      <w:r>
        <w:rPr>
          <w:rFonts w:ascii="Arial" w:cs="Arial" w:eastAsia="Arial" w:hAnsi="Arial"/>
          <w:sz w:val="13"/>
          <w:szCs w:val="13"/>
          <w:color w:val="auto"/>
        </w:rPr>
        <w:t xml:space="preserve">a default of any Lender’s obligations to fund under </w:t>
      </w:r>
      <w:r>
        <w:rPr>
          <w:rFonts w:ascii="Arial" w:cs="Arial" w:eastAsia="Arial" w:hAnsi="Arial"/>
          <w:sz w:val="13"/>
          <w:szCs w:val="13"/>
          <w:u w:val="single" w:color="auto"/>
          <w:color w:val="auto"/>
        </w:rPr>
        <w:t>Section 2.03(c)</w:t>
      </w:r>
      <w:r>
        <w:rPr>
          <w:rFonts w:ascii="Arial" w:cs="Arial" w:eastAsia="Arial" w:hAnsi="Arial"/>
          <w:sz w:val="13"/>
          <w:szCs w:val="13"/>
          <w:color w:val="auto"/>
        </w:rPr>
        <w:t xml:space="preserve"> exists or any Lender is at such time a Defaulting Lender hereunder, unless the L/C Issuer has entered into satisfactory arrangements with the Company or such Lender to eliminate the L/C Issuer’s risk with respect to such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271145</wp:posOffset>
            </wp:positionV>
            <wp:extent cx="7290435" cy="19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00"/>
          </w:cols>
          <w:pgMar w:left="440" w:top="720" w:right="259" w:bottom="1440" w:gutter="0" w:footer="0" w:header="0"/>
        </w:sectPr>
      </w:pPr>
    </w:p>
    <w:bookmarkStart w:id="118" w:name="page119"/>
    <w:bookmarkEnd w:id="118"/>
    <w:p>
      <w:pPr>
        <w:ind w:left="458" w:hanging="228"/>
        <w:spacing w:after="0"/>
        <w:tabs>
          <w:tab w:leader="none" w:pos="458" w:val="left"/>
        </w:tabs>
        <w:numPr>
          <w:ilvl w:val="2"/>
          <w:numId w:val="72"/>
        </w:numPr>
        <w:rPr>
          <w:rFonts w:ascii="Arial" w:cs="Arial" w:eastAsia="Arial" w:hAnsi="Arial"/>
          <w:sz w:val="13"/>
          <w:szCs w:val="13"/>
          <w:color w:val="auto"/>
        </w:rPr>
      </w:pPr>
      <w:r>
        <w:rPr>
          <w:rFonts w:ascii="Arial" w:cs="Arial" w:eastAsia="Arial" w:hAnsi="Arial"/>
          <w:sz w:val="13"/>
          <w:szCs w:val="13"/>
          <w:color w:val="auto"/>
        </w:rPr>
        <w:t>The L/C Issuer shall not amend any Letter of Credit if the L/C Issuer would not be permitted at such time to issue such Letter of Credit in its amended form under the terms hereof.</w:t>
      </w:r>
    </w:p>
    <w:p>
      <w:pPr>
        <w:spacing w:after="0" w:line="86" w:lineRule="exact"/>
        <w:rPr>
          <w:rFonts w:ascii="Arial" w:cs="Arial" w:eastAsia="Arial" w:hAnsi="Arial"/>
          <w:sz w:val="13"/>
          <w:szCs w:val="13"/>
          <w:color w:val="auto"/>
        </w:rPr>
      </w:pPr>
    </w:p>
    <w:p>
      <w:pPr>
        <w:ind w:left="58" w:firstLine="172"/>
        <w:spacing w:after="0" w:line="276" w:lineRule="auto"/>
        <w:tabs>
          <w:tab w:leader="none" w:pos="407" w:val="left"/>
        </w:tabs>
        <w:numPr>
          <w:ilvl w:val="2"/>
          <w:numId w:val="72"/>
        </w:numPr>
        <w:rPr>
          <w:rFonts w:ascii="Arial" w:cs="Arial" w:eastAsia="Arial" w:hAnsi="Arial"/>
          <w:sz w:val="13"/>
          <w:szCs w:val="13"/>
          <w:color w:val="auto"/>
        </w:rPr>
      </w:pPr>
      <w:r>
        <w:rPr>
          <w:rFonts w:ascii="Arial" w:cs="Arial" w:eastAsia="Arial" w:hAnsi="Arial"/>
          <w:sz w:val="13"/>
          <w:szCs w:val="13"/>
          <w:color w:val="auto"/>
        </w:rPr>
        <w:t>The L/C Issuer shall be under no obligation to amend any Letter of Credit if (A) the L/C Issuer would have no obligation at such time to issue such Letter of Credit in its amended form under the terms hereof, or (B) the beneficiary of such Letter of Credit does not accept the proposed amendment to such Letter of Credit.</w:t>
      </w:r>
    </w:p>
    <w:p>
      <w:pPr>
        <w:spacing w:after="0" w:line="49" w:lineRule="exact"/>
        <w:rPr>
          <w:rFonts w:ascii="Arial" w:cs="Arial" w:eastAsia="Arial" w:hAnsi="Arial"/>
          <w:sz w:val="13"/>
          <w:szCs w:val="13"/>
          <w:color w:val="auto"/>
        </w:rPr>
      </w:pPr>
    </w:p>
    <w:p>
      <w:pPr>
        <w:ind w:left="458" w:hanging="228"/>
        <w:spacing w:after="0"/>
        <w:tabs>
          <w:tab w:leader="none" w:pos="458" w:val="left"/>
        </w:tabs>
        <w:numPr>
          <w:ilvl w:val="2"/>
          <w:numId w:val="72"/>
        </w:numPr>
        <w:rPr>
          <w:rFonts w:ascii="Arial" w:cs="Arial" w:eastAsia="Arial" w:hAnsi="Arial"/>
          <w:sz w:val="12"/>
          <w:szCs w:val="12"/>
          <w:color w:val="auto"/>
        </w:rPr>
      </w:pPr>
      <w:r>
        <w:rPr>
          <w:rFonts w:ascii="Arial" w:cs="Arial" w:eastAsia="Arial" w:hAnsi="Arial"/>
          <w:sz w:val="12"/>
          <w:szCs w:val="12"/>
          <w:color w:val="auto"/>
        </w:rPr>
        <w:t>The L/C Issuer shall act on behalf of the Lenders with respect to any Letters of Credit issued by it and the documents associated therewith, and the L/C Issuer shall have all of the benefits and immunities</w:t>
      </w:r>
    </w:p>
    <w:p>
      <w:pPr>
        <w:spacing w:after="0" w:line="26" w:lineRule="exact"/>
        <w:rPr>
          <w:rFonts w:ascii="Arial" w:cs="Arial" w:eastAsia="Arial" w:hAnsi="Arial"/>
          <w:sz w:val="12"/>
          <w:szCs w:val="12"/>
          <w:color w:val="auto"/>
        </w:rPr>
      </w:pPr>
    </w:p>
    <w:p>
      <w:pPr>
        <w:ind w:left="58" w:right="40" w:firstLine="8"/>
        <w:spacing w:after="0" w:line="258" w:lineRule="auto"/>
        <w:tabs>
          <w:tab w:leader="none" w:pos="272" w:val="left"/>
        </w:tabs>
        <w:numPr>
          <w:ilvl w:val="1"/>
          <w:numId w:val="73"/>
        </w:numPr>
        <w:rPr>
          <w:rFonts w:ascii="Arial" w:cs="Arial" w:eastAsia="Arial" w:hAnsi="Arial"/>
          <w:sz w:val="13"/>
          <w:szCs w:val="13"/>
          <w:color w:val="auto"/>
        </w:rPr>
      </w:pPr>
      <w:r>
        <w:rPr>
          <w:rFonts w:ascii="Arial" w:cs="Arial" w:eastAsia="Arial" w:hAnsi="Arial"/>
          <w:sz w:val="13"/>
          <w:szCs w:val="13"/>
          <w:color w:val="auto"/>
        </w:rPr>
        <w:t xml:space="preserve">provided to the Administrative Agent in </w:t>
      </w:r>
      <w:r>
        <w:rPr>
          <w:rFonts w:ascii="Arial" w:cs="Arial" w:eastAsia="Arial" w:hAnsi="Arial"/>
          <w:sz w:val="13"/>
          <w:szCs w:val="13"/>
          <w:u w:val="single" w:color="auto"/>
          <w:color w:val="auto"/>
        </w:rPr>
        <w:t>Article X</w:t>
      </w:r>
      <w:r>
        <w:rPr>
          <w:rFonts w:ascii="Arial" w:cs="Arial" w:eastAsia="Arial" w:hAnsi="Arial"/>
          <w:sz w:val="13"/>
          <w:szCs w:val="13"/>
          <w:color w:val="auto"/>
        </w:rPr>
        <w:t xml:space="preserve"> with respect to any acts taken or omissions suffered by the L/C Issuer in connection with Letters of Credit issued by it or proposed to be issued by it and Issuer Documents pertaining to such Letters of Credit as fully as if the term “Administrative Agent” as used in </w:t>
      </w:r>
      <w:r>
        <w:rPr>
          <w:rFonts w:ascii="Arial" w:cs="Arial" w:eastAsia="Arial" w:hAnsi="Arial"/>
          <w:sz w:val="13"/>
          <w:szCs w:val="13"/>
          <w:u w:val="single" w:color="auto"/>
          <w:color w:val="auto"/>
        </w:rPr>
        <w:t>Article X</w:t>
      </w:r>
      <w:r>
        <w:rPr>
          <w:rFonts w:ascii="Arial" w:cs="Arial" w:eastAsia="Arial" w:hAnsi="Arial"/>
          <w:sz w:val="13"/>
          <w:szCs w:val="13"/>
          <w:color w:val="auto"/>
        </w:rPr>
        <w:t xml:space="preserve"> included the L/C Issuer with respect to such acts or omissions, and (B) as additionally provided herein with respect to the L/C Issuer.</w:t>
      </w:r>
    </w:p>
    <w:p>
      <w:pPr>
        <w:spacing w:after="0" w:line="60" w:lineRule="exact"/>
        <w:rPr>
          <w:rFonts w:ascii="Arial" w:cs="Arial" w:eastAsia="Arial" w:hAnsi="Arial"/>
          <w:sz w:val="13"/>
          <w:szCs w:val="13"/>
          <w:color w:val="auto"/>
        </w:rPr>
      </w:pPr>
    </w:p>
    <w:p>
      <w:pPr>
        <w:ind w:left="178" w:hanging="178"/>
        <w:spacing w:after="0"/>
        <w:tabs>
          <w:tab w:leader="none" w:pos="178" w:val="left"/>
        </w:tabs>
        <w:numPr>
          <w:ilvl w:val="0"/>
          <w:numId w:val="74"/>
        </w:numPr>
        <w:rPr>
          <w:rFonts w:ascii="Arial" w:cs="Arial" w:eastAsia="Arial" w:hAnsi="Arial"/>
          <w:sz w:val="13"/>
          <w:szCs w:val="13"/>
          <w:color w:val="auto"/>
        </w:rPr>
      </w:pPr>
      <w:r>
        <w:rPr>
          <w:rFonts w:ascii="Arial" w:cs="Arial" w:eastAsia="Arial" w:hAnsi="Arial"/>
          <w:sz w:val="13"/>
          <w:szCs w:val="13"/>
          <w:u w:val="single" w:color="auto"/>
          <w:color w:val="auto"/>
        </w:rPr>
        <w:t>Procedures for Issuance and Amendment of Letters of Credit; Auto-Extension Letters of Credit</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58" w:right="80" w:firstLine="172"/>
        <w:spacing w:after="0" w:line="300" w:lineRule="auto"/>
        <w:tabs>
          <w:tab w:leader="none" w:pos="378" w:val="left"/>
        </w:tabs>
        <w:numPr>
          <w:ilvl w:val="2"/>
          <w:numId w:val="74"/>
        </w:numPr>
        <w:rPr>
          <w:rFonts w:ascii="Arial" w:cs="Arial" w:eastAsia="Arial" w:hAnsi="Arial"/>
          <w:sz w:val="11"/>
          <w:szCs w:val="11"/>
          <w:color w:val="auto"/>
        </w:rPr>
      </w:pPr>
      <w:r>
        <w:rPr>
          <w:rFonts w:ascii="Arial" w:cs="Arial" w:eastAsia="Arial" w:hAnsi="Arial"/>
          <w:sz w:val="11"/>
          <w:szCs w:val="11"/>
          <w:color w:val="auto"/>
        </w:rPr>
        <w:t>Each Letter of Credit shall be issued or amended, as the case may be, upon the request of the applicable Borrower delivered to the L/C Issuer (with a copy to the Administrative Agent) in the form of a Letter of Credit Application, appropriately completed and signed by a Responsible Officer of such Borrower. Such Letter of Credit Application must be received by the L/C Issuer and the Administrative Agent (A) not later than 11:00 a.m. at least two Business Days prior to the proposed issuance date or date of amendment, as the case may be, of any Letter of Credit denominated in Dollars, and (B) not later than 11:00 a.m. at least ten Business Days prior to the proposed issuance date or date of amendment, as the case may be, of any Letter of Credit denominated in an Alternative Currency; or in each case such later date and time as the Administrative Agent and the L/C Issuer may agree in a particular instance in their sole discretion. In the case of a request for an initial issuance of a Letter of Credit, such Letter of Credit Application shall specify in form and detail satisfactory to the L/C Issuer: (A) the proposed issuance date of the requested Letter of Credit (which shall be a Business Day); (B) the amount and currency thereof; (C) the expiry date thereof;</w:t>
      </w:r>
    </w:p>
    <w:p>
      <w:pPr>
        <w:spacing w:after="0" w:line="2" w:lineRule="exact"/>
        <w:rPr>
          <w:rFonts w:ascii="Arial" w:cs="Arial" w:eastAsia="Arial" w:hAnsi="Arial"/>
          <w:sz w:val="11"/>
          <w:szCs w:val="11"/>
          <w:color w:val="auto"/>
        </w:rPr>
      </w:pPr>
    </w:p>
    <w:p>
      <w:pPr>
        <w:ind w:left="58" w:firstLine="8"/>
        <w:spacing w:after="0" w:line="281" w:lineRule="auto"/>
        <w:tabs>
          <w:tab w:leader="none" w:pos="272" w:val="left"/>
        </w:tabs>
        <w:numPr>
          <w:ilvl w:val="1"/>
          <w:numId w:val="74"/>
        </w:numPr>
        <w:rPr>
          <w:rFonts w:ascii="Arial" w:cs="Arial" w:eastAsia="Arial" w:hAnsi="Arial"/>
          <w:sz w:val="12"/>
          <w:szCs w:val="12"/>
          <w:color w:val="auto"/>
        </w:rPr>
      </w:pPr>
      <w:r>
        <w:rPr>
          <w:rFonts w:ascii="Arial" w:cs="Arial" w:eastAsia="Arial" w:hAnsi="Arial"/>
          <w:sz w:val="12"/>
          <w:szCs w:val="12"/>
          <w:color w:val="auto"/>
        </w:rPr>
        <w:t>the name and address of the beneficiary thereof; (E) the documents to be presented by such beneficiary in case of any drawing thereunder; (F) the full text of any certificate to be presented by such beneficiary in case of any drawing thereunder; and (G) such other matters as the L/C Issuer may require. In the case of a request for an amendment of any outstanding Letter of Credit, such Letter of Credit Application shall specify in form and detail satisfactory to the L/C Issuer (A) the Letter of Credit to be amended; (B) the proposed date of amendment thereof (which shall be a Business Day); (C) the nature of the proposed amendment; and (D) such other matters as the L/C Issuer may require. Additionally, the applicable Borrower shall furnish to the L/C Issuer and the Administrative Agent such other documents and information pertaining to such requested Letter of Credit issuance or amendment, including any Issuer Documents, as the L/C Issuer or the Administrative Agent may require.</w:t>
      </w:r>
    </w:p>
    <w:p>
      <w:pPr>
        <w:spacing w:after="0" w:line="49" w:lineRule="exact"/>
        <w:rPr>
          <w:rFonts w:ascii="Arial" w:cs="Arial" w:eastAsia="Arial" w:hAnsi="Arial"/>
          <w:sz w:val="12"/>
          <w:szCs w:val="12"/>
          <w:color w:val="auto"/>
        </w:rPr>
      </w:pPr>
    </w:p>
    <w:p>
      <w:pPr>
        <w:ind w:left="58" w:right="140" w:firstLine="172"/>
        <w:spacing w:after="0" w:line="264" w:lineRule="auto"/>
        <w:tabs>
          <w:tab w:leader="none" w:pos="414" w:val="left"/>
        </w:tabs>
        <w:numPr>
          <w:ilvl w:val="2"/>
          <w:numId w:val="75"/>
        </w:numPr>
        <w:rPr>
          <w:rFonts w:ascii="Arial" w:cs="Arial" w:eastAsia="Arial" w:hAnsi="Arial"/>
          <w:sz w:val="13"/>
          <w:szCs w:val="13"/>
          <w:color w:val="auto"/>
        </w:rPr>
      </w:pPr>
      <w:r>
        <w:rPr>
          <w:rFonts w:ascii="Arial" w:cs="Arial" w:eastAsia="Arial" w:hAnsi="Arial"/>
          <w:sz w:val="13"/>
          <w:szCs w:val="13"/>
          <w:color w:val="auto"/>
        </w:rPr>
        <w:t>Promptly after receipt of any Letter of Credit Application, the L/C Issuer will confirm with the Administrative Agent (by telephone or in writing) that the Administrative Agent has received a copy of such Letter of Credit Application from the applicable Borrower and, if not, the L/C Issuer will provide the Administrative Agent with a copy thereof. Unless the L/C Issuer has received written notice from any Lender, the Administrative Agent or any Loan Party, at least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275590</wp:posOffset>
            </wp:positionV>
            <wp:extent cx="7290435" cy="19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98"/>
          </w:cols>
          <w:pgMar w:left="382" w:top="720" w:right="219" w:bottom="1440" w:gutter="0" w:footer="0" w:header="0"/>
        </w:sectPr>
      </w:pPr>
    </w:p>
    <w:bookmarkStart w:id="119" w:name="page120"/>
    <w:bookmarkEnd w:id="119"/>
    <w:p>
      <w:pPr>
        <w:ind w:left="58" w:right="40"/>
        <w:spacing w:after="0" w:line="258" w:lineRule="auto"/>
        <w:rPr>
          <w:sz w:val="20"/>
          <w:szCs w:val="20"/>
          <w:color w:val="auto"/>
        </w:rPr>
      </w:pPr>
      <w:r>
        <w:rPr>
          <w:rFonts w:ascii="Arial" w:cs="Arial" w:eastAsia="Arial" w:hAnsi="Arial"/>
          <w:sz w:val="13"/>
          <w:szCs w:val="13"/>
          <w:color w:val="auto"/>
        </w:rPr>
        <w:t xml:space="preserve">one Business Day prior to the requested date of issuance or amendment of the applicable Letter of Credit, that one or more applicable conditions contained in </w:t>
      </w:r>
      <w:r>
        <w:rPr>
          <w:rFonts w:ascii="Arial" w:cs="Arial" w:eastAsia="Arial" w:hAnsi="Arial"/>
          <w:sz w:val="13"/>
          <w:szCs w:val="13"/>
          <w:u w:val="single" w:color="auto"/>
          <w:color w:val="auto"/>
        </w:rPr>
        <w:t>Article V</w:t>
      </w:r>
      <w:r>
        <w:rPr>
          <w:rFonts w:ascii="Arial" w:cs="Arial" w:eastAsia="Arial" w:hAnsi="Arial"/>
          <w:sz w:val="13"/>
          <w:szCs w:val="13"/>
          <w:color w:val="auto"/>
        </w:rPr>
        <w:t xml:space="preserve"> shall not be satisfied, then, subject to the terms and conditions hereof, the L/C Issuer shall, on the requested date, issue a Letter of Credit for the account of the applicable Borrower or the applicable Subsidiary or enter into the applicable amendment, as the case may be, in each case in accordance with the L/C Issuer’s usual and customary business practices. Immediately upon the issuance of each Letter of Credit, each Lender shall be deemed to, and hereby irrevocably and unconditionally agrees to, purchase from the L/C Issuer a risk participation in such Letter of Credit in an amount equal to the product of such Lender’s Pro Rata Share </w:t>
      </w:r>
      <w:r>
        <w:rPr>
          <w:rFonts w:ascii="Arial" w:cs="Arial" w:eastAsia="Arial" w:hAnsi="Arial"/>
          <w:sz w:val="13"/>
          <w:szCs w:val="13"/>
          <w:u w:val="single" w:color="auto"/>
          <w:color w:val="auto"/>
        </w:rPr>
        <w:t>times</w:t>
      </w:r>
      <w:r>
        <w:rPr>
          <w:rFonts w:ascii="Arial" w:cs="Arial" w:eastAsia="Arial" w:hAnsi="Arial"/>
          <w:sz w:val="13"/>
          <w:szCs w:val="13"/>
          <w:color w:val="auto"/>
        </w:rPr>
        <w:t xml:space="preserve"> the amount of such Letter of Credit.</w:t>
      </w:r>
    </w:p>
    <w:p>
      <w:pPr>
        <w:spacing w:after="0" w:line="61" w:lineRule="exact"/>
        <w:rPr>
          <w:sz w:val="20"/>
          <w:szCs w:val="20"/>
          <w:color w:val="auto"/>
        </w:rPr>
      </w:pPr>
    </w:p>
    <w:p>
      <w:pPr>
        <w:ind w:left="58" w:firstLine="172"/>
        <w:spacing w:after="0" w:line="278" w:lineRule="auto"/>
        <w:tabs>
          <w:tab w:leader="none" w:pos="450" w:val="left"/>
        </w:tabs>
        <w:numPr>
          <w:ilvl w:val="1"/>
          <w:numId w:val="76"/>
        </w:numPr>
        <w:rPr>
          <w:rFonts w:ascii="Arial" w:cs="Arial" w:eastAsia="Arial" w:hAnsi="Arial"/>
          <w:sz w:val="12"/>
          <w:szCs w:val="12"/>
          <w:color w:val="auto"/>
        </w:rPr>
      </w:pPr>
      <w:r>
        <w:rPr>
          <w:rFonts w:ascii="Arial" w:cs="Arial" w:eastAsia="Arial" w:hAnsi="Arial"/>
          <w:sz w:val="12"/>
          <w:szCs w:val="12"/>
          <w:color w:val="auto"/>
        </w:rPr>
        <w:t>If a Borrower so requests in any applicable Letter of Credit Application, the L/C Issuer may, in its sole and absolute discretion, agree to issue a Letter of Credit that has automatic extension provisions (each, an “</w:t>
      </w:r>
      <w:r>
        <w:rPr>
          <w:rFonts w:ascii="Arial" w:cs="Arial" w:eastAsia="Arial" w:hAnsi="Arial"/>
          <w:sz w:val="12"/>
          <w:szCs w:val="12"/>
          <w:u w:val="single" w:color="auto"/>
          <w:color w:val="auto"/>
        </w:rPr>
        <w:t>Auto-Extension Letter of Credit</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any such Auto-Extension Letter of Credit must permit the L/C Issuer to prevent any such extension at least once in each twelve-month period (commencing with the date of issuance of such Letter of Credit) by giving prior notice to the beneficiary thereof not later than a day (the “</w:t>
      </w:r>
      <w:r>
        <w:rPr>
          <w:rFonts w:ascii="Arial" w:cs="Arial" w:eastAsia="Arial" w:hAnsi="Arial"/>
          <w:sz w:val="12"/>
          <w:szCs w:val="12"/>
          <w:u w:val="single" w:color="auto"/>
          <w:color w:val="auto"/>
        </w:rPr>
        <w:t>Non-Extension Notice Date</w:t>
      </w:r>
      <w:r>
        <w:rPr>
          <w:rFonts w:ascii="Arial" w:cs="Arial" w:eastAsia="Arial" w:hAnsi="Arial"/>
          <w:sz w:val="12"/>
          <w:szCs w:val="12"/>
          <w:color w:val="auto"/>
        </w:rPr>
        <w:t xml:space="preserve">”) in each such twelve-month period to be agreed upon at the time such Letter of Credit is issued. Unless otherwise directed by the L/C Issuer, the applicable Borrower shall not be required to make a specific request to the L/C Issuer for any such extension. Once an Auto-Extension Letter of Credit has been issued, the Lenders shall be deemed to have authorized (but may not require) the L/C Issuer to permit the extension of such Letter of Credit at any time to an expiry date not later than the Letter of Credit Expiration Date;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the L/C Issuer shall not permit any such extension if (A) the L/C Issuer has determined that it would not be permitted, or would have no obligation, at such time to issue such Letter of Credit in its revised form (as extended) under the terms hereof (by reason of the provisions of clause (ii) or (iii) of </w:t>
      </w:r>
      <w:r>
        <w:rPr>
          <w:rFonts w:ascii="Arial" w:cs="Arial" w:eastAsia="Arial" w:hAnsi="Arial"/>
          <w:sz w:val="12"/>
          <w:szCs w:val="12"/>
          <w:u w:val="single" w:color="auto"/>
          <w:color w:val="auto"/>
        </w:rPr>
        <w:t>Section 2.03(a)</w:t>
      </w:r>
      <w:r>
        <w:rPr>
          <w:rFonts w:ascii="Arial" w:cs="Arial" w:eastAsia="Arial" w:hAnsi="Arial"/>
          <w:sz w:val="12"/>
          <w:szCs w:val="12"/>
          <w:color w:val="auto"/>
        </w:rPr>
        <w:t xml:space="preserve"> or otherwise), or (B) it has received notice (which may be by telephone or in writing) on or before the day that is five Business Days before the Non-Extension Notice Date (1) from the Administrative Agent that the Required Lenders have elected not to permit such extension or (2) from the Administrative Agent, any Lender or any Loan Party that one or more of the applicable conditions specified in </w:t>
      </w:r>
      <w:r>
        <w:rPr>
          <w:rFonts w:ascii="Arial" w:cs="Arial" w:eastAsia="Arial" w:hAnsi="Arial"/>
          <w:sz w:val="12"/>
          <w:szCs w:val="12"/>
          <w:u w:val="single" w:color="auto"/>
          <w:color w:val="auto"/>
        </w:rPr>
        <w:t>Section 5.02</w:t>
      </w:r>
      <w:r>
        <w:rPr>
          <w:rFonts w:ascii="Arial" w:cs="Arial" w:eastAsia="Arial" w:hAnsi="Arial"/>
          <w:sz w:val="12"/>
          <w:szCs w:val="12"/>
          <w:color w:val="auto"/>
        </w:rPr>
        <w:t xml:space="preserve"> is not then satisfied, and in each case directing the L/C Issuer not to permit such extension.</w:t>
      </w:r>
    </w:p>
    <w:p>
      <w:pPr>
        <w:spacing w:after="0" w:line="52" w:lineRule="exact"/>
        <w:rPr>
          <w:rFonts w:ascii="Arial" w:cs="Arial" w:eastAsia="Arial" w:hAnsi="Arial"/>
          <w:sz w:val="12"/>
          <w:szCs w:val="12"/>
          <w:color w:val="auto"/>
        </w:rPr>
      </w:pPr>
    </w:p>
    <w:p>
      <w:pPr>
        <w:ind w:left="58" w:right="540" w:firstLine="172"/>
        <w:spacing w:after="0" w:line="276" w:lineRule="auto"/>
        <w:tabs>
          <w:tab w:leader="none" w:pos="443" w:val="left"/>
        </w:tabs>
        <w:numPr>
          <w:ilvl w:val="1"/>
          <w:numId w:val="76"/>
        </w:numPr>
        <w:rPr>
          <w:rFonts w:ascii="Arial" w:cs="Arial" w:eastAsia="Arial" w:hAnsi="Arial"/>
          <w:sz w:val="13"/>
          <w:szCs w:val="13"/>
          <w:color w:val="auto"/>
        </w:rPr>
      </w:pPr>
      <w:r>
        <w:rPr>
          <w:rFonts w:ascii="Arial" w:cs="Arial" w:eastAsia="Arial" w:hAnsi="Arial"/>
          <w:sz w:val="13"/>
          <w:szCs w:val="13"/>
          <w:color w:val="auto"/>
        </w:rPr>
        <w:t>Promptly after its delivery of any Letter of Credit or any amendment to a Letter of Credit to an advising bank with respect thereto or to the beneficiary thereof, the L/C Issuer will also deliver to the applicable Borrower and the Administrative Agent a true and complete copy of such Letter of Credit or amendment.</w:t>
      </w:r>
    </w:p>
    <w:p>
      <w:pPr>
        <w:spacing w:after="0" w:line="49" w:lineRule="exact"/>
        <w:rPr>
          <w:rFonts w:ascii="Arial" w:cs="Arial" w:eastAsia="Arial" w:hAnsi="Arial"/>
          <w:sz w:val="13"/>
          <w:szCs w:val="13"/>
          <w:color w:val="auto"/>
        </w:rPr>
      </w:pPr>
    </w:p>
    <w:p>
      <w:pPr>
        <w:ind w:left="178" w:hanging="178"/>
        <w:spacing w:after="0"/>
        <w:tabs>
          <w:tab w:leader="none" w:pos="178" w:val="left"/>
        </w:tabs>
        <w:numPr>
          <w:ilvl w:val="0"/>
          <w:numId w:val="77"/>
        </w:numPr>
        <w:rPr>
          <w:rFonts w:ascii="Arial" w:cs="Arial" w:eastAsia="Arial" w:hAnsi="Arial"/>
          <w:sz w:val="13"/>
          <w:szCs w:val="13"/>
          <w:color w:val="auto"/>
        </w:rPr>
      </w:pPr>
      <w:r>
        <w:rPr>
          <w:rFonts w:ascii="Arial" w:cs="Arial" w:eastAsia="Arial" w:hAnsi="Arial"/>
          <w:sz w:val="13"/>
          <w:szCs w:val="13"/>
          <w:u w:val="single" w:color="auto"/>
          <w:color w:val="auto"/>
        </w:rPr>
        <w:t>Drawings and Reimbursements; Funding of Participations</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58" w:firstLine="172"/>
        <w:spacing w:after="0" w:line="257" w:lineRule="auto"/>
        <w:tabs>
          <w:tab w:leader="none" w:pos="378" w:val="left"/>
        </w:tabs>
        <w:numPr>
          <w:ilvl w:val="1"/>
          <w:numId w:val="77"/>
        </w:numPr>
        <w:rPr>
          <w:rFonts w:ascii="Arial" w:cs="Arial" w:eastAsia="Arial" w:hAnsi="Arial"/>
          <w:sz w:val="13"/>
          <w:szCs w:val="13"/>
          <w:color w:val="auto"/>
        </w:rPr>
      </w:pPr>
      <w:r>
        <w:rPr>
          <w:rFonts w:ascii="Arial" w:cs="Arial" w:eastAsia="Arial" w:hAnsi="Arial"/>
          <w:sz w:val="13"/>
          <w:szCs w:val="13"/>
          <w:color w:val="auto"/>
        </w:rPr>
        <w:t>Upon receipt from the beneficiary of any Letter of Credit of any notice of drawing under such Letter of Credit, the L/C Issuer shall notify the applicable Borrower and the Administrative Agent thereof. In the case of a Letter of Credit denominated in an Alternative Currency, the applicable Borrower shall reimburse the L/C Issuer in such Alternative Currency, unless (A) the L/C Issuer (at its option) shall have specified in such notice that it will require reimbursement in Dollars, or (B) in the absence of any such requirement for reimbursement in Dollars, the Borrower shall have notified the L/C Issuer promptly following receipt of the notice of drawing that such Borrower will reimburse the L/C Issuer in Dollars. In the case of any such reimbursement in Dollars of a drawing under a Letter of Credit denominated in an Alternative Currency, the L/C Issuer shall notify the applicable Borrower of the Dollar Equivalent of the amount of the drawing promptly following the determination thereof. Not later than 11:00 a.m. on the date of any payment by the L/C Issuer under a Letter of Credit to be reimbursed in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278765</wp:posOffset>
            </wp:positionV>
            <wp:extent cx="7290435" cy="19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98"/>
          </w:cols>
          <w:pgMar w:left="382" w:top="720" w:right="219" w:bottom="1440" w:gutter="0" w:footer="0" w:header="0"/>
        </w:sectPr>
      </w:pPr>
    </w:p>
    <w:bookmarkStart w:id="120" w:name="page121"/>
    <w:bookmarkEnd w:id="120"/>
    <w:p>
      <w:pPr>
        <w:spacing w:after="0" w:line="300" w:lineRule="auto"/>
        <w:rPr>
          <w:sz w:val="20"/>
          <w:szCs w:val="20"/>
          <w:color w:val="auto"/>
        </w:rPr>
      </w:pPr>
      <w:r>
        <w:rPr>
          <w:rFonts w:ascii="Arial" w:cs="Arial" w:eastAsia="Arial" w:hAnsi="Arial"/>
          <w:sz w:val="11"/>
          <w:szCs w:val="11"/>
          <w:color w:val="auto"/>
        </w:rPr>
        <w:t>or the Applicable Time on the date of any payment by the L/C Issuer under a Letter of Credit to be reimbursed in an Alternative Currency (each such date, an “</w:t>
      </w:r>
      <w:r>
        <w:rPr>
          <w:rFonts w:ascii="Arial" w:cs="Arial" w:eastAsia="Arial" w:hAnsi="Arial"/>
          <w:sz w:val="11"/>
          <w:szCs w:val="11"/>
          <w:u w:val="single" w:color="auto"/>
          <w:color w:val="auto"/>
        </w:rPr>
        <w:t>Honor Date</w:t>
      </w:r>
      <w:r>
        <w:rPr>
          <w:rFonts w:ascii="Arial" w:cs="Arial" w:eastAsia="Arial" w:hAnsi="Arial"/>
          <w:sz w:val="11"/>
          <w:szCs w:val="11"/>
          <w:color w:val="auto"/>
        </w:rPr>
        <w:t>”), the applicable Borrower shall reimburse the L/C Issuer through the Administrative Agent in an amount equal to the amount of such drawing and in the applicable currency. If the applicable Borrower fails to so reimburse the L/C Issuer by such time, the Administrative Agent shall promptly notify each Lender of the Honor Date, the amount of the unreimbursed drawing (expressed in Dollars in the amount of the Dollar Equivalent thereof in the case of a Letter of Credit denominated in an Alternative Currency) (the “</w:t>
      </w:r>
      <w:r>
        <w:rPr>
          <w:rFonts w:ascii="Arial" w:cs="Arial" w:eastAsia="Arial" w:hAnsi="Arial"/>
          <w:sz w:val="11"/>
          <w:szCs w:val="11"/>
          <w:u w:val="single" w:color="auto"/>
          <w:color w:val="auto"/>
        </w:rPr>
        <w:t>Unreimbursed Amount</w:t>
      </w:r>
      <w:r>
        <w:rPr>
          <w:rFonts w:ascii="Arial" w:cs="Arial" w:eastAsia="Arial" w:hAnsi="Arial"/>
          <w:sz w:val="11"/>
          <w:szCs w:val="11"/>
          <w:color w:val="auto"/>
        </w:rPr>
        <w:t xml:space="preserve">”), and the amount of such Lender’s Pro Rata Share thereof. In such event, the applicable Borrower shall be deemed to have requested a Borrowing of Base Rate Loans to be disbursed on the Honor Date in an amount equal to the Unreimbursed Amount, without regard to the minimum and multiples specified in </w:t>
      </w:r>
      <w:r>
        <w:rPr>
          <w:rFonts w:ascii="Arial" w:cs="Arial" w:eastAsia="Arial" w:hAnsi="Arial"/>
          <w:sz w:val="11"/>
          <w:szCs w:val="11"/>
          <w:u w:val="single" w:color="auto"/>
          <w:color w:val="auto"/>
        </w:rPr>
        <w:t>Section 2.02</w:t>
      </w:r>
      <w:r>
        <w:rPr>
          <w:rFonts w:ascii="Arial" w:cs="Arial" w:eastAsia="Arial" w:hAnsi="Arial"/>
          <w:sz w:val="11"/>
          <w:szCs w:val="11"/>
          <w:color w:val="auto"/>
        </w:rPr>
        <w:t xml:space="preserve"> for the principal amount of Base Rate Loans, but subject to the conditions set forth in </w:t>
      </w:r>
      <w:r>
        <w:rPr>
          <w:rFonts w:ascii="Arial" w:cs="Arial" w:eastAsia="Arial" w:hAnsi="Arial"/>
          <w:sz w:val="11"/>
          <w:szCs w:val="11"/>
          <w:u w:val="single" w:color="auto"/>
          <w:color w:val="auto"/>
        </w:rPr>
        <w:t>Section 5.02</w:t>
      </w:r>
      <w:r>
        <w:rPr>
          <w:rFonts w:ascii="Arial" w:cs="Arial" w:eastAsia="Arial" w:hAnsi="Arial"/>
          <w:sz w:val="11"/>
          <w:szCs w:val="11"/>
          <w:color w:val="auto"/>
        </w:rPr>
        <w:t xml:space="preserve"> (other than the delivery of a Loan Notice). Any notice given by the L/C Issuer or the Administrative Agent pursuant to this </w:t>
      </w:r>
      <w:r>
        <w:rPr>
          <w:rFonts w:ascii="Arial" w:cs="Arial" w:eastAsia="Arial" w:hAnsi="Arial"/>
          <w:sz w:val="11"/>
          <w:szCs w:val="11"/>
          <w:u w:val="single" w:color="auto"/>
          <w:color w:val="auto"/>
        </w:rPr>
        <w:t>Section 2.03(c)</w:t>
      </w:r>
    </w:p>
    <w:p>
      <w:pPr>
        <w:spacing w:after="0" w:line="2" w:lineRule="exact"/>
        <w:rPr>
          <w:sz w:val="20"/>
          <w:szCs w:val="20"/>
          <w:color w:val="auto"/>
        </w:rPr>
      </w:pPr>
    </w:p>
    <w:p>
      <w:pPr>
        <w:ind w:left="160" w:hanging="152"/>
        <w:spacing w:after="0"/>
        <w:tabs>
          <w:tab w:leader="none" w:pos="160" w:val="left"/>
        </w:tabs>
        <w:numPr>
          <w:ilvl w:val="0"/>
          <w:numId w:val="78"/>
        </w:numPr>
        <w:rPr>
          <w:rFonts w:ascii="Arial" w:cs="Arial" w:eastAsia="Arial" w:hAnsi="Arial"/>
          <w:sz w:val="13"/>
          <w:szCs w:val="13"/>
          <w:u w:val="single" w:color="auto"/>
          <w:color w:val="auto"/>
        </w:rPr>
      </w:pPr>
      <w:r>
        <w:rPr>
          <w:rFonts w:ascii="Arial" w:cs="Arial" w:eastAsia="Arial" w:hAnsi="Arial"/>
          <w:sz w:val="13"/>
          <w:szCs w:val="13"/>
          <w:color w:val="auto"/>
        </w:rPr>
        <w:t xml:space="preserve">may be given by telephone if immediately confirmed in writing;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lack of such an immediate confirmation shall not affect the conclusiveness or binding effect of such notice.</w:t>
      </w:r>
    </w:p>
    <w:p>
      <w:pPr>
        <w:spacing w:after="0" w:line="78" w:lineRule="exact"/>
        <w:rPr>
          <w:rFonts w:ascii="Arial" w:cs="Arial" w:eastAsia="Arial" w:hAnsi="Arial"/>
          <w:sz w:val="13"/>
          <w:szCs w:val="13"/>
          <w:u w:val="single" w:color="auto"/>
          <w:color w:val="auto"/>
        </w:rPr>
      </w:pPr>
    </w:p>
    <w:p>
      <w:pPr>
        <w:ind w:right="60" w:firstLine="172"/>
        <w:spacing w:after="0" w:line="260" w:lineRule="auto"/>
        <w:tabs>
          <w:tab w:leader="none" w:pos="356" w:val="left"/>
        </w:tabs>
        <w:numPr>
          <w:ilvl w:val="1"/>
          <w:numId w:val="78"/>
        </w:numPr>
        <w:rPr>
          <w:rFonts w:ascii="Arial" w:cs="Arial" w:eastAsia="Arial" w:hAnsi="Arial"/>
          <w:sz w:val="13"/>
          <w:szCs w:val="13"/>
          <w:color w:val="auto"/>
        </w:rPr>
      </w:pPr>
      <w:r>
        <w:rPr>
          <w:rFonts w:ascii="Arial" w:cs="Arial" w:eastAsia="Arial" w:hAnsi="Arial"/>
          <w:sz w:val="13"/>
          <w:szCs w:val="13"/>
          <w:color w:val="auto"/>
        </w:rPr>
        <w:t xml:space="preserve">Each Lender (including the Lender acting as L/C Issuer) shall upon any notice pursuant to </w:t>
      </w:r>
      <w:r>
        <w:rPr>
          <w:rFonts w:ascii="Arial" w:cs="Arial" w:eastAsia="Arial" w:hAnsi="Arial"/>
          <w:sz w:val="13"/>
          <w:szCs w:val="13"/>
          <w:u w:val="single" w:color="auto"/>
          <w:color w:val="auto"/>
        </w:rPr>
        <w:t>Section 2.03(c)(i)</w:t>
      </w:r>
      <w:r>
        <w:rPr>
          <w:rFonts w:ascii="Arial" w:cs="Arial" w:eastAsia="Arial" w:hAnsi="Arial"/>
          <w:sz w:val="13"/>
          <w:szCs w:val="13"/>
          <w:color w:val="auto"/>
        </w:rPr>
        <w:t xml:space="preserve"> make funds available to the Administrative Agent for the account of the L/C Issuer, in Dollars, at the Administrative Agent’s Office for Dollar-denominated payments in an amount equal to its Pro Rata Share of the Unreimbursed Amount not later than 1:00 p.m. on the Business Day specified in such notice by the Administrative Agent, whereupon, subject to the provisions of </w:t>
      </w:r>
      <w:r>
        <w:rPr>
          <w:rFonts w:ascii="Arial" w:cs="Arial" w:eastAsia="Arial" w:hAnsi="Arial"/>
          <w:sz w:val="13"/>
          <w:szCs w:val="13"/>
          <w:u w:val="single" w:color="auto"/>
          <w:color w:val="auto"/>
        </w:rPr>
        <w:t>Section 2.03(c)(iii)</w:t>
      </w:r>
      <w:r>
        <w:rPr>
          <w:rFonts w:ascii="Arial" w:cs="Arial" w:eastAsia="Arial" w:hAnsi="Arial"/>
          <w:sz w:val="13"/>
          <w:szCs w:val="13"/>
          <w:color w:val="auto"/>
        </w:rPr>
        <w:t>, each Lender that so makes funds available shall be deemed to have made a Base Rate Loan to the applicable Borrower in such amount. The Administrative Agent shall remit the funds so received to the L/C Issuer in Dollars.</w:t>
      </w:r>
    </w:p>
    <w:p>
      <w:pPr>
        <w:spacing w:after="0" w:line="59" w:lineRule="exact"/>
        <w:rPr>
          <w:rFonts w:ascii="Arial" w:cs="Arial" w:eastAsia="Arial" w:hAnsi="Arial"/>
          <w:sz w:val="13"/>
          <w:szCs w:val="13"/>
          <w:color w:val="auto"/>
        </w:rPr>
      </w:pPr>
    </w:p>
    <w:p>
      <w:pPr>
        <w:ind w:right="20" w:firstLine="172"/>
        <w:spacing w:after="0" w:line="289" w:lineRule="auto"/>
        <w:tabs>
          <w:tab w:leader="none" w:pos="393" w:val="left"/>
        </w:tabs>
        <w:numPr>
          <w:ilvl w:val="1"/>
          <w:numId w:val="78"/>
        </w:numPr>
        <w:rPr>
          <w:rFonts w:ascii="Arial" w:cs="Arial" w:eastAsia="Arial" w:hAnsi="Arial"/>
          <w:sz w:val="12"/>
          <w:szCs w:val="12"/>
          <w:color w:val="auto"/>
        </w:rPr>
      </w:pPr>
      <w:r>
        <w:rPr>
          <w:rFonts w:ascii="Arial" w:cs="Arial" w:eastAsia="Arial" w:hAnsi="Arial"/>
          <w:sz w:val="12"/>
          <w:szCs w:val="12"/>
          <w:color w:val="auto"/>
        </w:rPr>
        <w:t xml:space="preserve">With respect to any Unreimbursed Amount that is not fully refinanced by a Borrowing of Base Rate Loans because the conditions set forth in </w:t>
      </w:r>
      <w:r>
        <w:rPr>
          <w:rFonts w:ascii="Arial" w:cs="Arial" w:eastAsia="Arial" w:hAnsi="Arial"/>
          <w:sz w:val="12"/>
          <w:szCs w:val="12"/>
          <w:u w:val="single" w:color="auto"/>
          <w:color w:val="auto"/>
        </w:rPr>
        <w:t>Section 5.02</w:t>
      </w:r>
      <w:r>
        <w:rPr>
          <w:rFonts w:ascii="Arial" w:cs="Arial" w:eastAsia="Arial" w:hAnsi="Arial"/>
          <w:sz w:val="12"/>
          <w:szCs w:val="12"/>
          <w:color w:val="auto"/>
        </w:rPr>
        <w:t xml:space="preserve"> cannot be satisfied or for any other reason, the applicable Borrower shall be deemed to have incurred from the L/C Issuer an L/C Borrowing in the amount of the Unreimbursed Amount that is not so refinanced, which L/C Borrowing shall be due and payable on demand (together with interest) and shall bear interest at the Default Rate. In such event, each Lender’s payment to the Administrative Agent for the account of the L/C Issuer pursuant to </w:t>
      </w:r>
      <w:r>
        <w:rPr>
          <w:rFonts w:ascii="Arial" w:cs="Arial" w:eastAsia="Arial" w:hAnsi="Arial"/>
          <w:sz w:val="12"/>
          <w:szCs w:val="12"/>
          <w:u w:val="single" w:color="auto"/>
          <w:color w:val="auto"/>
        </w:rPr>
        <w:t>Section 2.03(c)(ii)</w:t>
      </w:r>
      <w:r>
        <w:rPr>
          <w:rFonts w:ascii="Arial" w:cs="Arial" w:eastAsia="Arial" w:hAnsi="Arial"/>
          <w:sz w:val="12"/>
          <w:szCs w:val="12"/>
          <w:color w:val="auto"/>
        </w:rPr>
        <w:t xml:space="preserve"> shall be deemed payment in respect of its participation in such L/C Borrowing and shall constitute an L/C Advance from such Lender in satisfaction of its participation obligation under this </w:t>
      </w:r>
      <w:r>
        <w:rPr>
          <w:rFonts w:ascii="Arial" w:cs="Arial" w:eastAsia="Arial" w:hAnsi="Arial"/>
          <w:sz w:val="12"/>
          <w:szCs w:val="12"/>
          <w:u w:val="single" w:color="auto"/>
          <w:color w:val="auto"/>
        </w:rPr>
        <w:t>Section 2.03</w:t>
      </w:r>
      <w:r>
        <w:rPr>
          <w:rFonts w:ascii="Arial" w:cs="Arial" w:eastAsia="Arial" w:hAnsi="Arial"/>
          <w:sz w:val="12"/>
          <w:szCs w:val="12"/>
          <w:color w:val="auto"/>
        </w:rPr>
        <w:t>.</w:t>
      </w:r>
    </w:p>
    <w:p>
      <w:pPr>
        <w:spacing w:after="0" w:line="43" w:lineRule="exact"/>
        <w:rPr>
          <w:rFonts w:ascii="Arial" w:cs="Arial" w:eastAsia="Arial" w:hAnsi="Arial"/>
          <w:sz w:val="12"/>
          <w:szCs w:val="12"/>
          <w:color w:val="auto"/>
        </w:rPr>
      </w:pPr>
    </w:p>
    <w:p>
      <w:pPr>
        <w:ind w:right="20" w:firstLine="172"/>
        <w:spacing w:after="0" w:line="276" w:lineRule="auto"/>
        <w:tabs>
          <w:tab w:leader="none" w:pos="386" w:val="left"/>
        </w:tabs>
        <w:numPr>
          <w:ilvl w:val="1"/>
          <w:numId w:val="78"/>
        </w:numPr>
        <w:rPr>
          <w:rFonts w:ascii="Arial" w:cs="Arial" w:eastAsia="Arial" w:hAnsi="Arial"/>
          <w:sz w:val="13"/>
          <w:szCs w:val="13"/>
          <w:color w:val="auto"/>
        </w:rPr>
      </w:pPr>
      <w:r>
        <w:rPr>
          <w:rFonts w:ascii="Arial" w:cs="Arial" w:eastAsia="Arial" w:hAnsi="Arial"/>
          <w:sz w:val="13"/>
          <w:szCs w:val="13"/>
          <w:color w:val="auto"/>
        </w:rPr>
        <w:t xml:space="preserve">Until each Lender funds its Revolving Loan or L/C Advance pursuant to this </w:t>
      </w:r>
      <w:r>
        <w:rPr>
          <w:rFonts w:ascii="Arial" w:cs="Arial" w:eastAsia="Arial" w:hAnsi="Arial"/>
          <w:sz w:val="13"/>
          <w:szCs w:val="13"/>
          <w:u w:val="single" w:color="auto"/>
          <w:color w:val="auto"/>
        </w:rPr>
        <w:t>Section 2.03(c)</w:t>
      </w:r>
      <w:r>
        <w:rPr>
          <w:rFonts w:ascii="Arial" w:cs="Arial" w:eastAsia="Arial" w:hAnsi="Arial"/>
          <w:sz w:val="13"/>
          <w:szCs w:val="13"/>
          <w:color w:val="auto"/>
        </w:rPr>
        <w:t xml:space="preserve"> to reimburse the L/C Issuer for any amount drawn under any Letter of Credit, interest in respect of such Lender’s Pro Rata Share of such amount shall be solely for the account of the L/C Issuer.</w:t>
      </w:r>
    </w:p>
    <w:p>
      <w:pPr>
        <w:spacing w:after="0" w:line="49" w:lineRule="exact"/>
        <w:rPr>
          <w:rFonts w:ascii="Arial" w:cs="Arial" w:eastAsia="Arial" w:hAnsi="Arial"/>
          <w:sz w:val="13"/>
          <w:szCs w:val="13"/>
          <w:color w:val="auto"/>
        </w:rPr>
      </w:pPr>
    </w:p>
    <w:p>
      <w:pPr>
        <w:ind w:right="20" w:firstLine="172"/>
        <w:spacing w:after="0" w:line="258" w:lineRule="auto"/>
        <w:tabs>
          <w:tab w:leader="none" w:pos="349" w:val="left"/>
        </w:tabs>
        <w:numPr>
          <w:ilvl w:val="1"/>
          <w:numId w:val="78"/>
        </w:numPr>
        <w:rPr>
          <w:rFonts w:ascii="Arial" w:cs="Arial" w:eastAsia="Arial" w:hAnsi="Arial"/>
          <w:sz w:val="13"/>
          <w:szCs w:val="13"/>
          <w:color w:val="auto"/>
        </w:rPr>
      </w:pPr>
      <w:r>
        <w:rPr>
          <w:rFonts w:ascii="Arial" w:cs="Arial" w:eastAsia="Arial" w:hAnsi="Arial"/>
          <w:sz w:val="13"/>
          <w:szCs w:val="13"/>
          <w:color w:val="auto"/>
        </w:rPr>
        <w:t xml:space="preserve">Each Lender’s obligation to make Revolving Loans or L/C Advances to reimburse the L/C Issuer for amounts drawn under Letters of Credit, as contemplated by this </w:t>
      </w:r>
      <w:r>
        <w:rPr>
          <w:rFonts w:ascii="Arial" w:cs="Arial" w:eastAsia="Arial" w:hAnsi="Arial"/>
          <w:sz w:val="13"/>
          <w:szCs w:val="13"/>
          <w:u w:val="single" w:color="auto"/>
          <w:color w:val="auto"/>
        </w:rPr>
        <w:t>Section 2.03(c)</w:t>
      </w:r>
      <w:r>
        <w:rPr>
          <w:rFonts w:ascii="Arial" w:cs="Arial" w:eastAsia="Arial" w:hAnsi="Arial"/>
          <w:sz w:val="13"/>
          <w:szCs w:val="13"/>
          <w:color w:val="auto"/>
        </w:rPr>
        <w:t xml:space="preserve">, shall be absolute and unconditional and shall not be affected by any circumstance, including (A) any set-off, counterclaim, recoupment, defense or other right which such Lender may have against the L/C Issuer, the Borrowers or any other Person for any reason whatsoever; (B) the occurrence or continuance of a Default, or (C) any other occurrence, event or condition, whether or not similar to any of the foregoing;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each Lender’s obligation to make Revolving Loans pursuant to this </w:t>
      </w:r>
      <w:r>
        <w:rPr>
          <w:rFonts w:ascii="Arial" w:cs="Arial" w:eastAsia="Arial" w:hAnsi="Arial"/>
          <w:sz w:val="13"/>
          <w:szCs w:val="13"/>
          <w:u w:val="single" w:color="auto"/>
          <w:color w:val="auto"/>
        </w:rPr>
        <w:t>Section 2.03(c)</w:t>
      </w:r>
      <w:r>
        <w:rPr>
          <w:rFonts w:ascii="Arial" w:cs="Arial" w:eastAsia="Arial" w:hAnsi="Arial"/>
          <w:sz w:val="13"/>
          <w:szCs w:val="13"/>
          <w:color w:val="auto"/>
        </w:rPr>
        <w:t xml:space="preserve"> is subject to the conditions set forth in </w:t>
      </w:r>
      <w:r>
        <w:rPr>
          <w:rFonts w:ascii="Arial" w:cs="Arial" w:eastAsia="Arial" w:hAnsi="Arial"/>
          <w:sz w:val="13"/>
          <w:szCs w:val="13"/>
          <w:u w:val="single" w:color="auto"/>
          <w:color w:val="auto"/>
        </w:rPr>
        <w:t>Section 5.02</w:t>
      </w:r>
      <w:r>
        <w:rPr>
          <w:rFonts w:ascii="Arial" w:cs="Arial" w:eastAsia="Arial" w:hAnsi="Arial"/>
          <w:sz w:val="13"/>
          <w:szCs w:val="13"/>
          <w:color w:val="auto"/>
        </w:rPr>
        <w:t xml:space="preserve"> (other than delivery by the applicable Borrower of a Loan Notice). No such making of an L/C Advance shall relieve or otherwise impair the obligation of any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278765</wp:posOffset>
            </wp:positionV>
            <wp:extent cx="7290435" cy="19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121" w:name="page122"/>
    <w:bookmarkEnd w:id="121"/>
    <w:p>
      <w:pPr>
        <w:ind w:left="58"/>
        <w:spacing w:after="0"/>
        <w:rPr>
          <w:sz w:val="20"/>
          <w:szCs w:val="20"/>
          <w:color w:val="auto"/>
        </w:rPr>
      </w:pPr>
      <w:r>
        <w:rPr>
          <w:rFonts w:ascii="Arial" w:cs="Arial" w:eastAsia="Arial" w:hAnsi="Arial"/>
          <w:sz w:val="13"/>
          <w:szCs w:val="13"/>
          <w:color w:val="auto"/>
        </w:rPr>
        <w:t>to reimburse the L/C Issuer for the amount of any payment made by the L/C Issuer under any Letter of Credit, together with interest as provided herein.</w:t>
      </w:r>
    </w:p>
    <w:p>
      <w:pPr>
        <w:spacing w:after="0" w:line="86" w:lineRule="exact"/>
        <w:rPr>
          <w:sz w:val="20"/>
          <w:szCs w:val="20"/>
          <w:color w:val="auto"/>
        </w:rPr>
      </w:pPr>
    </w:p>
    <w:p>
      <w:pPr>
        <w:ind w:left="58" w:firstLine="172"/>
        <w:spacing w:after="0" w:line="282" w:lineRule="auto"/>
        <w:tabs>
          <w:tab w:leader="none" w:pos="443" w:val="left"/>
        </w:tabs>
        <w:numPr>
          <w:ilvl w:val="1"/>
          <w:numId w:val="79"/>
        </w:numPr>
        <w:rPr>
          <w:rFonts w:ascii="Arial" w:cs="Arial" w:eastAsia="Arial" w:hAnsi="Arial"/>
          <w:sz w:val="12"/>
          <w:szCs w:val="12"/>
          <w:color w:val="auto"/>
        </w:rPr>
      </w:pPr>
      <w:r>
        <w:rPr>
          <w:rFonts w:ascii="Arial" w:cs="Arial" w:eastAsia="Arial" w:hAnsi="Arial"/>
          <w:sz w:val="12"/>
          <w:szCs w:val="12"/>
          <w:color w:val="auto"/>
        </w:rPr>
        <w:t xml:space="preserve">If any Lender fails to make available to the Administrative Agent for the account of the L/C Issuer any amount required to be paid by such Lender pursuant to the foregoing provisions of this </w:t>
      </w:r>
      <w:r>
        <w:rPr>
          <w:rFonts w:ascii="Arial" w:cs="Arial" w:eastAsia="Arial" w:hAnsi="Arial"/>
          <w:sz w:val="12"/>
          <w:szCs w:val="12"/>
          <w:u w:val="single" w:color="auto"/>
          <w:color w:val="auto"/>
        </w:rPr>
        <w:t>Section 2.03(c)</w:t>
      </w:r>
      <w:r>
        <w:rPr>
          <w:rFonts w:ascii="Arial" w:cs="Arial" w:eastAsia="Arial" w:hAnsi="Arial"/>
          <w:sz w:val="12"/>
          <w:szCs w:val="12"/>
          <w:color w:val="auto"/>
        </w:rPr>
        <w:t xml:space="preserve"> by the time specified in </w:t>
      </w:r>
      <w:r>
        <w:rPr>
          <w:rFonts w:ascii="Arial" w:cs="Arial" w:eastAsia="Arial" w:hAnsi="Arial"/>
          <w:sz w:val="12"/>
          <w:szCs w:val="12"/>
          <w:u w:val="single" w:color="auto"/>
          <w:color w:val="auto"/>
        </w:rPr>
        <w:t>Section 2.03(c)(ii)</w:t>
      </w:r>
      <w:r>
        <w:rPr>
          <w:rFonts w:ascii="Arial" w:cs="Arial" w:eastAsia="Arial" w:hAnsi="Arial"/>
          <w:sz w:val="12"/>
          <w:szCs w:val="12"/>
          <w:color w:val="auto"/>
        </w:rPr>
        <w:t>, the L/C Issuer shall be entitled to recover from such Lender (acting through the Administrative Agent), on demand, such amount with interest thereon for the period from the date such payment is required to the date on which such payment is immediately available to the L/C Issuer at a rate per annum equal to the applicable Overnight Rate from time to time in effect , plus any administrative, processing or similar fees customarily charged by the L/C Issuer in connection with the foregoing. If such Lender pays such amount (with interest and fees as aforesaid), the amount so paid shall constitute such Lender’s Revolving Loan included in the relevant Borrowing or L/C Advance in respect of the relevant L/C Borrowing, as the case may be. A certificate of the L/C Issuer submitted to any Lender (through the Administrative Agent) with respect to any amounts owing under this clause (vi) shall be conclusive absent manifest error.</w:t>
      </w:r>
    </w:p>
    <w:p>
      <w:pPr>
        <w:spacing w:after="0" w:line="49" w:lineRule="exact"/>
        <w:rPr>
          <w:rFonts w:ascii="Arial" w:cs="Arial" w:eastAsia="Arial" w:hAnsi="Arial"/>
          <w:sz w:val="12"/>
          <w:szCs w:val="12"/>
          <w:color w:val="auto"/>
        </w:rPr>
      </w:pPr>
    </w:p>
    <w:p>
      <w:pPr>
        <w:ind w:left="178" w:hanging="178"/>
        <w:spacing w:after="0"/>
        <w:tabs>
          <w:tab w:leader="none" w:pos="178" w:val="left"/>
        </w:tabs>
        <w:numPr>
          <w:ilvl w:val="0"/>
          <w:numId w:val="80"/>
        </w:numPr>
        <w:rPr>
          <w:rFonts w:ascii="Arial" w:cs="Arial" w:eastAsia="Arial" w:hAnsi="Arial"/>
          <w:sz w:val="13"/>
          <w:szCs w:val="13"/>
          <w:color w:val="auto"/>
        </w:rPr>
      </w:pPr>
      <w:r>
        <w:rPr>
          <w:rFonts w:ascii="Arial" w:cs="Arial" w:eastAsia="Arial" w:hAnsi="Arial"/>
          <w:sz w:val="13"/>
          <w:szCs w:val="13"/>
          <w:u w:val="single" w:color="auto"/>
          <w:color w:val="auto"/>
        </w:rPr>
        <w:t>Repayment of Participations</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58" w:right="60" w:firstLine="172"/>
        <w:spacing w:after="0" w:line="260" w:lineRule="auto"/>
        <w:tabs>
          <w:tab w:leader="none" w:pos="378" w:val="left"/>
        </w:tabs>
        <w:numPr>
          <w:ilvl w:val="1"/>
          <w:numId w:val="80"/>
        </w:numPr>
        <w:rPr>
          <w:rFonts w:ascii="Arial" w:cs="Arial" w:eastAsia="Arial" w:hAnsi="Arial"/>
          <w:sz w:val="13"/>
          <w:szCs w:val="13"/>
          <w:color w:val="auto"/>
        </w:rPr>
      </w:pPr>
      <w:r>
        <w:rPr>
          <w:rFonts w:ascii="Arial" w:cs="Arial" w:eastAsia="Arial" w:hAnsi="Arial"/>
          <w:sz w:val="13"/>
          <w:szCs w:val="13"/>
          <w:color w:val="auto"/>
        </w:rPr>
        <w:t xml:space="preserve">At any time after the L/C Issuer has made a payment under any Letter of Credit and has received from any Lender such Lender’s L/C Advance in respect of such payment in accordance with </w:t>
      </w:r>
      <w:r>
        <w:rPr>
          <w:rFonts w:ascii="Arial" w:cs="Arial" w:eastAsia="Arial" w:hAnsi="Arial"/>
          <w:sz w:val="13"/>
          <w:szCs w:val="13"/>
          <w:u w:val="single" w:color="auto"/>
          <w:color w:val="auto"/>
        </w:rPr>
        <w:t>Section 2.03(c)</w:t>
      </w:r>
      <w:r>
        <w:rPr>
          <w:rFonts w:ascii="Arial" w:cs="Arial" w:eastAsia="Arial" w:hAnsi="Arial"/>
          <w:sz w:val="13"/>
          <w:szCs w:val="13"/>
          <w:color w:val="auto"/>
        </w:rPr>
        <w:t>, if the Administrative Agent receives for the account of the L/C Issuer any payment in respect of the related Unreimbursed Amount or interest thereon (whether directly from the applicable Borrower or otherwise, including proceeds of cash collateral applied thereto by the Administrative Agent), the Administrative Agent will distribute to such Lender its Pro Rata Share thereof in Dollars and in the same funds as those received by the Administrative Agent.</w:t>
      </w:r>
    </w:p>
    <w:p>
      <w:pPr>
        <w:spacing w:after="0" w:line="59" w:lineRule="exact"/>
        <w:rPr>
          <w:rFonts w:ascii="Arial" w:cs="Arial" w:eastAsia="Arial" w:hAnsi="Arial"/>
          <w:sz w:val="13"/>
          <w:szCs w:val="13"/>
          <w:color w:val="auto"/>
        </w:rPr>
      </w:pPr>
    </w:p>
    <w:p>
      <w:pPr>
        <w:ind w:left="58" w:firstLine="172"/>
        <w:spacing w:after="0" w:line="260" w:lineRule="auto"/>
        <w:tabs>
          <w:tab w:leader="none" w:pos="414" w:val="left"/>
        </w:tabs>
        <w:numPr>
          <w:ilvl w:val="1"/>
          <w:numId w:val="80"/>
        </w:numPr>
        <w:rPr>
          <w:rFonts w:ascii="Arial" w:cs="Arial" w:eastAsia="Arial" w:hAnsi="Arial"/>
          <w:sz w:val="13"/>
          <w:szCs w:val="13"/>
          <w:color w:val="auto"/>
        </w:rPr>
      </w:pPr>
      <w:r>
        <w:rPr>
          <w:rFonts w:ascii="Arial" w:cs="Arial" w:eastAsia="Arial" w:hAnsi="Arial"/>
          <w:sz w:val="13"/>
          <w:szCs w:val="13"/>
          <w:color w:val="auto"/>
        </w:rPr>
        <w:t xml:space="preserve">If any payment received by the Administrative Agent for the account of the L/C Issuer pursuant to </w:t>
      </w:r>
      <w:r>
        <w:rPr>
          <w:rFonts w:ascii="Arial" w:cs="Arial" w:eastAsia="Arial" w:hAnsi="Arial"/>
          <w:sz w:val="13"/>
          <w:szCs w:val="13"/>
          <w:u w:val="single" w:color="auto"/>
          <w:color w:val="auto"/>
        </w:rPr>
        <w:t>Section 2.03(c)(i)</w:t>
      </w:r>
      <w:r>
        <w:rPr>
          <w:rFonts w:ascii="Arial" w:cs="Arial" w:eastAsia="Arial" w:hAnsi="Arial"/>
          <w:sz w:val="13"/>
          <w:szCs w:val="13"/>
          <w:color w:val="auto"/>
        </w:rPr>
        <w:t xml:space="preserve"> is required to be returned under any of the circumstances described in </w:t>
      </w:r>
      <w:r>
        <w:rPr>
          <w:rFonts w:ascii="Arial" w:cs="Arial" w:eastAsia="Arial" w:hAnsi="Arial"/>
          <w:sz w:val="13"/>
          <w:szCs w:val="13"/>
          <w:u w:val="single" w:color="auto"/>
          <w:color w:val="auto"/>
        </w:rPr>
        <w:t>Section 11.06</w:t>
      </w:r>
      <w:r>
        <w:rPr>
          <w:rFonts w:ascii="Arial" w:cs="Arial" w:eastAsia="Arial" w:hAnsi="Arial"/>
          <w:sz w:val="13"/>
          <w:szCs w:val="13"/>
          <w:color w:val="auto"/>
        </w:rPr>
        <w:t xml:space="preserve"> (including pursuant to any settlement entered into by the L/C Issuer in its discretion), each Lender shall pay to the Administrative Agent for the account of the L/C Issuer its Pro Rata Share thereof on demand of the Administrative Agent, plus interest thereon from the date of such demand to the date such amount is returned by such Lender, at a rate per annum equal to the applicable Overnight Rate from time to time in effect. The obligations of the Lenders under this clause shall survive the payment in full of the Obligations and the termination of this Agreement.</w:t>
      </w:r>
    </w:p>
    <w:p>
      <w:pPr>
        <w:spacing w:after="0" w:line="59" w:lineRule="exact"/>
        <w:rPr>
          <w:rFonts w:ascii="Arial" w:cs="Arial" w:eastAsia="Arial" w:hAnsi="Arial"/>
          <w:sz w:val="13"/>
          <w:szCs w:val="13"/>
          <w:color w:val="auto"/>
        </w:rPr>
      </w:pPr>
    </w:p>
    <w:p>
      <w:pPr>
        <w:ind w:left="-162" w:right="20" w:firstLine="162"/>
        <w:spacing w:after="0" w:line="276" w:lineRule="auto"/>
        <w:tabs>
          <w:tab w:leader="none" w:pos="180" w:val="left"/>
        </w:tabs>
        <w:numPr>
          <w:ilvl w:val="0"/>
          <w:numId w:val="80"/>
        </w:numPr>
        <w:rPr>
          <w:rFonts w:ascii="Arial" w:cs="Arial" w:eastAsia="Arial" w:hAnsi="Arial"/>
          <w:sz w:val="13"/>
          <w:szCs w:val="13"/>
          <w:color w:val="auto"/>
        </w:rPr>
      </w:pPr>
      <w:r>
        <w:rPr>
          <w:rFonts w:ascii="Arial" w:cs="Arial" w:eastAsia="Arial" w:hAnsi="Arial"/>
          <w:sz w:val="13"/>
          <w:szCs w:val="13"/>
          <w:u w:val="single" w:color="auto"/>
          <w:color w:val="auto"/>
        </w:rPr>
        <w:t>Obligations Absolute</w:t>
      </w:r>
      <w:r>
        <w:rPr>
          <w:rFonts w:ascii="Arial" w:cs="Arial" w:eastAsia="Arial" w:hAnsi="Arial"/>
          <w:sz w:val="13"/>
          <w:szCs w:val="13"/>
          <w:color w:val="auto"/>
        </w:rPr>
        <w:t>. The obligation of the Borrowers to reimburse the L/C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49" w:lineRule="exact"/>
        <w:rPr>
          <w:rFonts w:ascii="Arial" w:cs="Arial" w:eastAsia="Arial" w:hAnsi="Arial"/>
          <w:sz w:val="13"/>
          <w:szCs w:val="13"/>
          <w:color w:val="auto"/>
        </w:rPr>
      </w:pPr>
    </w:p>
    <w:p>
      <w:pPr>
        <w:ind w:left="378" w:hanging="148"/>
        <w:spacing w:after="0"/>
        <w:tabs>
          <w:tab w:leader="none" w:pos="378" w:val="left"/>
        </w:tabs>
        <w:numPr>
          <w:ilvl w:val="1"/>
          <w:numId w:val="80"/>
        </w:numPr>
        <w:rPr>
          <w:rFonts w:ascii="Arial" w:cs="Arial" w:eastAsia="Arial" w:hAnsi="Arial"/>
          <w:sz w:val="13"/>
          <w:szCs w:val="13"/>
          <w:color w:val="auto"/>
        </w:rPr>
      </w:pPr>
      <w:r>
        <w:rPr>
          <w:rFonts w:ascii="Arial" w:cs="Arial" w:eastAsia="Arial" w:hAnsi="Arial"/>
          <w:sz w:val="13"/>
          <w:szCs w:val="13"/>
          <w:color w:val="auto"/>
        </w:rPr>
        <w:t>any lack of validity or enforceability of such Letter of Credit, this Agreement, any other Loan Document;</w:t>
      </w:r>
    </w:p>
    <w:p>
      <w:pPr>
        <w:spacing w:after="0" w:line="86" w:lineRule="exact"/>
        <w:rPr>
          <w:rFonts w:ascii="Arial" w:cs="Arial" w:eastAsia="Arial" w:hAnsi="Arial"/>
          <w:sz w:val="13"/>
          <w:szCs w:val="13"/>
          <w:color w:val="auto"/>
        </w:rPr>
      </w:pPr>
    </w:p>
    <w:p>
      <w:pPr>
        <w:ind w:left="58" w:right="180" w:firstLine="172"/>
        <w:spacing w:after="0" w:line="276" w:lineRule="auto"/>
        <w:tabs>
          <w:tab w:leader="none" w:pos="414" w:val="left"/>
        </w:tabs>
        <w:numPr>
          <w:ilvl w:val="1"/>
          <w:numId w:val="80"/>
        </w:numPr>
        <w:rPr>
          <w:rFonts w:ascii="Arial" w:cs="Arial" w:eastAsia="Arial" w:hAnsi="Arial"/>
          <w:sz w:val="13"/>
          <w:szCs w:val="13"/>
          <w:color w:val="auto"/>
        </w:rPr>
      </w:pPr>
      <w:r>
        <w:rPr>
          <w:rFonts w:ascii="Arial" w:cs="Arial" w:eastAsia="Arial" w:hAnsi="Arial"/>
          <w:sz w:val="13"/>
          <w:szCs w:val="13"/>
          <w:color w:val="auto"/>
        </w:rPr>
        <w:t>the existence of any claim, counterclaim, set-off, defense or other right that the Borrowers or any Subsidiary may have at any time against any beneficiary or any transferee of such Letter of Credit (or any Person for whom any such beneficiary or any such transferee may be acting), the L/C Issuer or any other Person, whether in connection with this Agreement,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271145</wp:posOffset>
            </wp:positionV>
            <wp:extent cx="7290435" cy="19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58"/>
          </w:cols>
          <w:pgMar w:left="382" w:top="720" w:right="259" w:bottom="1440" w:gutter="0" w:footer="0" w:header="0"/>
        </w:sectPr>
      </w:pPr>
    </w:p>
    <w:bookmarkStart w:id="122" w:name="page123"/>
    <w:bookmarkEnd w:id="122"/>
    <w:p>
      <w:pPr>
        <w:ind w:left="221"/>
        <w:spacing w:after="0"/>
        <w:rPr>
          <w:sz w:val="20"/>
          <w:szCs w:val="20"/>
          <w:color w:val="auto"/>
        </w:rPr>
      </w:pPr>
      <w:r>
        <w:rPr>
          <w:rFonts w:ascii="Arial" w:cs="Arial" w:eastAsia="Arial" w:hAnsi="Arial"/>
          <w:sz w:val="13"/>
          <w:szCs w:val="13"/>
          <w:color w:val="auto"/>
        </w:rPr>
        <w:t>transactions contemplated hereby or by such Letter of Credit or any agreement or instrument relating thereto, or any unrelated transaction;</w:t>
      </w:r>
    </w:p>
    <w:p>
      <w:pPr>
        <w:spacing w:after="0" w:line="86" w:lineRule="exact"/>
        <w:rPr>
          <w:sz w:val="20"/>
          <w:szCs w:val="20"/>
          <w:color w:val="auto"/>
        </w:rPr>
      </w:pPr>
    </w:p>
    <w:p>
      <w:pPr>
        <w:ind w:left="221" w:right="520" w:firstLine="172"/>
        <w:spacing w:after="0" w:line="276" w:lineRule="auto"/>
        <w:tabs>
          <w:tab w:leader="none" w:pos="614" w:val="left"/>
        </w:tabs>
        <w:numPr>
          <w:ilvl w:val="0"/>
          <w:numId w:val="81"/>
        </w:numPr>
        <w:rPr>
          <w:rFonts w:ascii="Arial" w:cs="Arial" w:eastAsia="Arial" w:hAnsi="Arial"/>
          <w:sz w:val="13"/>
          <w:szCs w:val="13"/>
          <w:color w:val="auto"/>
        </w:rPr>
      </w:pPr>
      <w:r>
        <w:rPr>
          <w:rFonts w:ascii="Arial" w:cs="Arial" w:eastAsia="Arial" w:hAnsi="Arial"/>
          <w:sz w:val="13"/>
          <w:szCs w:val="13"/>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49" w:lineRule="exact"/>
        <w:rPr>
          <w:rFonts w:ascii="Arial" w:cs="Arial" w:eastAsia="Arial" w:hAnsi="Arial"/>
          <w:sz w:val="13"/>
          <w:szCs w:val="13"/>
          <w:color w:val="auto"/>
        </w:rPr>
      </w:pPr>
    </w:p>
    <w:p>
      <w:pPr>
        <w:jc w:val="both"/>
        <w:ind w:left="221" w:right="120" w:firstLine="172"/>
        <w:spacing w:after="0" w:line="264" w:lineRule="auto"/>
        <w:tabs>
          <w:tab w:leader="none" w:pos="607" w:val="left"/>
        </w:tabs>
        <w:numPr>
          <w:ilvl w:val="0"/>
          <w:numId w:val="81"/>
        </w:numPr>
        <w:rPr>
          <w:rFonts w:ascii="Arial" w:cs="Arial" w:eastAsia="Arial" w:hAnsi="Arial"/>
          <w:sz w:val="13"/>
          <w:szCs w:val="13"/>
          <w:color w:val="auto"/>
        </w:rPr>
      </w:pPr>
      <w:r>
        <w:rPr>
          <w:rFonts w:ascii="Arial" w:cs="Arial" w:eastAsia="Arial" w:hAnsi="Arial"/>
          <w:sz w:val="13"/>
          <w:szCs w:val="13"/>
          <w:color w:val="auto"/>
        </w:rPr>
        <w:t>any payment by the L/C Issuer under such Letter of Credit against presentation of a draft or certificate that does not strictly comply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57" w:lineRule="exact"/>
        <w:rPr>
          <w:rFonts w:ascii="Arial" w:cs="Arial" w:eastAsia="Arial" w:hAnsi="Arial"/>
          <w:sz w:val="13"/>
          <w:szCs w:val="13"/>
          <w:color w:val="auto"/>
        </w:rPr>
      </w:pPr>
    </w:p>
    <w:p>
      <w:pPr>
        <w:ind w:left="581" w:hanging="188"/>
        <w:spacing w:after="0"/>
        <w:tabs>
          <w:tab w:leader="none" w:pos="581" w:val="left"/>
        </w:tabs>
        <w:numPr>
          <w:ilvl w:val="0"/>
          <w:numId w:val="81"/>
        </w:numPr>
        <w:rPr>
          <w:rFonts w:ascii="Arial" w:cs="Arial" w:eastAsia="Arial" w:hAnsi="Arial"/>
          <w:sz w:val="12"/>
          <w:szCs w:val="12"/>
          <w:color w:val="auto"/>
        </w:rPr>
      </w:pPr>
      <w:r>
        <w:rPr>
          <w:rFonts w:ascii="Arial" w:cs="Arial" w:eastAsia="Arial" w:hAnsi="Arial"/>
          <w:sz w:val="12"/>
          <w:szCs w:val="12"/>
          <w:color w:val="auto"/>
        </w:rPr>
        <w:t>any adverse change in the relevant exchange rates or in the availability of the relevant Alternative Currency to the Borrowers or any Subsidiary or in the relevant currency markets generally; or</w:t>
      </w:r>
    </w:p>
    <w:p>
      <w:pPr>
        <w:spacing w:after="0" w:line="97" w:lineRule="exact"/>
        <w:rPr>
          <w:rFonts w:ascii="Arial" w:cs="Arial" w:eastAsia="Arial" w:hAnsi="Arial"/>
          <w:sz w:val="12"/>
          <w:szCs w:val="12"/>
          <w:color w:val="auto"/>
        </w:rPr>
      </w:pPr>
    </w:p>
    <w:p>
      <w:pPr>
        <w:ind w:left="221" w:right="40" w:firstLine="172"/>
        <w:spacing w:after="0" w:line="276" w:lineRule="auto"/>
        <w:tabs>
          <w:tab w:leader="none" w:pos="607" w:val="left"/>
        </w:tabs>
        <w:numPr>
          <w:ilvl w:val="0"/>
          <w:numId w:val="81"/>
        </w:numPr>
        <w:rPr>
          <w:rFonts w:ascii="Arial" w:cs="Arial" w:eastAsia="Arial" w:hAnsi="Arial"/>
          <w:sz w:val="13"/>
          <w:szCs w:val="13"/>
          <w:color w:val="auto"/>
        </w:rPr>
      </w:pPr>
      <w:r>
        <w:rPr>
          <w:rFonts w:ascii="Arial" w:cs="Arial" w:eastAsia="Arial" w:hAnsi="Arial"/>
          <w:sz w:val="13"/>
          <w:szCs w:val="13"/>
          <w:color w:val="auto"/>
        </w:rPr>
        <w:t>any other circumstance or happening whatsoever, whether or not similar to any of the foregoing, including any other circumstance that might otherwise constitute a defense available to, or a discharge of, the Borrowers or any Subsidiary.</w:t>
      </w:r>
    </w:p>
    <w:p>
      <w:pPr>
        <w:spacing w:after="0" w:line="49" w:lineRule="exact"/>
        <w:rPr>
          <w:sz w:val="20"/>
          <w:szCs w:val="20"/>
          <w:color w:val="auto"/>
        </w:rPr>
      </w:pPr>
    </w:p>
    <w:p>
      <w:pPr>
        <w:jc w:val="both"/>
        <w:ind w:left="1" w:firstLine="161"/>
        <w:spacing w:after="0" w:line="264" w:lineRule="auto"/>
        <w:rPr>
          <w:sz w:val="20"/>
          <w:szCs w:val="20"/>
          <w:color w:val="auto"/>
        </w:rPr>
      </w:pPr>
      <w:r>
        <w:rPr>
          <w:rFonts w:ascii="Arial" w:cs="Arial" w:eastAsia="Arial" w:hAnsi="Arial"/>
          <w:sz w:val="13"/>
          <w:szCs w:val="13"/>
          <w:color w:val="auto"/>
        </w:rPr>
        <w:t>The applicable Borrower shall promptly examine a copy of each Letter of Credit and each amendment thereto that is delivered to it and, in the event of any claim of noncompliance with such Borrower’s instructions or other irregularity, such Borrower will immediately notify the L/C Issuer. The Borrowers shall be conclusively deemed to have waived any such claim against the L/C Issuer and its correspondents unless such notice is given as aforesaid.</w:t>
      </w:r>
    </w:p>
    <w:p>
      <w:pPr>
        <w:spacing w:after="0" w:line="57" w:lineRule="exact"/>
        <w:rPr>
          <w:sz w:val="20"/>
          <w:szCs w:val="20"/>
          <w:color w:val="auto"/>
        </w:rPr>
      </w:pPr>
    </w:p>
    <w:p>
      <w:pPr>
        <w:ind w:left="1" w:right="120" w:firstLine="162"/>
        <w:spacing w:after="0" w:line="301" w:lineRule="auto"/>
        <w:tabs>
          <w:tab w:leader="none" w:pos="329" w:val="left"/>
        </w:tabs>
        <w:numPr>
          <w:ilvl w:val="1"/>
          <w:numId w:val="82"/>
        </w:numPr>
        <w:rPr>
          <w:rFonts w:ascii="Arial" w:cs="Arial" w:eastAsia="Arial" w:hAnsi="Arial"/>
          <w:sz w:val="11"/>
          <w:szCs w:val="11"/>
          <w:color w:val="auto"/>
        </w:rPr>
      </w:pPr>
      <w:r>
        <w:rPr>
          <w:rFonts w:ascii="Arial" w:cs="Arial" w:eastAsia="Arial" w:hAnsi="Arial"/>
          <w:sz w:val="11"/>
          <w:szCs w:val="11"/>
          <w:u w:val="single" w:color="auto"/>
          <w:color w:val="auto"/>
        </w:rPr>
        <w:t>Role of L/C Issuer</w:t>
      </w:r>
      <w:r>
        <w:rPr>
          <w:rFonts w:ascii="Arial" w:cs="Arial" w:eastAsia="Arial" w:hAnsi="Arial"/>
          <w:sz w:val="11"/>
          <w:szCs w:val="11"/>
          <w:color w:val="auto"/>
        </w:rPr>
        <w:t>. Each Lender and each Borrower agree that, in paying any drawing under a Letter of Credit, the L/C Issuer shall not have any responsibility to obtain any document (other than any sight draft, certificates and documents expressly required by such Letter of Credit) or to ascertain or inquire as to the validity or accuracy of any such document or the authority of the Person executing or delivering any such document. None of the L/C Issuer, the Administrative Agent, any of their respective Related Parties nor any correspondent, participant or assignee of the L/C Issuer shall be liable to any Lender for (i) any action taken or omitted in connection herewith at the request or with the approval of the Lenders or the Required Lenders, as applicable; (ii) any action taken or omitted in the absence of gross negligence or willful misconduct; or</w:t>
      </w:r>
    </w:p>
    <w:p>
      <w:pPr>
        <w:spacing w:after="0" w:line="2" w:lineRule="exact"/>
        <w:rPr>
          <w:rFonts w:ascii="Arial" w:cs="Arial" w:eastAsia="Arial" w:hAnsi="Arial"/>
          <w:sz w:val="11"/>
          <w:szCs w:val="11"/>
          <w:color w:val="auto"/>
        </w:rPr>
      </w:pPr>
    </w:p>
    <w:p>
      <w:pPr>
        <w:ind w:left="1" w:right="80" w:hanging="1"/>
        <w:spacing w:after="0" w:line="279" w:lineRule="auto"/>
        <w:tabs>
          <w:tab w:leader="none" w:pos="231" w:val="left"/>
        </w:tabs>
        <w:numPr>
          <w:ilvl w:val="0"/>
          <w:numId w:val="83"/>
        </w:numPr>
        <w:rPr>
          <w:rFonts w:ascii="Arial" w:cs="Arial" w:eastAsia="Arial" w:hAnsi="Arial"/>
          <w:sz w:val="12"/>
          <w:szCs w:val="12"/>
          <w:color w:val="auto"/>
        </w:rPr>
      </w:pPr>
      <w:r>
        <w:rPr>
          <w:rFonts w:ascii="Arial" w:cs="Arial" w:eastAsia="Arial" w:hAnsi="Arial"/>
          <w:sz w:val="12"/>
          <w:szCs w:val="12"/>
          <w:color w:val="auto"/>
        </w:rPr>
        <w:t xml:space="preserve">the due execution, effectiveness, validity or enforceability of any document or instrument related to any Letter of Credit or Issuer Document. The Borrowers hereby assume all risks of the acts or omissions of any beneficiary or transferee with respect to its use of any Letter of Credit;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this assumption is not intended to, and shall not, preclude any Borrower’s pursuing such rights and remedies as it may have against the beneficiary or transferee at law or under any other agreement. None of the L/C Issuer, the Administrative Agent, any of their respective Related Parties nor any correspondent, participant or assignee of the L/C Issuer, shall be liable or responsible for any of the matters described in clauses (i) through (v) of </w:t>
      </w:r>
      <w:r>
        <w:rPr>
          <w:rFonts w:ascii="Arial" w:cs="Arial" w:eastAsia="Arial" w:hAnsi="Arial"/>
          <w:sz w:val="12"/>
          <w:szCs w:val="12"/>
          <w:u w:val="single" w:color="auto"/>
          <w:color w:val="auto"/>
        </w:rPr>
        <w:t>Section 2.03(e)</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anything in such clauses to the contrary notwithstanding, a Borrower may have a claim against the L/C Issuer, and the L/C Issuer may be liable to such Borrower, to the extent, but only to the extent, of any direct, as opposed to consequential or exemplary, damages suffered by such Borrower which such Borrower proves were caused by the L/C Issuer’s willful misconduct or gross negligence or the L/C Issuer’s willful failure to pay under any Letter of Credit after the presentation to it by the beneficiary of a sight draft and certificate(s) strictly complying with the terms and conditions of a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7290435" cy="19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23" w:name="page124"/>
    <w:bookmarkEnd w:id="123"/>
    <w:p>
      <w:pPr>
        <w:ind w:right="20"/>
        <w:spacing w:after="0" w:line="285" w:lineRule="auto"/>
        <w:rPr>
          <w:sz w:val="20"/>
          <w:szCs w:val="20"/>
          <w:color w:val="auto"/>
        </w:rPr>
      </w:pPr>
      <w:r>
        <w:rPr>
          <w:rFonts w:ascii="Arial" w:cs="Arial" w:eastAsia="Arial" w:hAnsi="Arial"/>
          <w:sz w:val="12"/>
          <w:szCs w:val="12"/>
          <w:color w:val="auto"/>
        </w:rPr>
        <w:t xml:space="preserve">of Credit unless the L/C Issuer is prevented or prohibited from so paying as a result of any order or directive of any court or other Governmental Authority. In furtherance and not in limitation of the foregoing, the L/C Issuer may accept documents that appear on their face to be in order, without responsibility for further investigation, regardless of any notice or information to the contrary, and the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the Borrower may have a claim against the L/C Issuer, and the L/C Issuer may be liable to the Borrower, to the extent, but only to the extent, of any direct, as opposed to consequential or exemplary, damages suffered by the Borrower which the Borrower proves were caused by the L/C Issuer’s willful misconduct or gross negligence.</w:t>
      </w:r>
    </w:p>
    <w:p>
      <w:pPr>
        <w:spacing w:after="0" w:line="46" w:lineRule="exact"/>
        <w:rPr>
          <w:sz w:val="20"/>
          <w:szCs w:val="20"/>
          <w:color w:val="auto"/>
        </w:rPr>
      </w:pPr>
    </w:p>
    <w:p>
      <w:pPr>
        <w:ind w:right="260" w:firstLine="162"/>
        <w:spacing w:after="0" w:line="296" w:lineRule="auto"/>
        <w:tabs>
          <w:tab w:leader="none" w:pos="349" w:val="left"/>
        </w:tabs>
        <w:numPr>
          <w:ilvl w:val="0"/>
          <w:numId w:val="84"/>
        </w:numPr>
        <w:rPr>
          <w:rFonts w:ascii="Arial" w:cs="Arial" w:eastAsia="Arial" w:hAnsi="Arial"/>
          <w:sz w:val="12"/>
          <w:szCs w:val="12"/>
          <w:color w:val="auto"/>
        </w:rPr>
      </w:pPr>
      <w:r>
        <w:rPr>
          <w:rFonts w:ascii="Arial" w:cs="Arial" w:eastAsia="Arial" w:hAnsi="Arial"/>
          <w:sz w:val="12"/>
          <w:szCs w:val="12"/>
          <w:u w:val="single" w:color="auto"/>
          <w:color w:val="auto"/>
        </w:rPr>
        <w:t>Cash Collateral</w:t>
      </w:r>
      <w:r>
        <w:rPr>
          <w:rFonts w:ascii="Arial" w:cs="Arial" w:eastAsia="Arial" w:hAnsi="Arial"/>
          <w:sz w:val="12"/>
          <w:szCs w:val="12"/>
          <w:color w:val="auto"/>
        </w:rPr>
        <w:t>. (i) Upon the request of the Administrative Agent, (A) if the L/C Issuer has honored any full or partial drawing request under any Letter of Credit and such drawing has resulted in an L/C Borrowing, or (B) if, as of the Letter of Credit Expiration Date, any Letter of Credit for any reason remains outstanding and partially or wholly undrawn, the Borrowers shall immediately Cash Collateralize the then Outstanding Amount of all L/C Obligations (in an amount equal to such Outstanding Amount determined as of the date of such L/C Borrowing or the Letter of Credit Expiration Date, as the case may be).</w:t>
      </w:r>
    </w:p>
    <w:p>
      <w:pPr>
        <w:spacing w:after="0" w:line="40" w:lineRule="exact"/>
        <w:rPr>
          <w:sz w:val="20"/>
          <w:szCs w:val="20"/>
          <w:color w:val="auto"/>
        </w:rPr>
      </w:pPr>
    </w:p>
    <w:p>
      <w:pPr>
        <w:ind w:right="160" w:firstLine="162"/>
        <w:spacing w:after="0" w:line="264" w:lineRule="auto"/>
        <w:tabs>
          <w:tab w:leader="none" w:pos="357" w:val="left"/>
        </w:tabs>
        <w:numPr>
          <w:ilvl w:val="0"/>
          <w:numId w:val="85"/>
        </w:numPr>
        <w:rPr>
          <w:rFonts w:ascii="Arial" w:cs="Arial" w:eastAsia="Arial" w:hAnsi="Arial"/>
          <w:sz w:val="13"/>
          <w:szCs w:val="13"/>
          <w:color w:val="auto"/>
        </w:rPr>
      </w:pPr>
      <w:r>
        <w:rPr>
          <w:rFonts w:ascii="Arial" w:cs="Arial" w:eastAsia="Arial" w:hAnsi="Arial"/>
          <w:sz w:val="13"/>
          <w:szCs w:val="13"/>
          <w:color w:val="auto"/>
        </w:rPr>
        <w:t>In addition, if the Administrative Agent notifies the Company at any time that the Outstanding Amount of all L/C Obligations at such time exceeds the Letter of Credit Sublimit then in effect, then, within two Business Days after receipt of such notice, the Borrowers shall Cash Collateralize the L/C Obligations in an amount equal to the amount by which the Outstanding Amount of all L/C Obligations exceeds the Letter of Credit Sublimit.</w:t>
      </w:r>
    </w:p>
    <w:p>
      <w:pPr>
        <w:spacing w:after="0" w:line="57" w:lineRule="exact"/>
        <w:rPr>
          <w:rFonts w:ascii="Arial" w:cs="Arial" w:eastAsia="Arial" w:hAnsi="Arial"/>
          <w:sz w:val="13"/>
          <w:szCs w:val="13"/>
          <w:color w:val="auto"/>
        </w:rPr>
      </w:pPr>
    </w:p>
    <w:p>
      <w:pPr>
        <w:ind w:right="80" w:firstLine="162"/>
        <w:spacing w:after="0" w:line="276" w:lineRule="auto"/>
        <w:tabs>
          <w:tab w:leader="none" w:pos="391"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The Administrative Agent may, at any time and from time to time after the initial deposit of Cash Collateral, request that additional Cash Collateral be provided in order to protect against the results of exchange rate fluctuations.</w:t>
      </w:r>
    </w:p>
    <w:p>
      <w:pPr>
        <w:spacing w:after="0" w:line="49" w:lineRule="exact"/>
        <w:rPr>
          <w:rFonts w:ascii="Arial" w:cs="Arial" w:eastAsia="Arial" w:hAnsi="Arial"/>
          <w:sz w:val="13"/>
          <w:szCs w:val="13"/>
          <w:color w:val="auto"/>
        </w:rPr>
      </w:pPr>
    </w:p>
    <w:p>
      <w:pPr>
        <w:ind w:firstLine="162"/>
        <w:spacing w:after="0" w:line="258" w:lineRule="auto"/>
        <w:tabs>
          <w:tab w:leader="none" w:pos="386" w:val="left"/>
        </w:tabs>
        <w:numPr>
          <w:ilvl w:val="0"/>
          <w:numId w:val="85"/>
        </w:numPr>
        <w:rPr>
          <w:rFonts w:ascii="Arial" w:cs="Arial" w:eastAsia="Arial" w:hAnsi="Arial"/>
          <w:sz w:val="13"/>
          <w:szCs w:val="13"/>
          <w:color w:val="auto"/>
        </w:rPr>
      </w:pPr>
      <w:r>
        <w:rPr>
          <w:rFonts w:ascii="Arial" w:cs="Arial" w:eastAsia="Arial" w:hAnsi="Arial"/>
          <w:sz w:val="13"/>
          <w:szCs w:val="13"/>
          <w:u w:val="single" w:color="auto"/>
          <w:color w:val="auto"/>
        </w:rPr>
        <w:t>Sections 2.05</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9.02(c)</w:t>
      </w:r>
      <w:r>
        <w:rPr>
          <w:rFonts w:ascii="Arial" w:cs="Arial" w:eastAsia="Arial" w:hAnsi="Arial"/>
          <w:sz w:val="13"/>
          <w:szCs w:val="13"/>
          <w:color w:val="auto"/>
        </w:rPr>
        <w:t xml:space="preserve"> set forth certain additional requirements to deliver Cash Collateral hereunder. For purposes of this </w:t>
      </w:r>
      <w:r>
        <w:rPr>
          <w:rFonts w:ascii="Arial" w:cs="Arial" w:eastAsia="Arial" w:hAnsi="Arial"/>
          <w:sz w:val="13"/>
          <w:szCs w:val="13"/>
          <w:u w:val="single" w:color="auto"/>
          <w:color w:val="auto"/>
        </w:rPr>
        <w:t>Section 2.03</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2.05</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Section 9.02(c)</w:t>
      </w:r>
      <w:r>
        <w:rPr>
          <w:rFonts w:ascii="Arial" w:cs="Arial" w:eastAsia="Arial" w:hAnsi="Arial"/>
          <w:sz w:val="13"/>
          <w:szCs w:val="13"/>
          <w:color w:val="auto"/>
        </w:rPr>
        <w:t>, “</w:t>
      </w:r>
      <w:r>
        <w:rPr>
          <w:rFonts w:ascii="Arial" w:cs="Arial" w:eastAsia="Arial" w:hAnsi="Arial"/>
          <w:sz w:val="13"/>
          <w:szCs w:val="13"/>
          <w:u w:val="single" w:color="auto"/>
          <w:color w:val="auto"/>
        </w:rPr>
        <w:t>Cash Collateralize</w:t>
      </w:r>
      <w:r>
        <w:rPr>
          <w:rFonts w:ascii="Arial" w:cs="Arial" w:eastAsia="Arial" w:hAnsi="Arial"/>
          <w:sz w:val="13"/>
          <w:szCs w:val="13"/>
          <w:color w:val="auto"/>
        </w:rPr>
        <w:t>” means to pledge and deposit with or deliver to the Administrative Agent, for the benefit of the L/C Issuer and the Lenders, as collateral for the L/C Obligations, cash or deposit account balances pursuant to documentation in form and substance satisfactory to the Administrative Agent and the L/C Issuer (which documents are hereby consented to by the Lenders). Derivatives of such term have corresponding meanings. Each Borrower hereby grants to the Administrative Agent, for the benefit of the L/C Issuer and the Lenders, a security interest in all such cash, deposit accounts and all balances therein and all proceeds of the foregoing. Cash Collateral shall be maintained in blocked, non-interest bearing deposit accounts at Bank of America.</w:t>
      </w:r>
    </w:p>
    <w:p>
      <w:pPr>
        <w:spacing w:after="0" w:line="61" w:lineRule="exact"/>
        <w:rPr>
          <w:sz w:val="20"/>
          <w:szCs w:val="20"/>
          <w:color w:val="auto"/>
        </w:rPr>
      </w:pPr>
    </w:p>
    <w:p>
      <w:pPr>
        <w:ind w:right="20" w:firstLine="162"/>
        <w:spacing w:after="0" w:line="264" w:lineRule="auto"/>
        <w:tabs>
          <w:tab w:leader="none" w:pos="349" w:val="left"/>
        </w:tabs>
        <w:numPr>
          <w:ilvl w:val="0"/>
          <w:numId w:val="86"/>
        </w:numPr>
        <w:rPr>
          <w:rFonts w:ascii="Arial" w:cs="Arial" w:eastAsia="Arial" w:hAnsi="Arial"/>
          <w:sz w:val="13"/>
          <w:szCs w:val="13"/>
          <w:color w:val="auto"/>
        </w:rPr>
      </w:pPr>
      <w:r>
        <w:rPr>
          <w:rFonts w:ascii="Arial" w:cs="Arial" w:eastAsia="Arial" w:hAnsi="Arial"/>
          <w:sz w:val="13"/>
          <w:szCs w:val="13"/>
          <w:u w:val="single" w:color="auto"/>
          <w:color w:val="auto"/>
        </w:rPr>
        <w:t>Applicability of ISP and UCP</w:t>
      </w:r>
      <w:r>
        <w:rPr>
          <w:rFonts w:ascii="Arial" w:cs="Arial" w:eastAsia="Arial" w:hAnsi="Arial"/>
          <w:sz w:val="13"/>
          <w:szCs w:val="13"/>
          <w:color w:val="auto"/>
        </w:rPr>
        <w:t>. Unless otherwise expressly agreed by the L/C Issuer and the applicable Borrower when a Letter of Credit is issued (including any such agreement applicable to an Existing Letter of Credit), (i) the rules of the ISP shall apply to each standby Letter of Credit, and (ii) the rules of the Uniform Customs and Practice for Documentary Credits, as most recently published by the International Chamber of Commerce at the time of issuance shall apply to each commercial Letter of Credit.</w:t>
      </w:r>
    </w:p>
    <w:p>
      <w:pPr>
        <w:spacing w:after="0" w:line="57" w:lineRule="exact"/>
        <w:rPr>
          <w:rFonts w:ascii="Arial" w:cs="Arial" w:eastAsia="Arial" w:hAnsi="Arial"/>
          <w:sz w:val="13"/>
          <w:szCs w:val="13"/>
          <w:color w:val="auto"/>
        </w:rPr>
      </w:pPr>
    </w:p>
    <w:p>
      <w:pPr>
        <w:ind w:right="160" w:firstLine="162"/>
        <w:spacing w:after="0" w:line="276" w:lineRule="auto"/>
        <w:tabs>
          <w:tab w:leader="none" w:pos="320" w:val="left"/>
        </w:tabs>
        <w:numPr>
          <w:ilvl w:val="0"/>
          <w:numId w:val="86"/>
        </w:numPr>
        <w:rPr>
          <w:rFonts w:ascii="Arial" w:cs="Arial" w:eastAsia="Arial" w:hAnsi="Arial"/>
          <w:sz w:val="13"/>
          <w:szCs w:val="13"/>
          <w:color w:val="auto"/>
        </w:rPr>
      </w:pPr>
      <w:r>
        <w:rPr>
          <w:rFonts w:ascii="Arial" w:cs="Arial" w:eastAsia="Arial" w:hAnsi="Arial"/>
          <w:sz w:val="13"/>
          <w:szCs w:val="13"/>
          <w:u w:val="single" w:color="auto"/>
          <w:color w:val="auto"/>
        </w:rPr>
        <w:t>Letter of Credit Fees</w:t>
      </w:r>
      <w:r>
        <w:rPr>
          <w:rFonts w:ascii="Arial" w:cs="Arial" w:eastAsia="Arial" w:hAnsi="Arial"/>
          <w:sz w:val="13"/>
          <w:szCs w:val="13"/>
          <w:color w:val="auto"/>
        </w:rPr>
        <w:t>. The Borrowers shall pay to the Administrative Agent for the account of each Lender in accordance with its Pro Rata Share, in Dollars, a Letter of Credit fee (the “</w:t>
      </w:r>
      <w:r>
        <w:rPr>
          <w:rFonts w:ascii="Arial" w:cs="Arial" w:eastAsia="Arial" w:hAnsi="Arial"/>
          <w:sz w:val="13"/>
          <w:szCs w:val="13"/>
          <w:u w:val="single" w:color="auto"/>
          <w:color w:val="auto"/>
        </w:rPr>
        <w:t>Letter of Credit Fee</w:t>
      </w:r>
      <w:r>
        <w:rPr>
          <w:rFonts w:ascii="Arial" w:cs="Arial" w:eastAsia="Arial" w:hAnsi="Arial"/>
          <w:sz w:val="13"/>
          <w:szCs w:val="13"/>
          <w:color w:val="auto"/>
        </w:rPr>
        <w:t xml:space="preserve">”) for each Letter of Credit equal to the Applicable Rate </w:t>
      </w:r>
      <w:r>
        <w:rPr>
          <w:rFonts w:ascii="Arial" w:cs="Arial" w:eastAsia="Arial" w:hAnsi="Arial"/>
          <w:sz w:val="13"/>
          <w:szCs w:val="13"/>
          <w:u w:val="single" w:color="auto"/>
          <w:color w:val="auto"/>
        </w:rPr>
        <w:t>times</w:t>
      </w:r>
      <w:r>
        <w:rPr>
          <w:rFonts w:ascii="Arial" w:cs="Arial" w:eastAsia="Arial" w:hAnsi="Arial"/>
          <w:sz w:val="13"/>
          <w:szCs w:val="13"/>
          <w:color w:val="auto"/>
        </w:rPr>
        <w:t xml:space="preserve"> the Dollar Equivalent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24" w:name="page125"/>
    <w:bookmarkEnd w:id="124"/>
    <w:p>
      <w:pPr>
        <w:spacing w:after="0" w:line="285" w:lineRule="auto"/>
        <w:rPr>
          <w:sz w:val="20"/>
          <w:szCs w:val="20"/>
          <w:color w:val="auto"/>
        </w:rPr>
      </w:pPr>
      <w:r>
        <w:rPr>
          <w:rFonts w:ascii="Arial" w:cs="Arial" w:eastAsia="Arial" w:hAnsi="Arial"/>
          <w:sz w:val="12"/>
          <w:szCs w:val="12"/>
          <w:color w:val="auto"/>
        </w:rPr>
        <w:t xml:space="preserve">of the actual daily amount available to be drawn under such Letter of Credit. For purposes of computing the daily amount available to be drawn under any Letter of Credit, the amount of such Letter of Credit shall be determined in accordance with </w:t>
      </w:r>
      <w:r>
        <w:rPr>
          <w:rFonts w:ascii="Arial" w:cs="Arial" w:eastAsia="Arial" w:hAnsi="Arial"/>
          <w:sz w:val="12"/>
          <w:szCs w:val="12"/>
          <w:u w:val="single" w:color="auto"/>
          <w:color w:val="auto"/>
        </w:rPr>
        <w:t>Section 1.10</w:t>
      </w:r>
      <w:r>
        <w:rPr>
          <w:rFonts w:ascii="Arial" w:cs="Arial" w:eastAsia="Arial" w:hAnsi="Arial"/>
          <w:sz w:val="12"/>
          <w:szCs w:val="12"/>
          <w:color w:val="auto"/>
        </w:rPr>
        <w:t>. Letter of Credit Fees shall be (i) computed on a quarterly basis in arrears and (ii) due and payable on the first Business Day after the end of each March, June, September and December, commencing with the first such date to occur after the issuance of such Letter of Credit, on the Letter of Credit Expiration Date and thereafter on demand.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upon the request of the Required Lenders, while any Event of Default exists, all Letter of Credit Fees shall accrue at the Default Rate.</w:t>
      </w:r>
    </w:p>
    <w:p>
      <w:pPr>
        <w:spacing w:after="0" w:line="46" w:lineRule="exact"/>
        <w:rPr>
          <w:sz w:val="20"/>
          <w:szCs w:val="20"/>
          <w:color w:val="auto"/>
        </w:rPr>
      </w:pPr>
    </w:p>
    <w:p>
      <w:pPr>
        <w:ind w:right="60" w:firstLine="162"/>
        <w:spacing w:after="0" w:line="255" w:lineRule="auto"/>
        <w:tabs>
          <w:tab w:leader="none" w:pos="320" w:val="left"/>
        </w:tabs>
        <w:numPr>
          <w:ilvl w:val="0"/>
          <w:numId w:val="87"/>
        </w:numPr>
        <w:rPr>
          <w:rFonts w:ascii="Arial" w:cs="Arial" w:eastAsia="Arial" w:hAnsi="Arial"/>
          <w:sz w:val="13"/>
          <w:szCs w:val="13"/>
          <w:color w:val="auto"/>
        </w:rPr>
      </w:pPr>
      <w:r>
        <w:rPr>
          <w:rFonts w:ascii="Arial" w:cs="Arial" w:eastAsia="Arial" w:hAnsi="Arial"/>
          <w:sz w:val="13"/>
          <w:szCs w:val="13"/>
          <w:u w:val="single" w:color="auto"/>
          <w:color w:val="auto"/>
        </w:rPr>
        <w:t>Fronting Fee and Documentary and Processing Charges Payable to L/C Issuer</w:t>
      </w:r>
      <w:r>
        <w:rPr>
          <w:rFonts w:ascii="Arial" w:cs="Arial" w:eastAsia="Arial" w:hAnsi="Arial"/>
          <w:sz w:val="13"/>
          <w:szCs w:val="13"/>
          <w:color w:val="auto"/>
        </w:rPr>
        <w:t xml:space="preserve">. The Borrowers shall pay directly to the L/C Issuer for its own account, in Dollars, a fronting fee (i) with respect to each commercial Letter of Credit, at the rate specified in the Fee Letter, computed on the Dollar Equivalent of the amount of such Letter of Credit, and payable upon the issuance thereof, (ii) with respect to any amendment of a commercial Letter of Credit increasing the amount of such Letter of Credit, at a rate separately agreed between the Borrowers and the L/C Issuer, computed on the Dollar Equivalent of the amount of such increase, and payable upon the effectiveness of such amendment, and (iii) with respect to each standby Letter of Credit, at the rate per annum specified in the Fee Letter, computed on the Dollar Equivalent of the daily amount available to be drawn under such Letter of Credit and on a quarterly basis in arrears. Such fronting fee shall be due and payable on the tenth Business Day after the end of each March, June, September and December in respect of the most recently-ended quarterly period (or portion thereof, in the case of the first payment), 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w:t>
      </w:r>
      <w:r>
        <w:rPr>
          <w:rFonts w:ascii="Arial" w:cs="Arial" w:eastAsia="Arial" w:hAnsi="Arial"/>
          <w:sz w:val="13"/>
          <w:szCs w:val="13"/>
          <w:u w:val="single" w:color="auto"/>
          <w:color w:val="auto"/>
        </w:rPr>
        <w:t>Section 1.10</w:t>
      </w:r>
      <w:r>
        <w:rPr>
          <w:rFonts w:ascii="Arial" w:cs="Arial" w:eastAsia="Arial" w:hAnsi="Arial"/>
          <w:sz w:val="13"/>
          <w:szCs w:val="13"/>
          <w:color w:val="auto"/>
        </w:rPr>
        <w:t>. In addition, the Borrowers shall pay directly to the L/C Issuer for its own account the customary issuance, presentation, amendment and other processing fees, and other standard costs and charges, of the L/C Issuer relating to letters of credit as from time to time in effect, in Dollars or such Alternative Currency as shall be separately agreed. Such customary fees and standard costs and charges are due and payable on demand and are nonrefundable.</w:t>
      </w:r>
    </w:p>
    <w:p>
      <w:pPr>
        <w:spacing w:after="0" w:line="62" w:lineRule="exact"/>
        <w:rPr>
          <w:rFonts w:ascii="Arial" w:cs="Arial" w:eastAsia="Arial" w:hAnsi="Arial"/>
          <w:sz w:val="13"/>
          <w:szCs w:val="13"/>
          <w:color w:val="auto"/>
        </w:rPr>
      </w:pPr>
    </w:p>
    <w:p>
      <w:pPr>
        <w:ind w:left="340" w:hanging="178"/>
        <w:spacing w:after="0"/>
        <w:tabs>
          <w:tab w:leader="none" w:pos="340" w:val="left"/>
        </w:tabs>
        <w:numPr>
          <w:ilvl w:val="0"/>
          <w:numId w:val="87"/>
        </w:numPr>
        <w:rPr>
          <w:rFonts w:ascii="Arial" w:cs="Arial" w:eastAsia="Arial" w:hAnsi="Arial"/>
          <w:sz w:val="13"/>
          <w:szCs w:val="13"/>
          <w:color w:val="auto"/>
        </w:rPr>
      </w:pPr>
      <w:r>
        <w:rPr>
          <w:rFonts w:ascii="Arial" w:cs="Arial" w:eastAsia="Arial" w:hAnsi="Arial"/>
          <w:sz w:val="13"/>
          <w:szCs w:val="13"/>
          <w:u w:val="single" w:color="auto"/>
          <w:color w:val="auto"/>
        </w:rPr>
        <w:t>Conflict with Issuer Documents</w:t>
      </w:r>
      <w:r>
        <w:rPr>
          <w:rFonts w:ascii="Arial" w:cs="Arial" w:eastAsia="Arial" w:hAnsi="Arial"/>
          <w:sz w:val="13"/>
          <w:szCs w:val="13"/>
          <w:color w:val="auto"/>
        </w:rPr>
        <w:t>. In the event of any conflict between the terms hereof and the terms of any Issuer Document, the terms hereof shall control.</w:t>
      </w:r>
    </w:p>
    <w:p>
      <w:pPr>
        <w:spacing w:after="0" w:line="86" w:lineRule="exact"/>
        <w:rPr>
          <w:rFonts w:ascii="Arial" w:cs="Arial" w:eastAsia="Arial" w:hAnsi="Arial"/>
          <w:sz w:val="13"/>
          <w:szCs w:val="13"/>
          <w:color w:val="auto"/>
        </w:rPr>
      </w:pPr>
    </w:p>
    <w:p>
      <w:pPr>
        <w:ind w:right="160" w:firstLine="162"/>
        <w:spacing w:after="0" w:line="264" w:lineRule="auto"/>
        <w:tabs>
          <w:tab w:leader="none" w:pos="320" w:val="left"/>
        </w:tabs>
        <w:numPr>
          <w:ilvl w:val="0"/>
          <w:numId w:val="87"/>
        </w:numPr>
        <w:rPr>
          <w:rFonts w:ascii="Arial" w:cs="Arial" w:eastAsia="Arial" w:hAnsi="Arial"/>
          <w:sz w:val="13"/>
          <w:szCs w:val="13"/>
          <w:color w:val="auto"/>
        </w:rPr>
      </w:pPr>
      <w:r>
        <w:rPr>
          <w:rFonts w:ascii="Arial" w:cs="Arial" w:eastAsia="Arial" w:hAnsi="Arial"/>
          <w:sz w:val="13"/>
          <w:szCs w:val="13"/>
          <w:u w:val="single" w:color="auto"/>
          <w:color w:val="auto"/>
        </w:rPr>
        <w:t>Letters of Credit Issued for Subsidiaries</w:t>
      </w:r>
      <w:r>
        <w:rPr>
          <w:rFonts w:ascii="Arial" w:cs="Arial" w:eastAsia="Arial" w:hAnsi="Arial"/>
          <w:sz w:val="13"/>
          <w:szCs w:val="13"/>
          <w:color w:val="auto"/>
        </w:rPr>
        <w:t>. Notwithstanding that a Letter of Credit issued or outstanding hereunder is in support of any obligations of, or is for the account of, a Subsidiary, the Borrowers shall be obligated to reimburse the L/C Issuer hereunder for any and all drawings under such Letter of Credit. The Borrowers hereby acknowledge that the issuance of Letters of Credit for the account of Subsidiaries inures to the benefit of the Borrowers, and that the Borrowers’ business derives substantial benefits from the businesses of such Subsidiaries.</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2.04 </w:t>
      </w:r>
      <w:r>
        <w:rPr>
          <w:rFonts w:ascii="Arial" w:cs="Arial" w:eastAsia="Arial" w:hAnsi="Arial"/>
          <w:sz w:val="13"/>
          <w:szCs w:val="13"/>
          <w:u w:val="single" w:color="auto"/>
          <w:color w:val="auto"/>
        </w:rPr>
        <w:t>Swing Line Loans</w:t>
      </w:r>
      <w:r>
        <w:rPr>
          <w:rFonts w:ascii="Arial" w:cs="Arial" w:eastAsia="Arial" w:hAnsi="Arial"/>
          <w:sz w:val="13"/>
          <w:szCs w:val="13"/>
          <w:color w:val="auto"/>
        </w:rPr>
        <w:t>.</w:t>
      </w:r>
    </w:p>
    <w:p>
      <w:pPr>
        <w:spacing w:after="0" w:line="86" w:lineRule="exact"/>
        <w:rPr>
          <w:sz w:val="20"/>
          <w:szCs w:val="20"/>
          <w:color w:val="auto"/>
        </w:rPr>
      </w:pPr>
    </w:p>
    <w:p>
      <w:pPr>
        <w:ind w:right="20" w:firstLine="162"/>
        <w:spacing w:after="0" w:line="260" w:lineRule="auto"/>
        <w:tabs>
          <w:tab w:leader="none" w:pos="342" w:val="left"/>
        </w:tabs>
        <w:numPr>
          <w:ilvl w:val="0"/>
          <w:numId w:val="88"/>
        </w:numPr>
        <w:rPr>
          <w:rFonts w:ascii="Arial" w:cs="Arial" w:eastAsia="Arial" w:hAnsi="Arial"/>
          <w:sz w:val="13"/>
          <w:szCs w:val="13"/>
          <w:color w:val="auto"/>
        </w:rPr>
      </w:pPr>
      <w:r>
        <w:rPr>
          <w:rFonts w:ascii="Arial" w:cs="Arial" w:eastAsia="Arial" w:hAnsi="Arial"/>
          <w:sz w:val="13"/>
          <w:szCs w:val="13"/>
          <w:u w:val="single" w:color="auto"/>
          <w:color w:val="auto"/>
        </w:rPr>
        <w:t>Swing Line Facility</w:t>
      </w:r>
      <w:r>
        <w:rPr>
          <w:rFonts w:ascii="Arial" w:cs="Arial" w:eastAsia="Arial" w:hAnsi="Arial"/>
          <w:sz w:val="13"/>
          <w:szCs w:val="13"/>
          <w:color w:val="auto"/>
        </w:rPr>
        <w:t xml:space="preserve">. Subject to the terms and conditions set forth herein, the Swing Line Lender agrees, in reliance upon the agreements of the other Lenders set forth in this </w:t>
      </w:r>
      <w:r>
        <w:rPr>
          <w:rFonts w:ascii="Arial" w:cs="Arial" w:eastAsia="Arial" w:hAnsi="Arial"/>
          <w:sz w:val="13"/>
          <w:szCs w:val="13"/>
          <w:u w:val="single" w:color="auto"/>
          <w:color w:val="auto"/>
        </w:rPr>
        <w:t>Section 2.04</w:t>
      </w:r>
      <w:r>
        <w:rPr>
          <w:rFonts w:ascii="Arial" w:cs="Arial" w:eastAsia="Arial" w:hAnsi="Arial"/>
          <w:sz w:val="13"/>
          <w:szCs w:val="13"/>
          <w:color w:val="auto"/>
        </w:rPr>
        <w:t>, to make loans (each such loan, a “</w:t>
      </w:r>
      <w:r>
        <w:rPr>
          <w:rFonts w:ascii="Arial" w:cs="Arial" w:eastAsia="Arial" w:hAnsi="Arial"/>
          <w:sz w:val="13"/>
          <w:szCs w:val="13"/>
          <w:u w:val="single" w:color="auto"/>
          <w:color w:val="auto"/>
        </w:rPr>
        <w:t>Swing Line Loan</w:t>
      </w:r>
      <w:r>
        <w:rPr>
          <w:rFonts w:ascii="Arial" w:cs="Arial" w:eastAsia="Arial" w:hAnsi="Arial"/>
          <w:sz w:val="13"/>
          <w:szCs w:val="13"/>
          <w:color w:val="auto"/>
        </w:rPr>
        <w:t>”) to the Borrowers in Dollars from time to time on any Business Day during the Availability Period in an aggregate amount not to exceed at any time outstanding the amount of the Swing Line Sublimit, notwithstanding the fact that such Swing Line Loans, when aggregated with the Pro Rata Share of the Outstanding Amount of Revolving Loans and L/C Obligations of the Swing Line Lender in its capacity as a Lender of Revolving Loans, may exceed the amount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277495</wp:posOffset>
            </wp:positionV>
            <wp:extent cx="7290435" cy="19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25" w:name="page126"/>
    <w:bookmarkEnd w:id="125"/>
    <w:p>
      <w:pPr>
        <w:spacing w:after="0" w:line="282" w:lineRule="auto"/>
        <w:rPr>
          <w:sz w:val="20"/>
          <w:szCs w:val="20"/>
          <w:color w:val="auto"/>
        </w:rPr>
      </w:pPr>
      <w:r>
        <w:rPr>
          <w:rFonts w:ascii="Arial" w:cs="Arial" w:eastAsia="Arial" w:hAnsi="Arial"/>
          <w:sz w:val="12"/>
          <w:szCs w:val="12"/>
          <w:color w:val="auto"/>
        </w:rPr>
        <w:t xml:space="preserve">Lender’s Revolving Commitment;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after giving effect to any Swing Line Loan, (i) the Total Revolving Outstandings shall not exceed the Aggregate Revolving Commitments, and (ii) the aggregate Outstanding Amount of the Revolving Loans of any Lender,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such Lender’s Pro Rata Share of the Outstanding Amount of all L/C Obligations,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such Lender’s Pro Rata Share of the Outstanding Amount of all Swing Line Loans shall not exceed such Lender’s Revolving Commitment, and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xml:space="preserve">, that no Borrower shall use the proceeds of any Swing Line Loan to refinance any outstanding Swing Line Loan. Within the foregoing limits, and subject to the other terms and conditions hereof, the Borrowers may borrow under this </w:t>
      </w:r>
      <w:r>
        <w:rPr>
          <w:rFonts w:ascii="Arial" w:cs="Arial" w:eastAsia="Arial" w:hAnsi="Arial"/>
          <w:sz w:val="12"/>
          <w:szCs w:val="12"/>
          <w:u w:val="single" w:color="auto"/>
          <w:color w:val="auto"/>
        </w:rPr>
        <w:t>Section 2.04</w:t>
      </w:r>
      <w:r>
        <w:rPr>
          <w:rFonts w:ascii="Arial" w:cs="Arial" w:eastAsia="Arial" w:hAnsi="Arial"/>
          <w:sz w:val="12"/>
          <w:szCs w:val="12"/>
          <w:color w:val="auto"/>
        </w:rPr>
        <w:t xml:space="preserve">, prepay under </w:t>
      </w:r>
      <w:r>
        <w:rPr>
          <w:rFonts w:ascii="Arial" w:cs="Arial" w:eastAsia="Arial" w:hAnsi="Arial"/>
          <w:sz w:val="12"/>
          <w:szCs w:val="12"/>
          <w:u w:val="single" w:color="auto"/>
          <w:color w:val="auto"/>
        </w:rPr>
        <w:t>Section 2.05</w:t>
      </w:r>
      <w:r>
        <w:rPr>
          <w:rFonts w:ascii="Arial" w:cs="Arial" w:eastAsia="Arial" w:hAnsi="Arial"/>
          <w:sz w:val="12"/>
          <w:szCs w:val="12"/>
          <w:color w:val="auto"/>
        </w:rPr>
        <w:t xml:space="preserve">, and reborrow under this </w:t>
      </w:r>
      <w:r>
        <w:rPr>
          <w:rFonts w:ascii="Arial" w:cs="Arial" w:eastAsia="Arial" w:hAnsi="Arial"/>
          <w:sz w:val="12"/>
          <w:szCs w:val="12"/>
          <w:u w:val="single" w:color="auto"/>
          <w:color w:val="auto"/>
        </w:rPr>
        <w:t>Section 2.04</w:t>
      </w:r>
      <w:r>
        <w:rPr>
          <w:rFonts w:ascii="Arial" w:cs="Arial" w:eastAsia="Arial" w:hAnsi="Arial"/>
          <w:sz w:val="12"/>
          <w:szCs w:val="12"/>
          <w:color w:val="auto"/>
        </w:rPr>
        <w:t xml:space="preserve">. Each Swing Line Loan shall be a Base Rate Loan. Immediately upon the making of a Swing Line Loan, each Lender shall be deemed to, and hereby irrevocably and unconditionally agrees to, purchase from the Swing Line Lender a risk participation in such Swing Line Loan in an amount equal to the product of such Lender’s Pro Rata Share </w:t>
      </w:r>
      <w:r>
        <w:rPr>
          <w:rFonts w:ascii="Arial" w:cs="Arial" w:eastAsia="Arial" w:hAnsi="Arial"/>
          <w:sz w:val="12"/>
          <w:szCs w:val="12"/>
          <w:u w:val="single" w:color="auto"/>
          <w:color w:val="auto"/>
        </w:rPr>
        <w:t>times</w:t>
      </w:r>
      <w:r>
        <w:rPr>
          <w:rFonts w:ascii="Arial" w:cs="Arial" w:eastAsia="Arial" w:hAnsi="Arial"/>
          <w:sz w:val="12"/>
          <w:szCs w:val="12"/>
          <w:color w:val="auto"/>
        </w:rPr>
        <w:t xml:space="preserve"> the amount of such Swing Line Loan.</w:t>
      </w:r>
    </w:p>
    <w:p>
      <w:pPr>
        <w:spacing w:after="0" w:line="49" w:lineRule="exact"/>
        <w:rPr>
          <w:sz w:val="20"/>
          <w:szCs w:val="20"/>
          <w:color w:val="auto"/>
        </w:rPr>
      </w:pPr>
    </w:p>
    <w:p>
      <w:pPr>
        <w:ind w:firstLine="162"/>
        <w:spacing w:after="0" w:line="255" w:lineRule="auto"/>
        <w:tabs>
          <w:tab w:leader="none" w:pos="349" w:val="left"/>
        </w:tabs>
        <w:numPr>
          <w:ilvl w:val="0"/>
          <w:numId w:val="89"/>
        </w:numPr>
        <w:rPr>
          <w:rFonts w:ascii="Arial" w:cs="Arial" w:eastAsia="Arial" w:hAnsi="Arial"/>
          <w:sz w:val="13"/>
          <w:szCs w:val="13"/>
          <w:color w:val="auto"/>
        </w:rPr>
      </w:pPr>
      <w:r>
        <w:rPr>
          <w:rFonts w:ascii="Arial" w:cs="Arial" w:eastAsia="Arial" w:hAnsi="Arial"/>
          <w:sz w:val="13"/>
          <w:szCs w:val="13"/>
          <w:u w:val="single" w:color="auto"/>
          <w:color w:val="auto"/>
        </w:rPr>
        <w:t>Borrowing Procedures</w:t>
      </w:r>
      <w:r>
        <w:rPr>
          <w:rFonts w:ascii="Arial" w:cs="Arial" w:eastAsia="Arial" w:hAnsi="Arial"/>
          <w:sz w:val="13"/>
          <w:szCs w:val="13"/>
          <w:color w:val="auto"/>
        </w:rPr>
        <w:t xml:space="preserve">. Each Borrowing of Swing Line Loans shall be made upon the applicable Borrower’s irrevocable notice to the Swing Line Lender and the Administrative Agent, which may be given by telephone. Each such notice must be received by the Swing Line Lender and the Administrative Agent not later than 1:00 p.m. on the requested borrowing date, and shall specify (i) the amount to be borrowed, which shall be a minimum principal amount of $250,000 and integral multiples of $100,000 in excess thereof, and (ii) the requested borrowing date, which shall be a Business Day. Each such telephonic notice must be confirmed promptly by delivery to the Swing Line Lender and the Administrative Agent of a written Swing Line Loan Notice, appropriately completed and signed by a Responsible Officer of the applicable Borrower. Promptly after receipt by the Swing Line Lender of any telephonic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(including at the request of any Lender) prior to 2:00 p.m. on the date of the proposed Borrowing of Swing Line Loans (A) directing the Swing Line Lender not to make such Swing Line Loan as a result of the limitations set forth in the proviso to the first sentence of </w:t>
      </w:r>
      <w:r>
        <w:rPr>
          <w:rFonts w:ascii="Arial" w:cs="Arial" w:eastAsia="Arial" w:hAnsi="Arial"/>
          <w:sz w:val="13"/>
          <w:szCs w:val="13"/>
          <w:u w:val="single" w:color="auto"/>
          <w:color w:val="auto"/>
        </w:rPr>
        <w:t>Section 2.04(a)</w:t>
      </w:r>
      <w:r>
        <w:rPr>
          <w:rFonts w:ascii="Arial" w:cs="Arial" w:eastAsia="Arial" w:hAnsi="Arial"/>
          <w:sz w:val="13"/>
          <w:szCs w:val="13"/>
          <w:color w:val="auto"/>
        </w:rPr>
        <w:t xml:space="preserve">, or (B) that one or more of the applicable conditions specified in </w:t>
      </w:r>
      <w:r>
        <w:rPr>
          <w:rFonts w:ascii="Arial" w:cs="Arial" w:eastAsia="Arial" w:hAnsi="Arial"/>
          <w:sz w:val="13"/>
          <w:szCs w:val="13"/>
          <w:u w:val="single" w:color="auto"/>
          <w:color w:val="auto"/>
        </w:rPr>
        <w:t>Article V</w:t>
      </w:r>
      <w:r>
        <w:rPr>
          <w:rFonts w:ascii="Arial" w:cs="Arial" w:eastAsia="Arial" w:hAnsi="Arial"/>
          <w:sz w:val="13"/>
          <w:szCs w:val="13"/>
          <w:color w:val="auto"/>
        </w:rPr>
        <w:t xml:space="preserve"> is not then satisfied, then, subject to the terms and conditions hereof, the Swing Line Lender will, not later than 3:00 p.m. on the borrowing date specified in such Swing Line Loan Notice, make the amount of its Swing Line Loan available to the applicable Borrower.</w:t>
      </w:r>
    </w:p>
    <w:p>
      <w:pPr>
        <w:spacing w:after="0" w:line="62" w:lineRule="exact"/>
        <w:rPr>
          <w:rFonts w:ascii="Arial" w:cs="Arial" w:eastAsia="Arial" w:hAnsi="Arial"/>
          <w:sz w:val="13"/>
          <w:szCs w:val="13"/>
          <w:color w:val="auto"/>
        </w:rPr>
      </w:pPr>
    </w:p>
    <w:p>
      <w:pPr>
        <w:ind w:left="340" w:hanging="178"/>
        <w:spacing w:after="0"/>
        <w:tabs>
          <w:tab w:leader="none" w:pos="340" w:val="left"/>
        </w:tabs>
        <w:numPr>
          <w:ilvl w:val="0"/>
          <w:numId w:val="89"/>
        </w:numPr>
        <w:rPr>
          <w:rFonts w:ascii="Arial" w:cs="Arial" w:eastAsia="Arial" w:hAnsi="Arial"/>
          <w:sz w:val="13"/>
          <w:szCs w:val="13"/>
          <w:color w:val="auto"/>
        </w:rPr>
      </w:pPr>
      <w:r>
        <w:rPr>
          <w:rFonts w:ascii="Arial" w:cs="Arial" w:eastAsia="Arial" w:hAnsi="Arial"/>
          <w:sz w:val="13"/>
          <w:szCs w:val="13"/>
          <w:u w:val="single" w:color="auto"/>
          <w:color w:val="auto"/>
        </w:rPr>
        <w:t>Refinancing of Swing Line Loans</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220" w:right="40" w:firstLine="172"/>
        <w:spacing w:after="0" w:line="281" w:lineRule="auto"/>
        <w:tabs>
          <w:tab w:leader="none" w:pos="540" w:val="left"/>
        </w:tabs>
        <w:numPr>
          <w:ilvl w:val="1"/>
          <w:numId w:val="89"/>
        </w:numPr>
        <w:rPr>
          <w:rFonts w:ascii="Arial" w:cs="Arial" w:eastAsia="Arial" w:hAnsi="Arial"/>
          <w:sz w:val="12"/>
          <w:szCs w:val="12"/>
          <w:color w:val="auto"/>
        </w:rPr>
      </w:pPr>
      <w:r>
        <w:rPr>
          <w:rFonts w:ascii="Arial" w:cs="Arial" w:eastAsia="Arial" w:hAnsi="Arial"/>
          <w:sz w:val="12"/>
          <w:szCs w:val="12"/>
          <w:color w:val="auto"/>
        </w:rPr>
        <w:t xml:space="preserve">The Swing Line Lender at any time in its sole and absolute discretion may request, on behalf of the Borrowers (which hereby irrevocably request and authorize the Swing Line Lender to so request on their behalf), that each Lender make a Base Rate Loan in an amount equal to such Lender’s Pro Rata Share of the amount of Swing Line Loans then outstanding. Such request shall be made in writing (which written request shall be deemed to be a Loan Notice for purposes hereof) and in accordance with the requirements of </w:t>
      </w:r>
      <w:r>
        <w:rPr>
          <w:rFonts w:ascii="Arial" w:cs="Arial" w:eastAsia="Arial" w:hAnsi="Arial"/>
          <w:sz w:val="12"/>
          <w:szCs w:val="12"/>
          <w:u w:val="single" w:color="auto"/>
          <w:color w:val="auto"/>
        </w:rPr>
        <w:t>Section 2.02</w:t>
      </w:r>
      <w:r>
        <w:rPr>
          <w:rFonts w:ascii="Arial" w:cs="Arial" w:eastAsia="Arial" w:hAnsi="Arial"/>
          <w:sz w:val="12"/>
          <w:szCs w:val="12"/>
          <w:color w:val="auto"/>
        </w:rPr>
        <w:t xml:space="preserve">, without regard to the minimum and multiples specified therein for the principal amount of Base Rate Loans, but subject to the unutilized portion of the Aggregate Revolving Commitments and the conditions set forth in </w:t>
      </w:r>
      <w:r>
        <w:rPr>
          <w:rFonts w:ascii="Arial" w:cs="Arial" w:eastAsia="Arial" w:hAnsi="Arial"/>
          <w:sz w:val="12"/>
          <w:szCs w:val="12"/>
          <w:u w:val="single" w:color="auto"/>
          <w:color w:val="auto"/>
        </w:rPr>
        <w:t>Section 5.02</w:t>
      </w:r>
      <w:r>
        <w:rPr>
          <w:rFonts w:ascii="Arial" w:cs="Arial" w:eastAsia="Arial" w:hAnsi="Arial"/>
          <w:sz w:val="12"/>
          <w:szCs w:val="12"/>
          <w:color w:val="auto"/>
        </w:rPr>
        <w:t xml:space="preserve">. The Swing Line Lender shall furnish the applicable Borrower with a copy of the applicable Loan Notice promptly after delivering such notice to the Administrative Agent. Each Lender shall make an amount equal to its Pro Rata Share of the amount specified in such Loan Notice available to the Administrative Agent in Same Day Funds for the account of the Swing Line Lender at the Administrative Agent’s Office for Dollar-denominated payments not later than 1:00 p.m. on the day specified in such Loan Notice, whereupon, subject to </w:t>
      </w:r>
      <w:r>
        <w:rPr>
          <w:rFonts w:ascii="Arial" w:cs="Arial" w:eastAsia="Arial" w:hAnsi="Arial"/>
          <w:sz w:val="12"/>
          <w:szCs w:val="12"/>
          <w:u w:val="single" w:color="auto"/>
          <w:color w:val="auto"/>
        </w:rPr>
        <w:t>Section 2.04(c)(ii)</w:t>
      </w:r>
      <w:r>
        <w:rPr>
          <w:rFonts w:ascii="Arial" w:cs="Arial" w:eastAsia="Arial" w:hAnsi="Arial"/>
          <w:sz w:val="12"/>
          <w:szCs w:val="12"/>
          <w:color w:val="auto"/>
        </w:rPr>
        <w:t>, each Lender that so makes funds available shall be deemed to have made a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270510</wp:posOffset>
            </wp:positionV>
            <wp:extent cx="7290435" cy="19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26" w:name="page127"/>
    <w:bookmarkEnd w:id="126"/>
    <w:p>
      <w:pPr>
        <w:ind w:left="58"/>
        <w:spacing w:after="0"/>
        <w:rPr>
          <w:sz w:val="20"/>
          <w:szCs w:val="20"/>
          <w:color w:val="auto"/>
        </w:rPr>
      </w:pPr>
      <w:r>
        <w:rPr>
          <w:rFonts w:ascii="Arial" w:cs="Arial" w:eastAsia="Arial" w:hAnsi="Arial"/>
          <w:sz w:val="13"/>
          <w:szCs w:val="13"/>
          <w:color w:val="auto"/>
        </w:rPr>
        <w:t>Loan to the applicable Borrower in such amount. The Administrative Agent shall remit the funds so received to the Swing Line Lender.</w:t>
      </w:r>
    </w:p>
    <w:p>
      <w:pPr>
        <w:spacing w:after="0" w:line="86" w:lineRule="exact"/>
        <w:rPr>
          <w:sz w:val="20"/>
          <w:szCs w:val="20"/>
          <w:color w:val="auto"/>
        </w:rPr>
      </w:pPr>
    </w:p>
    <w:p>
      <w:pPr>
        <w:ind w:left="58" w:right="220" w:firstLine="172"/>
        <w:spacing w:after="0" w:line="264" w:lineRule="auto"/>
        <w:tabs>
          <w:tab w:leader="none" w:pos="414" w:val="left"/>
        </w:tabs>
        <w:numPr>
          <w:ilvl w:val="1"/>
          <w:numId w:val="90"/>
        </w:numPr>
        <w:rPr>
          <w:rFonts w:ascii="Arial" w:cs="Arial" w:eastAsia="Arial" w:hAnsi="Arial"/>
          <w:sz w:val="13"/>
          <w:szCs w:val="13"/>
          <w:color w:val="auto"/>
        </w:rPr>
      </w:pPr>
      <w:r>
        <w:rPr>
          <w:rFonts w:ascii="Arial" w:cs="Arial" w:eastAsia="Arial" w:hAnsi="Arial"/>
          <w:sz w:val="13"/>
          <w:szCs w:val="13"/>
          <w:color w:val="auto"/>
        </w:rPr>
        <w:t xml:space="preserve">If for any reason any Swing Line Loan cannot be refinanced by such a Borrowing of Revolving Loans in accordance with </w:t>
      </w:r>
      <w:r>
        <w:rPr>
          <w:rFonts w:ascii="Arial" w:cs="Arial" w:eastAsia="Arial" w:hAnsi="Arial"/>
          <w:sz w:val="13"/>
          <w:szCs w:val="13"/>
          <w:u w:val="single" w:color="auto"/>
          <w:color w:val="auto"/>
        </w:rPr>
        <w:t>Section 2.04(c)(i)</w:t>
      </w:r>
      <w:r>
        <w:rPr>
          <w:rFonts w:ascii="Arial" w:cs="Arial" w:eastAsia="Arial" w:hAnsi="Arial"/>
          <w:sz w:val="13"/>
          <w:szCs w:val="13"/>
          <w:color w:val="auto"/>
        </w:rPr>
        <w:t xml:space="preserve">, the request for Base Rate Loans submitted by the Swing Line Lender as set forth herein shall be deemed to be a request by the Swing Line Lender that each of the Lenders fund its risk participation in the relevant Swing Line Loan and each Lender’s payment to the Administrative Agent for the account of the Swing Line Lender pursuant to </w:t>
      </w:r>
      <w:r>
        <w:rPr>
          <w:rFonts w:ascii="Arial" w:cs="Arial" w:eastAsia="Arial" w:hAnsi="Arial"/>
          <w:sz w:val="13"/>
          <w:szCs w:val="13"/>
          <w:u w:val="single" w:color="auto"/>
          <w:color w:val="auto"/>
        </w:rPr>
        <w:t>Section 2.04(c)(i)</w:t>
      </w:r>
      <w:r>
        <w:rPr>
          <w:rFonts w:ascii="Arial" w:cs="Arial" w:eastAsia="Arial" w:hAnsi="Arial"/>
          <w:sz w:val="13"/>
          <w:szCs w:val="13"/>
          <w:color w:val="auto"/>
        </w:rPr>
        <w:t xml:space="preserve"> shall be deemed payment in respect of such participation.</w:t>
      </w:r>
    </w:p>
    <w:p>
      <w:pPr>
        <w:spacing w:after="0" w:line="57" w:lineRule="exact"/>
        <w:rPr>
          <w:rFonts w:ascii="Arial" w:cs="Arial" w:eastAsia="Arial" w:hAnsi="Arial"/>
          <w:sz w:val="13"/>
          <w:szCs w:val="13"/>
          <w:color w:val="auto"/>
        </w:rPr>
      </w:pPr>
    </w:p>
    <w:p>
      <w:pPr>
        <w:ind w:left="58" w:right="60" w:firstLine="172"/>
        <w:spacing w:after="0" w:line="258" w:lineRule="auto"/>
        <w:tabs>
          <w:tab w:leader="none" w:pos="450" w:val="left"/>
        </w:tabs>
        <w:numPr>
          <w:ilvl w:val="1"/>
          <w:numId w:val="90"/>
        </w:numPr>
        <w:rPr>
          <w:rFonts w:ascii="Arial" w:cs="Arial" w:eastAsia="Arial" w:hAnsi="Arial"/>
          <w:sz w:val="13"/>
          <w:szCs w:val="13"/>
          <w:color w:val="auto"/>
        </w:rPr>
      </w:pPr>
      <w:r>
        <w:rPr>
          <w:rFonts w:ascii="Arial" w:cs="Arial" w:eastAsia="Arial" w:hAnsi="Arial"/>
          <w:sz w:val="13"/>
          <w:szCs w:val="13"/>
          <w:color w:val="auto"/>
        </w:rPr>
        <w:t xml:space="preserve">If any Lender fails to make available to the Administrative Agent for the account of the Swing Line Lender any amount required to be paid by such Lender pursuant to the foregoing provisions of this </w:t>
      </w:r>
      <w:r>
        <w:rPr>
          <w:rFonts w:ascii="Arial" w:cs="Arial" w:eastAsia="Arial" w:hAnsi="Arial"/>
          <w:sz w:val="13"/>
          <w:szCs w:val="13"/>
          <w:u w:val="single" w:color="auto"/>
          <w:color w:val="auto"/>
        </w:rPr>
        <w:t>Section 2.04(c)</w:t>
      </w:r>
      <w:r>
        <w:rPr>
          <w:rFonts w:ascii="Arial" w:cs="Arial" w:eastAsia="Arial" w:hAnsi="Arial"/>
          <w:sz w:val="13"/>
          <w:szCs w:val="13"/>
          <w:color w:val="auto"/>
        </w:rPr>
        <w:t xml:space="preserve"> by the time specified in </w:t>
      </w:r>
      <w:r>
        <w:rPr>
          <w:rFonts w:ascii="Arial" w:cs="Arial" w:eastAsia="Arial" w:hAnsi="Arial"/>
          <w:sz w:val="13"/>
          <w:szCs w:val="13"/>
          <w:u w:val="single" w:color="auto"/>
          <w:color w:val="auto"/>
        </w:rPr>
        <w:t>Section 2.04(c)(i)</w:t>
      </w:r>
      <w:r>
        <w:rPr>
          <w:rFonts w:ascii="Arial" w:cs="Arial" w:eastAsia="Arial" w:hAnsi="Arial"/>
          <w:sz w:val="13"/>
          <w:szCs w:val="13"/>
          <w:color w:val="auto"/>
        </w:rPr>
        <w:t>,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applicable Overnight Rate from time to time in effect. A certificate of the Swing Line Lender submitted to any Lender (through the Administrative Agent) with respect to any amounts owing under this clause (iii) shall be conclusive absent manifest error.</w:t>
      </w:r>
    </w:p>
    <w:p>
      <w:pPr>
        <w:spacing w:after="0" w:line="61" w:lineRule="exact"/>
        <w:rPr>
          <w:rFonts w:ascii="Arial" w:cs="Arial" w:eastAsia="Arial" w:hAnsi="Arial"/>
          <w:sz w:val="13"/>
          <w:szCs w:val="13"/>
          <w:color w:val="auto"/>
        </w:rPr>
      </w:pPr>
    </w:p>
    <w:p>
      <w:pPr>
        <w:jc w:val="both"/>
        <w:ind w:left="58" w:right="80" w:firstLine="172"/>
        <w:spacing w:after="0" w:line="258" w:lineRule="auto"/>
        <w:tabs>
          <w:tab w:leader="none" w:pos="443" w:val="left"/>
        </w:tabs>
        <w:numPr>
          <w:ilvl w:val="1"/>
          <w:numId w:val="90"/>
        </w:numPr>
        <w:rPr>
          <w:rFonts w:ascii="Arial" w:cs="Arial" w:eastAsia="Arial" w:hAnsi="Arial"/>
          <w:sz w:val="13"/>
          <w:szCs w:val="13"/>
          <w:color w:val="auto"/>
        </w:rPr>
      </w:pPr>
      <w:r>
        <w:rPr>
          <w:rFonts w:ascii="Arial" w:cs="Arial" w:eastAsia="Arial" w:hAnsi="Arial"/>
          <w:sz w:val="13"/>
          <w:szCs w:val="13"/>
          <w:color w:val="auto"/>
        </w:rPr>
        <w:t xml:space="preserve">Each Lender’s obligation to make Revolving Loans or to purchase and fund risk participations in Swing Line Loans pursuant to this </w:t>
      </w:r>
      <w:r>
        <w:rPr>
          <w:rFonts w:ascii="Arial" w:cs="Arial" w:eastAsia="Arial" w:hAnsi="Arial"/>
          <w:sz w:val="13"/>
          <w:szCs w:val="13"/>
          <w:u w:val="single" w:color="auto"/>
          <w:color w:val="auto"/>
        </w:rPr>
        <w:t>Section 2.04(c)</w:t>
      </w:r>
      <w:r>
        <w:rPr>
          <w:rFonts w:ascii="Arial" w:cs="Arial" w:eastAsia="Arial" w:hAnsi="Arial"/>
          <w:sz w:val="13"/>
          <w:szCs w:val="13"/>
          <w:color w:val="auto"/>
        </w:rPr>
        <w:t xml:space="preserve"> shall be absolute and unconditional and shall not be affected by any circumstance, including (A) any set-off, counterclaim, recoupment, defense or other right that such Lender may have against the Swing Line Lender, the Borrowers or any other Person for any reason whatsoever, (B) the occurrence or continuance of a Default, or (C) any other occurrence, event or condition, whether or not similar to any of the foregoing;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each Lender’s obligation to make Revolving Loans pursuant to this </w:t>
      </w:r>
      <w:r>
        <w:rPr>
          <w:rFonts w:ascii="Arial" w:cs="Arial" w:eastAsia="Arial" w:hAnsi="Arial"/>
          <w:sz w:val="13"/>
          <w:szCs w:val="13"/>
          <w:u w:val="single" w:color="auto"/>
          <w:color w:val="auto"/>
        </w:rPr>
        <w:t>Section 2.04(c)</w:t>
      </w:r>
      <w:r>
        <w:rPr>
          <w:rFonts w:ascii="Arial" w:cs="Arial" w:eastAsia="Arial" w:hAnsi="Arial"/>
          <w:sz w:val="13"/>
          <w:szCs w:val="13"/>
          <w:color w:val="auto"/>
        </w:rPr>
        <w:t xml:space="preserve"> is subject to the conditions set forth in </w:t>
      </w:r>
      <w:r>
        <w:rPr>
          <w:rFonts w:ascii="Arial" w:cs="Arial" w:eastAsia="Arial" w:hAnsi="Arial"/>
          <w:sz w:val="13"/>
          <w:szCs w:val="13"/>
          <w:u w:val="single" w:color="auto"/>
          <w:color w:val="auto"/>
        </w:rPr>
        <w:t>Section 5.02</w:t>
      </w:r>
      <w:r>
        <w:rPr>
          <w:rFonts w:ascii="Arial" w:cs="Arial" w:eastAsia="Arial" w:hAnsi="Arial"/>
          <w:sz w:val="13"/>
          <w:szCs w:val="13"/>
          <w:color w:val="auto"/>
        </w:rPr>
        <w:t>. No such purchase or funding of risk participations shall relieve or otherwise impair the obligation of the Borrowers to repay Swing Line Loans, together with interest as provided herein.</w:t>
      </w:r>
    </w:p>
    <w:p>
      <w:pPr>
        <w:spacing w:after="0" w:line="61" w:lineRule="exact"/>
        <w:rPr>
          <w:rFonts w:ascii="Arial" w:cs="Arial" w:eastAsia="Arial" w:hAnsi="Arial"/>
          <w:sz w:val="13"/>
          <w:szCs w:val="13"/>
          <w:color w:val="auto"/>
        </w:rPr>
      </w:pPr>
    </w:p>
    <w:p>
      <w:pPr>
        <w:ind w:left="178" w:hanging="178"/>
        <w:spacing w:after="0"/>
        <w:tabs>
          <w:tab w:leader="none" w:pos="178" w:val="left"/>
        </w:tabs>
        <w:numPr>
          <w:ilvl w:val="0"/>
          <w:numId w:val="91"/>
        </w:numPr>
        <w:rPr>
          <w:rFonts w:ascii="Arial" w:cs="Arial" w:eastAsia="Arial" w:hAnsi="Arial"/>
          <w:sz w:val="13"/>
          <w:szCs w:val="13"/>
          <w:color w:val="auto"/>
        </w:rPr>
      </w:pPr>
      <w:r>
        <w:rPr>
          <w:rFonts w:ascii="Arial" w:cs="Arial" w:eastAsia="Arial" w:hAnsi="Arial"/>
          <w:sz w:val="13"/>
          <w:szCs w:val="13"/>
          <w:u w:val="single" w:color="auto"/>
          <w:color w:val="auto"/>
        </w:rPr>
        <w:t>Repayment of Participations</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58" w:firstLine="172"/>
        <w:spacing w:after="0" w:line="264" w:lineRule="auto"/>
        <w:tabs>
          <w:tab w:leader="none" w:pos="378" w:val="left"/>
        </w:tabs>
        <w:numPr>
          <w:ilvl w:val="1"/>
          <w:numId w:val="91"/>
        </w:numPr>
        <w:rPr>
          <w:rFonts w:ascii="Arial" w:cs="Arial" w:eastAsia="Arial" w:hAnsi="Arial"/>
          <w:sz w:val="13"/>
          <w:szCs w:val="13"/>
          <w:color w:val="auto"/>
        </w:rPr>
      </w:pPr>
      <w:r>
        <w:rPr>
          <w:rFonts w:ascii="Arial" w:cs="Arial" w:eastAsia="Arial" w:hAnsi="Arial"/>
          <w:sz w:val="13"/>
          <w:szCs w:val="13"/>
          <w:color w:val="auto"/>
        </w:rPr>
        <w:t>At any time after any Lender has purchased and funded a risk participation in a Swing Line Loan, if the Swing Line Lender receives any payment on account of such Swing Line Loan, the Swing Line Lender will distribute to such Lender its Pro Rata Share of such payment (appropriately adjusted, in the case of interest payments, to reflect the period of time during which such Lender’s risk participation was funded) in the same funds as those received by the Swing Line Lender.</w:t>
      </w:r>
    </w:p>
    <w:p>
      <w:pPr>
        <w:spacing w:after="0" w:line="57" w:lineRule="exact"/>
        <w:rPr>
          <w:rFonts w:ascii="Arial" w:cs="Arial" w:eastAsia="Arial" w:hAnsi="Arial"/>
          <w:sz w:val="13"/>
          <w:szCs w:val="13"/>
          <w:color w:val="auto"/>
        </w:rPr>
      </w:pPr>
    </w:p>
    <w:p>
      <w:pPr>
        <w:ind w:left="58" w:right="20" w:firstLine="172"/>
        <w:spacing w:after="0" w:line="260" w:lineRule="auto"/>
        <w:tabs>
          <w:tab w:leader="none" w:pos="414" w:val="left"/>
        </w:tabs>
        <w:numPr>
          <w:ilvl w:val="1"/>
          <w:numId w:val="91"/>
        </w:numPr>
        <w:rPr>
          <w:rFonts w:ascii="Arial" w:cs="Arial" w:eastAsia="Arial" w:hAnsi="Arial"/>
          <w:sz w:val="13"/>
          <w:szCs w:val="13"/>
          <w:color w:val="auto"/>
        </w:rPr>
      </w:pPr>
      <w:r>
        <w:rPr>
          <w:rFonts w:ascii="Arial" w:cs="Arial" w:eastAsia="Arial" w:hAnsi="Arial"/>
          <w:sz w:val="13"/>
          <w:szCs w:val="13"/>
          <w:color w:val="auto"/>
        </w:rPr>
        <w:t xml:space="preserve">If any payment received by the Swing Line Lender in respect of principal or interest on any Swing Line Loan is required to be returned by the Swing Line Lender under any of the circumstances described in </w:t>
      </w:r>
      <w:r>
        <w:rPr>
          <w:rFonts w:ascii="Arial" w:cs="Arial" w:eastAsia="Arial" w:hAnsi="Arial"/>
          <w:sz w:val="13"/>
          <w:szCs w:val="13"/>
          <w:u w:val="single" w:color="auto"/>
          <w:color w:val="auto"/>
        </w:rPr>
        <w:t>Section 11.06</w:t>
      </w:r>
      <w:r>
        <w:rPr>
          <w:rFonts w:ascii="Arial" w:cs="Arial" w:eastAsia="Arial" w:hAnsi="Arial"/>
          <w:sz w:val="13"/>
          <w:szCs w:val="13"/>
          <w:color w:val="auto"/>
        </w:rPr>
        <w:t xml:space="preserve"> (including pursuant to any settlement entered into by the Swing Line Lender in its discretion), each Lender shall pay to the Swing Line Lender its Pro Rata Share thereof on demand of the Administrative Agent, plus interest thereon from the date of such demand to the date such amount is returned, at a rate per annum equal to the applicable Overnight Rate. The Administrative Agent will make such demand upon the request of the Swing Line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277495</wp:posOffset>
            </wp:positionV>
            <wp:extent cx="7290435" cy="19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58"/>
          </w:cols>
          <w:pgMar w:left="382" w:top="720" w:right="259" w:bottom="1440" w:gutter="0" w:footer="0" w:header="0"/>
        </w:sectPr>
      </w:pPr>
    </w:p>
    <w:bookmarkStart w:id="127" w:name="page128"/>
    <w:bookmarkEnd w:id="127"/>
    <w:p>
      <w:pPr>
        <w:ind w:right="180" w:firstLine="162"/>
        <w:spacing w:after="0" w:line="264" w:lineRule="auto"/>
        <w:tabs>
          <w:tab w:leader="none" w:pos="342" w:val="left"/>
        </w:tabs>
        <w:numPr>
          <w:ilvl w:val="0"/>
          <w:numId w:val="92"/>
        </w:numPr>
        <w:rPr>
          <w:rFonts w:ascii="Arial" w:cs="Arial" w:eastAsia="Arial" w:hAnsi="Arial"/>
          <w:sz w:val="13"/>
          <w:szCs w:val="13"/>
          <w:color w:val="auto"/>
        </w:rPr>
      </w:pPr>
      <w:r>
        <w:rPr>
          <w:rFonts w:ascii="Arial" w:cs="Arial" w:eastAsia="Arial" w:hAnsi="Arial"/>
          <w:sz w:val="13"/>
          <w:szCs w:val="13"/>
          <w:u w:val="single" w:color="auto"/>
          <w:color w:val="auto"/>
        </w:rPr>
        <w:t>Interest for Account of Swing Line Lender</w:t>
      </w:r>
      <w:r>
        <w:rPr>
          <w:rFonts w:ascii="Arial" w:cs="Arial" w:eastAsia="Arial" w:hAnsi="Arial"/>
          <w:sz w:val="13"/>
          <w:szCs w:val="13"/>
          <w:color w:val="auto"/>
        </w:rPr>
        <w:t xml:space="preserve">. The Swing Line Lender shall be responsible for invoicing the Borrowers for interest on the Swing Line Loans. Until each Lender funds its Revolving Loans that are Base Rate Loans or risk participation pursuant to this </w:t>
      </w:r>
      <w:r>
        <w:rPr>
          <w:rFonts w:ascii="Arial" w:cs="Arial" w:eastAsia="Arial" w:hAnsi="Arial"/>
          <w:sz w:val="13"/>
          <w:szCs w:val="13"/>
          <w:u w:val="single" w:color="auto"/>
          <w:color w:val="auto"/>
        </w:rPr>
        <w:t>Section 2.04</w:t>
      </w:r>
      <w:r>
        <w:rPr>
          <w:rFonts w:ascii="Arial" w:cs="Arial" w:eastAsia="Arial" w:hAnsi="Arial"/>
          <w:sz w:val="13"/>
          <w:szCs w:val="13"/>
          <w:color w:val="auto"/>
        </w:rPr>
        <w:t xml:space="preserve"> to refinance such Lender’s Pro Rata Share of any Swing Line Loan, interest in respect of such Pro Rata Share shall be solely for the account of the Swing Line Lender.</w:t>
      </w:r>
    </w:p>
    <w:p>
      <w:pPr>
        <w:spacing w:after="0" w:line="57" w:lineRule="exact"/>
        <w:rPr>
          <w:rFonts w:ascii="Arial" w:cs="Arial" w:eastAsia="Arial" w:hAnsi="Arial"/>
          <w:sz w:val="13"/>
          <w:szCs w:val="13"/>
          <w:color w:val="auto"/>
        </w:rPr>
      </w:pPr>
    </w:p>
    <w:p>
      <w:pPr>
        <w:ind w:left="320" w:hanging="158"/>
        <w:spacing w:after="0"/>
        <w:tabs>
          <w:tab w:leader="none" w:pos="320" w:val="left"/>
        </w:tabs>
        <w:numPr>
          <w:ilvl w:val="0"/>
          <w:numId w:val="92"/>
        </w:numPr>
        <w:rPr>
          <w:rFonts w:ascii="Arial" w:cs="Arial" w:eastAsia="Arial" w:hAnsi="Arial"/>
          <w:sz w:val="13"/>
          <w:szCs w:val="13"/>
          <w:color w:val="auto"/>
        </w:rPr>
      </w:pPr>
      <w:r>
        <w:rPr>
          <w:rFonts w:ascii="Arial" w:cs="Arial" w:eastAsia="Arial" w:hAnsi="Arial"/>
          <w:sz w:val="13"/>
          <w:szCs w:val="13"/>
          <w:u w:val="single" w:color="auto"/>
          <w:color w:val="auto"/>
        </w:rPr>
        <w:t>Payments Directly to Swing Line Lender</w:t>
      </w:r>
      <w:r>
        <w:rPr>
          <w:rFonts w:ascii="Arial" w:cs="Arial" w:eastAsia="Arial" w:hAnsi="Arial"/>
          <w:sz w:val="13"/>
          <w:szCs w:val="13"/>
          <w:color w:val="auto"/>
        </w:rPr>
        <w:t>. The Borrowers shall make all payments of principal and interest in respect of the Swing Line Loans directly to the Swing Line Lender.</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2.05 </w:t>
      </w:r>
      <w:r>
        <w:rPr>
          <w:rFonts w:ascii="Arial" w:cs="Arial" w:eastAsia="Arial" w:hAnsi="Arial"/>
          <w:sz w:val="13"/>
          <w:szCs w:val="13"/>
          <w:u w:val="single" w:color="auto"/>
          <w:color w:val="auto"/>
        </w:rPr>
        <w:t>Prepayments</w:t>
      </w:r>
      <w:r>
        <w:rPr>
          <w:rFonts w:ascii="Arial" w:cs="Arial" w:eastAsia="Arial" w:hAnsi="Arial"/>
          <w:sz w:val="13"/>
          <w:szCs w:val="13"/>
          <w:color w:val="auto"/>
        </w:rPr>
        <w:t>.</w:t>
      </w:r>
    </w:p>
    <w:p>
      <w:pPr>
        <w:spacing w:after="0" w:line="86" w:lineRule="exact"/>
        <w:rPr>
          <w:sz w:val="20"/>
          <w:szCs w:val="20"/>
          <w:color w:val="auto"/>
        </w:rPr>
      </w:pPr>
    </w:p>
    <w:p>
      <w:pPr>
        <w:ind w:left="340" w:hanging="178"/>
        <w:spacing w:after="0"/>
        <w:tabs>
          <w:tab w:leader="none" w:pos="340" w:val="left"/>
        </w:tabs>
        <w:numPr>
          <w:ilvl w:val="0"/>
          <w:numId w:val="93"/>
        </w:numPr>
        <w:rPr>
          <w:rFonts w:ascii="Arial" w:cs="Arial" w:eastAsia="Arial" w:hAnsi="Arial"/>
          <w:sz w:val="13"/>
          <w:szCs w:val="13"/>
          <w:color w:val="auto"/>
        </w:rPr>
      </w:pPr>
      <w:r>
        <w:rPr>
          <w:rFonts w:ascii="Arial" w:cs="Arial" w:eastAsia="Arial" w:hAnsi="Arial"/>
          <w:sz w:val="13"/>
          <w:szCs w:val="13"/>
          <w:u w:val="single" w:color="auto"/>
          <w:color w:val="auto"/>
        </w:rPr>
        <w:t>Voluntary Prepayments of Loans</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220" w:firstLine="172"/>
        <w:spacing w:after="0" w:line="278" w:lineRule="auto"/>
        <w:tabs>
          <w:tab w:leader="none" w:pos="540" w:val="left"/>
        </w:tabs>
        <w:numPr>
          <w:ilvl w:val="1"/>
          <w:numId w:val="93"/>
        </w:numPr>
        <w:rPr>
          <w:rFonts w:ascii="Arial" w:cs="Arial" w:eastAsia="Arial" w:hAnsi="Arial"/>
          <w:sz w:val="12"/>
          <w:szCs w:val="12"/>
          <w:color w:val="auto"/>
        </w:rPr>
      </w:pPr>
      <w:r>
        <w:rPr>
          <w:rFonts w:ascii="Arial" w:cs="Arial" w:eastAsia="Arial" w:hAnsi="Arial"/>
          <w:sz w:val="12"/>
          <w:szCs w:val="12"/>
          <w:u w:val="single" w:color="auto"/>
          <w:color w:val="auto"/>
        </w:rPr>
        <w:t>Revolving Loans</w:t>
      </w:r>
      <w:r>
        <w:rPr>
          <w:rFonts w:ascii="Arial" w:cs="Arial" w:eastAsia="Arial" w:hAnsi="Arial"/>
          <w:sz w:val="12"/>
          <w:szCs w:val="12"/>
          <w:color w:val="auto"/>
        </w:rPr>
        <w:t xml:space="preserve">. A Borrower may, upon notice from such Borrower to the Administrative Agent, at any time or from time to time voluntarily prepay Revolving Loans in whole or in part without premium or penalty;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 such notice must be received by the Administrative Agent not later than 11:00 a.m. (1) three Business Days prior to any date of prepayment of Eurocurrency Rate Loans denominated in Dollars, (2) four Business Days (or five, in the case of prepayment of Loans denominated in Special Notice Currencies) prior to any date of prepayment of Eurocurrency Rate Loans denominated in Alternative Currencies, and (3) on the date of prepayment of Base Rate Loans; (B) any such prepayment of Eurocurrency Rate Loans denominated in Dollars shall be in a principal amount of $2,000,000 or a whole multiple of $1,000,000 in excess thereof (or, if less, the entire principal amount thereof then outstanding); (C) any prepayment of Eurocurrency Rate Loans denominated in Alternative Currencies shall be in a principal amount of $1,000,000 or a whole multiple of $500,000 in excess thereof (or, if less, the entire principal amount thereof then outstanding) and (D) any prepayment of Base Rate Loans shall be in a principal amount of $500,000 or a whole multiple of $100,000 in excess thereof (or, if less, the entire principal amount thereof then outstanding). Each such notice shall specify the date and amount of such prepayment and the Type(s) of Loans to be prepaid and, if Eurocurrency Rate Loans are to be prepaid, the Interest Period(s) of such Loans. The Administrative Agent will promptly notify each Lender of its receipt of each such notice, and of the amount of such Lender’s Pro Rata Share of such prepayment. If such notice is given by a Borrower, such Borrower shall make such prepayment and the payment amount specified in such notice shall be due and payable on the date specified therein. Any prepayment of a Eurocurrency Rate Loan shall be accompanied by all accrued interest on the amount prepaid, together with any additional amounts required pursuant to </w:t>
      </w:r>
      <w:r>
        <w:rPr>
          <w:rFonts w:ascii="Arial" w:cs="Arial" w:eastAsia="Arial" w:hAnsi="Arial"/>
          <w:sz w:val="12"/>
          <w:szCs w:val="12"/>
          <w:u w:val="single" w:color="auto"/>
          <w:color w:val="auto"/>
        </w:rPr>
        <w:t>Section 3.05</w:t>
      </w:r>
      <w:r>
        <w:rPr>
          <w:rFonts w:ascii="Arial" w:cs="Arial" w:eastAsia="Arial" w:hAnsi="Arial"/>
          <w:sz w:val="12"/>
          <w:szCs w:val="12"/>
          <w:color w:val="auto"/>
        </w:rPr>
        <w:t>. Each such prepayment shall be applied to the Loans of the Lenders in accordance with their respective Pro Rata Shares.</w:t>
      </w:r>
    </w:p>
    <w:p>
      <w:pPr>
        <w:spacing w:after="0" w:line="50" w:lineRule="exact"/>
        <w:rPr>
          <w:rFonts w:ascii="Arial" w:cs="Arial" w:eastAsia="Arial" w:hAnsi="Arial"/>
          <w:sz w:val="12"/>
          <w:szCs w:val="12"/>
          <w:color w:val="auto"/>
        </w:rPr>
      </w:pPr>
    </w:p>
    <w:p>
      <w:pPr>
        <w:ind w:left="220" w:right="120" w:firstLine="172"/>
        <w:spacing w:after="0" w:line="258" w:lineRule="auto"/>
        <w:tabs>
          <w:tab w:leader="none" w:pos="576" w:val="left"/>
        </w:tabs>
        <w:numPr>
          <w:ilvl w:val="1"/>
          <w:numId w:val="93"/>
        </w:numPr>
        <w:rPr>
          <w:rFonts w:ascii="Arial" w:cs="Arial" w:eastAsia="Arial" w:hAnsi="Arial"/>
          <w:sz w:val="13"/>
          <w:szCs w:val="13"/>
          <w:color w:val="auto"/>
        </w:rPr>
      </w:pPr>
      <w:r>
        <w:rPr>
          <w:rFonts w:ascii="Arial" w:cs="Arial" w:eastAsia="Arial" w:hAnsi="Arial"/>
          <w:sz w:val="13"/>
          <w:szCs w:val="13"/>
          <w:u w:val="single" w:color="auto"/>
          <w:color w:val="auto"/>
        </w:rPr>
        <w:t>Swing Line Loans</w:t>
      </w:r>
      <w:r>
        <w:rPr>
          <w:rFonts w:ascii="Arial" w:cs="Arial" w:eastAsia="Arial" w:hAnsi="Arial"/>
          <w:sz w:val="13"/>
          <w:szCs w:val="13"/>
          <w:color w:val="auto"/>
        </w:rPr>
        <w:t xml:space="preserve">. A Borrower may, upon notice to the Swing Line Lender (with a copy to the Administrative Agent), at any time or from time to time, voluntarily prepay Swing Line Loans in whole or in part without premium or penalty;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 such notice must be received by the Swing Line Lender and the Administrative Agent not later than 1:00 p.m. on the date of the prepayment, and (ii) any such prepayment shall be in a minimum principal amount of $250,000 or a whole multiple of $100,000 in excess thereof (or, if less, the entire principal thereof then outstanding). Each such notice shall specify the date and amount of such prepayment. If such notice is given by a Borrower, such Borrower shall make such prepayment and the payment amount specified in such notice shall be due and payable on the date specified therein.</w:t>
      </w:r>
    </w:p>
    <w:p>
      <w:pPr>
        <w:spacing w:after="0" w:line="61" w:lineRule="exact"/>
        <w:rPr>
          <w:rFonts w:ascii="Arial" w:cs="Arial" w:eastAsia="Arial" w:hAnsi="Arial"/>
          <w:sz w:val="13"/>
          <w:szCs w:val="13"/>
          <w:color w:val="auto"/>
        </w:rPr>
      </w:pPr>
    </w:p>
    <w:p>
      <w:pPr>
        <w:ind w:left="340" w:hanging="178"/>
        <w:spacing w:after="0"/>
        <w:tabs>
          <w:tab w:leader="none" w:pos="340" w:val="left"/>
        </w:tabs>
        <w:numPr>
          <w:ilvl w:val="0"/>
          <w:numId w:val="93"/>
        </w:numPr>
        <w:rPr>
          <w:rFonts w:ascii="Arial" w:cs="Arial" w:eastAsia="Arial" w:hAnsi="Arial"/>
          <w:sz w:val="13"/>
          <w:szCs w:val="13"/>
          <w:color w:val="auto"/>
        </w:rPr>
      </w:pPr>
      <w:r>
        <w:rPr>
          <w:rFonts w:ascii="Arial" w:cs="Arial" w:eastAsia="Arial" w:hAnsi="Arial"/>
          <w:sz w:val="13"/>
          <w:szCs w:val="13"/>
          <w:u w:val="single" w:color="auto"/>
          <w:color w:val="auto"/>
        </w:rPr>
        <w:t>Mandatory Prepayments of Loans</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28" w:name="page129"/>
    <w:bookmarkEnd w:id="128"/>
    <w:p>
      <w:pPr>
        <w:ind w:left="220" w:right="20" w:firstLine="172"/>
        <w:spacing w:after="0" w:line="257" w:lineRule="auto"/>
        <w:tabs>
          <w:tab w:leader="none" w:pos="540" w:val="left"/>
        </w:tabs>
        <w:numPr>
          <w:ilvl w:val="0"/>
          <w:numId w:val="94"/>
        </w:numPr>
        <w:rPr>
          <w:rFonts w:ascii="Arial" w:cs="Arial" w:eastAsia="Arial" w:hAnsi="Arial"/>
          <w:sz w:val="13"/>
          <w:szCs w:val="13"/>
          <w:color w:val="auto"/>
        </w:rPr>
      </w:pPr>
      <w:r>
        <w:rPr>
          <w:rFonts w:ascii="Arial" w:cs="Arial" w:eastAsia="Arial" w:hAnsi="Arial"/>
          <w:sz w:val="13"/>
          <w:szCs w:val="13"/>
          <w:u w:val="single" w:color="auto"/>
          <w:color w:val="auto"/>
        </w:rPr>
        <w:t>Total Revolving Outstandings</w:t>
      </w:r>
      <w:r>
        <w:rPr>
          <w:rFonts w:ascii="Arial" w:cs="Arial" w:eastAsia="Arial" w:hAnsi="Arial"/>
          <w:sz w:val="13"/>
          <w:szCs w:val="13"/>
          <w:color w:val="auto"/>
        </w:rPr>
        <w:t xml:space="preserve">. If the Administrative Agent notifies the Company at any time that the Total Revolving Outstandings at such time exceed the Aggregate Revolving Commitments then in effect, then, within two Business Days after receipt of such notice, the Borrowers shall prepay Loans and/or the Borrowers shall Cash Collateralize the L/C Obligations in an aggregate amount sufficient to reduce such Outstanding Amount as of such date of payment to an amount not to exceed 100% of the Aggregate Revolving Commitments then in effect;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subject to the provisions of </w:t>
      </w:r>
      <w:r>
        <w:rPr>
          <w:rFonts w:ascii="Arial" w:cs="Arial" w:eastAsia="Arial" w:hAnsi="Arial"/>
          <w:sz w:val="13"/>
          <w:szCs w:val="13"/>
          <w:u w:val="single" w:color="auto"/>
          <w:color w:val="auto"/>
        </w:rPr>
        <w:t>Section 2.03(g)(ii)</w:t>
      </w:r>
      <w:r>
        <w:rPr>
          <w:rFonts w:ascii="Arial" w:cs="Arial" w:eastAsia="Arial" w:hAnsi="Arial"/>
          <w:sz w:val="13"/>
          <w:szCs w:val="13"/>
          <w:color w:val="auto"/>
        </w:rPr>
        <w:t xml:space="preserve">, the Borrowers shall not be required to Cash Collateralize the L/C Obligations pursuant to this </w:t>
      </w:r>
      <w:r>
        <w:rPr>
          <w:rFonts w:ascii="Arial" w:cs="Arial" w:eastAsia="Arial" w:hAnsi="Arial"/>
          <w:sz w:val="13"/>
          <w:szCs w:val="13"/>
          <w:u w:val="single" w:color="auto"/>
          <w:color w:val="auto"/>
        </w:rPr>
        <w:t>Section 2.05(b)(i)</w:t>
      </w:r>
      <w:r>
        <w:rPr>
          <w:rFonts w:ascii="Arial" w:cs="Arial" w:eastAsia="Arial" w:hAnsi="Arial"/>
          <w:sz w:val="13"/>
          <w:szCs w:val="13"/>
          <w:color w:val="auto"/>
        </w:rPr>
        <w:t xml:space="preserve"> unless after the prepayment in full of the Loans the Total Revolving Outstandings exceed the Aggregate Revolving Commitments then in effect. The Administrative Agent may, at any time and from time to time after the initial deposit of such Cash Collateral, request that additional Cash Collateral be provided in order to protect against the results of further exchange rate fluctuations.</w:t>
      </w:r>
    </w:p>
    <w:p>
      <w:pPr>
        <w:spacing w:after="0" w:line="61" w:lineRule="exact"/>
        <w:rPr>
          <w:rFonts w:ascii="Arial" w:cs="Arial" w:eastAsia="Arial" w:hAnsi="Arial"/>
          <w:sz w:val="13"/>
          <w:szCs w:val="13"/>
          <w:color w:val="auto"/>
        </w:rPr>
      </w:pPr>
    </w:p>
    <w:p>
      <w:pPr>
        <w:ind w:left="220" w:right="40" w:firstLine="172"/>
        <w:spacing w:after="0" w:line="282" w:lineRule="auto"/>
        <w:tabs>
          <w:tab w:leader="none" w:pos="576" w:val="left"/>
        </w:tabs>
        <w:numPr>
          <w:ilvl w:val="0"/>
          <w:numId w:val="94"/>
        </w:numPr>
        <w:rPr>
          <w:rFonts w:ascii="Arial" w:cs="Arial" w:eastAsia="Arial" w:hAnsi="Arial"/>
          <w:sz w:val="12"/>
          <w:szCs w:val="12"/>
          <w:color w:val="auto"/>
        </w:rPr>
      </w:pPr>
      <w:r>
        <w:rPr>
          <w:rFonts w:ascii="Arial" w:cs="Arial" w:eastAsia="Arial" w:hAnsi="Arial"/>
          <w:sz w:val="12"/>
          <w:szCs w:val="12"/>
          <w:u w:val="single" w:color="auto"/>
          <w:color w:val="auto"/>
        </w:rPr>
        <w:t>Alternative Currency Sublimit</w:t>
      </w:r>
      <w:r>
        <w:rPr>
          <w:rFonts w:ascii="Arial" w:cs="Arial" w:eastAsia="Arial" w:hAnsi="Arial"/>
          <w:sz w:val="12"/>
          <w:szCs w:val="12"/>
          <w:color w:val="auto"/>
        </w:rPr>
        <w:t xml:space="preserve">. If the Administrative Agent notifies the Company at any time that the Outstanding Amount of all Loans and L/C Obligations denominated in Alternative Currencies at such time exceeds the Alternative Currency Sublimit then in effect, then, within two Business Days after receipt of such notice, the Borrowers shall prepay Loans and/or the Borrowers shall Cash Collateralize the L/C Obligations in an aggregate amount sufficient to reduce such Outstanding Amount as of such date of payment to an amount not to exceed 100% of the Alternative Currency Sublimit then in effect;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subject to the provisions of </w:t>
      </w:r>
      <w:r>
        <w:rPr>
          <w:rFonts w:ascii="Arial" w:cs="Arial" w:eastAsia="Arial" w:hAnsi="Arial"/>
          <w:sz w:val="12"/>
          <w:szCs w:val="12"/>
          <w:u w:val="single" w:color="auto"/>
          <w:color w:val="auto"/>
        </w:rPr>
        <w:t>Section 2.03(g)(ii)</w:t>
      </w:r>
      <w:r>
        <w:rPr>
          <w:rFonts w:ascii="Arial" w:cs="Arial" w:eastAsia="Arial" w:hAnsi="Arial"/>
          <w:sz w:val="12"/>
          <w:szCs w:val="12"/>
          <w:color w:val="auto"/>
        </w:rPr>
        <w:t xml:space="preserve">, the Borrowers shall not be required to Cash Collateralize the L/C Obligations pursuant to this </w:t>
      </w:r>
      <w:r>
        <w:rPr>
          <w:rFonts w:ascii="Arial" w:cs="Arial" w:eastAsia="Arial" w:hAnsi="Arial"/>
          <w:sz w:val="12"/>
          <w:szCs w:val="12"/>
          <w:u w:val="single" w:color="auto"/>
          <w:color w:val="auto"/>
        </w:rPr>
        <w:t>Section 2.05(b)(ii)</w:t>
      </w:r>
      <w:r>
        <w:rPr>
          <w:rFonts w:ascii="Arial" w:cs="Arial" w:eastAsia="Arial" w:hAnsi="Arial"/>
          <w:sz w:val="12"/>
          <w:szCs w:val="12"/>
          <w:color w:val="auto"/>
        </w:rPr>
        <w:t xml:space="preserve"> unless after the prepayment in full of the Loans the Total Revolving Outstandings denominated in Alternative Currencies exceed the Alternative Currency Sublimit then in effect. The Administrative Agent may, at any time and from time to time after the initial deposit of such Cash Collateral, request that additional Cash Collateral be provided in order to protect against the results of further exchange rate fluctuations.</w:t>
      </w:r>
    </w:p>
    <w:p>
      <w:pPr>
        <w:spacing w:after="0" w:line="49" w:lineRule="exact"/>
        <w:rPr>
          <w:rFonts w:ascii="Arial" w:cs="Arial" w:eastAsia="Arial" w:hAnsi="Arial"/>
          <w:sz w:val="12"/>
          <w:szCs w:val="12"/>
          <w:color w:val="auto"/>
        </w:rPr>
      </w:pPr>
    </w:p>
    <w:p>
      <w:pPr>
        <w:ind w:left="620" w:hanging="228"/>
        <w:spacing w:after="0"/>
        <w:tabs>
          <w:tab w:leader="none" w:pos="620" w:val="left"/>
        </w:tabs>
        <w:numPr>
          <w:ilvl w:val="0"/>
          <w:numId w:val="94"/>
        </w:numPr>
        <w:rPr>
          <w:rFonts w:ascii="Arial" w:cs="Arial" w:eastAsia="Arial" w:hAnsi="Arial"/>
          <w:sz w:val="13"/>
          <w:szCs w:val="13"/>
          <w:color w:val="auto"/>
        </w:rPr>
      </w:pPr>
      <w:r>
        <w:rPr>
          <w:rFonts w:ascii="Arial" w:cs="Arial" w:eastAsia="Arial" w:hAnsi="Arial"/>
          <w:sz w:val="13"/>
          <w:szCs w:val="13"/>
          <w:u w:val="single" w:color="auto"/>
          <w:color w:val="auto"/>
        </w:rPr>
        <w:t>Application of Mandatory Prepayments</w:t>
      </w:r>
      <w:r>
        <w:rPr>
          <w:rFonts w:ascii="Arial" w:cs="Arial" w:eastAsia="Arial" w:hAnsi="Arial"/>
          <w:sz w:val="13"/>
          <w:szCs w:val="13"/>
          <w:color w:val="auto"/>
        </w:rPr>
        <w:t xml:space="preserve">. All amounts required to be paid pursuant to this </w:t>
      </w:r>
      <w:r>
        <w:rPr>
          <w:rFonts w:ascii="Arial" w:cs="Arial" w:eastAsia="Arial" w:hAnsi="Arial"/>
          <w:sz w:val="13"/>
          <w:szCs w:val="13"/>
          <w:u w:val="single" w:color="auto"/>
          <w:color w:val="auto"/>
        </w:rPr>
        <w:t>Section 2.05(b)</w:t>
      </w:r>
      <w:r>
        <w:rPr>
          <w:rFonts w:ascii="Arial" w:cs="Arial" w:eastAsia="Arial" w:hAnsi="Arial"/>
          <w:sz w:val="13"/>
          <w:szCs w:val="13"/>
          <w:color w:val="auto"/>
        </w:rPr>
        <w:t xml:space="preserve"> shall be applied as follows:</w:t>
      </w:r>
    </w:p>
    <w:p>
      <w:pPr>
        <w:spacing w:after="0" w:line="86" w:lineRule="exact"/>
        <w:rPr>
          <w:rFonts w:ascii="Arial" w:cs="Arial" w:eastAsia="Arial" w:hAnsi="Arial"/>
          <w:sz w:val="13"/>
          <w:szCs w:val="13"/>
          <w:color w:val="auto"/>
        </w:rPr>
      </w:pPr>
    </w:p>
    <w:p>
      <w:pPr>
        <w:ind w:left="460" w:right="420" w:firstLine="161"/>
        <w:spacing w:after="0" w:line="276" w:lineRule="auto"/>
        <w:tabs>
          <w:tab w:leader="none" w:pos="838" w:val="left"/>
        </w:tabs>
        <w:numPr>
          <w:ilvl w:val="1"/>
          <w:numId w:val="94"/>
        </w:numPr>
        <w:rPr>
          <w:rFonts w:ascii="Arial" w:cs="Arial" w:eastAsia="Arial" w:hAnsi="Arial"/>
          <w:sz w:val="13"/>
          <w:szCs w:val="13"/>
          <w:color w:val="auto"/>
        </w:rPr>
      </w:pPr>
      <w:r>
        <w:rPr>
          <w:rFonts w:ascii="Arial" w:cs="Arial" w:eastAsia="Arial" w:hAnsi="Arial"/>
          <w:sz w:val="13"/>
          <w:szCs w:val="13"/>
          <w:color w:val="auto"/>
        </w:rPr>
        <w:t xml:space="preserve">with respect to all amounts prepaid pursuant to </w:t>
      </w:r>
      <w:r>
        <w:rPr>
          <w:rFonts w:ascii="Arial" w:cs="Arial" w:eastAsia="Arial" w:hAnsi="Arial"/>
          <w:sz w:val="13"/>
          <w:szCs w:val="13"/>
          <w:u w:val="single" w:color="auto"/>
          <w:color w:val="auto"/>
        </w:rPr>
        <w:t>Section 2.05(b)(i)</w:t>
      </w:r>
      <w:r>
        <w:rPr>
          <w:rFonts w:ascii="Arial" w:cs="Arial" w:eastAsia="Arial" w:hAnsi="Arial"/>
          <w:sz w:val="13"/>
          <w:szCs w:val="13"/>
          <w:color w:val="auto"/>
        </w:rPr>
        <w:t>, to Revolving Loans and Swing Line Loans and (after all Revolving Loans and all Swing Line Loans have been repaid) to Cash Collateralize L/C Obligations and</w:t>
      </w:r>
    </w:p>
    <w:p>
      <w:pPr>
        <w:spacing w:after="0" w:line="49" w:lineRule="exact"/>
        <w:rPr>
          <w:rFonts w:ascii="Arial" w:cs="Arial" w:eastAsia="Arial" w:hAnsi="Arial"/>
          <w:sz w:val="13"/>
          <w:szCs w:val="13"/>
          <w:color w:val="auto"/>
        </w:rPr>
      </w:pPr>
    </w:p>
    <w:p>
      <w:pPr>
        <w:ind w:left="820" w:hanging="199"/>
        <w:spacing w:after="0"/>
        <w:tabs>
          <w:tab w:leader="none" w:pos="820" w:val="left"/>
        </w:tabs>
        <w:numPr>
          <w:ilvl w:val="1"/>
          <w:numId w:val="94"/>
        </w:numPr>
        <w:rPr>
          <w:rFonts w:ascii="Arial" w:cs="Arial" w:eastAsia="Arial" w:hAnsi="Arial"/>
          <w:sz w:val="13"/>
          <w:szCs w:val="13"/>
          <w:color w:val="auto"/>
        </w:rPr>
      </w:pPr>
      <w:r>
        <w:rPr>
          <w:rFonts w:ascii="Arial" w:cs="Arial" w:eastAsia="Arial" w:hAnsi="Arial"/>
          <w:sz w:val="13"/>
          <w:szCs w:val="13"/>
          <w:color w:val="auto"/>
        </w:rPr>
        <w:t xml:space="preserve">with respect to all amounts prepaid pursuant to </w:t>
      </w:r>
      <w:r>
        <w:rPr>
          <w:rFonts w:ascii="Arial" w:cs="Arial" w:eastAsia="Arial" w:hAnsi="Arial"/>
          <w:sz w:val="13"/>
          <w:szCs w:val="13"/>
          <w:u w:val="single" w:color="auto"/>
          <w:color w:val="auto"/>
        </w:rPr>
        <w:t>Section 2.05(b)(ii)</w:t>
      </w:r>
      <w:r>
        <w:rPr>
          <w:rFonts w:ascii="Arial" w:cs="Arial" w:eastAsia="Arial" w:hAnsi="Arial"/>
          <w:sz w:val="13"/>
          <w:szCs w:val="13"/>
          <w:color w:val="auto"/>
        </w:rPr>
        <w:t>, to Revolving Loans and (after all Revolving Loans have been repaid) to Cash Collateralize L/C Obligations.</w:t>
      </w:r>
    </w:p>
    <w:p>
      <w:pPr>
        <w:spacing w:after="0" w:line="86"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 xml:space="preserve">Within the parameters of the applications set forth above, prepayments shall be applied first to Base Rate Loans and then to Eurocurrency Rate Loans in direct order of Interest Period maturities. All prepayments under this </w:t>
      </w:r>
      <w:r>
        <w:rPr>
          <w:rFonts w:ascii="Arial" w:cs="Arial" w:eastAsia="Arial" w:hAnsi="Arial"/>
          <w:sz w:val="13"/>
          <w:szCs w:val="13"/>
          <w:u w:val="single" w:color="auto"/>
          <w:color w:val="auto"/>
        </w:rPr>
        <w:t>Section 2.05(b)</w:t>
      </w:r>
      <w:r>
        <w:rPr>
          <w:rFonts w:ascii="Arial" w:cs="Arial" w:eastAsia="Arial" w:hAnsi="Arial"/>
          <w:sz w:val="13"/>
          <w:szCs w:val="13"/>
          <w:color w:val="auto"/>
        </w:rPr>
        <w:t xml:space="preserve"> shall be subject to </w:t>
      </w:r>
      <w:r>
        <w:rPr>
          <w:rFonts w:ascii="Arial" w:cs="Arial" w:eastAsia="Arial" w:hAnsi="Arial"/>
          <w:sz w:val="13"/>
          <w:szCs w:val="13"/>
          <w:u w:val="single" w:color="auto"/>
          <w:color w:val="auto"/>
        </w:rPr>
        <w:t>Section 3.05</w:t>
      </w:r>
      <w:r>
        <w:rPr>
          <w:rFonts w:ascii="Arial" w:cs="Arial" w:eastAsia="Arial" w:hAnsi="Arial"/>
          <w:sz w:val="13"/>
          <w:szCs w:val="13"/>
          <w:color w:val="auto"/>
        </w:rPr>
        <w:t>, but otherwise without premium or penalty, and shall be accompanied by interest on the principal amount prepaid through the date of prepayment.</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2.06 </w:t>
      </w:r>
      <w:r>
        <w:rPr>
          <w:rFonts w:ascii="Arial" w:cs="Arial" w:eastAsia="Arial" w:hAnsi="Arial"/>
          <w:sz w:val="13"/>
          <w:szCs w:val="13"/>
          <w:u w:val="single" w:color="auto"/>
          <w:color w:val="auto"/>
        </w:rPr>
        <w:t>Termination or Reduction of Aggregate Revolving Commitments</w:t>
      </w:r>
      <w:r>
        <w:rPr>
          <w:rFonts w:ascii="Arial" w:cs="Arial" w:eastAsia="Arial" w:hAnsi="Arial"/>
          <w:sz w:val="13"/>
          <w:szCs w:val="13"/>
          <w:color w:val="auto"/>
        </w:rPr>
        <w:t>.</w:t>
      </w:r>
    </w:p>
    <w:p>
      <w:pPr>
        <w:spacing w:after="0" w:line="86" w:lineRule="exact"/>
        <w:rPr>
          <w:sz w:val="20"/>
          <w:szCs w:val="20"/>
          <w:color w:val="auto"/>
        </w:rPr>
      </w:pPr>
    </w:p>
    <w:p>
      <w:pPr>
        <w:ind w:right="140" w:firstLine="161"/>
        <w:spacing w:after="0" w:line="320" w:lineRule="auto"/>
        <w:rPr>
          <w:sz w:val="20"/>
          <w:szCs w:val="20"/>
          <w:color w:val="auto"/>
        </w:rPr>
      </w:pPr>
      <w:r>
        <w:rPr>
          <w:rFonts w:ascii="Arial" w:cs="Arial" w:eastAsia="Arial" w:hAnsi="Arial"/>
          <w:sz w:val="12"/>
          <w:szCs w:val="12"/>
          <w:color w:val="auto"/>
        </w:rPr>
        <w:t xml:space="preserve">The Company may, upon notice to the Administrative Agent, terminate the Aggregate Revolving Commitments, or from time to time permanently reduce the Aggregate Revolving Commitments to an amount not less than the Outstanding Amount of Revolving Loans, Swing Line Loans and L/C Obligations;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 any such notice shall be received by the Administrative Agent not later 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90435" cy="19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0" w:right="279" w:bottom="1440" w:gutter="0" w:footer="0" w:header="0"/>
        </w:sectPr>
      </w:pPr>
    </w:p>
    <w:bookmarkStart w:id="129" w:name="page130"/>
    <w:bookmarkEnd w:id="129"/>
    <w:p>
      <w:pPr>
        <w:ind w:left="1"/>
        <w:spacing w:after="0"/>
        <w:rPr>
          <w:sz w:val="20"/>
          <w:szCs w:val="20"/>
          <w:color w:val="auto"/>
        </w:rPr>
      </w:pPr>
      <w:r>
        <w:rPr>
          <w:rFonts w:ascii="Arial" w:cs="Arial" w:eastAsia="Arial" w:hAnsi="Arial"/>
          <w:sz w:val="12"/>
          <w:szCs w:val="12"/>
          <w:color w:val="auto"/>
        </w:rPr>
        <w:t>12:00 noon five (5) Business Days prior to the date of termination or reduction, (ii) any such partial reduction shall be in an aggregate amount of $2,000,000 or any whole multiple of $1,000,000 in excess thereof and</w:t>
      </w:r>
    </w:p>
    <w:p>
      <w:pPr>
        <w:spacing w:after="0" w:line="27" w:lineRule="exact"/>
        <w:rPr>
          <w:sz w:val="20"/>
          <w:szCs w:val="20"/>
          <w:color w:val="auto"/>
        </w:rPr>
      </w:pPr>
    </w:p>
    <w:p>
      <w:pPr>
        <w:ind w:left="1" w:right="40" w:hanging="1"/>
        <w:spacing w:after="0" w:line="281" w:lineRule="auto"/>
        <w:tabs>
          <w:tab w:leader="none" w:pos="231" w:val="left"/>
        </w:tabs>
        <w:numPr>
          <w:ilvl w:val="0"/>
          <w:numId w:val="95"/>
        </w:numPr>
        <w:rPr>
          <w:rFonts w:ascii="Arial" w:cs="Arial" w:eastAsia="Arial" w:hAnsi="Arial"/>
          <w:sz w:val="12"/>
          <w:szCs w:val="12"/>
          <w:color w:val="auto"/>
        </w:rPr>
      </w:pPr>
      <w:r>
        <w:rPr>
          <w:rFonts w:ascii="Arial" w:cs="Arial" w:eastAsia="Arial" w:hAnsi="Arial"/>
          <w:sz w:val="12"/>
          <w:szCs w:val="12"/>
          <w:color w:val="auto"/>
        </w:rPr>
        <w:t>if, after giving effect to any reduction of the Aggregate Revolving Commitments, the Alternative Currency Sublimit, the Letter of Credit Sublimit or the Swing Line Sublimit exceeds the amount of the Aggregate Revolving Commitments, such sublimit shall be automatically reduced by the amount of such excess. The Administrative Agent will promptly notify the Lenders of any such notice of termination or reduction of the Aggregate Revolving Commitments. The amount of any such Aggregate Revolving Commitment reduction shall not be applied to the Alternative Currency Sublimit or the Letter of Credit Sublimit unless otherwise specified by the Company. Any reduction of the Aggregate Revolving Commitments shall be applied to the Revolving Commitment of each Lender according to its Pro Rata Share. All fees accrued with respect thereto until the effective date of any termination of the Aggregate Revolving Commitments shall be paid on the effective date of such termination.</w:t>
      </w:r>
    </w:p>
    <w:p>
      <w:pPr>
        <w:spacing w:after="0" w:line="128"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2.07 </w:t>
      </w:r>
      <w:r>
        <w:rPr>
          <w:rFonts w:ascii="Arial" w:cs="Arial" w:eastAsia="Arial" w:hAnsi="Arial"/>
          <w:sz w:val="13"/>
          <w:szCs w:val="13"/>
          <w:u w:val="single" w:color="auto"/>
          <w:color w:val="auto"/>
        </w:rPr>
        <w:t>Repayment of Loans</w:t>
      </w:r>
      <w:r>
        <w:rPr>
          <w:rFonts w:ascii="Arial" w:cs="Arial" w:eastAsia="Arial" w:hAnsi="Arial"/>
          <w:sz w:val="13"/>
          <w:szCs w:val="13"/>
          <w:color w:val="auto"/>
        </w:rPr>
        <w:t>.</w:t>
      </w:r>
    </w:p>
    <w:p>
      <w:pPr>
        <w:spacing w:after="0" w:line="86" w:lineRule="exact"/>
        <w:rPr>
          <w:sz w:val="20"/>
          <w:szCs w:val="20"/>
          <w:color w:val="auto"/>
        </w:rPr>
      </w:pPr>
    </w:p>
    <w:p>
      <w:pPr>
        <w:ind w:left="341" w:hanging="178"/>
        <w:spacing w:after="0"/>
        <w:tabs>
          <w:tab w:leader="none" w:pos="341" w:val="left"/>
        </w:tabs>
        <w:numPr>
          <w:ilvl w:val="0"/>
          <w:numId w:val="96"/>
        </w:numPr>
        <w:rPr>
          <w:rFonts w:ascii="Arial" w:cs="Arial" w:eastAsia="Arial" w:hAnsi="Arial"/>
          <w:sz w:val="13"/>
          <w:szCs w:val="13"/>
          <w:color w:val="auto"/>
        </w:rPr>
      </w:pPr>
      <w:r>
        <w:rPr>
          <w:rFonts w:ascii="Arial" w:cs="Arial" w:eastAsia="Arial" w:hAnsi="Arial"/>
          <w:sz w:val="13"/>
          <w:szCs w:val="13"/>
          <w:u w:val="single" w:color="auto"/>
          <w:color w:val="auto"/>
        </w:rPr>
        <w:t>Revolving Loans</w:t>
      </w:r>
      <w:r>
        <w:rPr>
          <w:rFonts w:ascii="Arial" w:cs="Arial" w:eastAsia="Arial" w:hAnsi="Arial"/>
          <w:sz w:val="13"/>
          <w:szCs w:val="13"/>
          <w:color w:val="auto"/>
        </w:rPr>
        <w:t>. The Borrowers shall repay to the Lenders on the Maturity Date the aggregate principal amount of all Revolving Loans outstanding on such date.</w:t>
      </w:r>
    </w:p>
    <w:p>
      <w:pPr>
        <w:spacing w:after="0" w:line="86" w:lineRule="exact"/>
        <w:rPr>
          <w:rFonts w:ascii="Arial" w:cs="Arial" w:eastAsia="Arial" w:hAnsi="Arial"/>
          <w:sz w:val="13"/>
          <w:szCs w:val="13"/>
          <w:color w:val="auto"/>
        </w:rPr>
      </w:pPr>
    </w:p>
    <w:p>
      <w:pPr>
        <w:ind w:left="341" w:hanging="178"/>
        <w:spacing w:after="0"/>
        <w:tabs>
          <w:tab w:leader="none" w:pos="341" w:val="left"/>
        </w:tabs>
        <w:numPr>
          <w:ilvl w:val="0"/>
          <w:numId w:val="96"/>
        </w:numPr>
        <w:rPr>
          <w:rFonts w:ascii="Arial" w:cs="Arial" w:eastAsia="Arial" w:hAnsi="Arial"/>
          <w:sz w:val="13"/>
          <w:szCs w:val="13"/>
          <w:color w:val="auto"/>
        </w:rPr>
      </w:pPr>
      <w:r>
        <w:rPr>
          <w:rFonts w:ascii="Arial" w:cs="Arial" w:eastAsia="Arial" w:hAnsi="Arial"/>
          <w:sz w:val="13"/>
          <w:szCs w:val="13"/>
          <w:u w:val="single" w:color="auto"/>
          <w:color w:val="auto"/>
        </w:rPr>
        <w:t>Swing Line Loans</w:t>
      </w:r>
      <w:r>
        <w:rPr>
          <w:rFonts w:ascii="Arial" w:cs="Arial" w:eastAsia="Arial" w:hAnsi="Arial"/>
          <w:sz w:val="13"/>
          <w:szCs w:val="13"/>
          <w:color w:val="auto"/>
        </w:rPr>
        <w:t>. The Borrowers shall repay each Swing Line Loan on the earlier to occur of (i) the date ten Business Days after such Swing Line Loan is made and (ii) the Maturity Date.</w:t>
      </w:r>
    </w:p>
    <w:p>
      <w:pPr>
        <w:spacing w:after="0" w:line="165"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2.08 </w:t>
      </w:r>
      <w:r>
        <w:rPr>
          <w:rFonts w:ascii="Arial" w:cs="Arial" w:eastAsia="Arial" w:hAnsi="Arial"/>
          <w:sz w:val="13"/>
          <w:szCs w:val="13"/>
          <w:u w:val="single" w:color="auto"/>
          <w:color w:val="auto"/>
        </w:rPr>
        <w:t>Interest</w:t>
      </w:r>
      <w:r>
        <w:rPr>
          <w:rFonts w:ascii="Arial" w:cs="Arial" w:eastAsia="Arial" w:hAnsi="Arial"/>
          <w:sz w:val="13"/>
          <w:szCs w:val="13"/>
          <w:color w:val="auto"/>
        </w:rPr>
        <w:t>.</w:t>
      </w:r>
    </w:p>
    <w:p>
      <w:pPr>
        <w:spacing w:after="0" w:line="86" w:lineRule="exact"/>
        <w:rPr>
          <w:sz w:val="20"/>
          <w:szCs w:val="20"/>
          <w:color w:val="auto"/>
        </w:rPr>
      </w:pPr>
    </w:p>
    <w:p>
      <w:pPr>
        <w:ind w:left="341" w:hanging="178"/>
        <w:spacing w:after="0"/>
        <w:tabs>
          <w:tab w:leader="none" w:pos="341" w:val="left"/>
        </w:tabs>
        <w:numPr>
          <w:ilvl w:val="1"/>
          <w:numId w:val="97"/>
        </w:numPr>
        <w:rPr>
          <w:rFonts w:ascii="Arial" w:cs="Arial" w:eastAsia="Arial" w:hAnsi="Arial"/>
          <w:sz w:val="11"/>
          <w:szCs w:val="11"/>
          <w:color w:val="auto"/>
        </w:rPr>
      </w:pPr>
      <w:r>
        <w:rPr>
          <w:rFonts w:ascii="Arial" w:cs="Arial" w:eastAsia="Arial" w:hAnsi="Arial"/>
          <w:sz w:val="11"/>
          <w:szCs w:val="11"/>
          <w:color w:val="auto"/>
        </w:rPr>
        <w:t>Subject to the provisions of subsection (b) below, (i) each Eurocurrency Rate Loan shall bear interest on the outstanding principal amount thereof for each Interest Period at a rate per annum equal to the sum of</w:t>
      </w:r>
    </w:p>
    <w:p>
      <w:pPr>
        <w:spacing w:after="0" w:line="38" w:lineRule="exact"/>
        <w:rPr>
          <w:rFonts w:ascii="Arial" w:cs="Arial" w:eastAsia="Arial" w:hAnsi="Arial"/>
          <w:sz w:val="11"/>
          <w:szCs w:val="11"/>
          <w:color w:val="auto"/>
        </w:rPr>
      </w:pPr>
    </w:p>
    <w:p>
      <w:pPr>
        <w:ind w:left="1" w:hanging="1"/>
        <w:spacing w:after="0" w:line="256" w:lineRule="auto"/>
        <w:tabs>
          <w:tab w:leader="none" w:pos="216" w:val="left"/>
        </w:tabs>
        <w:numPr>
          <w:ilvl w:val="0"/>
          <w:numId w:val="98"/>
        </w:numPr>
        <w:rPr>
          <w:rFonts w:ascii="Arial" w:cs="Arial" w:eastAsia="Arial" w:hAnsi="Arial"/>
          <w:sz w:val="13"/>
          <w:szCs w:val="13"/>
          <w:color w:val="auto"/>
        </w:rPr>
      </w:pPr>
      <w:r>
        <w:rPr>
          <w:rFonts w:ascii="Arial" w:cs="Arial" w:eastAsia="Arial" w:hAnsi="Arial"/>
          <w:sz w:val="13"/>
          <w:szCs w:val="13"/>
          <w:color w:val="auto"/>
        </w:rPr>
        <w:t xml:space="preserve">the Eurocurrency Rate for such Interest Period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(B) the Applicable Rate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(C) in the case of a Eurocurrency Rate Loan of any Lender which is lent from a Lending Office in the United Kingdom or a Participating Member State, the Mandatory Cost; (ii) each Base Rate Loan shall bear interest on the outstanding principal amount thereof from the applicable borrowing date at a rate per annum equal to the Base Rate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the Applicable Rate; and (iii) each Swing Line Loan shall bear interest on the outstanding principal amount thereof from the applicable borrowing date at a rate per annum equal to the Base Rate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the Applicable Rate.</w:t>
      </w:r>
    </w:p>
    <w:p>
      <w:pPr>
        <w:spacing w:after="0" w:line="62" w:lineRule="exact"/>
        <w:rPr>
          <w:rFonts w:ascii="Arial" w:cs="Arial" w:eastAsia="Arial" w:hAnsi="Arial"/>
          <w:sz w:val="13"/>
          <w:szCs w:val="13"/>
          <w:color w:val="auto"/>
        </w:rPr>
      </w:pPr>
    </w:p>
    <w:p>
      <w:pPr>
        <w:ind w:left="221" w:right="120" w:firstLine="8"/>
        <w:spacing w:after="0" w:line="276" w:lineRule="auto"/>
        <w:tabs>
          <w:tab w:leader="none" w:pos="472" w:val="left"/>
        </w:tabs>
        <w:numPr>
          <w:ilvl w:val="2"/>
          <w:numId w:val="98"/>
        </w:numPr>
        <w:rPr>
          <w:rFonts w:ascii="Arial" w:cs="Arial" w:eastAsia="Arial" w:hAnsi="Arial"/>
          <w:sz w:val="13"/>
          <w:szCs w:val="13"/>
          <w:color w:val="auto"/>
        </w:rPr>
      </w:pPr>
      <w:r>
        <w:rPr>
          <w:rFonts w:ascii="Arial" w:cs="Arial" w:eastAsia="Arial" w:hAnsi="Arial"/>
          <w:sz w:val="13"/>
          <w:szCs w:val="13"/>
          <w:color w:val="auto"/>
        </w:rPr>
        <w:t>(i) If any amount of principal of any Loan is not paid when due, whether at stated maturity, by acceleration or otherwise, such amount shall thereafter bear interest at a fluctuating interest rate per annum at all times equal to the Default Rate to the fullest extent permitted by applicable Laws.</w:t>
      </w:r>
    </w:p>
    <w:p>
      <w:pPr>
        <w:spacing w:after="0" w:line="49" w:lineRule="exact"/>
        <w:rPr>
          <w:rFonts w:ascii="Arial" w:cs="Arial" w:eastAsia="Arial" w:hAnsi="Arial"/>
          <w:sz w:val="13"/>
          <w:szCs w:val="13"/>
          <w:color w:val="auto"/>
        </w:rPr>
      </w:pPr>
    </w:p>
    <w:p>
      <w:pPr>
        <w:ind w:left="341" w:right="100" w:firstLine="166"/>
        <w:spacing w:after="0" w:line="320" w:lineRule="auto"/>
        <w:tabs>
          <w:tab w:leader="none" w:pos="698" w:val="left"/>
        </w:tabs>
        <w:numPr>
          <w:ilvl w:val="3"/>
          <w:numId w:val="98"/>
        </w:numPr>
        <w:rPr>
          <w:rFonts w:ascii="Arial" w:cs="Arial" w:eastAsia="Arial" w:hAnsi="Arial"/>
          <w:sz w:val="12"/>
          <w:szCs w:val="12"/>
          <w:color w:val="auto"/>
        </w:rPr>
      </w:pPr>
      <w:r>
        <w:rPr>
          <w:rFonts w:ascii="Arial" w:cs="Arial" w:eastAsia="Arial" w:hAnsi="Arial"/>
          <w:sz w:val="12"/>
          <w:szCs w:val="12"/>
          <w:color w:val="auto"/>
        </w:rPr>
        <w:t>If any amount (other than principal of any Loan) payable by the Borrowers under any Loan Document is not paid when due,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25" w:lineRule="exact"/>
        <w:rPr>
          <w:rFonts w:ascii="Arial" w:cs="Arial" w:eastAsia="Arial" w:hAnsi="Arial"/>
          <w:sz w:val="12"/>
          <w:szCs w:val="12"/>
          <w:color w:val="auto"/>
        </w:rPr>
      </w:pPr>
    </w:p>
    <w:p>
      <w:pPr>
        <w:ind w:left="341" w:right="60" w:firstLine="166"/>
        <w:spacing w:after="0" w:line="276" w:lineRule="auto"/>
        <w:tabs>
          <w:tab w:leader="none" w:pos="734" w:val="left"/>
        </w:tabs>
        <w:numPr>
          <w:ilvl w:val="3"/>
          <w:numId w:val="98"/>
        </w:numPr>
        <w:rPr>
          <w:rFonts w:ascii="Arial" w:cs="Arial" w:eastAsia="Arial" w:hAnsi="Arial"/>
          <w:sz w:val="13"/>
          <w:szCs w:val="13"/>
          <w:color w:val="auto"/>
        </w:rPr>
      </w:pPr>
      <w:r>
        <w:rPr>
          <w:rFonts w:ascii="Arial" w:cs="Arial" w:eastAsia="Arial" w:hAnsi="Arial"/>
          <w:sz w:val="13"/>
          <w:szCs w:val="13"/>
          <w:color w:val="auto"/>
        </w:rPr>
        <w:t>Upon the request of the Required Lenders, while any Event of Default exists, the Borrowers shall pay interest on the principal amount of all outstanding Obligations hereunder at a fluctuating interest rate per annum at all times equal to the Default Rate to the fullest extent permitted by applicable Laws.</w:t>
      </w:r>
    </w:p>
    <w:p>
      <w:pPr>
        <w:spacing w:after="0" w:line="49" w:lineRule="exact"/>
        <w:rPr>
          <w:rFonts w:ascii="Arial" w:cs="Arial" w:eastAsia="Arial" w:hAnsi="Arial"/>
          <w:sz w:val="13"/>
          <w:szCs w:val="13"/>
          <w:color w:val="auto"/>
        </w:rPr>
      </w:pPr>
    </w:p>
    <w:p>
      <w:pPr>
        <w:ind w:left="721" w:hanging="214"/>
        <w:spacing w:after="0"/>
        <w:tabs>
          <w:tab w:leader="none" w:pos="721" w:val="left"/>
        </w:tabs>
        <w:numPr>
          <w:ilvl w:val="3"/>
          <w:numId w:val="98"/>
        </w:numPr>
        <w:rPr>
          <w:rFonts w:ascii="Arial" w:cs="Arial" w:eastAsia="Arial" w:hAnsi="Arial"/>
          <w:sz w:val="13"/>
          <w:szCs w:val="13"/>
          <w:color w:val="auto"/>
        </w:rPr>
      </w:pPr>
      <w:r>
        <w:rPr>
          <w:rFonts w:ascii="Arial" w:cs="Arial" w:eastAsia="Arial" w:hAnsi="Arial"/>
          <w:sz w:val="13"/>
          <w:szCs w:val="13"/>
          <w:color w:val="auto"/>
        </w:rPr>
        <w:t>Accrued and unpaid interest on past due amounts (including interest on past due interest) shall be due and payable upon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294640</wp:posOffset>
            </wp:positionV>
            <wp:extent cx="7290435" cy="19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130" w:name="page131"/>
    <w:bookmarkEnd w:id="130"/>
    <w:p>
      <w:pPr>
        <w:ind w:right="400" w:firstLine="162"/>
        <w:spacing w:after="0" w:line="276" w:lineRule="auto"/>
        <w:tabs>
          <w:tab w:leader="none" w:pos="342" w:val="left"/>
        </w:tabs>
        <w:numPr>
          <w:ilvl w:val="0"/>
          <w:numId w:val="99"/>
        </w:numPr>
        <w:rPr>
          <w:rFonts w:ascii="Arial" w:cs="Arial" w:eastAsia="Arial" w:hAnsi="Arial"/>
          <w:sz w:val="13"/>
          <w:szCs w:val="13"/>
          <w:color w:val="auto"/>
        </w:rPr>
      </w:pPr>
      <w:r>
        <w:rPr>
          <w:rFonts w:ascii="Arial" w:cs="Arial" w:eastAsia="Arial" w:hAnsi="Arial"/>
          <w:sz w:val="13"/>
          <w:szCs w:val="13"/>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49" w:lineRule="exact"/>
        <w:rPr>
          <w:rFonts w:ascii="Arial" w:cs="Arial" w:eastAsia="Arial" w:hAnsi="Arial"/>
          <w:sz w:val="13"/>
          <w:szCs w:val="13"/>
          <w:color w:val="auto"/>
        </w:rPr>
      </w:pPr>
    </w:p>
    <w:p>
      <w:pPr>
        <w:ind w:firstLine="162"/>
        <w:spacing w:after="0" w:line="260" w:lineRule="auto"/>
        <w:tabs>
          <w:tab w:leader="none" w:pos="349" w:val="left"/>
        </w:tabs>
        <w:numPr>
          <w:ilvl w:val="0"/>
          <w:numId w:val="99"/>
        </w:numPr>
        <w:rPr>
          <w:rFonts w:ascii="Arial" w:cs="Arial" w:eastAsia="Arial" w:hAnsi="Arial"/>
          <w:sz w:val="13"/>
          <w:szCs w:val="13"/>
          <w:color w:val="auto"/>
        </w:rPr>
      </w:pPr>
      <w:r>
        <w:rPr>
          <w:rFonts w:ascii="Arial" w:cs="Arial" w:eastAsia="Arial" w:hAnsi="Arial"/>
          <w:sz w:val="13"/>
          <w:szCs w:val="13"/>
          <w:color w:val="auto"/>
        </w:rPr>
        <w:t>For the purposes of the Interest Act (Canada), (i) whenever a rate of interest or fee rate hereunder is calculated on the basis of a year (the “deemed year”) that contains fewer days than the actual number of days in the calendar year of calculation, such rate of interest or fee rate shall be expressed as a yearly rate by multiplying such rate of interest or fee rate by the actual number of days in the calendar year of calculation and dividing it by the number of days in the deemed year, (ii) the principle of deemed reinvestment of interest shall not apply to any interest calculation hereunder and (iii) the rates of interest stipulated herein are intended to be nominal rates and not effective rates or yields.</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2.09 </w:t>
      </w:r>
      <w:r>
        <w:rPr>
          <w:rFonts w:ascii="Arial" w:cs="Arial" w:eastAsia="Arial" w:hAnsi="Arial"/>
          <w:sz w:val="13"/>
          <w:szCs w:val="13"/>
          <w:u w:val="single" w:color="auto"/>
          <w:color w:val="auto"/>
        </w:rPr>
        <w:t>Fees</w:t>
      </w:r>
      <w:r>
        <w:rPr>
          <w:rFonts w:ascii="Arial" w:cs="Arial" w:eastAsia="Arial" w:hAnsi="Arial"/>
          <w:sz w:val="13"/>
          <w:szCs w:val="13"/>
          <w:color w:val="auto"/>
        </w:rPr>
        <w: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In addition to certain fees described in subsections (i) and (j) of </w:t>
      </w:r>
      <w:r>
        <w:rPr>
          <w:rFonts w:ascii="Arial" w:cs="Arial" w:eastAsia="Arial" w:hAnsi="Arial"/>
          <w:sz w:val="13"/>
          <w:szCs w:val="13"/>
          <w:u w:val="single" w:color="auto"/>
          <w:color w:val="auto"/>
        </w:rPr>
        <w:t>Section 2.03</w:t>
      </w:r>
      <w:r>
        <w:rPr>
          <w:rFonts w:ascii="Arial" w:cs="Arial" w:eastAsia="Arial" w:hAnsi="Arial"/>
          <w:sz w:val="13"/>
          <w:szCs w:val="13"/>
          <w:color w:val="auto"/>
        </w:rPr>
        <w:t>:</w:t>
      </w:r>
    </w:p>
    <w:p>
      <w:pPr>
        <w:spacing w:after="0" w:line="86" w:lineRule="exact"/>
        <w:rPr>
          <w:sz w:val="20"/>
          <w:szCs w:val="20"/>
          <w:color w:val="auto"/>
        </w:rPr>
      </w:pPr>
    </w:p>
    <w:p>
      <w:pPr>
        <w:ind w:left="220" w:right="180" w:firstLine="172"/>
        <w:spacing w:after="0" w:line="256" w:lineRule="auto"/>
        <w:tabs>
          <w:tab w:leader="none" w:pos="562" w:val="left"/>
        </w:tabs>
        <w:numPr>
          <w:ilvl w:val="0"/>
          <w:numId w:val="100"/>
        </w:numPr>
        <w:rPr>
          <w:rFonts w:ascii="Arial" w:cs="Arial" w:eastAsia="Arial" w:hAnsi="Arial"/>
          <w:sz w:val="13"/>
          <w:szCs w:val="13"/>
          <w:color w:val="auto"/>
        </w:rPr>
      </w:pPr>
      <w:r>
        <w:rPr>
          <w:rFonts w:ascii="Arial" w:cs="Arial" w:eastAsia="Arial" w:hAnsi="Arial"/>
          <w:sz w:val="13"/>
          <w:szCs w:val="13"/>
          <w:u w:val="single" w:color="auto"/>
          <w:color w:val="auto"/>
        </w:rPr>
        <w:t>Commitment Fee</w:t>
      </w:r>
      <w:r>
        <w:rPr>
          <w:rFonts w:ascii="Arial" w:cs="Arial" w:eastAsia="Arial" w:hAnsi="Arial"/>
          <w:sz w:val="13"/>
          <w:szCs w:val="13"/>
          <w:color w:val="auto"/>
        </w:rPr>
        <w:t xml:space="preserve">. The Company shall pay to the Administrative Agent, for the account of each Lender in accordance with its Pro Rata Share, a commitment fee in Dollars equal to the product of (A) the Applicable Rate </w:t>
      </w:r>
      <w:r>
        <w:rPr>
          <w:rFonts w:ascii="Arial" w:cs="Arial" w:eastAsia="Arial" w:hAnsi="Arial"/>
          <w:sz w:val="13"/>
          <w:szCs w:val="13"/>
          <w:u w:val="single" w:color="auto"/>
          <w:color w:val="auto"/>
        </w:rPr>
        <w:t>times</w:t>
      </w:r>
      <w:r>
        <w:rPr>
          <w:rFonts w:ascii="Arial" w:cs="Arial" w:eastAsia="Arial" w:hAnsi="Arial"/>
          <w:sz w:val="13"/>
          <w:szCs w:val="13"/>
          <w:color w:val="auto"/>
        </w:rPr>
        <w:t xml:space="preserve"> (B) the actual daily amount by which the Aggregate Revolving Commitments exceed the sum of (1) the Outstanding Amount of Revolving Loans and (2) the Outstanding Amount of L/C Obligations. Such commitment fee shall accrue at all times during the Availability Period, including at any time during which one or more of the conditions in </w:t>
      </w:r>
      <w:r>
        <w:rPr>
          <w:rFonts w:ascii="Arial" w:cs="Arial" w:eastAsia="Arial" w:hAnsi="Arial"/>
          <w:sz w:val="13"/>
          <w:szCs w:val="13"/>
          <w:u w:val="single" w:color="auto"/>
          <w:color w:val="auto"/>
        </w:rPr>
        <w:t>Article V</w:t>
      </w:r>
      <w:r>
        <w:rPr>
          <w:rFonts w:ascii="Arial" w:cs="Arial" w:eastAsia="Arial" w:hAnsi="Arial"/>
          <w:sz w:val="13"/>
          <w:szCs w:val="13"/>
          <w:color w:val="auto"/>
        </w:rPr>
        <w:t xml:space="preserve"> is not met, and shall be due and payable quarterly in arrears on the last Business Day of each March, June, September and December, commencing with the first such date to occur after the Closing Date, and on the Maturity Date. Such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 For purposes of clarification, Swing Line Loans shall not be considered outstanding for purposes of determining the unused portion of the Aggregate Revolving Commitments.</w:t>
      </w:r>
    </w:p>
    <w:p>
      <w:pPr>
        <w:spacing w:after="0" w:line="63" w:lineRule="exact"/>
        <w:rPr>
          <w:rFonts w:ascii="Arial" w:cs="Arial" w:eastAsia="Arial" w:hAnsi="Arial"/>
          <w:sz w:val="13"/>
          <w:szCs w:val="13"/>
          <w:color w:val="auto"/>
        </w:rPr>
      </w:pPr>
    </w:p>
    <w:p>
      <w:pPr>
        <w:ind w:left="220" w:right="20" w:firstLine="172"/>
        <w:spacing w:after="0" w:line="276" w:lineRule="auto"/>
        <w:tabs>
          <w:tab w:leader="none" w:pos="569" w:val="left"/>
        </w:tabs>
        <w:numPr>
          <w:ilvl w:val="0"/>
          <w:numId w:val="100"/>
        </w:numPr>
        <w:rPr>
          <w:rFonts w:ascii="Arial" w:cs="Arial" w:eastAsia="Arial" w:hAnsi="Arial"/>
          <w:sz w:val="13"/>
          <w:szCs w:val="13"/>
          <w:color w:val="auto"/>
        </w:rPr>
      </w:pPr>
      <w:r>
        <w:rPr>
          <w:rFonts w:ascii="Arial" w:cs="Arial" w:eastAsia="Arial" w:hAnsi="Arial"/>
          <w:sz w:val="13"/>
          <w:szCs w:val="13"/>
          <w:u w:val="single" w:color="auto"/>
          <w:color w:val="auto"/>
        </w:rPr>
        <w:t>Fee Letter</w:t>
      </w:r>
      <w:r>
        <w:rPr>
          <w:rFonts w:ascii="Arial" w:cs="Arial" w:eastAsia="Arial" w:hAnsi="Arial"/>
          <w:sz w:val="13"/>
          <w:szCs w:val="13"/>
          <w:color w:val="auto"/>
        </w:rPr>
        <w:t>. The Company shall pay to BAS and the Administrative Agent for their own respective accounts, in Dollars, fees in the amounts and at the times specified in the Fee Letter. Such fees shall be fully earned when paid and shall be non-refundable for any reason whatsoever.</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2.10 </w:t>
      </w:r>
      <w:r>
        <w:rPr>
          <w:rFonts w:ascii="Arial" w:cs="Arial" w:eastAsia="Arial" w:hAnsi="Arial"/>
          <w:sz w:val="13"/>
          <w:szCs w:val="13"/>
          <w:u w:val="single" w:color="auto"/>
          <w:color w:val="auto"/>
        </w:rPr>
        <w:t>Computation of Interest and Fees</w:t>
      </w:r>
      <w:r>
        <w:rPr>
          <w:rFonts w:ascii="Arial" w:cs="Arial" w:eastAsia="Arial" w:hAnsi="Arial"/>
          <w:sz w:val="13"/>
          <w:szCs w:val="13"/>
          <w:color w:val="auto"/>
        </w:rPr>
        <w:t>.</w:t>
      </w:r>
    </w:p>
    <w:p>
      <w:pPr>
        <w:spacing w:after="0" w:line="86" w:lineRule="exact"/>
        <w:rPr>
          <w:sz w:val="20"/>
          <w:szCs w:val="20"/>
          <w:color w:val="auto"/>
        </w:rPr>
      </w:pPr>
    </w:p>
    <w:p>
      <w:pPr>
        <w:ind w:right="20" w:firstLine="157"/>
        <w:spacing w:after="0" w:line="258" w:lineRule="auto"/>
        <w:rPr>
          <w:sz w:val="20"/>
          <w:szCs w:val="20"/>
          <w:color w:val="auto"/>
        </w:rPr>
      </w:pPr>
      <w:r>
        <w:rPr>
          <w:rFonts w:ascii="Arial" w:cs="Arial" w:eastAsia="Arial" w:hAnsi="Arial"/>
          <w:sz w:val="13"/>
          <w:szCs w:val="13"/>
          <w:color w:val="auto"/>
        </w:rPr>
        <w:t xml:space="preserve">All computations of interest for Base Rate Loans when the Base Rate is determined by Bank of America’s “prime rate”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or, in the case of interest in respect of Loans denominated in Alternative Currencies as to which market practice differs from the foregoing, in accordance with such market practice. Interest shall accrue on each Loan for the day on which the Loan is made, and shall not accrue on a Loan, or any portion thereof, for the day on which the Loan or such portion is paid,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any Loan that is repaid on the same day on which it is made shall, subject to </w:t>
      </w:r>
      <w:r>
        <w:rPr>
          <w:rFonts w:ascii="Arial" w:cs="Arial" w:eastAsia="Arial" w:hAnsi="Arial"/>
          <w:sz w:val="13"/>
          <w:szCs w:val="13"/>
          <w:u w:val="single" w:color="auto"/>
          <w:color w:val="auto"/>
        </w:rPr>
        <w:t>Section 2.12(a)</w:t>
      </w:r>
      <w:r>
        <w:rPr>
          <w:rFonts w:ascii="Arial" w:cs="Arial" w:eastAsia="Arial" w:hAnsi="Arial"/>
          <w:sz w:val="13"/>
          <w:szCs w:val="13"/>
          <w:color w:val="auto"/>
        </w:rPr>
        <w:t>, bear interest for one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278765</wp:posOffset>
            </wp:positionV>
            <wp:extent cx="7290435" cy="19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31" w:name="page132"/>
    <w:bookmarkEnd w:id="131"/>
    <w:p>
      <w:pPr>
        <w:spacing w:after="0"/>
        <w:rPr>
          <w:sz w:val="20"/>
          <w:szCs w:val="20"/>
          <w:color w:val="auto"/>
        </w:rPr>
      </w:pPr>
      <w:r>
        <w:rPr>
          <w:rFonts w:ascii="Arial" w:cs="Arial" w:eastAsia="Arial" w:hAnsi="Arial"/>
          <w:sz w:val="13"/>
          <w:szCs w:val="13"/>
          <w:color w:val="auto"/>
        </w:rPr>
        <w:t xml:space="preserve">2.11 </w:t>
      </w:r>
      <w:r>
        <w:rPr>
          <w:rFonts w:ascii="Arial" w:cs="Arial" w:eastAsia="Arial" w:hAnsi="Arial"/>
          <w:sz w:val="13"/>
          <w:szCs w:val="13"/>
          <w:u w:val="single" w:color="auto"/>
          <w:color w:val="auto"/>
        </w:rPr>
        <w:t>Evidence of Debt</w:t>
      </w:r>
      <w:r>
        <w:rPr>
          <w:rFonts w:ascii="Arial" w:cs="Arial" w:eastAsia="Arial" w:hAnsi="Arial"/>
          <w:sz w:val="13"/>
          <w:szCs w:val="13"/>
          <w:color w:val="auto"/>
        </w:rPr>
        <w:t>.</w:t>
      </w:r>
    </w:p>
    <w:p>
      <w:pPr>
        <w:spacing w:after="0" w:line="86" w:lineRule="exact"/>
        <w:rPr>
          <w:sz w:val="20"/>
          <w:szCs w:val="20"/>
          <w:color w:val="auto"/>
        </w:rPr>
      </w:pPr>
    </w:p>
    <w:p>
      <w:pPr>
        <w:ind w:firstLine="162"/>
        <w:spacing w:after="0" w:line="281" w:lineRule="auto"/>
        <w:tabs>
          <w:tab w:leader="none" w:pos="340" w:val="left"/>
        </w:tabs>
        <w:numPr>
          <w:ilvl w:val="0"/>
          <w:numId w:val="101"/>
        </w:numPr>
        <w:rPr>
          <w:rFonts w:ascii="Arial" w:cs="Arial" w:eastAsia="Arial" w:hAnsi="Arial"/>
          <w:sz w:val="12"/>
          <w:szCs w:val="12"/>
          <w:color w:val="auto"/>
        </w:rPr>
      </w:pPr>
      <w:r>
        <w:rPr>
          <w:rFonts w:ascii="Arial" w:cs="Arial" w:eastAsia="Arial" w:hAnsi="Arial"/>
          <w:sz w:val="12"/>
          <w:szCs w:val="12"/>
          <w:color w:val="auto"/>
        </w:rPr>
        <w:t xml:space="preserve">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Borrowers and the interest and 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Borrowers shall execute and deliver to such Lender (through the Administrative Agent) a promissory note, which shall evidence such Lender’s Loans in addition to such accounts or records. Each such promissory note shall be in the form of </w:t>
      </w:r>
      <w:r>
        <w:rPr>
          <w:rFonts w:ascii="Arial" w:cs="Arial" w:eastAsia="Arial" w:hAnsi="Arial"/>
          <w:sz w:val="12"/>
          <w:szCs w:val="12"/>
          <w:u w:val="single" w:color="auto"/>
          <w:color w:val="auto"/>
        </w:rPr>
        <w:t>Exhibit 2.11(a)</w:t>
      </w:r>
      <w:r>
        <w:rPr>
          <w:rFonts w:ascii="Arial" w:cs="Arial" w:eastAsia="Arial" w:hAnsi="Arial"/>
          <w:sz w:val="12"/>
          <w:szCs w:val="12"/>
          <w:color w:val="auto"/>
        </w:rPr>
        <w:t xml:space="preserve"> (a “</w:t>
      </w:r>
      <w:r>
        <w:rPr>
          <w:rFonts w:ascii="Arial" w:cs="Arial" w:eastAsia="Arial" w:hAnsi="Arial"/>
          <w:sz w:val="12"/>
          <w:szCs w:val="12"/>
          <w:u w:val="single" w:color="auto"/>
          <w:color w:val="auto"/>
        </w:rPr>
        <w:t>Note</w:t>
      </w:r>
      <w:r>
        <w:rPr>
          <w:rFonts w:ascii="Arial" w:cs="Arial" w:eastAsia="Arial" w:hAnsi="Arial"/>
          <w:sz w:val="12"/>
          <w:szCs w:val="12"/>
          <w:color w:val="auto"/>
        </w:rPr>
        <w:t>”). Each Lender may attach schedules to its Note and endorse thereon the date, Type (if applicable), amount, currency and maturity of its Loans and payments with respect thereto.</w:t>
      </w:r>
    </w:p>
    <w:p>
      <w:pPr>
        <w:spacing w:after="0" w:line="48" w:lineRule="exact"/>
        <w:rPr>
          <w:rFonts w:ascii="Arial" w:cs="Arial" w:eastAsia="Arial" w:hAnsi="Arial"/>
          <w:sz w:val="12"/>
          <w:szCs w:val="12"/>
          <w:color w:val="auto"/>
        </w:rPr>
      </w:pPr>
    </w:p>
    <w:p>
      <w:pPr>
        <w:ind w:right="60" w:firstLine="162"/>
        <w:spacing w:after="0" w:line="264" w:lineRule="auto"/>
        <w:tabs>
          <w:tab w:leader="none" w:pos="349" w:val="left"/>
        </w:tabs>
        <w:numPr>
          <w:ilvl w:val="0"/>
          <w:numId w:val="101"/>
        </w:numPr>
        <w:rPr>
          <w:rFonts w:ascii="Arial" w:cs="Arial" w:eastAsia="Arial" w:hAnsi="Arial"/>
          <w:sz w:val="13"/>
          <w:szCs w:val="13"/>
          <w:color w:val="auto"/>
        </w:rPr>
      </w:pPr>
      <w:r>
        <w:rPr>
          <w:rFonts w:ascii="Arial" w:cs="Arial" w:eastAsia="Arial" w:hAnsi="Arial"/>
          <w:sz w:val="13"/>
          <w:szCs w:val="13"/>
          <w:color w:val="auto"/>
        </w:rPr>
        <w:t>In addition to the accounts and records referred to in subsection (a),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2.12 </w:t>
      </w:r>
      <w:r>
        <w:rPr>
          <w:rFonts w:ascii="Arial" w:cs="Arial" w:eastAsia="Arial" w:hAnsi="Arial"/>
          <w:sz w:val="13"/>
          <w:szCs w:val="13"/>
          <w:u w:val="single" w:color="auto"/>
          <w:color w:val="auto"/>
        </w:rPr>
        <w:t>Payments Generally</w:t>
      </w:r>
      <w:r>
        <w:rPr>
          <w:rFonts w:ascii="Arial" w:cs="Arial" w:eastAsia="Arial" w:hAnsi="Arial"/>
          <w:sz w:val="13"/>
          <w:szCs w:val="13"/>
          <w:color w:val="auto"/>
        </w:rPr>
        <w:t>.</w:t>
      </w:r>
    </w:p>
    <w:p>
      <w:pPr>
        <w:spacing w:after="0" w:line="86" w:lineRule="exact"/>
        <w:rPr>
          <w:sz w:val="20"/>
          <w:szCs w:val="20"/>
          <w:color w:val="auto"/>
        </w:rPr>
      </w:pPr>
    </w:p>
    <w:p>
      <w:pPr>
        <w:ind w:right="40" w:firstLine="162"/>
        <w:spacing w:after="0" w:line="278" w:lineRule="auto"/>
        <w:tabs>
          <w:tab w:leader="none" w:pos="335" w:val="left"/>
        </w:tabs>
        <w:numPr>
          <w:ilvl w:val="0"/>
          <w:numId w:val="102"/>
        </w:numPr>
        <w:rPr>
          <w:rFonts w:ascii="Arial" w:cs="Arial" w:eastAsia="Arial" w:hAnsi="Arial"/>
          <w:sz w:val="12"/>
          <w:szCs w:val="12"/>
          <w:color w:val="auto"/>
        </w:rPr>
      </w:pPr>
      <w:r>
        <w:rPr>
          <w:rFonts w:ascii="Arial" w:cs="Arial" w:eastAsia="Arial" w:hAnsi="Arial"/>
          <w:sz w:val="12"/>
          <w:szCs w:val="12"/>
          <w:color w:val="auto"/>
        </w:rPr>
        <w:t>All payments to be made by the Borrowers shall be made without condition or deduction for any counterclaim, defense, recoupment or setoff. Except as otherwise expressly provided herein and except with respect to principal of and interest on Loans denominated in an Alternative Currency, all payments by the Borrowers hereunder shall be made to the Administrative Agent, for the account of the respective Lenders to which such payment is owed, at the applicable Administrative Agent’s Office in Dollars and in Same Day Funds not later than 2:00 p.m. on the date specified herein. Except as otherwise expressly provided herein, all payments by the Borrowers hereunder with respect to principal and interest on Loans denominated in an Alternative Currency shall be made to the Administrative Agent, for the account of the respective Lenders to which such payment is owed, at the applicable Administrative Agent’s Office in such Alternative Currency and in Same Day Funds not later than the Applicable Time specified by the Administrative Agent on the dates specified herein. Without limiting the generality of the foregoing, the Administrative Agent may require that any payments due under this Agreement be made in the United States. If, for any reason, a Borrower is prohibited by any Law from making any required payment hereunder in an Alternative Currency, such Borrower shall make such payment in Dollars in the Dollar Equivalent of the Alternative Currency payment amount. The Administrative Agent will promptly distribute to each Lender its Pro Rata Share (or other applicable share as provided herein) of such payment in like funds as received by wire transfer to such Lender’s Lending Office. All payments received by the Administrative Agent (i) after 2:00 p.m., in the case of payments in Dollars, or (ii) after the Applicable Time specified by the Administrative Agent in the case of payments in an Alternative Currency, shall in each case shall be deemed received on the next succeeding Business Day and any applicable interest or fee shall continue to accrue.</w:t>
      </w:r>
    </w:p>
    <w:p>
      <w:pPr>
        <w:spacing w:after="0" w:line="52" w:lineRule="exact"/>
        <w:rPr>
          <w:rFonts w:ascii="Arial" w:cs="Arial" w:eastAsia="Arial" w:hAnsi="Arial"/>
          <w:sz w:val="12"/>
          <w:szCs w:val="12"/>
          <w:color w:val="auto"/>
        </w:rPr>
      </w:pPr>
    </w:p>
    <w:p>
      <w:pPr>
        <w:ind w:right="400" w:firstLine="162"/>
        <w:spacing w:after="0" w:line="276" w:lineRule="auto"/>
        <w:tabs>
          <w:tab w:leader="none" w:pos="349" w:val="left"/>
        </w:tabs>
        <w:numPr>
          <w:ilvl w:val="0"/>
          <w:numId w:val="102"/>
        </w:numPr>
        <w:rPr>
          <w:rFonts w:ascii="Arial" w:cs="Arial" w:eastAsia="Arial" w:hAnsi="Arial"/>
          <w:sz w:val="13"/>
          <w:szCs w:val="13"/>
          <w:color w:val="auto"/>
        </w:rPr>
      </w:pPr>
      <w:r>
        <w:rPr>
          <w:rFonts w:ascii="Arial" w:cs="Arial" w:eastAsia="Arial" w:hAnsi="Arial"/>
          <w:sz w:val="13"/>
          <w:szCs w:val="13"/>
          <w:color w:val="auto"/>
        </w:rPr>
        <w:t>If any payment to be made by any Borrower shall come due on a day other than a Business Day, payment shall be made on the next following Business Day, and such extension of time shall be reflected in computing interest or fees,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32" w:name="page133"/>
    <w:bookmarkEnd w:id="132"/>
    <w:p>
      <w:pPr>
        <w:ind w:left="58" w:firstLine="8"/>
        <w:spacing w:after="0" w:line="278" w:lineRule="auto"/>
        <w:tabs>
          <w:tab w:leader="none" w:pos="236" w:val="left"/>
        </w:tabs>
        <w:numPr>
          <w:ilvl w:val="0"/>
          <w:numId w:val="103"/>
        </w:numPr>
        <w:rPr>
          <w:rFonts w:ascii="Arial" w:cs="Arial" w:eastAsia="Arial" w:hAnsi="Arial"/>
          <w:sz w:val="12"/>
          <w:szCs w:val="12"/>
          <w:color w:val="auto"/>
        </w:rPr>
      </w:pPr>
      <w:r>
        <w:rPr>
          <w:rFonts w:ascii="Arial" w:cs="Arial" w:eastAsia="Arial" w:hAnsi="Arial"/>
          <w:sz w:val="12"/>
          <w:szCs w:val="12"/>
          <w:color w:val="auto"/>
        </w:rPr>
        <w:t xml:space="preserve">(i) Unless the Administrative Agent shall have received notice from a Lender prior to the proposed date of any Borrowing of Eurocurrency Rate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2"/>
          <w:szCs w:val="12"/>
          <w:u w:val="single" w:color="auto"/>
          <w:color w:val="auto"/>
        </w:rPr>
        <w:t>Section 2.02</w:t>
      </w:r>
      <w:r>
        <w:rPr>
          <w:rFonts w:ascii="Arial" w:cs="Arial" w:eastAsia="Arial" w:hAnsi="Arial"/>
          <w:sz w:val="12"/>
          <w:szCs w:val="12"/>
          <w:color w:val="auto"/>
        </w:rPr>
        <w:t xml:space="preserve"> (or, in the case of a Borrowing of Base Rate Loans, that such Lender has made such share available in accordance with and at the time required by </w:t>
      </w:r>
      <w:r>
        <w:rPr>
          <w:rFonts w:ascii="Arial" w:cs="Arial" w:eastAsia="Arial" w:hAnsi="Arial"/>
          <w:sz w:val="12"/>
          <w:szCs w:val="12"/>
          <w:u w:val="single" w:color="auto"/>
          <w:color w:val="auto"/>
        </w:rPr>
        <w:t>Section 2.02</w:t>
      </w:r>
      <w:r>
        <w:rPr>
          <w:rFonts w:ascii="Arial" w:cs="Arial" w:eastAsia="Arial" w:hAnsi="Arial"/>
          <w:sz w:val="12"/>
          <w:szCs w:val="12"/>
          <w:color w:val="auto"/>
        </w:rPr>
        <w:t>) and may, in reliance upon such assumption, make available to the applicable Borrower a corresponding amount. In such event, if a Lender has not in fact made its share of the applicable Borrowing available to the Administrative Agent, then the applicable Lender and the applicable Borrower severally agree to pay to the Administrative Agent forthwith on demand such corresponding amount in Same Day Funds with interest thereon, for each day from and including the date such amount is made available to such Borrower to but excluding the date of payment to the Administrative Agent, at (A) in the case of a payment to be made by such Lender, the Overnight Rate, plus any administrative, processing or similar fees customarily charged by the Administrative Agent in connection with the foregoing, and (B) in the case of a payment to be made by such Borrower, the interest rate applicable to Base Rate Loans. If such Borrower and such Lender shall pay such interest to the Administrative Agent for the same or an overlapping period, the Administrative Agent shall promptly remit to such Borrower the amount of such interest paid by such Borrower for such period. If such Lender pays its share of the applicable Borrowing to the Administrative Agent, then the amount so paid shall constitute such Lender’s Loan included in such Borrowing. Any payment by such Borrower shall be without prejudice to any claim such Borrower may have against a Lender that shall have failed to make such payment to the Administrative Agent.</w:t>
      </w:r>
    </w:p>
    <w:p>
      <w:pPr>
        <w:spacing w:after="0" w:line="50" w:lineRule="exact"/>
        <w:rPr>
          <w:rFonts w:ascii="Arial" w:cs="Arial" w:eastAsia="Arial" w:hAnsi="Arial"/>
          <w:sz w:val="12"/>
          <w:szCs w:val="12"/>
          <w:color w:val="auto"/>
        </w:rPr>
      </w:pPr>
    </w:p>
    <w:p>
      <w:pPr>
        <w:ind w:left="58" w:firstLine="172"/>
        <w:spacing w:after="0" w:line="285" w:lineRule="auto"/>
        <w:tabs>
          <w:tab w:leader="none" w:pos="414" w:val="left"/>
        </w:tabs>
        <w:numPr>
          <w:ilvl w:val="1"/>
          <w:numId w:val="103"/>
        </w:numPr>
        <w:rPr>
          <w:rFonts w:ascii="Arial" w:cs="Arial" w:eastAsia="Arial" w:hAnsi="Arial"/>
          <w:sz w:val="12"/>
          <w:szCs w:val="12"/>
          <w:color w:val="auto"/>
        </w:rPr>
      </w:pPr>
      <w:r>
        <w:rPr>
          <w:rFonts w:ascii="Arial" w:cs="Arial" w:eastAsia="Arial" w:hAnsi="Arial"/>
          <w:sz w:val="12"/>
          <w:szCs w:val="12"/>
          <w:color w:val="auto"/>
        </w:rPr>
        <w:t>Unless the Administrative Agent shall have received notice from a Borrower prior to the time at which any payment is due to the Administrative Agent for the account of the Lenders or the L/C Issuer hereunder that such Borrower will not make such payment, the Administrative Agent may assume that such Borrower has made such payment on such date in accordance herewith and may, in reliance upon such assumption, distribute to the Lenders or the L/C Issuer, as the case may be, the amount due. In such event, if such Borrower has not in fact made such payment, then each of the Lenders or the L/C Issuer, as the case may be, severally agrees to repay to the Administrative Agent forthwith on demand the amount so distributed to such Lender or the L/C Issuer, in Same Day Funds with interest thereon, for each day from and including the date such amount is distributed to it to but excluding the date of payment to the Administrative Agent, at the Overnight Rate.</w:t>
      </w:r>
    </w:p>
    <w:p>
      <w:pPr>
        <w:spacing w:after="0" w:line="46" w:lineRule="exact"/>
        <w:rPr>
          <w:sz w:val="20"/>
          <w:szCs w:val="20"/>
          <w:color w:val="auto"/>
        </w:rPr>
      </w:pPr>
    </w:p>
    <w:p>
      <w:pPr>
        <w:ind w:left="218"/>
        <w:spacing w:after="0"/>
        <w:rPr>
          <w:sz w:val="20"/>
          <w:szCs w:val="20"/>
          <w:color w:val="auto"/>
        </w:rPr>
      </w:pPr>
      <w:r>
        <w:rPr>
          <w:rFonts w:ascii="Arial" w:cs="Arial" w:eastAsia="Arial" w:hAnsi="Arial"/>
          <w:sz w:val="13"/>
          <w:szCs w:val="13"/>
          <w:color w:val="auto"/>
        </w:rPr>
        <w:t>A notice of the Administrative Agent to any Lender or any Borrower with respect to any amount owing under this subsection (c) shall be conclusive, absent manifest error.</w:t>
      </w:r>
    </w:p>
    <w:p>
      <w:pPr>
        <w:spacing w:after="0" w:line="86" w:lineRule="exact"/>
        <w:rPr>
          <w:sz w:val="20"/>
          <w:szCs w:val="20"/>
          <w:color w:val="auto"/>
        </w:rPr>
      </w:pPr>
    </w:p>
    <w:p>
      <w:pPr>
        <w:ind w:left="-162" w:right="160" w:firstLine="162"/>
        <w:spacing w:after="0" w:line="264" w:lineRule="auto"/>
        <w:tabs>
          <w:tab w:leader="none" w:pos="187" w:val="left"/>
        </w:tabs>
        <w:numPr>
          <w:ilvl w:val="0"/>
          <w:numId w:val="104"/>
        </w:numPr>
        <w:rPr>
          <w:rFonts w:ascii="Arial" w:cs="Arial" w:eastAsia="Arial" w:hAnsi="Arial"/>
          <w:sz w:val="13"/>
          <w:szCs w:val="13"/>
          <w:color w:val="auto"/>
        </w:rPr>
      </w:pPr>
      <w:r>
        <w:rPr>
          <w:rFonts w:ascii="Arial" w:cs="Arial" w:eastAsia="Arial" w:hAnsi="Arial"/>
          <w:sz w:val="13"/>
          <w:szCs w:val="13"/>
          <w:color w:val="auto"/>
        </w:rPr>
        <w:t xml:space="preserve">If any Lender makes available to the Administrative Agent funds for any Loan to be made by such Lender as provided in the foregoing provisions of this </w:t>
      </w:r>
      <w:r>
        <w:rPr>
          <w:rFonts w:ascii="Arial" w:cs="Arial" w:eastAsia="Arial" w:hAnsi="Arial"/>
          <w:sz w:val="13"/>
          <w:szCs w:val="13"/>
          <w:u w:val="single" w:color="auto"/>
          <w:color w:val="auto"/>
        </w:rPr>
        <w:t>Article II</w:t>
      </w:r>
      <w:r>
        <w:rPr>
          <w:rFonts w:ascii="Arial" w:cs="Arial" w:eastAsia="Arial" w:hAnsi="Arial"/>
          <w:sz w:val="13"/>
          <w:szCs w:val="13"/>
          <w:color w:val="auto"/>
        </w:rPr>
        <w:t xml:space="preserve">, and such funds are not made available to the applicable Borrower by the Administrative Agent because the conditions to the applicable Credit Extension set forth in </w:t>
      </w:r>
      <w:r>
        <w:rPr>
          <w:rFonts w:ascii="Arial" w:cs="Arial" w:eastAsia="Arial" w:hAnsi="Arial"/>
          <w:sz w:val="13"/>
          <w:szCs w:val="13"/>
          <w:u w:val="single" w:color="auto"/>
          <w:color w:val="auto"/>
        </w:rPr>
        <w:t>Article V</w:t>
      </w:r>
      <w:r>
        <w:rPr>
          <w:rFonts w:ascii="Arial" w:cs="Arial" w:eastAsia="Arial" w:hAnsi="Arial"/>
          <w:sz w:val="13"/>
          <w:szCs w:val="13"/>
          <w:color w:val="auto"/>
        </w:rPr>
        <w:t xml:space="preserve"> are not satisfied or waived in accordance with the terms hereof, the Administrative Agent shall return such funds (in like funds as received from such Lender) to such Lender, without interest.</w:t>
      </w:r>
    </w:p>
    <w:p>
      <w:pPr>
        <w:spacing w:after="0" w:line="57" w:lineRule="exact"/>
        <w:rPr>
          <w:rFonts w:ascii="Arial" w:cs="Arial" w:eastAsia="Arial" w:hAnsi="Arial"/>
          <w:sz w:val="13"/>
          <w:szCs w:val="13"/>
          <w:color w:val="auto"/>
        </w:rPr>
      </w:pPr>
    </w:p>
    <w:p>
      <w:pPr>
        <w:ind w:left="-162" w:right="60" w:firstLine="162"/>
        <w:spacing w:after="0" w:line="276" w:lineRule="auto"/>
        <w:tabs>
          <w:tab w:leader="none" w:pos="177" w:val="left"/>
        </w:tabs>
        <w:numPr>
          <w:ilvl w:val="0"/>
          <w:numId w:val="104"/>
        </w:numPr>
        <w:rPr>
          <w:rFonts w:ascii="Arial" w:cs="Arial" w:eastAsia="Arial" w:hAnsi="Arial"/>
          <w:sz w:val="13"/>
          <w:szCs w:val="13"/>
          <w:color w:val="auto"/>
        </w:rPr>
      </w:pPr>
      <w:r>
        <w:rPr>
          <w:rFonts w:ascii="Arial" w:cs="Arial" w:eastAsia="Arial" w:hAnsi="Arial"/>
          <w:sz w:val="13"/>
          <w:szCs w:val="13"/>
          <w:color w:val="auto"/>
        </w:rPr>
        <w:t xml:space="preserve">The obligations of the Lenders hereunder to make Loans and to fund participations in Letters of Credit and Swing Line Loans and to make payments pursuant to </w:t>
      </w:r>
      <w:r>
        <w:rPr>
          <w:rFonts w:ascii="Arial" w:cs="Arial" w:eastAsia="Arial" w:hAnsi="Arial"/>
          <w:sz w:val="13"/>
          <w:szCs w:val="13"/>
          <w:u w:val="single" w:color="auto"/>
          <w:color w:val="auto"/>
        </w:rPr>
        <w:t>Section 11.04(b)</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11.05(b)</w:t>
      </w:r>
      <w:r>
        <w:rPr>
          <w:rFonts w:ascii="Arial" w:cs="Arial" w:eastAsia="Arial" w:hAnsi="Arial"/>
          <w:sz w:val="13"/>
          <w:szCs w:val="13"/>
          <w:color w:val="auto"/>
        </w:rPr>
        <w:t xml:space="preserve"> are several and not joint. The failure of any Lender to make any Loan, to fund any such participation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271145</wp:posOffset>
            </wp:positionV>
            <wp:extent cx="7290435" cy="19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78"/>
          </w:cols>
          <w:pgMar w:left="382" w:top="720" w:right="239" w:bottom="1440" w:gutter="0" w:footer="0" w:header="0"/>
        </w:sectPr>
      </w:pPr>
    </w:p>
    <w:bookmarkStart w:id="133" w:name="page134"/>
    <w:bookmarkEnd w:id="133"/>
    <w:p>
      <w:pPr>
        <w:ind w:right="180"/>
        <w:spacing w:after="0" w:line="276" w:lineRule="auto"/>
        <w:rPr>
          <w:sz w:val="20"/>
          <w:szCs w:val="20"/>
          <w:color w:val="auto"/>
        </w:rPr>
      </w:pPr>
      <w:r>
        <w:rPr>
          <w:rFonts w:ascii="Arial" w:cs="Arial" w:eastAsia="Arial" w:hAnsi="Arial"/>
          <w:sz w:val="13"/>
          <w:szCs w:val="13"/>
          <w:color w:val="auto"/>
        </w:rPr>
        <w:t xml:space="preserve">to make any payment under </w:t>
      </w:r>
      <w:r>
        <w:rPr>
          <w:rFonts w:ascii="Arial" w:cs="Arial" w:eastAsia="Arial" w:hAnsi="Arial"/>
          <w:sz w:val="13"/>
          <w:szCs w:val="13"/>
          <w:u w:val="single" w:color="auto"/>
          <w:color w:val="auto"/>
        </w:rPr>
        <w:t>Section 11.04(b)</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11.05(b)</w:t>
      </w:r>
      <w:r>
        <w:rPr>
          <w:rFonts w:ascii="Arial" w:cs="Arial" w:eastAsia="Arial" w:hAnsi="Arial"/>
          <w:sz w:val="13"/>
          <w:szCs w:val="13"/>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Arial" w:cs="Arial" w:eastAsia="Arial" w:hAnsi="Arial"/>
          <w:sz w:val="13"/>
          <w:szCs w:val="13"/>
          <w:u w:val="single" w:color="auto"/>
          <w:color w:val="auto"/>
        </w:rPr>
        <w:t>Section 11.04(b)</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11.05(b)</w:t>
      </w:r>
      <w:r>
        <w:rPr>
          <w:rFonts w:ascii="Arial" w:cs="Arial" w:eastAsia="Arial" w:hAnsi="Arial"/>
          <w:sz w:val="13"/>
          <w:szCs w:val="13"/>
          <w:color w:val="auto"/>
        </w:rPr>
        <w:t>.</w:t>
      </w:r>
    </w:p>
    <w:p>
      <w:pPr>
        <w:spacing w:after="0" w:line="49" w:lineRule="exact"/>
        <w:rPr>
          <w:sz w:val="20"/>
          <w:szCs w:val="20"/>
          <w:color w:val="auto"/>
        </w:rPr>
      </w:pPr>
    </w:p>
    <w:p>
      <w:pPr>
        <w:ind w:firstLine="162"/>
        <w:spacing w:after="0" w:line="276" w:lineRule="auto"/>
        <w:tabs>
          <w:tab w:leader="none" w:pos="327" w:val="left"/>
        </w:tabs>
        <w:numPr>
          <w:ilvl w:val="0"/>
          <w:numId w:val="105"/>
        </w:numPr>
        <w:rPr>
          <w:rFonts w:ascii="Arial" w:cs="Arial" w:eastAsia="Arial" w:hAnsi="Arial"/>
          <w:sz w:val="13"/>
          <w:szCs w:val="13"/>
          <w:color w:val="auto"/>
        </w:rPr>
      </w:pPr>
      <w:r>
        <w:rPr>
          <w:rFonts w:ascii="Arial" w:cs="Arial" w:eastAsia="Arial" w:hAnsi="Arial"/>
          <w:sz w:val="13"/>
          <w:szCs w:val="13"/>
          <w:color w:val="auto"/>
        </w:rPr>
        <w:t>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2.13 </w:t>
      </w:r>
      <w:r>
        <w:rPr>
          <w:rFonts w:ascii="Arial" w:cs="Arial" w:eastAsia="Arial" w:hAnsi="Arial"/>
          <w:sz w:val="13"/>
          <w:szCs w:val="13"/>
          <w:u w:val="single" w:color="auto"/>
          <w:color w:val="auto"/>
        </w:rPr>
        <w:t>Sharing of Payments</w:t>
      </w:r>
      <w:r>
        <w:rPr>
          <w:rFonts w:ascii="Arial" w:cs="Arial" w:eastAsia="Arial" w:hAnsi="Arial"/>
          <w:sz w:val="13"/>
          <w:szCs w:val="13"/>
          <w:color w:val="auto"/>
        </w:rPr>
        <w:t>.</w:t>
      </w:r>
    </w:p>
    <w:p>
      <w:pPr>
        <w:spacing w:after="0" w:line="86" w:lineRule="exact"/>
        <w:rPr>
          <w:sz w:val="20"/>
          <w:szCs w:val="20"/>
          <w:color w:val="auto"/>
        </w:rPr>
      </w:pPr>
    </w:p>
    <w:p>
      <w:pPr>
        <w:ind w:firstLine="164"/>
        <w:spacing w:after="0" w:line="277" w:lineRule="auto"/>
        <w:rPr>
          <w:sz w:val="20"/>
          <w:szCs w:val="20"/>
          <w:color w:val="auto"/>
        </w:rPr>
      </w:pPr>
      <w:r>
        <w:rPr>
          <w:rFonts w:ascii="Arial" w:cs="Arial" w:eastAsia="Arial" w:hAnsi="Arial"/>
          <w:sz w:val="12"/>
          <w:szCs w:val="12"/>
          <w:color w:val="auto"/>
        </w:rPr>
        <w:t xml:space="preserve">If, other than as expressly provided elsewhere herein, any Lender shall obtain on account of the Loans made by it, or the participations in L/C Obligations or in Swing Line Loans held by it (but not including any amounts applied by the Swing Line Lender to outstanding Swing Line Loans), any payment (whether voluntary, involuntary, through the exercise of any right of set-off, or otherwise) in excess of its ratable share (or other share contemplated hereunder) thereof, such Lender shall immediately (a) notify the Administrative Agent of such fact, and (b) purchase from the other Lenders such participations in the Loans made by them and/or such subparticipations in the participations in L/C Obligations or Swing Line Loans held by them, as the case may be, as shall be necessary to cause such purchasing Lender to share the excess payment in respect of such Loans or such participations, as the case may be, pro rata with each of them;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if all or any portion of such excess payment is thereafter recovered from the purchasing Lender under any of the circumstances described in </w:t>
      </w:r>
      <w:r>
        <w:rPr>
          <w:rFonts w:ascii="Arial" w:cs="Arial" w:eastAsia="Arial" w:hAnsi="Arial"/>
          <w:sz w:val="12"/>
          <w:szCs w:val="12"/>
          <w:u w:val="single" w:color="auto"/>
          <w:color w:val="auto"/>
        </w:rPr>
        <w:t>Section 11.06</w:t>
      </w:r>
      <w:r>
        <w:rPr>
          <w:rFonts w:ascii="Arial" w:cs="Arial" w:eastAsia="Arial" w:hAnsi="Arial"/>
          <w:sz w:val="12"/>
          <w:szCs w:val="12"/>
          <w:color w:val="auto"/>
        </w:rPr>
        <w:t xml:space="preserve"> (including pursuant to any settlement entered into by the purchasing Lender in its discretion), such purchase shall to that extent be rescinded and each other Lender shall repay to the purchasing Lender the purchase price paid therefor, together with an amount equal to such paying Lender’s ratable share (according to the proportion of (i) the amount of such paying Lender’s required repayment to (ii) the total amount so recovered from the purchasing Lender) of any interest or other amount paid or payable by the purchasing Lender in respect of the total amount so recovered, without further interest thereon. Each Borrower agrees that any Lender so purchasing a participation from another Lender may, to the fullest extent permitted by law, exercise all its rights of payment (including the right of set-off, but subject to </w:t>
      </w:r>
      <w:r>
        <w:rPr>
          <w:rFonts w:ascii="Arial" w:cs="Arial" w:eastAsia="Arial" w:hAnsi="Arial"/>
          <w:sz w:val="12"/>
          <w:szCs w:val="12"/>
          <w:u w:val="single" w:color="auto"/>
          <w:color w:val="auto"/>
        </w:rPr>
        <w:t>Section 11.09</w:t>
      </w:r>
      <w:r>
        <w:rPr>
          <w:rFonts w:ascii="Arial" w:cs="Arial" w:eastAsia="Arial" w:hAnsi="Arial"/>
          <w:sz w:val="12"/>
          <w:szCs w:val="12"/>
          <w:color w:val="auto"/>
        </w:rPr>
        <w:t>) with respect to such participation as fully as if such Lender were the direct creditor of such Borrower in the amount of such participation. The Administrative Agent will keep records (which shall be conclusive and binding in the absence of manifest error) of participations purchased under this Section and will in each case notify the Lenders following any such purchases or repayments. Each Lender that purchases a participation pursuant to this Section shall from and after such purchase have the right to give all notices, requests, demands, directions and other communications under this Agreement with respect to the portion of the Obligations purchased to the same extent as though the purchasing Lender were the original owner of the Obligations purchased.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III</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TAXES, YIELD PROTECTION AND ILLEGALITY</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3.01 </w:t>
      </w:r>
      <w:r>
        <w:rPr>
          <w:rFonts w:ascii="Arial" w:cs="Arial" w:eastAsia="Arial" w:hAnsi="Arial"/>
          <w:sz w:val="13"/>
          <w:szCs w:val="13"/>
          <w:u w:val="single" w:color="auto"/>
          <w:color w:val="auto"/>
        </w:rPr>
        <w:t>Taxes</w:t>
      </w:r>
      <w:r>
        <w:rPr>
          <w:rFonts w:ascii="Arial" w:cs="Arial" w:eastAsia="Arial" w:hAnsi="Arial"/>
          <w:sz w:val="13"/>
          <w:szCs w:val="13"/>
          <w:color w:val="auto"/>
        </w:rPr>
        <w:t>.</w:t>
      </w:r>
    </w:p>
    <w:p>
      <w:pPr>
        <w:spacing w:after="0" w:line="86" w:lineRule="exact"/>
        <w:rPr>
          <w:sz w:val="20"/>
          <w:szCs w:val="20"/>
          <w:color w:val="auto"/>
        </w:rPr>
      </w:pPr>
    </w:p>
    <w:p>
      <w:pPr>
        <w:ind w:firstLine="162"/>
        <w:spacing w:after="0" w:line="264" w:lineRule="auto"/>
        <w:tabs>
          <w:tab w:leader="none" w:pos="335" w:val="left"/>
        </w:tabs>
        <w:numPr>
          <w:ilvl w:val="0"/>
          <w:numId w:val="106"/>
        </w:numPr>
        <w:rPr>
          <w:rFonts w:ascii="Arial" w:cs="Arial" w:eastAsia="Arial" w:hAnsi="Arial"/>
          <w:sz w:val="13"/>
          <w:szCs w:val="13"/>
          <w:color w:val="auto"/>
        </w:rPr>
      </w:pPr>
      <w:r>
        <w:rPr>
          <w:rFonts w:ascii="Arial" w:cs="Arial" w:eastAsia="Arial" w:hAnsi="Arial"/>
          <w:sz w:val="13"/>
          <w:szCs w:val="13"/>
          <w:color w:val="auto"/>
        </w:rPr>
        <w:t xml:space="preserve">Any and all payments by any Loan Party to or for the account of the Administrative Agent or any Lender under any Loan Document shall be made free and clear of and without deduction for any and all present or future taxes, duties, levies, imposts, deductions, assessments, fees, withholdings or similar charges, and all liabilities with respect thereto, </w:t>
      </w:r>
      <w:r>
        <w:rPr>
          <w:rFonts w:ascii="Arial" w:cs="Arial" w:eastAsia="Arial" w:hAnsi="Arial"/>
          <w:sz w:val="13"/>
          <w:szCs w:val="13"/>
          <w:u w:val="single" w:color="auto"/>
          <w:color w:val="auto"/>
        </w:rPr>
        <w:t>excluding</w:t>
      </w:r>
      <w:r>
        <w:rPr>
          <w:rFonts w:ascii="Arial" w:cs="Arial" w:eastAsia="Arial" w:hAnsi="Arial"/>
          <w:sz w:val="13"/>
          <w:szCs w:val="13"/>
          <w:color w:val="auto"/>
        </w:rPr>
        <w:t>, in the case of the Administrative Agent and each Lender, taxes imposed on or measured by its overall net income, and franchise taxes imposed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275590</wp:posOffset>
            </wp:positionV>
            <wp:extent cx="7290435" cy="19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34" w:name="page135"/>
    <w:bookmarkEnd w:id="134"/>
    <w:p>
      <w:pPr>
        <w:ind w:left="1"/>
        <w:spacing w:after="0" w:line="256" w:lineRule="auto"/>
        <w:rPr>
          <w:sz w:val="20"/>
          <w:szCs w:val="20"/>
          <w:color w:val="auto"/>
        </w:rPr>
      </w:pPr>
      <w:r>
        <w:rPr>
          <w:rFonts w:ascii="Arial" w:cs="Arial" w:eastAsia="Arial" w:hAnsi="Arial"/>
          <w:sz w:val="13"/>
          <w:szCs w:val="13"/>
          <w:color w:val="auto"/>
        </w:rPr>
        <w:t>it (in lieu of net income taxes), by the jurisdiction (or any political subdivision thereof) under the Laws of which the Administrative Agent or such Lender, as the case may be, is organized or maintains a lending office (all such non-excluded taxes, duties, levies, imposts, deductions, assessments, fees, withholdings or similar charges, and liabilities being hereinafter referred to as “</w:t>
      </w:r>
      <w:r>
        <w:rPr>
          <w:rFonts w:ascii="Arial" w:cs="Arial" w:eastAsia="Arial" w:hAnsi="Arial"/>
          <w:sz w:val="13"/>
          <w:szCs w:val="13"/>
          <w:u w:val="single" w:color="auto"/>
          <w:color w:val="auto"/>
        </w:rPr>
        <w:t>Taxes</w:t>
      </w:r>
      <w:r>
        <w:rPr>
          <w:rFonts w:ascii="Arial" w:cs="Arial" w:eastAsia="Arial" w:hAnsi="Arial"/>
          <w:sz w:val="13"/>
          <w:szCs w:val="13"/>
          <w:color w:val="auto"/>
        </w:rPr>
        <w:t>”). If any Loan Party shall be required by any Laws to deduct any Taxes from or in respect of any sum payable under any Loan Document to the Administrative Agent or any Lender, (i) the sum payable shall be increased as necessary so that after making all required deductions (including deductions applicable to additional sums payable under this Section), each of the Administrative Agent and such Lender receives an amount equal to the sum it would have received had no such deductions been made, (ii) such Loan Party shall make such deductions, (iii) such Loan Party shall pay the full amount deducted to the relevant taxation authority or other authority in accordance with applicable Laws, and (iv) within thirty days after the date of such payment, such Loan Party shall furnish to the Administrative Agent (which shall forward the same to such Lender) the original or a certified copy of a receipt evidencing payment thereof.</w:t>
      </w:r>
    </w:p>
    <w:p>
      <w:pPr>
        <w:spacing w:after="0" w:line="63" w:lineRule="exact"/>
        <w:rPr>
          <w:sz w:val="20"/>
          <w:szCs w:val="20"/>
          <w:color w:val="auto"/>
        </w:rPr>
      </w:pPr>
    </w:p>
    <w:p>
      <w:pPr>
        <w:ind w:left="1" w:right="300" w:firstLine="162"/>
        <w:spacing w:after="0" w:line="320" w:lineRule="auto"/>
        <w:tabs>
          <w:tab w:leader="none" w:pos="351" w:val="left"/>
        </w:tabs>
        <w:numPr>
          <w:ilvl w:val="1"/>
          <w:numId w:val="107"/>
        </w:numPr>
        <w:rPr>
          <w:rFonts w:ascii="Arial" w:cs="Arial" w:eastAsia="Arial" w:hAnsi="Arial"/>
          <w:sz w:val="12"/>
          <w:szCs w:val="12"/>
          <w:color w:val="auto"/>
        </w:rPr>
      </w:pPr>
      <w:r>
        <w:rPr>
          <w:rFonts w:ascii="Arial" w:cs="Arial" w:eastAsia="Arial" w:hAnsi="Arial"/>
          <w:sz w:val="12"/>
          <w:szCs w:val="12"/>
          <w:color w:val="auto"/>
        </w:rPr>
        <w:t>In addition, the Borrowers agree to pay any and all present or future stamp, court or documentary taxes and any other excise or property taxes or charges or similar levies which arise from any payment made under any Loan Document or from the execution, delivery, performance, enforcement or registration of, or otherwise with respect to, any Loan Document (hereinafter referred to as “</w:t>
      </w:r>
      <w:r>
        <w:rPr>
          <w:rFonts w:ascii="Arial" w:cs="Arial" w:eastAsia="Arial" w:hAnsi="Arial"/>
          <w:sz w:val="12"/>
          <w:szCs w:val="12"/>
          <w:u w:val="single" w:color="auto"/>
          <w:color w:val="auto"/>
        </w:rPr>
        <w:t>Other Taxes</w:t>
      </w:r>
      <w:r>
        <w:rPr>
          <w:rFonts w:ascii="Arial" w:cs="Arial" w:eastAsia="Arial" w:hAnsi="Arial"/>
          <w:sz w:val="12"/>
          <w:szCs w:val="12"/>
          <w:color w:val="auto"/>
        </w:rPr>
        <w:t>”).</w:t>
      </w:r>
    </w:p>
    <w:p>
      <w:pPr>
        <w:spacing w:after="0" w:line="25" w:lineRule="exact"/>
        <w:rPr>
          <w:rFonts w:ascii="Arial" w:cs="Arial" w:eastAsia="Arial" w:hAnsi="Arial"/>
          <w:sz w:val="12"/>
          <w:szCs w:val="12"/>
          <w:color w:val="auto"/>
        </w:rPr>
      </w:pPr>
    </w:p>
    <w:p>
      <w:pPr>
        <w:ind w:left="1" w:right="40" w:firstLine="162"/>
        <w:spacing w:after="0" w:line="334" w:lineRule="auto"/>
        <w:tabs>
          <w:tab w:leader="none" w:pos="343" w:val="left"/>
        </w:tabs>
        <w:numPr>
          <w:ilvl w:val="1"/>
          <w:numId w:val="107"/>
        </w:numPr>
        <w:rPr>
          <w:rFonts w:ascii="Arial" w:cs="Arial" w:eastAsia="Arial" w:hAnsi="Arial"/>
          <w:sz w:val="11"/>
          <w:szCs w:val="11"/>
          <w:color w:val="auto"/>
        </w:rPr>
      </w:pPr>
      <w:r>
        <w:rPr>
          <w:rFonts w:ascii="Arial" w:cs="Arial" w:eastAsia="Arial" w:hAnsi="Arial"/>
          <w:sz w:val="11"/>
          <w:szCs w:val="11"/>
          <w:color w:val="auto"/>
        </w:rPr>
        <w:t>If the Borrowers shall be required to deduct or pay any Taxes or Other Taxes from or in respect of any sum payable under any Loan Document to the Administrative Agent or any Lender, the Borrowers shall also pay to the Administrative Agent or to such Lender, as the case may be, at the time interest is paid, such additional amount that the Administrative Agent or such Lender specifies is necessary to preserve the after-tax yield (after factoring in all taxes, including taxes imposed on or measured by net income) that the Administrative Agent or such Lender would have received if such Taxes or Other Taxes had not been imposed.</w:t>
      </w:r>
    </w:p>
    <w:p>
      <w:pPr>
        <w:spacing w:after="0" w:line="22" w:lineRule="exact"/>
        <w:rPr>
          <w:rFonts w:ascii="Arial" w:cs="Arial" w:eastAsia="Arial" w:hAnsi="Arial"/>
          <w:sz w:val="11"/>
          <w:szCs w:val="11"/>
          <w:color w:val="auto"/>
        </w:rPr>
      </w:pPr>
    </w:p>
    <w:p>
      <w:pPr>
        <w:jc w:val="both"/>
        <w:ind w:left="1" w:right="260" w:firstLine="162"/>
        <w:spacing w:after="0" w:line="303" w:lineRule="auto"/>
        <w:tabs>
          <w:tab w:leader="none" w:pos="348" w:val="left"/>
        </w:tabs>
        <w:numPr>
          <w:ilvl w:val="1"/>
          <w:numId w:val="107"/>
        </w:numPr>
        <w:rPr>
          <w:rFonts w:ascii="Arial" w:cs="Arial" w:eastAsia="Arial" w:hAnsi="Arial"/>
          <w:sz w:val="11"/>
          <w:szCs w:val="11"/>
          <w:color w:val="auto"/>
        </w:rPr>
      </w:pPr>
      <w:r>
        <w:rPr>
          <w:rFonts w:ascii="Arial" w:cs="Arial" w:eastAsia="Arial" w:hAnsi="Arial"/>
          <w:sz w:val="11"/>
          <w:szCs w:val="11"/>
          <w:color w:val="auto"/>
        </w:rPr>
        <w:t xml:space="preserve">The Borrowers agree to indemnify the Administrative Agent and each Lender for (i) the full amount of Taxes and Other Taxes (including any Taxes or Other Taxes imposed or asserted by any jurisdiction on amounts payable under this Section) paid by the Administrative Agent and such Lender, (ii) amounts payable under </w:t>
      </w:r>
      <w:r>
        <w:rPr>
          <w:rFonts w:ascii="Arial" w:cs="Arial" w:eastAsia="Arial" w:hAnsi="Arial"/>
          <w:sz w:val="11"/>
          <w:szCs w:val="11"/>
          <w:u w:val="single" w:color="auto"/>
          <w:color w:val="auto"/>
        </w:rPr>
        <w:t>Section 3.01(c)</w:t>
      </w:r>
      <w:r>
        <w:rPr>
          <w:rFonts w:ascii="Arial" w:cs="Arial" w:eastAsia="Arial" w:hAnsi="Arial"/>
          <w:sz w:val="11"/>
          <w:szCs w:val="11"/>
          <w:color w:val="auto"/>
        </w:rPr>
        <w:t xml:space="preserve"> and (iii) any liability (including additions to tax, penalties, interest and expenses) arising therefrom or with respect thereto, in each case whether or not such Taxes or Other Taxes were correctly or legally imposed or asserted by the relevant Governmental Authority. Payment under this subsection</w:t>
      </w:r>
    </w:p>
    <w:p>
      <w:pPr>
        <w:ind w:left="181" w:hanging="181"/>
        <w:spacing w:after="0"/>
        <w:tabs>
          <w:tab w:leader="none" w:pos="181" w:val="left"/>
        </w:tabs>
        <w:numPr>
          <w:ilvl w:val="0"/>
          <w:numId w:val="108"/>
        </w:numPr>
        <w:rPr>
          <w:rFonts w:ascii="Arial" w:cs="Arial" w:eastAsia="Arial" w:hAnsi="Arial"/>
          <w:sz w:val="13"/>
          <w:szCs w:val="13"/>
          <w:color w:val="auto"/>
        </w:rPr>
      </w:pPr>
      <w:r>
        <w:rPr>
          <w:rFonts w:ascii="Arial" w:cs="Arial" w:eastAsia="Arial" w:hAnsi="Arial"/>
          <w:sz w:val="13"/>
          <w:szCs w:val="13"/>
          <w:color w:val="auto"/>
        </w:rPr>
        <w:t>shall be made within thirty days after the date the Lender or the Administrative Agent makes a demand therefor.</w:t>
      </w:r>
    </w:p>
    <w:p>
      <w:pPr>
        <w:spacing w:after="0" w:line="158"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3.02 </w:t>
      </w:r>
      <w:r>
        <w:rPr>
          <w:rFonts w:ascii="Arial" w:cs="Arial" w:eastAsia="Arial" w:hAnsi="Arial"/>
          <w:sz w:val="13"/>
          <w:szCs w:val="13"/>
          <w:u w:val="single" w:color="auto"/>
          <w:color w:val="auto"/>
        </w:rPr>
        <w:t>Illegality</w:t>
      </w:r>
      <w:r>
        <w:rPr>
          <w:rFonts w:ascii="Arial" w:cs="Arial" w:eastAsia="Arial" w:hAnsi="Arial"/>
          <w:sz w:val="13"/>
          <w:szCs w:val="13"/>
          <w:color w:val="auto"/>
        </w:rPr>
        <w:t>.</w:t>
      </w:r>
    </w:p>
    <w:p>
      <w:pPr>
        <w:spacing w:after="0" w:line="86" w:lineRule="exact"/>
        <w:rPr>
          <w:sz w:val="20"/>
          <w:szCs w:val="20"/>
          <w:color w:val="auto"/>
        </w:rPr>
      </w:pPr>
    </w:p>
    <w:p>
      <w:pPr>
        <w:ind w:left="1" w:firstLine="164"/>
        <w:spacing w:after="0" w:line="282" w:lineRule="auto"/>
        <w:rPr>
          <w:sz w:val="20"/>
          <w:szCs w:val="20"/>
          <w:color w:val="auto"/>
        </w:rPr>
      </w:pPr>
      <w:r>
        <w:rPr>
          <w:rFonts w:ascii="Arial" w:cs="Arial" w:eastAsia="Arial" w:hAnsi="Arial"/>
          <w:sz w:val="12"/>
          <w:szCs w:val="12"/>
          <w:color w:val="auto"/>
        </w:rPr>
        <w:t>If any Lender determines that any Law has made it unlawful, or that any Governmental Authority has asserted that it is unlawful, for any Lender or its applicable Lending Office to make, maintain or fund Eurocurrency Rate Loans (whether denominated in Dollars or an Alternative Currency), or to determine or charge interest rates based upon the Eurocurrency Rate, or any Governmental Authority has imposed material restrictions on the authority of such Lender to purchase or sell, or to take deposits of, Dollars or any Alternative Currency in the applicable interbank market, then, on notice thereof by such Lender to the Company through the Administrative Agent, any obligation of such Lender to make or continue Eurocurrency Rate Loans in the affected currency or currencies or, in the case of Eurocurrency Rate Loans denominated in Dollars, to convert Base Rate Loans to Eurocurrency Rate Loans shall be suspended until such Lender notifies the Administrative Agent and the Company that the circumstances giving rise to such determination no longer exist. Upon receipt of such notice by the Company, the Borrowers shall, upon demand from such Lender (with a copy to the Administrative Agent), prepay or,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271145</wp:posOffset>
            </wp:positionV>
            <wp:extent cx="7290435" cy="19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35" w:name="page136"/>
    <w:bookmarkEnd w:id="135"/>
    <w:p>
      <w:pPr>
        <w:ind w:left="1"/>
        <w:spacing w:after="0" w:line="260" w:lineRule="auto"/>
        <w:rPr>
          <w:sz w:val="20"/>
          <w:szCs w:val="20"/>
          <w:color w:val="auto"/>
        </w:rPr>
      </w:pPr>
      <w:r>
        <w:rPr>
          <w:rFonts w:ascii="Arial" w:cs="Arial" w:eastAsia="Arial" w:hAnsi="Arial"/>
          <w:sz w:val="13"/>
          <w:szCs w:val="13"/>
          <w:color w:val="auto"/>
        </w:rPr>
        <w:t>applicable and such Loans are denominated in Dollars, convert all Eurocurrency Rate Loans of such Lender to Base Rate Loans, either on the last day of the Interest Period therefor, if such Lender may lawfully continue to maintain such Eurocurrency Rate Loans to such day, or immediately, if such Lender may not lawfully continue to maintain such Eurocurrency Rate Loans. Upon any such prepayment or conversion, the Borrowers shall also pay accrued interest on the amount so prepaid or converted. Each Lender agrees to designate a different Lending Office if such designation will avoid the need for such notice and will not, in the good faith judgment of such Lender, otherwise be materially disadvantageous to such Lender.</w:t>
      </w:r>
    </w:p>
    <w:p>
      <w:pPr>
        <w:spacing w:after="0" w:line="139"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3.03 </w:t>
      </w:r>
      <w:r>
        <w:rPr>
          <w:rFonts w:ascii="Arial" w:cs="Arial" w:eastAsia="Arial" w:hAnsi="Arial"/>
          <w:sz w:val="13"/>
          <w:szCs w:val="13"/>
          <w:u w:val="single" w:color="auto"/>
          <w:color w:val="auto"/>
        </w:rPr>
        <w:t>Inability to Determine Rates</w:t>
      </w:r>
      <w:r>
        <w:rPr>
          <w:rFonts w:ascii="Arial" w:cs="Arial" w:eastAsia="Arial" w:hAnsi="Arial"/>
          <w:sz w:val="13"/>
          <w:szCs w:val="13"/>
          <w:color w:val="auto"/>
        </w:rPr>
        <w:t>.</w:t>
      </w:r>
    </w:p>
    <w:p>
      <w:pPr>
        <w:spacing w:after="0" w:line="86" w:lineRule="exact"/>
        <w:rPr>
          <w:sz w:val="20"/>
          <w:szCs w:val="20"/>
          <w:color w:val="auto"/>
        </w:rPr>
      </w:pPr>
    </w:p>
    <w:p>
      <w:pPr>
        <w:ind w:left="1" w:right="80" w:firstLine="164"/>
        <w:spacing w:after="0" w:line="281" w:lineRule="auto"/>
        <w:rPr>
          <w:sz w:val="20"/>
          <w:szCs w:val="20"/>
          <w:color w:val="auto"/>
        </w:rPr>
      </w:pPr>
      <w:r>
        <w:rPr>
          <w:rFonts w:ascii="Arial" w:cs="Arial" w:eastAsia="Arial" w:hAnsi="Arial"/>
          <w:sz w:val="12"/>
          <w:szCs w:val="12"/>
          <w:color w:val="auto"/>
        </w:rPr>
        <w:t>If the Administrative Agent determines that for any reason in connection with any request for a Eurocurrency Rate Loan or a conversion to or continuation thereof that (i) deposits (whether in Dollars or an Alternative Currency) are not being offered to banks in the applicable offshore interbank market for such currency for the applicable amount and Interest Period of such Eurocurrency Rate Loan, (ii) adequate and reasonable means do not exist for determining the Eurocurrency Base Rate for any requested Interest Period with respect to a proposed Eurocurrency Rate Loan (whether denominated in Dollars or an Alternative Currency), or (iii) that the Eurocurrency Base Rate for any requested Interest Period with respect to a proposed Eurocurrency Rate Loan does not adequately and fairly reflect the cost to the Lenders of funding such Loan, the Administrative Agent will promptly notify the Company and all Lenders. Thereafter, the obligation of the Lenders to make or maintain Eurocurrency Rate Loans in the affected currency or currencies shall be suspended until the Administrative Agent revokes such notice. Upon receipt of such notice, any Borrower may revoke any pending request for a Borrowing, conversion or continuation of Eurocurrency Rate Loans in the affected currency or currencies or, failing that, will be deemed to have converted such request into a request for a Borrowing of Base Rate Loans in the amount specified therein.</w:t>
      </w:r>
    </w:p>
    <w:p>
      <w:pPr>
        <w:spacing w:after="0" w:line="127"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3.04 </w:t>
      </w:r>
      <w:r>
        <w:rPr>
          <w:rFonts w:ascii="Arial" w:cs="Arial" w:eastAsia="Arial" w:hAnsi="Arial"/>
          <w:sz w:val="13"/>
          <w:szCs w:val="13"/>
          <w:u w:val="single" w:color="auto"/>
          <w:color w:val="auto"/>
        </w:rPr>
        <w:t>Increased Cost and Reduced Return; Capital Adequacy</w:t>
      </w:r>
      <w:r>
        <w:rPr>
          <w:rFonts w:ascii="Arial" w:cs="Arial" w:eastAsia="Arial" w:hAnsi="Arial"/>
          <w:sz w:val="13"/>
          <w:szCs w:val="13"/>
          <w:color w:val="auto"/>
        </w:rPr>
        <w:t>.</w:t>
      </w:r>
    </w:p>
    <w:p>
      <w:pPr>
        <w:spacing w:after="0" w:line="86" w:lineRule="exact"/>
        <w:rPr>
          <w:sz w:val="20"/>
          <w:szCs w:val="20"/>
          <w:color w:val="auto"/>
        </w:rPr>
      </w:pPr>
    </w:p>
    <w:p>
      <w:pPr>
        <w:ind w:left="1" w:right="60" w:firstLine="162"/>
        <w:spacing w:after="0" w:line="303" w:lineRule="auto"/>
        <w:tabs>
          <w:tab w:leader="none" w:pos="343" w:val="left"/>
        </w:tabs>
        <w:numPr>
          <w:ilvl w:val="1"/>
          <w:numId w:val="109"/>
        </w:numPr>
        <w:rPr>
          <w:rFonts w:ascii="Arial" w:cs="Arial" w:eastAsia="Arial" w:hAnsi="Arial"/>
          <w:sz w:val="11"/>
          <w:szCs w:val="11"/>
          <w:color w:val="auto"/>
        </w:rPr>
      </w:pPr>
      <w:r>
        <w:rPr>
          <w:rFonts w:ascii="Arial" w:cs="Arial" w:eastAsia="Arial" w:hAnsi="Arial"/>
          <w:sz w:val="11"/>
          <w:szCs w:val="11"/>
          <w:color w:val="auto"/>
        </w:rPr>
        <w:t xml:space="preserve">If any Lender determines that as a result of the introduction of or any change in or in the interpretation of any Law, or such Lender’s compliance therewith, there shall be any increase in the cost to such Lender of agreeing to make or making, funding or maintaining Eurocurrency Rate Loans or (as the case may be) issuing or participating in Letters of Credit, or a reduction in the amount received or receivable by such Lender in connection with any of the foregoing (excluding for purposes of this subsection (a) any such increased costs or reduction in amount resulting from (i) Taxes or Other Taxes (as to which </w:t>
      </w:r>
      <w:r>
        <w:rPr>
          <w:rFonts w:ascii="Arial" w:cs="Arial" w:eastAsia="Arial" w:hAnsi="Arial"/>
          <w:sz w:val="11"/>
          <w:szCs w:val="11"/>
          <w:u w:val="single" w:color="auto"/>
          <w:color w:val="auto"/>
        </w:rPr>
        <w:t>Section 3.01</w:t>
      </w:r>
      <w:r>
        <w:rPr>
          <w:rFonts w:ascii="Arial" w:cs="Arial" w:eastAsia="Arial" w:hAnsi="Arial"/>
          <w:sz w:val="11"/>
          <w:szCs w:val="11"/>
          <w:color w:val="auto"/>
        </w:rPr>
        <w:t xml:space="preserve"> shall govern),</w:t>
      </w:r>
    </w:p>
    <w:p>
      <w:pPr>
        <w:ind w:left="1" w:right="60" w:hanging="1"/>
        <w:spacing w:after="0" w:line="280" w:lineRule="auto"/>
        <w:tabs>
          <w:tab w:leader="none" w:pos="194" w:val="left"/>
        </w:tabs>
        <w:numPr>
          <w:ilvl w:val="0"/>
          <w:numId w:val="110"/>
        </w:numPr>
        <w:rPr>
          <w:rFonts w:ascii="Arial" w:cs="Arial" w:eastAsia="Arial" w:hAnsi="Arial"/>
          <w:sz w:val="12"/>
          <w:szCs w:val="12"/>
          <w:color w:val="auto"/>
        </w:rPr>
      </w:pPr>
      <w:r>
        <w:rPr>
          <w:rFonts w:ascii="Arial" w:cs="Arial" w:eastAsia="Arial" w:hAnsi="Arial"/>
          <w:sz w:val="12"/>
          <w:szCs w:val="12"/>
          <w:color w:val="auto"/>
        </w:rPr>
        <w:t>changes in the basis of taxation of the overall net income or overall gross income by the United States or any foreign jurisdiction or any political subdivision of either thereof under the Laws of which such Lender is organized or has its Lending Office, (iii) reserve requirements utilized, as to Eurocurrency Rate Loans, in the determination of the Eurocurrency Rate) and (iv) the requirements of the Bank of England and the Financial Services Authority or the European Central Bank reflected in the Mandatory Cost, other than as set forth below) or the Mandatory Cost, as calculated hereunder, does not represent the cost to such Lender of complying with the requirements of the Bank of England and/or the Financial Services Authority or the European Central Bank in relation to its making, funding or maintaining of Eurocurrency Rate Loans, then from time to time upon demand of such Lender (with a copy of such demand to the Administrative Agent), the Borrowers shall pay to such Lender such additional amounts as will compensate such Lender for such increased cost or reduction or, if applicable, the portion of such cost that is not represented by the Mandatory Cost.</w:t>
      </w:r>
    </w:p>
    <w:p>
      <w:pPr>
        <w:spacing w:after="0" w:line="48" w:lineRule="exact"/>
        <w:rPr>
          <w:rFonts w:ascii="Arial" w:cs="Arial" w:eastAsia="Arial" w:hAnsi="Arial"/>
          <w:sz w:val="12"/>
          <w:szCs w:val="12"/>
          <w:color w:val="auto"/>
        </w:rPr>
      </w:pPr>
    </w:p>
    <w:p>
      <w:pPr>
        <w:ind w:left="1" w:right="20" w:firstLine="162"/>
        <w:spacing w:after="0" w:line="276" w:lineRule="auto"/>
        <w:tabs>
          <w:tab w:leader="none" w:pos="351" w:val="left"/>
        </w:tabs>
        <w:numPr>
          <w:ilvl w:val="1"/>
          <w:numId w:val="110"/>
        </w:numPr>
        <w:rPr>
          <w:rFonts w:ascii="Arial" w:cs="Arial" w:eastAsia="Arial" w:hAnsi="Arial"/>
          <w:sz w:val="13"/>
          <w:szCs w:val="13"/>
          <w:color w:val="auto"/>
        </w:rPr>
      </w:pPr>
      <w:r>
        <w:rPr>
          <w:rFonts w:ascii="Arial" w:cs="Arial" w:eastAsia="Arial" w:hAnsi="Arial"/>
          <w:sz w:val="13"/>
          <w:szCs w:val="13"/>
          <w:color w:val="auto"/>
        </w:rPr>
        <w:t>If any Lender determines that the introduction of any Law regarding capital adequacy or any change therein or in the interpretation thereof, or compliance by such Lender (or its Lending Office) therewith, has the effect of reducing the rate of return on the capital of such Lender or any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271145</wp:posOffset>
            </wp:positionV>
            <wp:extent cx="7290435" cy="19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36" w:name="page137"/>
    <w:bookmarkEnd w:id="136"/>
    <w:p>
      <w:pPr>
        <w:ind w:right="140"/>
        <w:spacing w:after="0" w:line="320" w:lineRule="auto"/>
        <w:rPr>
          <w:sz w:val="20"/>
          <w:szCs w:val="20"/>
          <w:color w:val="auto"/>
        </w:rPr>
      </w:pPr>
      <w:r>
        <w:rPr>
          <w:rFonts w:ascii="Arial" w:cs="Arial" w:eastAsia="Arial" w:hAnsi="Arial"/>
          <w:sz w:val="12"/>
          <w:szCs w:val="12"/>
          <w:color w:val="auto"/>
        </w:rPr>
        <w:t>controlling such Lender as a consequence of such Lender’s obligations hereunder (taking into consideration its policies with respect to capital adequacy and such Lender’s desired return on capital), then from time to time upon demand of such Lender (with a copy of such demand to the Administrative Agent), the Borrowers shall pay to such Lender such additional amounts as will compensate such Lender for such reduction.</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3.05 </w:t>
      </w:r>
      <w:r>
        <w:rPr>
          <w:rFonts w:ascii="Arial" w:cs="Arial" w:eastAsia="Arial" w:hAnsi="Arial"/>
          <w:sz w:val="13"/>
          <w:szCs w:val="13"/>
          <w:u w:val="single" w:color="auto"/>
          <w:color w:val="auto"/>
        </w:rPr>
        <w:t>Compensation for Losses.</w:t>
      </w:r>
    </w:p>
    <w:p>
      <w:pPr>
        <w:spacing w:after="0" w:line="86" w:lineRule="exact"/>
        <w:rPr>
          <w:sz w:val="20"/>
          <w:szCs w:val="20"/>
          <w:color w:val="auto"/>
        </w:rPr>
      </w:pPr>
    </w:p>
    <w:p>
      <w:pPr>
        <w:ind w:right="220" w:firstLine="164"/>
        <w:spacing w:after="0" w:line="276" w:lineRule="auto"/>
        <w:rPr>
          <w:sz w:val="20"/>
          <w:szCs w:val="20"/>
          <w:color w:val="auto"/>
        </w:rPr>
      </w:pPr>
      <w:r>
        <w:rPr>
          <w:rFonts w:ascii="Arial" w:cs="Arial" w:eastAsia="Arial" w:hAnsi="Arial"/>
          <w:sz w:val="13"/>
          <w:szCs w:val="13"/>
          <w:color w:val="auto"/>
        </w:rPr>
        <w:t>Upon written demand of any Lender (with a copy to the Administrative Agent) from time to time, the Borrowers shall promptly compensate such Lender for and hold such Lender harmless from any loss, cost or expense incurred by it as a result of:</w:t>
      </w:r>
    </w:p>
    <w:p>
      <w:pPr>
        <w:spacing w:after="0" w:line="49" w:lineRule="exact"/>
        <w:rPr>
          <w:sz w:val="20"/>
          <w:szCs w:val="20"/>
          <w:color w:val="auto"/>
        </w:rPr>
      </w:pPr>
    </w:p>
    <w:p>
      <w:pPr>
        <w:ind w:left="220" w:right="20" w:firstLine="172"/>
        <w:spacing w:after="0" w:line="276" w:lineRule="auto"/>
        <w:tabs>
          <w:tab w:leader="none" w:pos="562" w:val="left"/>
        </w:tabs>
        <w:numPr>
          <w:ilvl w:val="0"/>
          <w:numId w:val="111"/>
        </w:numPr>
        <w:rPr>
          <w:rFonts w:ascii="Arial" w:cs="Arial" w:eastAsia="Arial" w:hAnsi="Arial"/>
          <w:sz w:val="13"/>
          <w:szCs w:val="13"/>
          <w:color w:val="auto"/>
        </w:rPr>
      </w:pPr>
      <w:r>
        <w:rPr>
          <w:rFonts w:ascii="Arial" w:cs="Arial" w:eastAsia="Arial" w:hAnsi="Arial"/>
          <w:sz w:val="13"/>
          <w:szCs w:val="13"/>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49" w:lineRule="exact"/>
        <w:rPr>
          <w:rFonts w:ascii="Arial" w:cs="Arial" w:eastAsia="Arial" w:hAnsi="Arial"/>
          <w:sz w:val="13"/>
          <w:szCs w:val="13"/>
          <w:color w:val="auto"/>
        </w:rPr>
      </w:pPr>
    </w:p>
    <w:p>
      <w:pPr>
        <w:ind w:left="220" w:right="380" w:firstLine="172"/>
        <w:spacing w:after="0" w:line="276" w:lineRule="auto"/>
        <w:tabs>
          <w:tab w:leader="none" w:pos="569" w:val="left"/>
        </w:tabs>
        <w:numPr>
          <w:ilvl w:val="0"/>
          <w:numId w:val="111"/>
        </w:numPr>
        <w:rPr>
          <w:rFonts w:ascii="Arial" w:cs="Arial" w:eastAsia="Arial" w:hAnsi="Arial"/>
          <w:sz w:val="13"/>
          <w:szCs w:val="13"/>
          <w:color w:val="auto"/>
        </w:rPr>
      </w:pPr>
      <w:r>
        <w:rPr>
          <w:rFonts w:ascii="Arial" w:cs="Arial" w:eastAsia="Arial" w:hAnsi="Arial"/>
          <w:sz w:val="13"/>
          <w:szCs w:val="13"/>
          <w:color w:val="auto"/>
        </w:rPr>
        <w:t>any failure by a Borrower (for a reason other than the failure of such Lender to make a Loan) to prepay, borrow, continue or convert any Loan other than a Base Rate Loan on the date or in the amount notified by such Borrower;</w:t>
      </w:r>
    </w:p>
    <w:p>
      <w:pPr>
        <w:spacing w:after="0" w:line="49" w:lineRule="exact"/>
        <w:rPr>
          <w:rFonts w:ascii="Arial" w:cs="Arial" w:eastAsia="Arial" w:hAnsi="Arial"/>
          <w:sz w:val="13"/>
          <w:szCs w:val="13"/>
          <w:color w:val="auto"/>
        </w:rPr>
      </w:pPr>
    </w:p>
    <w:p>
      <w:pPr>
        <w:ind w:left="220" w:right="260" w:firstLine="172"/>
        <w:spacing w:after="0" w:line="276" w:lineRule="auto"/>
        <w:tabs>
          <w:tab w:leader="none" w:pos="562" w:val="left"/>
        </w:tabs>
        <w:numPr>
          <w:ilvl w:val="0"/>
          <w:numId w:val="111"/>
        </w:numPr>
        <w:rPr>
          <w:rFonts w:ascii="Arial" w:cs="Arial" w:eastAsia="Arial" w:hAnsi="Arial"/>
          <w:sz w:val="13"/>
          <w:szCs w:val="13"/>
          <w:color w:val="auto"/>
        </w:rPr>
      </w:pPr>
      <w:r>
        <w:rPr>
          <w:rFonts w:ascii="Arial" w:cs="Arial" w:eastAsia="Arial" w:hAnsi="Arial"/>
          <w:sz w:val="13"/>
          <w:szCs w:val="13"/>
          <w:color w:val="auto"/>
        </w:rPr>
        <w:t>any failure by a Borrower to make payment of any Loan or drawing under any Letter of Credit (or interest due thereon) denominated in an Alternative Currency on its scheduled due date or any payment thereof in a different currency; or</w:t>
      </w:r>
    </w:p>
    <w:p>
      <w:pPr>
        <w:spacing w:after="0" w:line="49" w:lineRule="exact"/>
        <w:rPr>
          <w:rFonts w:ascii="Arial" w:cs="Arial" w:eastAsia="Arial" w:hAnsi="Arial"/>
          <w:sz w:val="13"/>
          <w:szCs w:val="13"/>
          <w:color w:val="auto"/>
        </w:rPr>
      </w:pPr>
    </w:p>
    <w:p>
      <w:pPr>
        <w:ind w:left="580" w:hanging="188"/>
        <w:spacing w:after="0"/>
        <w:tabs>
          <w:tab w:leader="none" w:pos="58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any assignment of a Eurocurrency Rate Loan on a day other than the last day of the Interest Period therefor as a result of:</w:t>
      </w:r>
    </w:p>
    <w:p>
      <w:pPr>
        <w:spacing w:after="0" w:line="86" w:lineRule="exact"/>
        <w:rPr>
          <w:rFonts w:ascii="Arial" w:cs="Arial" w:eastAsia="Arial" w:hAnsi="Arial"/>
          <w:sz w:val="13"/>
          <w:szCs w:val="13"/>
          <w:color w:val="auto"/>
        </w:rPr>
      </w:pPr>
    </w:p>
    <w:p>
      <w:pPr>
        <w:ind w:left="780" w:hanging="159"/>
        <w:spacing w:after="0"/>
        <w:tabs>
          <w:tab w:leader="none" w:pos="780" w:val="left"/>
        </w:tabs>
        <w:numPr>
          <w:ilvl w:val="1"/>
          <w:numId w:val="111"/>
        </w:numPr>
        <w:rPr>
          <w:rFonts w:ascii="Arial" w:cs="Arial" w:eastAsia="Arial" w:hAnsi="Arial"/>
          <w:sz w:val="13"/>
          <w:szCs w:val="13"/>
          <w:color w:val="auto"/>
        </w:rPr>
      </w:pPr>
      <w:r>
        <w:rPr>
          <w:rFonts w:ascii="Arial" w:cs="Arial" w:eastAsia="Arial" w:hAnsi="Arial"/>
          <w:sz w:val="13"/>
          <w:szCs w:val="13"/>
          <w:color w:val="auto"/>
        </w:rPr>
        <w:t xml:space="preserve">a request by the Company pursuant to </w:t>
      </w:r>
      <w:r>
        <w:rPr>
          <w:rFonts w:ascii="Arial" w:cs="Arial" w:eastAsia="Arial" w:hAnsi="Arial"/>
          <w:sz w:val="13"/>
          <w:szCs w:val="13"/>
          <w:u w:val="single" w:color="auto"/>
          <w:color w:val="auto"/>
        </w:rPr>
        <w:t>Section 11.16</w:t>
      </w:r>
      <w:r>
        <w:rPr>
          <w:rFonts w:ascii="Arial" w:cs="Arial" w:eastAsia="Arial" w:hAnsi="Arial"/>
          <w:sz w:val="13"/>
          <w:szCs w:val="13"/>
          <w:color w:val="auto"/>
        </w:rPr>
        <w:t>; or</w:t>
      </w:r>
    </w:p>
    <w:p>
      <w:pPr>
        <w:spacing w:after="0" w:line="86" w:lineRule="exact"/>
        <w:rPr>
          <w:rFonts w:ascii="Arial" w:cs="Arial" w:eastAsia="Arial" w:hAnsi="Arial"/>
          <w:sz w:val="13"/>
          <w:szCs w:val="13"/>
          <w:color w:val="auto"/>
        </w:rPr>
      </w:pPr>
    </w:p>
    <w:p>
      <w:pPr>
        <w:ind w:left="460" w:right="140" w:firstLine="161"/>
        <w:spacing w:after="0" w:line="264" w:lineRule="auto"/>
        <w:tabs>
          <w:tab w:leader="none" w:pos="817" w:val="left"/>
        </w:tabs>
        <w:numPr>
          <w:ilvl w:val="1"/>
          <w:numId w:val="111"/>
        </w:numPr>
        <w:rPr>
          <w:rFonts w:ascii="Arial" w:cs="Arial" w:eastAsia="Arial" w:hAnsi="Arial"/>
          <w:sz w:val="13"/>
          <w:szCs w:val="13"/>
          <w:color w:val="auto"/>
        </w:rPr>
      </w:pPr>
      <w:r>
        <w:rPr>
          <w:rFonts w:ascii="Arial" w:cs="Arial" w:eastAsia="Arial" w:hAnsi="Arial"/>
          <w:sz w:val="13"/>
          <w:szCs w:val="13"/>
          <w:color w:val="auto"/>
        </w:rPr>
        <w:t xml:space="preserve">an assignment by Bank of America pursuant to </w:t>
      </w:r>
      <w:r>
        <w:rPr>
          <w:rFonts w:ascii="Arial" w:cs="Arial" w:eastAsia="Arial" w:hAnsi="Arial"/>
          <w:sz w:val="13"/>
          <w:szCs w:val="13"/>
          <w:u w:val="single" w:color="auto"/>
          <w:color w:val="auto"/>
        </w:rPr>
        <w:t>Section 11.07(b)</w:t>
      </w:r>
      <w:r>
        <w:rPr>
          <w:rFonts w:ascii="Arial" w:cs="Arial" w:eastAsia="Arial" w:hAnsi="Arial"/>
          <w:sz w:val="13"/>
          <w:szCs w:val="13"/>
          <w:color w:val="auto"/>
        </w:rPr>
        <w:t xml:space="preserve"> as part of the primary syndication of the Commitments and Loans during the 180-day period immediately following the Closing Date,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Bank of America agrees to use reasonable efforts to reduce the breakage costs payable by the Borrower in connection therewith (including, without limitation, to the extent reasonably practical, closing such assignments at the end of Interest Periods of outstanding Eurocurrency Rate Loans);</w:t>
      </w:r>
    </w:p>
    <w:p>
      <w:pPr>
        <w:spacing w:after="0" w:line="57"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including any loss of anticipated profits, any foreign exchange losses and any loss or expense arising from the liquidation or reemployment of funds obtained by it to maintain such Loan, from fees payable to terminate the deposits from which such funds were obtained or from the performance of any foreign exchange contract. The Borrowers shall also pay any customary administrative fees charged by such Lender in connection with the foregoing.</w:t>
      </w:r>
    </w:p>
    <w:p>
      <w:pPr>
        <w:spacing w:after="0" w:line="57" w:lineRule="exact"/>
        <w:rPr>
          <w:sz w:val="20"/>
          <w:szCs w:val="20"/>
          <w:color w:val="auto"/>
        </w:rPr>
      </w:pPr>
    </w:p>
    <w:p>
      <w:pPr>
        <w:ind w:right="20" w:firstLine="164"/>
        <w:spacing w:after="0" w:line="264" w:lineRule="auto"/>
        <w:rPr>
          <w:sz w:val="20"/>
          <w:szCs w:val="20"/>
          <w:color w:val="auto"/>
        </w:rPr>
      </w:pPr>
      <w:r>
        <w:rPr>
          <w:rFonts w:ascii="Arial" w:cs="Arial" w:eastAsia="Arial" w:hAnsi="Arial"/>
          <w:sz w:val="13"/>
          <w:szCs w:val="13"/>
          <w:color w:val="auto"/>
        </w:rPr>
        <w:t xml:space="preserve">For purposes of calculating amounts payable by the Borrowers to the Lenders under this </w:t>
      </w:r>
      <w:r>
        <w:rPr>
          <w:rFonts w:ascii="Arial" w:cs="Arial" w:eastAsia="Arial" w:hAnsi="Arial"/>
          <w:sz w:val="13"/>
          <w:szCs w:val="13"/>
          <w:u w:val="single" w:color="auto"/>
          <w:color w:val="auto"/>
        </w:rPr>
        <w:t>Section 3.05</w:t>
      </w:r>
      <w:r>
        <w:rPr>
          <w:rFonts w:ascii="Arial" w:cs="Arial" w:eastAsia="Arial" w:hAnsi="Arial"/>
          <w:sz w:val="13"/>
          <w:szCs w:val="13"/>
          <w:color w:val="auto"/>
        </w:rPr>
        <w:t>, each Lender shall be deemed to have funded each Eurocurrency Rate Loan made by it at the Eurocurrency Base Rate used in determining the Eurocurrency Rate for such Loan by a matching deposit or other borrowing in the offshore interbank market for such currency for a comparable amount and for a comparable period, whether or not such Eurocurrency Rate Loan was in fact so funded.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275590</wp:posOffset>
            </wp:positionV>
            <wp:extent cx="7290435" cy="19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137" w:name="page138"/>
    <w:bookmarkEnd w:id="137"/>
    <w:p>
      <w:pPr>
        <w:spacing w:after="0"/>
        <w:rPr>
          <w:sz w:val="20"/>
          <w:szCs w:val="20"/>
          <w:color w:val="auto"/>
        </w:rPr>
      </w:pPr>
      <w:r>
        <w:rPr>
          <w:rFonts w:ascii="Arial" w:cs="Arial" w:eastAsia="Arial" w:hAnsi="Arial"/>
          <w:sz w:val="13"/>
          <w:szCs w:val="13"/>
          <w:color w:val="auto"/>
        </w:rPr>
        <w:t xml:space="preserve">3.06 </w:t>
      </w:r>
      <w:r>
        <w:rPr>
          <w:rFonts w:ascii="Arial" w:cs="Arial" w:eastAsia="Arial" w:hAnsi="Arial"/>
          <w:sz w:val="13"/>
          <w:szCs w:val="13"/>
          <w:u w:val="single" w:color="auto"/>
          <w:color w:val="auto"/>
        </w:rPr>
        <w:t>Matters Applicable to all Requests for Compensation.</w:t>
      </w:r>
    </w:p>
    <w:p>
      <w:pPr>
        <w:spacing w:after="0" w:line="86" w:lineRule="exact"/>
        <w:rPr>
          <w:sz w:val="20"/>
          <w:szCs w:val="20"/>
          <w:color w:val="auto"/>
        </w:rPr>
      </w:pPr>
    </w:p>
    <w:p>
      <w:pPr>
        <w:jc w:val="both"/>
        <w:ind w:right="280" w:firstLine="162"/>
        <w:spacing w:after="0" w:line="371" w:lineRule="auto"/>
        <w:tabs>
          <w:tab w:leader="none" w:pos="335" w:val="left"/>
        </w:tabs>
        <w:numPr>
          <w:ilvl w:val="0"/>
          <w:numId w:val="112"/>
        </w:numPr>
        <w:rPr>
          <w:rFonts w:ascii="Arial" w:cs="Arial" w:eastAsia="Arial" w:hAnsi="Arial"/>
          <w:sz w:val="11"/>
          <w:szCs w:val="11"/>
          <w:color w:val="auto"/>
        </w:rPr>
      </w:pPr>
      <w:r>
        <w:rPr>
          <w:rFonts w:ascii="Arial" w:cs="Arial" w:eastAsia="Arial" w:hAnsi="Arial"/>
          <w:sz w:val="11"/>
          <w:szCs w:val="11"/>
          <w:color w:val="auto"/>
        </w:rPr>
        <w:t xml:space="preserve">A certificate of the Administrative Agent or any Lender claiming compensation under this </w:t>
      </w:r>
      <w:r>
        <w:rPr>
          <w:rFonts w:ascii="Arial" w:cs="Arial" w:eastAsia="Arial" w:hAnsi="Arial"/>
          <w:sz w:val="11"/>
          <w:szCs w:val="11"/>
          <w:u w:val="single" w:color="auto"/>
          <w:color w:val="auto"/>
        </w:rPr>
        <w:t>Article III</w:t>
      </w:r>
      <w:r>
        <w:rPr>
          <w:rFonts w:ascii="Arial" w:cs="Arial" w:eastAsia="Arial" w:hAnsi="Arial"/>
          <w:sz w:val="11"/>
          <w:szCs w:val="11"/>
          <w:color w:val="auto"/>
        </w:rPr>
        <w:t xml:space="preserve"> and setting forth, in reasonable detail, the basis of any loss, cost or expense and the additional amount or amounts to be paid to it hereunder shall be conclusive in the absence of manifest error. In determining such amount, the Administrative Agent or such Lender may use reasonable averaging and attribution methods.</w:t>
      </w:r>
    </w:p>
    <w:p>
      <w:pPr>
        <w:spacing w:after="0" w:line="2" w:lineRule="exact"/>
        <w:rPr>
          <w:rFonts w:ascii="Arial" w:cs="Arial" w:eastAsia="Arial" w:hAnsi="Arial"/>
          <w:sz w:val="11"/>
          <w:szCs w:val="11"/>
          <w:color w:val="auto"/>
        </w:rPr>
      </w:pPr>
    </w:p>
    <w:p>
      <w:pPr>
        <w:ind w:left="340" w:hanging="178"/>
        <w:spacing w:after="0"/>
        <w:tabs>
          <w:tab w:leader="none" w:pos="34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 xml:space="preserve">Upon any Lender’s making a claim for compensation under </w:t>
      </w:r>
      <w:r>
        <w:rPr>
          <w:rFonts w:ascii="Arial" w:cs="Arial" w:eastAsia="Arial" w:hAnsi="Arial"/>
          <w:sz w:val="13"/>
          <w:szCs w:val="13"/>
          <w:u w:val="single" w:color="auto"/>
          <w:color w:val="auto"/>
        </w:rPr>
        <w:t>Section 3.01</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3.04</w:t>
      </w:r>
      <w:r>
        <w:rPr>
          <w:rFonts w:ascii="Arial" w:cs="Arial" w:eastAsia="Arial" w:hAnsi="Arial"/>
          <w:sz w:val="13"/>
          <w:szCs w:val="13"/>
          <w:color w:val="auto"/>
        </w:rPr>
        <w:t xml:space="preserve">, the Company may replace such Lender in accordance with </w:t>
      </w:r>
      <w:r>
        <w:rPr>
          <w:rFonts w:ascii="Arial" w:cs="Arial" w:eastAsia="Arial" w:hAnsi="Arial"/>
          <w:sz w:val="13"/>
          <w:szCs w:val="13"/>
          <w:u w:val="single" w:color="auto"/>
          <w:color w:val="auto"/>
        </w:rPr>
        <w:t>Section 11.16</w:t>
      </w:r>
      <w:r>
        <w:rPr>
          <w:rFonts w:ascii="Arial" w:cs="Arial" w:eastAsia="Arial" w:hAnsi="Arial"/>
          <w:sz w:val="13"/>
          <w:szCs w:val="13"/>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3.07 </w:t>
      </w:r>
      <w:r>
        <w:rPr>
          <w:rFonts w:ascii="Arial" w:cs="Arial" w:eastAsia="Arial" w:hAnsi="Arial"/>
          <w:sz w:val="13"/>
          <w:szCs w:val="13"/>
          <w:u w:val="single" w:color="auto"/>
          <w:color w:val="auto"/>
        </w:rPr>
        <w:t>Survival</w:t>
      </w:r>
      <w:r>
        <w:rPr>
          <w:rFonts w:ascii="Arial" w:cs="Arial" w:eastAsia="Arial" w:hAnsi="Arial"/>
          <w:sz w:val="13"/>
          <w:szCs w:val="13"/>
          <w:color w:val="auto"/>
        </w:rPr>
        <w: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All of the Borrowers’ obligations under this </w:t>
      </w:r>
      <w:r>
        <w:rPr>
          <w:rFonts w:ascii="Arial" w:cs="Arial" w:eastAsia="Arial" w:hAnsi="Arial"/>
          <w:sz w:val="13"/>
          <w:szCs w:val="13"/>
          <w:u w:val="single" w:color="auto"/>
          <w:color w:val="auto"/>
        </w:rPr>
        <w:t>Article III</w:t>
      </w:r>
      <w:r>
        <w:rPr>
          <w:rFonts w:ascii="Arial" w:cs="Arial" w:eastAsia="Arial" w:hAnsi="Arial"/>
          <w:sz w:val="13"/>
          <w:szCs w:val="13"/>
          <w:color w:val="auto"/>
        </w:rPr>
        <w:t xml:space="preserve"> shall survive termination of the Aggregate Revolving Commitments and repayment of all other Obligations hereunder.</w:t>
      </w:r>
    </w:p>
    <w:p>
      <w:pPr>
        <w:spacing w:after="0" w:line="244" w:lineRule="exact"/>
        <w:rPr>
          <w:sz w:val="20"/>
          <w:szCs w:val="20"/>
          <w:color w:val="auto"/>
        </w:rPr>
      </w:pPr>
    </w:p>
    <w:p>
      <w:pPr>
        <w:ind w:left="5380"/>
        <w:spacing w:after="0"/>
        <w:rPr>
          <w:sz w:val="20"/>
          <w:szCs w:val="20"/>
          <w:color w:val="auto"/>
        </w:rPr>
      </w:pPr>
      <w:r>
        <w:rPr>
          <w:rFonts w:ascii="Arial" w:cs="Arial" w:eastAsia="Arial" w:hAnsi="Arial"/>
          <w:sz w:val="13"/>
          <w:szCs w:val="13"/>
          <w:color w:val="auto"/>
        </w:rPr>
        <w:t>ARTICLE IV</w:t>
      </w:r>
    </w:p>
    <w:p>
      <w:pPr>
        <w:spacing w:after="0" w:line="86" w:lineRule="exact"/>
        <w:rPr>
          <w:sz w:val="20"/>
          <w:szCs w:val="20"/>
          <w:color w:val="auto"/>
        </w:rPr>
      </w:pPr>
    </w:p>
    <w:p>
      <w:pPr>
        <w:ind w:left="5360"/>
        <w:spacing w:after="0"/>
        <w:rPr>
          <w:sz w:val="20"/>
          <w:szCs w:val="20"/>
          <w:color w:val="auto"/>
        </w:rPr>
      </w:pPr>
      <w:r>
        <w:rPr>
          <w:rFonts w:ascii="Arial" w:cs="Arial" w:eastAsia="Arial" w:hAnsi="Arial"/>
          <w:sz w:val="13"/>
          <w:szCs w:val="13"/>
          <w:u w:val="single" w:color="auto"/>
          <w:color w:val="auto"/>
        </w:rPr>
        <w:t>GUARANTY</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4.01 </w:t>
      </w:r>
      <w:r>
        <w:rPr>
          <w:rFonts w:ascii="Arial" w:cs="Arial" w:eastAsia="Arial" w:hAnsi="Arial"/>
          <w:sz w:val="13"/>
          <w:szCs w:val="13"/>
          <w:u w:val="single" w:color="auto"/>
          <w:color w:val="auto"/>
        </w:rPr>
        <w:t>The Guaranty</w:t>
      </w:r>
      <w:r>
        <w:rPr>
          <w:rFonts w:ascii="Arial" w:cs="Arial" w:eastAsia="Arial" w:hAnsi="Arial"/>
          <w:sz w:val="13"/>
          <w:szCs w:val="13"/>
          <w:color w:val="auto"/>
        </w:rPr>
        <w:t>.</w:t>
      </w:r>
    </w:p>
    <w:p>
      <w:pPr>
        <w:spacing w:after="0" w:line="86" w:lineRule="exact"/>
        <w:rPr>
          <w:sz w:val="20"/>
          <w:szCs w:val="20"/>
          <w:color w:val="auto"/>
        </w:rPr>
      </w:pPr>
    </w:p>
    <w:p>
      <w:pPr>
        <w:ind w:right="20" w:firstLine="164"/>
        <w:spacing w:after="0" w:line="257" w:lineRule="auto"/>
        <w:rPr>
          <w:sz w:val="20"/>
          <w:szCs w:val="20"/>
          <w:color w:val="auto"/>
        </w:rPr>
      </w:pPr>
      <w:r>
        <w:rPr>
          <w:rFonts w:ascii="Arial" w:cs="Arial" w:eastAsia="Arial" w:hAnsi="Arial"/>
          <w:sz w:val="13"/>
          <w:szCs w:val="13"/>
          <w:color w:val="auto"/>
        </w:rPr>
        <w:t>Each of the Guarantors hereby jointly and severally guarantees to each Lender, each Affiliate of a Lender that enters into a Swap Contract or a Treasury Management Agreement with a Loan Party, and the Administrative Agent as hereinafter provided, as primary obligor and not as surety, the prompt payment of the Obligations in full when due (whether at stated maturity, as a mandatory prepayment, by acceleration, as a mandatory cash collateralization or otherwise) strictly in accordance with the terms thereof. The Guarantors hereby further agree that if any of the Obligations are not paid in full when due (whether at stated maturity, as a mandatory prepayment, by acceleration, as a mandatory cash collateralization or otherwise), the Guarantors will, jointly and severally, promptly pay the same, without any demand or notice whatsoever, and that in the case of any extension of time of payment or renewal of any of the Obligations, the same will be promptly paid in full when due (whether at extended maturity, as a mandatory prepayment, by acceleration, as a mandatory cash collateralization or otherwise) in accordance with the terms of such extension or renewal.</w:t>
      </w:r>
    </w:p>
    <w:p>
      <w:pPr>
        <w:spacing w:after="0" w:line="62" w:lineRule="exact"/>
        <w:rPr>
          <w:sz w:val="20"/>
          <w:szCs w:val="20"/>
          <w:color w:val="auto"/>
        </w:rPr>
      </w:pPr>
    </w:p>
    <w:p>
      <w:pPr>
        <w:ind w:right="20" w:firstLine="164"/>
        <w:spacing w:after="0" w:line="264" w:lineRule="auto"/>
        <w:rPr>
          <w:sz w:val="20"/>
          <w:szCs w:val="20"/>
          <w:color w:val="auto"/>
        </w:rPr>
      </w:pPr>
      <w:r>
        <w:rPr>
          <w:rFonts w:ascii="Arial" w:cs="Arial" w:eastAsia="Arial" w:hAnsi="Arial"/>
          <w:sz w:val="13"/>
          <w:szCs w:val="13"/>
          <w:color w:val="auto"/>
        </w:rPr>
        <w:t>Notwithstanding any provision to the contrary contained herein or in any other of the Loan Documents, Swap Contracts or Treasury Management Agreements, the obligations of each Guarantor under this Agreement and the other Loan Documents shall be limited to an aggregate amount equal to the largest amount that would not render such obligations subject to avoidance under the Debtor Relief Laws or any comparable provisions of any applicable state law.</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4.02 </w:t>
      </w:r>
      <w:r>
        <w:rPr>
          <w:rFonts w:ascii="Arial" w:cs="Arial" w:eastAsia="Arial" w:hAnsi="Arial"/>
          <w:sz w:val="13"/>
          <w:szCs w:val="13"/>
          <w:u w:val="single" w:color="auto"/>
          <w:color w:val="auto"/>
        </w:rPr>
        <w:t>Obligations Unconditional</w:t>
      </w:r>
      <w:r>
        <w:rPr>
          <w:rFonts w:ascii="Arial" w:cs="Arial" w:eastAsia="Arial" w:hAnsi="Arial"/>
          <w:sz w:val="13"/>
          <w:szCs w:val="13"/>
          <w:color w:val="auto"/>
        </w:rPr>
        <w:t>.</w:t>
      </w:r>
    </w:p>
    <w:p>
      <w:pPr>
        <w:spacing w:after="0" w:line="86" w:lineRule="exact"/>
        <w:rPr>
          <w:sz w:val="20"/>
          <w:szCs w:val="20"/>
          <w:color w:val="auto"/>
        </w:rPr>
      </w:pPr>
    </w:p>
    <w:p>
      <w:pPr>
        <w:ind w:firstLine="161"/>
        <w:spacing w:after="0" w:line="258" w:lineRule="auto"/>
        <w:rPr>
          <w:sz w:val="20"/>
          <w:szCs w:val="20"/>
          <w:color w:val="auto"/>
        </w:rPr>
      </w:pPr>
      <w:r>
        <w:rPr>
          <w:rFonts w:ascii="Arial" w:cs="Arial" w:eastAsia="Arial" w:hAnsi="Arial"/>
          <w:sz w:val="13"/>
          <w:szCs w:val="13"/>
          <w:color w:val="auto"/>
        </w:rPr>
        <w:t xml:space="preserve">The obligations of the Guarantors under </w:t>
      </w:r>
      <w:r>
        <w:rPr>
          <w:rFonts w:ascii="Arial" w:cs="Arial" w:eastAsia="Arial" w:hAnsi="Arial"/>
          <w:sz w:val="13"/>
          <w:szCs w:val="13"/>
          <w:u w:val="single" w:color="auto"/>
          <w:color w:val="auto"/>
        </w:rPr>
        <w:t>Section 4.01</w:t>
      </w:r>
      <w:r>
        <w:rPr>
          <w:rFonts w:ascii="Arial" w:cs="Arial" w:eastAsia="Arial" w:hAnsi="Arial"/>
          <w:sz w:val="13"/>
          <w:szCs w:val="13"/>
          <w:color w:val="auto"/>
        </w:rPr>
        <w:t xml:space="preserve"> are joint and several, absolute and unconditional, irrespective of the value, genuineness, validity, regularity or enforceability of any of the Loan Documents, Swap Contracts or Treasury Management Agreements, or any other agreement or instrument referred to therein, or any substitution, release, impairment or exchange of any other guarantee of or security for any of the Obligations, and, to the fullest extent permitted by applicable law, irrespective of any other circumstance whatsoever which might otherwise constitute a legal or equitable discharge or defense of a surety or guarantor, it being the intent of this </w:t>
      </w:r>
      <w:r>
        <w:rPr>
          <w:rFonts w:ascii="Arial" w:cs="Arial" w:eastAsia="Arial" w:hAnsi="Arial"/>
          <w:sz w:val="13"/>
          <w:szCs w:val="13"/>
          <w:u w:val="single" w:color="auto"/>
          <w:color w:val="auto"/>
        </w:rPr>
        <w:t>Section 4.02</w:t>
      </w:r>
      <w:r>
        <w:rPr>
          <w:rFonts w:ascii="Arial" w:cs="Arial" w:eastAsia="Arial" w:hAnsi="Arial"/>
          <w:sz w:val="13"/>
          <w:szCs w:val="13"/>
          <w:color w:val="auto"/>
        </w:rPr>
        <w:t xml:space="preserve"> that the obligations of the Guarantors hereunder shall be absolute and unconditional under any and all circumstances. Each Guarantor agrees that such Guarantor shall have no right of subrogation, indemnity, reimbursement or contribution against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278765</wp:posOffset>
            </wp:positionV>
            <wp:extent cx="7290435" cy="19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38" w:name="page139"/>
    <w:bookmarkEnd w:id="138"/>
    <w:p>
      <w:pPr>
        <w:ind w:right="40"/>
        <w:spacing w:after="0" w:line="264" w:lineRule="auto"/>
        <w:rPr>
          <w:sz w:val="20"/>
          <w:szCs w:val="20"/>
          <w:color w:val="auto"/>
        </w:rPr>
      </w:pPr>
      <w:r>
        <w:rPr>
          <w:rFonts w:ascii="Arial" w:cs="Arial" w:eastAsia="Arial" w:hAnsi="Arial"/>
          <w:sz w:val="13"/>
          <w:szCs w:val="13"/>
          <w:color w:val="auto"/>
        </w:rPr>
        <w:t xml:space="preserve">Borrowers or any other Guarantor for amounts paid under this </w:t>
      </w:r>
      <w:r>
        <w:rPr>
          <w:rFonts w:ascii="Arial" w:cs="Arial" w:eastAsia="Arial" w:hAnsi="Arial"/>
          <w:sz w:val="13"/>
          <w:szCs w:val="13"/>
          <w:u w:val="single" w:color="auto"/>
          <w:color w:val="auto"/>
        </w:rPr>
        <w:t>Article IV</w:t>
      </w:r>
      <w:r>
        <w:rPr>
          <w:rFonts w:ascii="Arial" w:cs="Arial" w:eastAsia="Arial" w:hAnsi="Arial"/>
          <w:sz w:val="13"/>
          <w:szCs w:val="13"/>
          <w:color w:val="auto"/>
        </w:rPr>
        <w:t xml:space="preserve"> until such time as the Obligations have been paid in full and the Commitments have expired or terminated. Without limiting the generality of the foregoing, it is agreed that, to the fullest extent permitted by law, the occurrence of any one or more of the following shall not alter or impair the liability of any Guarantor hereunder, which shall remain absolute and unconditional as described above:</w:t>
      </w:r>
    </w:p>
    <w:p>
      <w:pPr>
        <w:spacing w:after="0" w:line="57" w:lineRule="exact"/>
        <w:rPr>
          <w:sz w:val="20"/>
          <w:szCs w:val="20"/>
          <w:color w:val="auto"/>
        </w:rPr>
      </w:pPr>
    </w:p>
    <w:p>
      <w:pPr>
        <w:ind w:left="220" w:right="200" w:firstLine="172"/>
        <w:spacing w:after="0" w:line="276" w:lineRule="auto"/>
        <w:tabs>
          <w:tab w:leader="none" w:pos="562" w:val="left"/>
        </w:tabs>
        <w:numPr>
          <w:ilvl w:val="0"/>
          <w:numId w:val="113"/>
        </w:numPr>
        <w:rPr>
          <w:rFonts w:ascii="Arial" w:cs="Arial" w:eastAsia="Arial" w:hAnsi="Arial"/>
          <w:sz w:val="13"/>
          <w:szCs w:val="13"/>
          <w:color w:val="auto"/>
        </w:rPr>
      </w:pPr>
      <w:r>
        <w:rPr>
          <w:rFonts w:ascii="Arial" w:cs="Arial" w:eastAsia="Arial" w:hAnsi="Arial"/>
          <w:sz w:val="13"/>
          <w:szCs w:val="13"/>
          <w:color w:val="auto"/>
        </w:rPr>
        <w:t>at any time or from time to time, without notice to any Guarantor, the time for any performance of or compliance with any of the Obligations shall be extended, or such performance or compliance shall be waived;</w:t>
      </w:r>
    </w:p>
    <w:p>
      <w:pPr>
        <w:spacing w:after="0" w:line="49" w:lineRule="exact"/>
        <w:rPr>
          <w:rFonts w:ascii="Arial" w:cs="Arial" w:eastAsia="Arial" w:hAnsi="Arial"/>
          <w:sz w:val="13"/>
          <w:szCs w:val="13"/>
          <w:color w:val="auto"/>
        </w:rPr>
      </w:pPr>
    </w:p>
    <w:p>
      <w:pPr>
        <w:ind w:left="220" w:right="360" w:firstLine="172"/>
        <w:spacing w:after="0" w:line="320" w:lineRule="auto"/>
        <w:tabs>
          <w:tab w:leader="none" w:pos="569" w:val="left"/>
        </w:tabs>
        <w:numPr>
          <w:ilvl w:val="0"/>
          <w:numId w:val="113"/>
        </w:numPr>
        <w:rPr>
          <w:rFonts w:ascii="Arial" w:cs="Arial" w:eastAsia="Arial" w:hAnsi="Arial"/>
          <w:sz w:val="12"/>
          <w:szCs w:val="12"/>
          <w:color w:val="auto"/>
        </w:rPr>
      </w:pPr>
      <w:r>
        <w:rPr>
          <w:rFonts w:ascii="Arial" w:cs="Arial" w:eastAsia="Arial" w:hAnsi="Arial"/>
          <w:sz w:val="12"/>
          <w:szCs w:val="12"/>
          <w:color w:val="auto"/>
        </w:rPr>
        <w:t>any of the acts mentioned in any of the provisions of any of the Loan Documents, any Swap Contract or Treasury Management Agreement between any Loan Party and any Lender, or any Affiliate of a Lender, or any other agreement or instrument referred to in the Loan Documents, such Swap Contracts or such Treasury Management Agreements shall be done or omitted;</w:t>
      </w:r>
    </w:p>
    <w:p>
      <w:pPr>
        <w:spacing w:after="0" w:line="25" w:lineRule="exact"/>
        <w:rPr>
          <w:rFonts w:ascii="Arial" w:cs="Arial" w:eastAsia="Arial" w:hAnsi="Arial"/>
          <w:sz w:val="12"/>
          <w:szCs w:val="12"/>
          <w:color w:val="auto"/>
        </w:rPr>
      </w:pPr>
    </w:p>
    <w:p>
      <w:pPr>
        <w:ind w:left="220" w:firstLine="172"/>
        <w:spacing w:after="0" w:line="334" w:lineRule="auto"/>
        <w:tabs>
          <w:tab w:leader="none" w:pos="562" w:val="left"/>
        </w:tabs>
        <w:numPr>
          <w:ilvl w:val="0"/>
          <w:numId w:val="113"/>
        </w:numPr>
        <w:rPr>
          <w:rFonts w:ascii="Arial" w:cs="Arial" w:eastAsia="Arial" w:hAnsi="Arial"/>
          <w:sz w:val="11"/>
          <w:szCs w:val="11"/>
          <w:color w:val="auto"/>
        </w:rPr>
      </w:pPr>
      <w:r>
        <w:rPr>
          <w:rFonts w:ascii="Arial" w:cs="Arial" w:eastAsia="Arial" w:hAnsi="Arial"/>
          <w:sz w:val="11"/>
          <w:szCs w:val="11"/>
          <w:color w:val="auto"/>
        </w:rPr>
        <w:t>the maturity of any of the Obligations shall be accelerated, or any of the Obligations shall be modified, supplemented or amended in any respect, or any right under any of the Loan Documents, any Swap Contract or Treasury Management Agreement between any Loan Party and any Lender, or any Affiliate of a Lender, or any other agreement or instrument referred to in the Loan Documents, such Swap Contracts or such Treasury Management Agreements shall be waived or any other guarantee of any of the Obligations or any security therefor shall be released, impaired or exchanged in whole or in part or otherwise dealt with;</w:t>
      </w:r>
    </w:p>
    <w:p>
      <w:pPr>
        <w:spacing w:after="0" w:line="22" w:lineRule="exact"/>
        <w:rPr>
          <w:rFonts w:ascii="Arial" w:cs="Arial" w:eastAsia="Arial" w:hAnsi="Arial"/>
          <w:sz w:val="11"/>
          <w:szCs w:val="11"/>
          <w:color w:val="auto"/>
        </w:rPr>
      </w:pPr>
    </w:p>
    <w:p>
      <w:pPr>
        <w:ind w:left="580" w:hanging="188"/>
        <w:spacing w:after="0"/>
        <w:tabs>
          <w:tab w:leader="none" w:pos="58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any Lien granted to, or in favor of, the Administrative Agent or any Lender or Lenders as security for any of the Obligations shall fail to attach or be perfected; or</w:t>
      </w:r>
    </w:p>
    <w:p>
      <w:pPr>
        <w:spacing w:after="0" w:line="86" w:lineRule="exact"/>
        <w:rPr>
          <w:rFonts w:ascii="Arial" w:cs="Arial" w:eastAsia="Arial" w:hAnsi="Arial"/>
          <w:sz w:val="13"/>
          <w:szCs w:val="13"/>
          <w:color w:val="auto"/>
        </w:rPr>
      </w:pPr>
    </w:p>
    <w:p>
      <w:pPr>
        <w:ind w:left="220" w:right="580" w:firstLine="172"/>
        <w:spacing w:after="0" w:line="276" w:lineRule="auto"/>
        <w:tabs>
          <w:tab w:leader="none" w:pos="562" w:val="left"/>
        </w:tabs>
        <w:numPr>
          <w:ilvl w:val="0"/>
          <w:numId w:val="113"/>
        </w:numPr>
        <w:rPr>
          <w:rFonts w:ascii="Arial" w:cs="Arial" w:eastAsia="Arial" w:hAnsi="Arial"/>
          <w:sz w:val="13"/>
          <w:szCs w:val="13"/>
          <w:color w:val="auto"/>
        </w:rPr>
      </w:pPr>
      <w:r>
        <w:rPr>
          <w:rFonts w:ascii="Arial" w:cs="Arial" w:eastAsia="Arial" w:hAnsi="Arial"/>
          <w:sz w:val="13"/>
          <w:szCs w:val="13"/>
          <w:color w:val="auto"/>
        </w:rPr>
        <w:t>any of the Obligations shall be determined to be void or voidable (including, without limitation, for the benefit of any creditor of any Guarantor) or shall be subordinated to the claims of any Person (including, without limitation, any creditor of any Guarantor).</w:t>
      </w:r>
    </w:p>
    <w:p>
      <w:pPr>
        <w:spacing w:after="0" w:line="49" w:lineRule="exact"/>
        <w:rPr>
          <w:sz w:val="20"/>
          <w:szCs w:val="20"/>
          <w:color w:val="auto"/>
        </w:rPr>
      </w:pPr>
    </w:p>
    <w:p>
      <w:pPr>
        <w:ind w:right="120" w:firstLine="161"/>
        <w:spacing w:after="0" w:line="260" w:lineRule="auto"/>
        <w:rPr>
          <w:sz w:val="20"/>
          <w:szCs w:val="20"/>
          <w:color w:val="auto"/>
        </w:rPr>
      </w:pPr>
      <w:r>
        <w:rPr>
          <w:rFonts w:ascii="Arial" w:cs="Arial" w:eastAsia="Arial" w:hAnsi="Arial"/>
          <w:sz w:val="13"/>
          <w:szCs w:val="13"/>
          <w:color w:val="auto"/>
        </w:rPr>
        <w:t>With respect to its obligations hereunder, each Guarantor hereby expressly waives diligence, presentment, demand of payment, protest and all notices whatsoever, and any requirement that the Administrative Agent or any Lender exhaust any right, power or remedy or proceed against any Person under any of the Loan Documents, any Swap Contract or any Treasury Management Agreement between any Loan Party and any Lender, or any Affiliate of a Lender, or any other agreement or instrument referred to in the Loan Documents, such Swap Contracts or such Treasury Management Agreements, or against any other Person under any other guarantee of, or security for, any of the Obligations.</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4.03 </w:t>
      </w:r>
      <w:r>
        <w:rPr>
          <w:rFonts w:ascii="Arial" w:cs="Arial" w:eastAsia="Arial" w:hAnsi="Arial"/>
          <w:sz w:val="13"/>
          <w:szCs w:val="13"/>
          <w:u w:val="single" w:color="auto"/>
          <w:color w:val="auto"/>
        </w:rPr>
        <w:t>Reinstatement</w:t>
      </w:r>
      <w:r>
        <w:rPr>
          <w:rFonts w:ascii="Arial" w:cs="Arial" w:eastAsia="Arial" w:hAnsi="Arial"/>
          <w:sz w:val="13"/>
          <w:szCs w:val="13"/>
          <w:color w:val="auto"/>
        </w:rPr>
        <w:t>.</w:t>
      </w:r>
    </w:p>
    <w:p>
      <w:pPr>
        <w:spacing w:after="0" w:line="86" w:lineRule="exact"/>
        <w:rPr>
          <w:sz w:val="20"/>
          <w:szCs w:val="20"/>
          <w:color w:val="auto"/>
        </w:rPr>
      </w:pPr>
    </w:p>
    <w:p>
      <w:pPr>
        <w:ind w:right="40" w:firstLine="161"/>
        <w:spacing w:after="0" w:line="258" w:lineRule="auto"/>
        <w:rPr>
          <w:sz w:val="20"/>
          <w:szCs w:val="20"/>
          <w:color w:val="auto"/>
        </w:rPr>
      </w:pPr>
      <w:r>
        <w:rPr>
          <w:rFonts w:ascii="Arial" w:cs="Arial" w:eastAsia="Arial" w:hAnsi="Arial"/>
          <w:sz w:val="13"/>
          <w:szCs w:val="13"/>
          <w:color w:val="auto"/>
        </w:rPr>
        <w:t xml:space="preserve">The obligations of the Guarantors under this </w:t>
      </w:r>
      <w:r>
        <w:rPr>
          <w:rFonts w:ascii="Arial" w:cs="Arial" w:eastAsia="Arial" w:hAnsi="Arial"/>
          <w:sz w:val="13"/>
          <w:szCs w:val="13"/>
          <w:u w:val="single" w:color="auto"/>
          <w:color w:val="auto"/>
        </w:rPr>
        <w:t>Article IV</w:t>
      </w:r>
      <w:r>
        <w:rPr>
          <w:rFonts w:ascii="Arial" w:cs="Arial" w:eastAsia="Arial" w:hAnsi="Arial"/>
          <w:sz w:val="13"/>
          <w:szCs w:val="13"/>
          <w:color w:val="auto"/>
        </w:rPr>
        <w:t xml:space="preserve"> shall be automatically reinstated if and to the extent that for any reason any payment by or on behalf of any Person in respect of the Obligations is rescinded or must be otherwise restored by any holder of any of the Obligations, whether as a result of any proceedings in bankruptcy or reorganization or otherwise, and each Guarantor agrees that it will indemnify the Administrative Agent and each Lender on demand for all reasonable costs and expenses (including, without limitation, Attorney Costs) incurred by the Administrative Agent or such Lender in connection with such rescission or restoration, including any such costs and expenses incurred in defending against any claim alleging that such payment constituted a preference, fraudulent transfer or similar payment under any bankruptcy, insolvency or similar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278765</wp:posOffset>
            </wp:positionV>
            <wp:extent cx="7290435" cy="19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39" w:name="page140"/>
    <w:bookmarkEnd w:id="139"/>
    <w:p>
      <w:pPr>
        <w:spacing w:after="0"/>
        <w:rPr>
          <w:sz w:val="20"/>
          <w:szCs w:val="20"/>
          <w:color w:val="auto"/>
        </w:rPr>
      </w:pPr>
      <w:r>
        <w:rPr>
          <w:rFonts w:ascii="Arial" w:cs="Arial" w:eastAsia="Arial" w:hAnsi="Arial"/>
          <w:sz w:val="13"/>
          <w:szCs w:val="13"/>
          <w:color w:val="auto"/>
        </w:rPr>
        <w:t xml:space="preserve">4.04 </w:t>
      </w:r>
      <w:r>
        <w:rPr>
          <w:rFonts w:ascii="Arial" w:cs="Arial" w:eastAsia="Arial" w:hAnsi="Arial"/>
          <w:sz w:val="13"/>
          <w:szCs w:val="13"/>
          <w:u w:val="single" w:color="auto"/>
          <w:color w:val="auto"/>
        </w:rPr>
        <w:t>Certain Additional Waivers</w:t>
      </w:r>
      <w:r>
        <w:rPr>
          <w:rFonts w:ascii="Arial" w:cs="Arial" w:eastAsia="Arial" w:hAnsi="Arial"/>
          <w:sz w:val="13"/>
          <w:szCs w:val="13"/>
          <w:color w:val="auto"/>
        </w:rPr>
        <w:t>.</w:t>
      </w:r>
    </w:p>
    <w:p>
      <w:pPr>
        <w:spacing w:after="0" w:line="86" w:lineRule="exact"/>
        <w:rPr>
          <w:sz w:val="20"/>
          <w:szCs w:val="20"/>
          <w:color w:val="auto"/>
        </w:rPr>
      </w:pPr>
    </w:p>
    <w:p>
      <w:pPr>
        <w:ind w:right="40" w:firstLine="164"/>
        <w:spacing w:after="0" w:line="276" w:lineRule="auto"/>
        <w:rPr>
          <w:sz w:val="20"/>
          <w:szCs w:val="20"/>
          <w:color w:val="auto"/>
        </w:rPr>
      </w:pPr>
      <w:r>
        <w:rPr>
          <w:rFonts w:ascii="Arial" w:cs="Arial" w:eastAsia="Arial" w:hAnsi="Arial"/>
          <w:sz w:val="13"/>
          <w:szCs w:val="13"/>
          <w:color w:val="auto"/>
        </w:rPr>
        <w:t xml:space="preserve">Each Guarantor further agrees that such Guarantor shall have no right of recourse to security for the Obligations, except through the exercise of rights of subrogation pursuant to </w:t>
      </w:r>
      <w:r>
        <w:rPr>
          <w:rFonts w:ascii="Arial" w:cs="Arial" w:eastAsia="Arial" w:hAnsi="Arial"/>
          <w:sz w:val="13"/>
          <w:szCs w:val="13"/>
          <w:u w:val="single" w:color="auto"/>
          <w:color w:val="auto"/>
        </w:rPr>
        <w:t>Section 4.02</w:t>
      </w:r>
      <w:r>
        <w:rPr>
          <w:rFonts w:ascii="Arial" w:cs="Arial" w:eastAsia="Arial" w:hAnsi="Arial"/>
          <w:sz w:val="13"/>
          <w:szCs w:val="13"/>
          <w:color w:val="auto"/>
        </w:rPr>
        <w:t xml:space="preserve"> and through the exercise of rights of contribution pursuant to </w:t>
      </w:r>
      <w:r>
        <w:rPr>
          <w:rFonts w:ascii="Arial" w:cs="Arial" w:eastAsia="Arial" w:hAnsi="Arial"/>
          <w:sz w:val="13"/>
          <w:szCs w:val="13"/>
          <w:u w:val="single" w:color="auto"/>
          <w:color w:val="auto"/>
        </w:rPr>
        <w:t>Section 4.06</w:t>
      </w:r>
      <w:r>
        <w:rPr>
          <w:rFonts w:ascii="Arial" w:cs="Arial" w:eastAsia="Arial" w:hAnsi="Arial"/>
          <w:sz w:val="13"/>
          <w:szCs w:val="13"/>
          <w:color w:val="auto"/>
        </w:rPr>
        <w:t>.</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4.05 </w:t>
      </w:r>
      <w:r>
        <w:rPr>
          <w:rFonts w:ascii="Arial" w:cs="Arial" w:eastAsia="Arial" w:hAnsi="Arial"/>
          <w:sz w:val="13"/>
          <w:szCs w:val="13"/>
          <w:u w:val="single" w:color="auto"/>
          <w:color w:val="auto"/>
        </w:rPr>
        <w:t>Remedies</w:t>
      </w:r>
      <w:r>
        <w:rPr>
          <w:rFonts w:ascii="Arial" w:cs="Arial" w:eastAsia="Arial" w:hAnsi="Arial"/>
          <w:sz w:val="13"/>
          <w:szCs w:val="13"/>
          <w:color w:val="auto"/>
        </w:rPr>
        <w:t>.</w:t>
      </w:r>
    </w:p>
    <w:p>
      <w:pPr>
        <w:spacing w:after="0" w:line="86" w:lineRule="exact"/>
        <w:rPr>
          <w:sz w:val="20"/>
          <w:szCs w:val="20"/>
          <w:color w:val="auto"/>
        </w:rPr>
      </w:pPr>
    </w:p>
    <w:p>
      <w:pPr>
        <w:ind w:right="80" w:firstLine="161"/>
        <w:spacing w:after="0" w:line="258" w:lineRule="auto"/>
        <w:rPr>
          <w:sz w:val="20"/>
          <w:szCs w:val="20"/>
          <w:color w:val="auto"/>
        </w:rPr>
      </w:pPr>
      <w:r>
        <w:rPr>
          <w:rFonts w:ascii="Arial" w:cs="Arial" w:eastAsia="Arial" w:hAnsi="Arial"/>
          <w:sz w:val="13"/>
          <w:szCs w:val="13"/>
          <w:color w:val="auto"/>
        </w:rPr>
        <w:t xml:space="preserve">The Guarantors agree that, to the fullest extent permitted by law, as between the Guarantors, on the one hand, and the Administrative Agent and the Lenders, on the other hand, the Obligations may be declared to be forthwith due and payable as provided in </w:t>
      </w:r>
      <w:r>
        <w:rPr>
          <w:rFonts w:ascii="Arial" w:cs="Arial" w:eastAsia="Arial" w:hAnsi="Arial"/>
          <w:sz w:val="13"/>
          <w:szCs w:val="13"/>
          <w:u w:val="single" w:color="auto"/>
          <w:color w:val="auto"/>
        </w:rPr>
        <w:t>Section 9.02</w:t>
      </w:r>
      <w:r>
        <w:rPr>
          <w:rFonts w:ascii="Arial" w:cs="Arial" w:eastAsia="Arial" w:hAnsi="Arial"/>
          <w:sz w:val="13"/>
          <w:szCs w:val="13"/>
          <w:color w:val="auto"/>
        </w:rPr>
        <w:t xml:space="preserve"> (and shall be deemed to have become automatically due and payable in the circumstances provided in said </w:t>
      </w:r>
      <w:r>
        <w:rPr>
          <w:rFonts w:ascii="Arial" w:cs="Arial" w:eastAsia="Arial" w:hAnsi="Arial"/>
          <w:sz w:val="13"/>
          <w:szCs w:val="13"/>
          <w:u w:val="single" w:color="auto"/>
          <w:color w:val="auto"/>
        </w:rPr>
        <w:t>Section 9.02</w:t>
      </w:r>
      <w:r>
        <w:rPr>
          <w:rFonts w:ascii="Arial" w:cs="Arial" w:eastAsia="Arial" w:hAnsi="Arial"/>
          <w:sz w:val="13"/>
          <w:szCs w:val="13"/>
          <w:color w:val="auto"/>
        </w:rPr>
        <w:t xml:space="preserve">) for purposes of </w:t>
      </w:r>
      <w:r>
        <w:rPr>
          <w:rFonts w:ascii="Arial" w:cs="Arial" w:eastAsia="Arial" w:hAnsi="Arial"/>
          <w:sz w:val="13"/>
          <w:szCs w:val="13"/>
          <w:u w:val="single" w:color="auto"/>
          <w:color w:val="auto"/>
        </w:rPr>
        <w:t>Section 4.01</w:t>
      </w:r>
      <w:r>
        <w:rPr>
          <w:rFonts w:ascii="Arial" w:cs="Arial" w:eastAsia="Arial" w:hAnsi="Arial"/>
          <w:sz w:val="13"/>
          <w:szCs w:val="13"/>
          <w:color w:val="auto"/>
        </w:rPr>
        <w:t xml:space="preserve"> notwithstanding any stay, injunction or other prohibition preventing such declaration (or preventing the Obligations from becoming automatically due and payable) as against any other Person and that, in the event of such declaration (or the Obligations being deemed to have become automatically due and payable), the Obligations (whether or not due and payable by any other Person) shall forthwith become due and payable by the Guarantors for purposes of </w:t>
      </w:r>
      <w:r>
        <w:rPr>
          <w:rFonts w:ascii="Arial" w:cs="Arial" w:eastAsia="Arial" w:hAnsi="Arial"/>
          <w:sz w:val="13"/>
          <w:szCs w:val="13"/>
          <w:u w:val="single" w:color="auto"/>
          <w:color w:val="auto"/>
        </w:rPr>
        <w:t>Section 4.01</w:t>
      </w:r>
      <w:r>
        <w:rPr>
          <w:rFonts w:ascii="Arial" w:cs="Arial" w:eastAsia="Arial" w:hAnsi="Arial"/>
          <w:sz w:val="13"/>
          <w:szCs w:val="13"/>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4.06 </w:t>
      </w:r>
      <w:r>
        <w:rPr>
          <w:rFonts w:ascii="Arial" w:cs="Arial" w:eastAsia="Arial" w:hAnsi="Arial"/>
          <w:sz w:val="13"/>
          <w:szCs w:val="13"/>
          <w:u w:val="single" w:color="auto"/>
          <w:color w:val="auto"/>
        </w:rPr>
        <w:t>Rights of Contribution</w:t>
      </w:r>
      <w:r>
        <w:rPr>
          <w:rFonts w:ascii="Arial" w:cs="Arial" w:eastAsia="Arial" w:hAnsi="Arial"/>
          <w:sz w:val="13"/>
          <w:szCs w:val="13"/>
          <w:color w:val="auto"/>
        </w:rPr>
        <w:t>.</w:t>
      </w:r>
    </w:p>
    <w:p>
      <w:pPr>
        <w:spacing w:after="0" w:line="86" w:lineRule="exact"/>
        <w:rPr>
          <w:sz w:val="20"/>
          <w:szCs w:val="20"/>
          <w:color w:val="auto"/>
        </w:rPr>
      </w:pPr>
    </w:p>
    <w:p>
      <w:pPr>
        <w:ind w:right="120" w:firstLine="161"/>
        <w:spacing w:after="0" w:line="264" w:lineRule="auto"/>
        <w:rPr>
          <w:sz w:val="20"/>
          <w:szCs w:val="20"/>
          <w:color w:val="auto"/>
        </w:rPr>
      </w:pPr>
      <w:r>
        <w:rPr>
          <w:rFonts w:ascii="Arial" w:cs="Arial" w:eastAsia="Arial" w:hAnsi="Arial"/>
          <w:sz w:val="13"/>
          <w:szCs w:val="13"/>
          <w:color w:val="auto"/>
        </w:rPr>
        <w:t>The Guarantors agree among themselves that, in connection with payments made hereunder, each Guarantor shall have contribution rights against the other Guarantors as permitted under applicable law. Such contribution rights shall be subordinate and subject in right of payment to the obligations of such Guarantors under the Loan Documents and no Guarantor shall exercise such rights of contribution until all Obligations have been paid in full and the Commitments have terminated.</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4.07 </w:t>
      </w:r>
      <w:r>
        <w:rPr>
          <w:rFonts w:ascii="Arial" w:cs="Arial" w:eastAsia="Arial" w:hAnsi="Arial"/>
          <w:sz w:val="13"/>
          <w:szCs w:val="13"/>
          <w:u w:val="single" w:color="auto"/>
          <w:color w:val="auto"/>
        </w:rPr>
        <w:t>Guarantee of Payment; Continuing Guarantee</w:t>
      </w:r>
      <w:r>
        <w:rPr>
          <w:rFonts w:ascii="Arial" w:cs="Arial" w:eastAsia="Arial" w:hAnsi="Arial"/>
          <w:sz w:val="13"/>
          <w:szCs w:val="13"/>
          <w:color w:val="auto"/>
        </w:rPr>
        <w: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The guarantee in this </w:t>
      </w:r>
      <w:r>
        <w:rPr>
          <w:rFonts w:ascii="Arial" w:cs="Arial" w:eastAsia="Arial" w:hAnsi="Arial"/>
          <w:sz w:val="13"/>
          <w:szCs w:val="13"/>
          <w:u w:val="single" w:color="auto"/>
          <w:color w:val="auto"/>
        </w:rPr>
        <w:t>Article IV</w:t>
      </w:r>
      <w:r>
        <w:rPr>
          <w:rFonts w:ascii="Arial" w:cs="Arial" w:eastAsia="Arial" w:hAnsi="Arial"/>
          <w:sz w:val="13"/>
          <w:szCs w:val="13"/>
          <w:color w:val="auto"/>
        </w:rPr>
        <w:t xml:space="preserve"> is a guaranty of payment and not of collection, is a continuing guarantee, and shall apply to all Obligations whenever arising.</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V</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CONDITIONS PRECEDENT TO CREDIT EXTENSIONS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5.01 </w:t>
      </w:r>
      <w:r>
        <w:rPr>
          <w:rFonts w:ascii="Arial" w:cs="Arial" w:eastAsia="Arial" w:hAnsi="Arial"/>
          <w:sz w:val="13"/>
          <w:szCs w:val="13"/>
          <w:u w:val="single" w:color="auto"/>
          <w:color w:val="auto"/>
        </w:rPr>
        <w:t>Conditions of Initial Credit Extension</w:t>
      </w:r>
      <w:r>
        <w:rPr>
          <w:rFonts w:ascii="Arial" w:cs="Arial" w:eastAsia="Arial" w:hAnsi="Arial"/>
          <w:sz w:val="13"/>
          <w:szCs w:val="13"/>
          <w:color w:val="auto"/>
        </w:rPr>
        <w: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obligation of each Lender to make its initial Credit Extension hereunder is subject to satisfaction of the following conditions precedent:</w:t>
      </w:r>
    </w:p>
    <w:p>
      <w:pPr>
        <w:spacing w:after="0" w:line="86" w:lineRule="exact"/>
        <w:rPr>
          <w:sz w:val="20"/>
          <w:szCs w:val="20"/>
          <w:color w:val="auto"/>
        </w:rPr>
      </w:pPr>
    </w:p>
    <w:p>
      <w:pPr>
        <w:ind w:left="220" w:right="60" w:firstLine="172"/>
        <w:spacing w:after="0" w:line="276" w:lineRule="auto"/>
        <w:tabs>
          <w:tab w:leader="none" w:pos="562" w:val="left"/>
        </w:tabs>
        <w:numPr>
          <w:ilvl w:val="0"/>
          <w:numId w:val="114"/>
        </w:numPr>
        <w:rPr>
          <w:rFonts w:ascii="Arial" w:cs="Arial" w:eastAsia="Arial" w:hAnsi="Arial"/>
          <w:sz w:val="13"/>
          <w:szCs w:val="13"/>
          <w:color w:val="auto"/>
        </w:rPr>
      </w:pPr>
      <w:r>
        <w:rPr>
          <w:rFonts w:ascii="Arial" w:cs="Arial" w:eastAsia="Arial" w:hAnsi="Arial"/>
          <w:sz w:val="13"/>
          <w:szCs w:val="13"/>
          <w:u w:val="single" w:color="auto"/>
          <w:color w:val="auto"/>
        </w:rPr>
        <w:t>Loan Documents</w:t>
      </w:r>
      <w:r>
        <w:rPr>
          <w:rFonts w:ascii="Arial" w:cs="Arial" w:eastAsia="Arial" w:hAnsi="Arial"/>
          <w:sz w:val="13"/>
          <w:szCs w:val="13"/>
          <w:color w:val="auto"/>
        </w:rPr>
        <w:t>. Receipt by the Administrative Agent of executed counterparts of this Agreement and the other Loan Documents, each properly executed by a Responsible Officer of the signing Loan Party and, in the case of this Agreement, by each Lender.</w:t>
      </w:r>
    </w:p>
    <w:p>
      <w:pPr>
        <w:spacing w:after="0" w:line="49" w:lineRule="exact"/>
        <w:rPr>
          <w:rFonts w:ascii="Arial" w:cs="Arial" w:eastAsia="Arial" w:hAnsi="Arial"/>
          <w:sz w:val="13"/>
          <w:szCs w:val="13"/>
          <w:color w:val="auto"/>
        </w:rPr>
      </w:pPr>
    </w:p>
    <w:p>
      <w:pPr>
        <w:ind w:left="220" w:firstLine="172"/>
        <w:spacing w:after="0" w:line="276" w:lineRule="auto"/>
        <w:tabs>
          <w:tab w:leader="none" w:pos="569" w:val="left"/>
        </w:tabs>
        <w:numPr>
          <w:ilvl w:val="0"/>
          <w:numId w:val="114"/>
        </w:numPr>
        <w:rPr>
          <w:rFonts w:ascii="Arial" w:cs="Arial" w:eastAsia="Arial" w:hAnsi="Arial"/>
          <w:sz w:val="13"/>
          <w:szCs w:val="13"/>
          <w:color w:val="auto"/>
        </w:rPr>
      </w:pPr>
      <w:r>
        <w:rPr>
          <w:rFonts w:ascii="Arial" w:cs="Arial" w:eastAsia="Arial" w:hAnsi="Arial"/>
          <w:sz w:val="13"/>
          <w:szCs w:val="13"/>
          <w:u w:val="single" w:color="auto"/>
          <w:color w:val="auto"/>
        </w:rPr>
        <w:t>Opinions of Counsel</w:t>
      </w:r>
      <w:r>
        <w:rPr>
          <w:rFonts w:ascii="Arial" w:cs="Arial" w:eastAsia="Arial" w:hAnsi="Arial"/>
          <w:sz w:val="13"/>
          <w:szCs w:val="13"/>
          <w:color w:val="auto"/>
        </w:rPr>
        <w:t>. Receipt by the Administrative Agent of favorable opinions of legal counsel to the Loan Parties, addressed to the Administrative Agent and each Lender, dated as of the Closing Date, and in form and substance reasonably satisfactory to the Administrative Agent.</w:t>
      </w:r>
    </w:p>
    <w:p>
      <w:pPr>
        <w:spacing w:after="0" w:line="49" w:lineRule="exact"/>
        <w:rPr>
          <w:rFonts w:ascii="Arial" w:cs="Arial" w:eastAsia="Arial" w:hAnsi="Arial"/>
          <w:sz w:val="13"/>
          <w:szCs w:val="13"/>
          <w:color w:val="auto"/>
        </w:rPr>
      </w:pPr>
    </w:p>
    <w:p>
      <w:pPr>
        <w:ind w:left="560" w:hanging="168"/>
        <w:spacing w:after="0"/>
        <w:tabs>
          <w:tab w:leader="none" w:pos="560" w:val="left"/>
        </w:tabs>
        <w:numPr>
          <w:ilvl w:val="0"/>
          <w:numId w:val="114"/>
        </w:numPr>
        <w:rPr>
          <w:rFonts w:ascii="Arial" w:cs="Arial" w:eastAsia="Arial" w:hAnsi="Arial"/>
          <w:sz w:val="13"/>
          <w:szCs w:val="13"/>
          <w:color w:val="auto"/>
        </w:rPr>
      </w:pPr>
      <w:r>
        <w:rPr>
          <w:rFonts w:ascii="Arial" w:cs="Arial" w:eastAsia="Arial" w:hAnsi="Arial"/>
          <w:sz w:val="13"/>
          <w:szCs w:val="13"/>
          <w:u w:val="single" w:color="auto"/>
          <w:color w:val="auto"/>
        </w:rPr>
        <w:t>Financial Statements</w:t>
      </w:r>
      <w:r>
        <w:rPr>
          <w:rFonts w:ascii="Arial" w:cs="Arial" w:eastAsia="Arial" w:hAnsi="Arial"/>
          <w:sz w:val="13"/>
          <w:szCs w:val="13"/>
          <w:color w:val="auto"/>
        </w:rPr>
        <w:t>. The Administrative Agent shall have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40" w:name="page141"/>
    <w:bookmarkEnd w:id="140"/>
    <w:p>
      <w:pPr>
        <w:ind w:left="240" w:right="360" w:firstLine="161"/>
        <w:spacing w:after="0" w:line="276" w:lineRule="auto"/>
        <w:tabs>
          <w:tab w:leader="none" w:pos="560" w:val="left"/>
        </w:tabs>
        <w:numPr>
          <w:ilvl w:val="1"/>
          <w:numId w:val="115"/>
        </w:numPr>
        <w:rPr>
          <w:rFonts w:ascii="Arial" w:cs="Arial" w:eastAsia="Arial" w:hAnsi="Arial"/>
          <w:sz w:val="13"/>
          <w:szCs w:val="13"/>
          <w:color w:val="auto"/>
        </w:rPr>
      </w:pPr>
      <w:r>
        <w:rPr>
          <w:rFonts w:ascii="Arial" w:cs="Arial" w:eastAsia="Arial" w:hAnsi="Arial"/>
          <w:sz w:val="13"/>
          <w:szCs w:val="13"/>
          <w:color w:val="auto"/>
        </w:rPr>
        <w:t>consolidated financial statements of the Company and its Subsidiaries for the fiscal years ended July 31, 2003, July 31, 2004 and July 31, 2005, including balance sheets and income and cash flow statements, in each case audited by independent public accountants of recognized national standing and prepared in conformity with GAAP; and</w:t>
      </w:r>
    </w:p>
    <w:p>
      <w:pPr>
        <w:spacing w:after="0" w:line="49" w:lineRule="exact"/>
        <w:rPr>
          <w:rFonts w:ascii="Arial" w:cs="Arial" w:eastAsia="Arial" w:hAnsi="Arial"/>
          <w:sz w:val="13"/>
          <w:szCs w:val="13"/>
          <w:color w:val="auto"/>
        </w:rPr>
      </w:pPr>
    </w:p>
    <w:p>
      <w:pPr>
        <w:ind w:left="240" w:right="540" w:firstLine="161"/>
        <w:spacing w:after="0" w:line="276" w:lineRule="auto"/>
        <w:tabs>
          <w:tab w:leader="none" w:pos="597" w:val="left"/>
        </w:tabs>
        <w:numPr>
          <w:ilvl w:val="1"/>
          <w:numId w:val="115"/>
        </w:numPr>
        <w:rPr>
          <w:rFonts w:ascii="Arial" w:cs="Arial" w:eastAsia="Arial" w:hAnsi="Arial"/>
          <w:sz w:val="13"/>
          <w:szCs w:val="13"/>
          <w:color w:val="auto"/>
        </w:rPr>
      </w:pPr>
      <w:r>
        <w:rPr>
          <w:rFonts w:ascii="Arial" w:cs="Arial" w:eastAsia="Arial" w:hAnsi="Arial"/>
          <w:sz w:val="13"/>
          <w:szCs w:val="13"/>
          <w:color w:val="auto"/>
        </w:rPr>
        <w:t>unaudited consolidated financial statements of the Company and its Subsidiaries for the fiscal quarters ending April 30, 2006, including balance sheets and statements of income or operations, shareholders’ equity and cash flows (the “</w:t>
      </w:r>
      <w:r>
        <w:rPr>
          <w:rFonts w:ascii="Arial" w:cs="Arial" w:eastAsia="Arial" w:hAnsi="Arial"/>
          <w:sz w:val="13"/>
          <w:szCs w:val="13"/>
          <w:u w:val="single" w:color="auto"/>
          <w:color w:val="auto"/>
        </w:rPr>
        <w:t>Interim Financial Statements</w:t>
      </w:r>
      <w:r>
        <w:rPr>
          <w:rFonts w:ascii="Arial" w:cs="Arial" w:eastAsia="Arial" w:hAnsi="Arial"/>
          <w:sz w:val="13"/>
          <w:szCs w:val="13"/>
          <w:color w:val="auto"/>
        </w:rPr>
        <w:t>”).</w:t>
      </w:r>
    </w:p>
    <w:p>
      <w:pPr>
        <w:spacing w:after="0" w:line="49" w:lineRule="exact"/>
        <w:rPr>
          <w:rFonts w:ascii="Arial" w:cs="Arial" w:eastAsia="Arial" w:hAnsi="Arial"/>
          <w:sz w:val="13"/>
          <w:szCs w:val="13"/>
          <w:color w:val="auto"/>
        </w:rPr>
      </w:pPr>
    </w:p>
    <w:p>
      <w:pPr>
        <w:ind w:right="480" w:firstLine="172"/>
        <w:spacing w:after="0" w:line="276" w:lineRule="auto"/>
        <w:tabs>
          <w:tab w:leader="none" w:pos="349" w:val="left"/>
        </w:tabs>
        <w:numPr>
          <w:ilvl w:val="0"/>
          <w:numId w:val="116"/>
        </w:numPr>
        <w:rPr>
          <w:rFonts w:ascii="Arial" w:cs="Arial" w:eastAsia="Arial" w:hAnsi="Arial"/>
          <w:sz w:val="13"/>
          <w:szCs w:val="13"/>
          <w:color w:val="auto"/>
        </w:rPr>
      </w:pPr>
      <w:r>
        <w:rPr>
          <w:rFonts w:ascii="Arial" w:cs="Arial" w:eastAsia="Arial" w:hAnsi="Arial"/>
          <w:sz w:val="13"/>
          <w:szCs w:val="13"/>
          <w:u w:val="single" w:color="auto"/>
          <w:color w:val="auto"/>
        </w:rPr>
        <w:t>No Material Adverse Change</w:t>
      </w:r>
      <w:r>
        <w:rPr>
          <w:rFonts w:ascii="Arial" w:cs="Arial" w:eastAsia="Arial" w:hAnsi="Arial"/>
          <w:sz w:val="13"/>
          <w:szCs w:val="13"/>
          <w:color w:val="auto"/>
        </w:rPr>
        <w:t>. There shall not have occurred a material adverse change since July 31, 2005 in the business, assets, liabilities (actual or contingent), operations, condition (financial or otherwise) or prospects of the Company and its Subsidiaries, taken as a whole.</w:t>
      </w:r>
    </w:p>
    <w:p>
      <w:pPr>
        <w:spacing w:after="0" w:line="49" w:lineRule="exact"/>
        <w:rPr>
          <w:rFonts w:ascii="Arial" w:cs="Arial" w:eastAsia="Arial" w:hAnsi="Arial"/>
          <w:sz w:val="13"/>
          <w:szCs w:val="13"/>
          <w:color w:val="auto"/>
        </w:rPr>
      </w:pPr>
    </w:p>
    <w:p>
      <w:pPr>
        <w:ind w:right="40" w:firstLine="172"/>
        <w:spacing w:after="0" w:line="276" w:lineRule="auto"/>
        <w:tabs>
          <w:tab w:leader="none" w:pos="342" w:val="left"/>
        </w:tabs>
        <w:numPr>
          <w:ilvl w:val="0"/>
          <w:numId w:val="116"/>
        </w:numPr>
        <w:rPr>
          <w:rFonts w:ascii="Arial" w:cs="Arial" w:eastAsia="Arial" w:hAnsi="Arial"/>
          <w:sz w:val="13"/>
          <w:szCs w:val="13"/>
          <w:color w:val="auto"/>
        </w:rPr>
      </w:pPr>
      <w:r>
        <w:rPr>
          <w:rFonts w:ascii="Arial" w:cs="Arial" w:eastAsia="Arial" w:hAnsi="Arial"/>
          <w:sz w:val="13"/>
          <w:szCs w:val="13"/>
          <w:u w:val="single" w:color="auto"/>
          <w:color w:val="auto"/>
        </w:rPr>
        <w:t>Litigation</w:t>
      </w:r>
      <w:r>
        <w:rPr>
          <w:rFonts w:ascii="Arial" w:cs="Arial" w:eastAsia="Arial" w:hAnsi="Arial"/>
          <w:sz w:val="13"/>
          <w:szCs w:val="13"/>
          <w:color w:val="auto"/>
        </w:rPr>
        <w:t>. There shall not exist any action, suit, investigation or proceeding pending or threatened in any court or before an arbitrator or Governmental Authority that could reasonably be expected to have a Material Adverse Effect.</w:t>
      </w:r>
    </w:p>
    <w:p>
      <w:pPr>
        <w:spacing w:after="0" w:line="49" w:lineRule="exact"/>
        <w:rPr>
          <w:rFonts w:ascii="Arial" w:cs="Arial" w:eastAsia="Arial" w:hAnsi="Arial"/>
          <w:sz w:val="13"/>
          <w:szCs w:val="13"/>
          <w:color w:val="auto"/>
        </w:rPr>
      </w:pPr>
    </w:p>
    <w:p>
      <w:pPr>
        <w:ind w:right="320" w:firstLine="172"/>
        <w:spacing w:after="0" w:line="276" w:lineRule="auto"/>
        <w:tabs>
          <w:tab w:leader="none" w:pos="327" w:val="left"/>
        </w:tabs>
        <w:numPr>
          <w:ilvl w:val="0"/>
          <w:numId w:val="116"/>
        </w:numPr>
        <w:rPr>
          <w:rFonts w:ascii="Arial" w:cs="Arial" w:eastAsia="Arial" w:hAnsi="Arial"/>
          <w:sz w:val="13"/>
          <w:szCs w:val="13"/>
          <w:color w:val="auto"/>
        </w:rPr>
      </w:pPr>
      <w:r>
        <w:rPr>
          <w:rFonts w:ascii="Arial" w:cs="Arial" w:eastAsia="Arial" w:hAnsi="Arial"/>
          <w:sz w:val="13"/>
          <w:szCs w:val="13"/>
          <w:u w:val="single" w:color="auto"/>
          <w:color w:val="auto"/>
        </w:rPr>
        <w:t>Organization Documents, Resolutions, Etc.</w:t>
      </w:r>
      <w:r>
        <w:rPr>
          <w:rFonts w:ascii="Arial" w:cs="Arial" w:eastAsia="Arial" w:hAnsi="Arial"/>
          <w:sz w:val="13"/>
          <w:szCs w:val="13"/>
          <w:color w:val="auto"/>
        </w:rPr>
        <w:t xml:space="preserve"> Receipt by the Administrative Agent of the following, each of which shall be originals or facsimiles (followed promptly by originals), in form and substance satisfactory to the Administrative Agent and its legal counsel:</w:t>
      </w:r>
    </w:p>
    <w:p>
      <w:pPr>
        <w:spacing w:after="0" w:line="49" w:lineRule="exact"/>
        <w:rPr>
          <w:rFonts w:ascii="Arial" w:cs="Arial" w:eastAsia="Arial" w:hAnsi="Arial"/>
          <w:sz w:val="13"/>
          <w:szCs w:val="13"/>
          <w:color w:val="auto"/>
        </w:rPr>
      </w:pPr>
    </w:p>
    <w:p>
      <w:pPr>
        <w:ind w:left="240" w:right="560" w:firstLine="161"/>
        <w:spacing w:after="0" w:line="276" w:lineRule="auto"/>
        <w:tabs>
          <w:tab w:leader="none" w:pos="560" w:val="left"/>
        </w:tabs>
        <w:numPr>
          <w:ilvl w:val="1"/>
          <w:numId w:val="116"/>
        </w:numPr>
        <w:rPr>
          <w:rFonts w:ascii="Arial" w:cs="Arial" w:eastAsia="Arial" w:hAnsi="Arial"/>
          <w:sz w:val="13"/>
          <w:szCs w:val="13"/>
          <w:color w:val="auto"/>
        </w:rPr>
      </w:pPr>
      <w:r>
        <w:rPr>
          <w:rFonts w:ascii="Arial" w:cs="Arial" w:eastAsia="Arial" w:hAnsi="Arial"/>
          <w:sz w:val="13"/>
          <w:szCs w:val="13"/>
          <w:color w:val="auto"/>
        </w:rPr>
        <w:t>copies of the Organization Documents of each Loan Party certified to be true and complete as of a recent date by the appropriate Governmental Authority of the state or other jurisdiction of its incorporation or organization, where applicable, and certified by a secretary or assistant secretary of such Loan Party to be true and correct as of the Closing Date;</w:t>
      </w:r>
    </w:p>
    <w:p>
      <w:pPr>
        <w:spacing w:after="0" w:line="49" w:lineRule="exact"/>
        <w:rPr>
          <w:rFonts w:ascii="Arial" w:cs="Arial" w:eastAsia="Arial" w:hAnsi="Arial"/>
          <w:sz w:val="13"/>
          <w:szCs w:val="13"/>
          <w:color w:val="auto"/>
        </w:rPr>
      </w:pPr>
    </w:p>
    <w:p>
      <w:pPr>
        <w:ind w:left="240" w:right="100" w:firstLine="161"/>
        <w:spacing w:after="0" w:line="264" w:lineRule="auto"/>
        <w:tabs>
          <w:tab w:leader="none" w:pos="597" w:val="left"/>
        </w:tabs>
        <w:numPr>
          <w:ilvl w:val="1"/>
          <w:numId w:val="116"/>
        </w:numPr>
        <w:rPr>
          <w:rFonts w:ascii="Arial" w:cs="Arial" w:eastAsia="Arial" w:hAnsi="Arial"/>
          <w:sz w:val="13"/>
          <w:szCs w:val="13"/>
          <w:color w:val="auto"/>
        </w:rPr>
      </w:pPr>
      <w:r>
        <w:rPr>
          <w:rFonts w:ascii="Arial" w:cs="Arial" w:eastAsia="Arial" w:hAnsi="Arial"/>
          <w:sz w:val="13"/>
          <w:szCs w:val="13"/>
          <w:color w:val="auto"/>
        </w:rPr>
        <w:t>such certificates of resolutions or other action, incumbency certificates and/or other certificates of Responsible Officers of each Loan Party as the Administrative Agent may require evidencing the identity, authority and capacity of each Responsible Officer thereof authorized to act as a Responsible Officer in connection with this Agreement and the other Loan Documents to which such Loan Party is a party; and</w:t>
      </w:r>
    </w:p>
    <w:p>
      <w:pPr>
        <w:spacing w:after="0" w:line="57" w:lineRule="exact"/>
        <w:rPr>
          <w:rFonts w:ascii="Arial" w:cs="Arial" w:eastAsia="Arial" w:hAnsi="Arial"/>
          <w:sz w:val="13"/>
          <w:szCs w:val="13"/>
          <w:color w:val="auto"/>
        </w:rPr>
      </w:pPr>
    </w:p>
    <w:p>
      <w:pPr>
        <w:ind w:left="240" w:firstLine="161"/>
        <w:spacing w:after="0" w:line="264" w:lineRule="auto"/>
        <w:tabs>
          <w:tab w:leader="none" w:pos="633" w:val="left"/>
        </w:tabs>
        <w:numPr>
          <w:ilvl w:val="1"/>
          <w:numId w:val="116"/>
        </w:numPr>
        <w:rPr>
          <w:rFonts w:ascii="Arial" w:cs="Arial" w:eastAsia="Arial" w:hAnsi="Arial"/>
          <w:sz w:val="13"/>
          <w:szCs w:val="13"/>
          <w:color w:val="auto"/>
        </w:rPr>
      </w:pPr>
      <w:r>
        <w:rPr>
          <w:rFonts w:ascii="Arial" w:cs="Arial" w:eastAsia="Arial" w:hAnsi="Arial"/>
          <w:sz w:val="13"/>
          <w:szCs w:val="13"/>
          <w:color w:val="auto"/>
        </w:rPr>
        <w:t>such documents and certifications as the Administrative Agent may reasonably require to evidence that each Loan Party is duly organized or formed, and is validly existing, in good standing and qualified to engage in business in its state of organization or formation and each other jurisdiction where its ownership, lease or operation of properties or the conduct of its business requires such qualification, except to the extent that failure to do so could not reasonably be expected to have a Material Adverse Effect.</w:t>
      </w:r>
    </w:p>
    <w:p>
      <w:pPr>
        <w:spacing w:after="0" w:line="57" w:lineRule="exact"/>
        <w:rPr>
          <w:rFonts w:ascii="Arial" w:cs="Arial" w:eastAsia="Arial" w:hAnsi="Arial"/>
          <w:sz w:val="13"/>
          <w:szCs w:val="13"/>
          <w:color w:val="auto"/>
        </w:rPr>
      </w:pPr>
    </w:p>
    <w:p>
      <w:pPr>
        <w:ind w:left="360" w:hanging="188"/>
        <w:spacing w:after="0"/>
        <w:tabs>
          <w:tab w:leader="none" w:pos="360" w:val="left"/>
        </w:tabs>
        <w:numPr>
          <w:ilvl w:val="0"/>
          <w:numId w:val="116"/>
        </w:numPr>
        <w:rPr>
          <w:rFonts w:ascii="Arial" w:cs="Arial" w:eastAsia="Arial" w:hAnsi="Arial"/>
          <w:sz w:val="12"/>
          <w:szCs w:val="12"/>
          <w:color w:val="auto"/>
        </w:rPr>
      </w:pPr>
      <w:r>
        <w:rPr>
          <w:rFonts w:ascii="Arial" w:cs="Arial" w:eastAsia="Arial" w:hAnsi="Arial"/>
          <w:sz w:val="12"/>
          <w:szCs w:val="12"/>
          <w:u w:val="single" w:color="auto"/>
          <w:color w:val="auto"/>
        </w:rPr>
        <w:t>Closing Certificate</w:t>
      </w:r>
      <w:r>
        <w:rPr>
          <w:rFonts w:ascii="Arial" w:cs="Arial" w:eastAsia="Arial" w:hAnsi="Arial"/>
          <w:sz w:val="12"/>
          <w:szCs w:val="12"/>
          <w:color w:val="auto"/>
        </w:rPr>
        <w:t xml:space="preserve">. Receipt by the Administrative Agent of a certificate signed by a Responsible Officer of the Company certifying that the conditions specified in </w:t>
      </w:r>
      <w:r>
        <w:rPr>
          <w:rFonts w:ascii="Arial" w:cs="Arial" w:eastAsia="Arial" w:hAnsi="Arial"/>
          <w:sz w:val="12"/>
          <w:szCs w:val="12"/>
          <w:u w:val="single" w:color="auto"/>
          <w:color w:val="auto"/>
        </w:rPr>
        <w:t>Sections 5.01(d)</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(e)</w:t>
      </w:r>
      <w:r>
        <w:rPr>
          <w:rFonts w:ascii="Arial" w:cs="Arial" w:eastAsia="Arial" w:hAnsi="Arial"/>
          <w:sz w:val="12"/>
          <w:szCs w:val="12"/>
          <w:color w:val="auto"/>
        </w:rPr>
        <w:t xml:space="preserve"> and</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Sections 5.02(a)</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(b)</w:t>
      </w:r>
      <w:r>
        <w:rPr>
          <w:rFonts w:ascii="Arial" w:cs="Arial" w:eastAsia="Arial" w:hAnsi="Arial"/>
          <w:sz w:val="13"/>
          <w:szCs w:val="13"/>
          <w:color w:val="auto"/>
        </w:rPr>
        <w:t xml:space="preserve"> have been satisfied.</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3"/>
          <w:szCs w:val="13"/>
          <w:color w:val="auto"/>
        </w:rPr>
        <w:t xml:space="preserve">(h) </w:t>
      </w:r>
      <w:r>
        <w:rPr>
          <w:rFonts w:ascii="Arial" w:cs="Arial" w:eastAsia="Arial" w:hAnsi="Arial"/>
          <w:sz w:val="13"/>
          <w:szCs w:val="13"/>
          <w:u w:val="single" w:color="auto"/>
          <w:color w:val="auto"/>
        </w:rPr>
        <w:t>Fees</w:t>
      </w:r>
      <w:r>
        <w:rPr>
          <w:rFonts w:ascii="Arial" w:cs="Arial" w:eastAsia="Arial" w:hAnsi="Arial"/>
          <w:sz w:val="13"/>
          <w:szCs w:val="13"/>
          <w:color w:val="auto"/>
        </w:rPr>
        <w:t>. Receipt by the Administrative Agent and the Lenders of any fees required to be paid on or before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294640</wp:posOffset>
            </wp:positionV>
            <wp:extent cx="7290435" cy="19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60"/>
          </w:cols>
          <w:pgMar w:left="440" w:top="720" w:right="299" w:bottom="1440" w:gutter="0" w:footer="0" w:header="0"/>
        </w:sectPr>
      </w:pPr>
    </w:p>
    <w:bookmarkStart w:id="141" w:name="page142"/>
    <w:bookmarkEnd w:id="141"/>
    <w:p>
      <w:pPr>
        <w:ind w:left="220" w:right="240" w:firstLine="172"/>
        <w:spacing w:after="0" w:line="264" w:lineRule="auto"/>
        <w:tabs>
          <w:tab w:leader="none" w:pos="540" w:val="left"/>
        </w:tabs>
        <w:numPr>
          <w:ilvl w:val="0"/>
          <w:numId w:val="117"/>
        </w:numPr>
        <w:rPr>
          <w:rFonts w:ascii="Arial" w:cs="Arial" w:eastAsia="Arial" w:hAnsi="Arial"/>
          <w:sz w:val="13"/>
          <w:szCs w:val="13"/>
          <w:color w:val="auto"/>
        </w:rPr>
      </w:pPr>
      <w:r>
        <w:rPr>
          <w:rFonts w:ascii="Arial" w:cs="Arial" w:eastAsia="Arial" w:hAnsi="Arial"/>
          <w:sz w:val="13"/>
          <w:szCs w:val="13"/>
          <w:u w:val="single" w:color="auto"/>
          <w:color w:val="auto"/>
        </w:rPr>
        <w:t>Attorney Costs</w:t>
      </w:r>
      <w:r>
        <w:rPr>
          <w:rFonts w:ascii="Arial" w:cs="Arial" w:eastAsia="Arial" w:hAnsi="Arial"/>
          <w:sz w:val="13"/>
          <w:szCs w:val="13"/>
          <w:color w:val="auto"/>
        </w:rPr>
        <w:t>. Unless waived by the Administrative Agent, the Company shall have paid all Attorney Costs of the Administrative Agent to the extent invoiced prior to or on the Closing Date, plus such additional amounts of Attorney Costs as shall constitute its reasonable estimate of Attorney Costs incurred or to be incurred by it through the closing proceedings (provided that such estimate shall not thereafter preclude a final settling of accounts between the Company and the Administrative Agent).</w:t>
      </w:r>
    </w:p>
    <w:p>
      <w:pPr>
        <w:spacing w:after="0" w:line="57" w:lineRule="exact"/>
        <w:rPr>
          <w:rFonts w:ascii="Arial" w:cs="Arial" w:eastAsia="Arial" w:hAnsi="Arial"/>
          <w:sz w:val="13"/>
          <w:szCs w:val="13"/>
          <w:color w:val="auto"/>
        </w:rPr>
      </w:pPr>
    </w:p>
    <w:p>
      <w:pPr>
        <w:ind w:left="220" w:right="60" w:firstLine="172"/>
        <w:spacing w:after="0" w:line="264" w:lineRule="auto"/>
        <w:tabs>
          <w:tab w:leader="none" w:pos="540" w:val="left"/>
        </w:tabs>
        <w:numPr>
          <w:ilvl w:val="0"/>
          <w:numId w:val="117"/>
        </w:numPr>
        <w:rPr>
          <w:rFonts w:ascii="Arial" w:cs="Arial" w:eastAsia="Arial" w:hAnsi="Arial"/>
          <w:sz w:val="13"/>
          <w:szCs w:val="13"/>
          <w:color w:val="auto"/>
        </w:rPr>
      </w:pPr>
      <w:r>
        <w:rPr>
          <w:rFonts w:ascii="Arial" w:cs="Arial" w:eastAsia="Arial" w:hAnsi="Arial"/>
          <w:sz w:val="13"/>
          <w:szCs w:val="13"/>
          <w:u w:val="single" w:color="auto"/>
          <w:color w:val="auto"/>
        </w:rPr>
        <w:t>Other</w:t>
      </w:r>
      <w:r>
        <w:rPr>
          <w:rFonts w:ascii="Arial" w:cs="Arial" w:eastAsia="Arial" w:hAnsi="Arial"/>
          <w:sz w:val="13"/>
          <w:szCs w:val="13"/>
          <w:color w:val="auto"/>
        </w:rPr>
        <w:t>. Receipt by the Administrative Agent and the Lenders of such other documents, instruments, agreements and information as reasonably requested by the Administrative Agent or any Lender, including, but not limited to, information regarding litigation, tax, accounting, labor, insurance, pension liabilities (actual or contingent), real estate leases, material contracts, debt agreements, property ownership, environmental matters, contingent liabilities and management of the Company, Emed and their respective Subsidiaries.</w:t>
      </w:r>
    </w:p>
    <w:p>
      <w:pPr>
        <w:spacing w:after="0" w:line="57" w:lineRule="exact"/>
        <w:rPr>
          <w:sz w:val="20"/>
          <w:szCs w:val="20"/>
          <w:color w:val="auto"/>
        </w:rPr>
      </w:pPr>
    </w:p>
    <w:p>
      <w:pPr>
        <w:jc w:val="both"/>
        <w:ind w:right="320" w:firstLine="161"/>
        <w:spacing w:after="0" w:line="264" w:lineRule="auto"/>
        <w:rPr>
          <w:sz w:val="20"/>
          <w:szCs w:val="20"/>
          <w:color w:val="auto"/>
        </w:rPr>
      </w:pPr>
      <w:r>
        <w:rPr>
          <w:rFonts w:ascii="Arial" w:cs="Arial" w:eastAsia="Arial" w:hAnsi="Arial"/>
          <w:sz w:val="13"/>
          <w:szCs w:val="13"/>
          <w:color w:val="auto"/>
        </w:rPr>
        <w:t xml:space="preserve">Without limiting the generality of the provisions of </w:t>
      </w:r>
      <w:r>
        <w:rPr>
          <w:rFonts w:ascii="Arial" w:cs="Arial" w:eastAsia="Arial" w:hAnsi="Arial"/>
          <w:sz w:val="13"/>
          <w:szCs w:val="13"/>
          <w:u w:val="single" w:color="auto"/>
          <w:color w:val="auto"/>
        </w:rPr>
        <w:t>Section 10.04</w:t>
      </w:r>
      <w:r>
        <w:rPr>
          <w:rFonts w:ascii="Arial" w:cs="Arial" w:eastAsia="Arial" w:hAnsi="Arial"/>
          <w:sz w:val="13"/>
          <w:szCs w:val="13"/>
          <w:color w:val="auto"/>
        </w:rPr>
        <w:t xml:space="preserve">, for purposes of determining compliance with the conditions specified in this </w:t>
      </w:r>
      <w:r>
        <w:rPr>
          <w:rFonts w:ascii="Arial" w:cs="Arial" w:eastAsia="Arial" w:hAnsi="Arial"/>
          <w:sz w:val="13"/>
          <w:szCs w:val="13"/>
          <w:u w:val="single" w:color="auto"/>
          <w:color w:val="auto"/>
        </w:rPr>
        <w:t>Section 5.01</w:t>
      </w:r>
      <w:r>
        <w:rPr>
          <w:rFonts w:ascii="Arial" w:cs="Arial" w:eastAsia="Arial" w:hAnsi="Arial"/>
          <w:sz w:val="13"/>
          <w:szCs w:val="13"/>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5.02 </w:t>
      </w:r>
      <w:r>
        <w:rPr>
          <w:rFonts w:ascii="Arial" w:cs="Arial" w:eastAsia="Arial" w:hAnsi="Arial"/>
          <w:sz w:val="13"/>
          <w:szCs w:val="13"/>
          <w:u w:val="single" w:color="auto"/>
          <w:color w:val="auto"/>
        </w:rPr>
        <w:t>Conditions to all Credit Extensions</w:t>
      </w:r>
      <w:r>
        <w:rPr>
          <w:rFonts w:ascii="Arial" w:cs="Arial" w:eastAsia="Arial" w:hAnsi="Arial"/>
          <w:sz w:val="13"/>
          <w:szCs w:val="13"/>
          <w:color w:val="auto"/>
        </w:rPr>
        <w: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obligation of each Lender to honor any Request for Credit Extension is subject to the following conditions precedent:</w:t>
      </w:r>
    </w:p>
    <w:p>
      <w:pPr>
        <w:spacing w:after="0" w:line="86" w:lineRule="exact"/>
        <w:rPr>
          <w:sz w:val="20"/>
          <w:szCs w:val="20"/>
          <w:color w:val="auto"/>
        </w:rPr>
      </w:pPr>
    </w:p>
    <w:p>
      <w:pPr>
        <w:ind w:left="220" w:firstLine="172"/>
        <w:spacing w:after="0" w:line="260" w:lineRule="auto"/>
        <w:tabs>
          <w:tab w:leader="none" w:pos="562" w:val="left"/>
        </w:tabs>
        <w:numPr>
          <w:ilvl w:val="0"/>
          <w:numId w:val="118"/>
        </w:numPr>
        <w:rPr>
          <w:rFonts w:ascii="Arial" w:cs="Arial" w:eastAsia="Arial" w:hAnsi="Arial"/>
          <w:sz w:val="13"/>
          <w:szCs w:val="13"/>
          <w:color w:val="auto"/>
        </w:rPr>
      </w:pPr>
      <w:r>
        <w:rPr>
          <w:rFonts w:ascii="Arial" w:cs="Arial" w:eastAsia="Arial" w:hAnsi="Arial"/>
          <w:sz w:val="13"/>
          <w:szCs w:val="13"/>
          <w:color w:val="auto"/>
        </w:rPr>
        <w:t xml:space="preserve">The representations and warranties of the Loan Parties contained in </w:t>
      </w:r>
      <w:r>
        <w:rPr>
          <w:rFonts w:ascii="Arial" w:cs="Arial" w:eastAsia="Arial" w:hAnsi="Arial"/>
          <w:sz w:val="13"/>
          <w:szCs w:val="13"/>
          <w:u w:val="single" w:color="auto"/>
          <w:color w:val="auto"/>
        </w:rPr>
        <w:t>Article VI</w:t>
      </w:r>
      <w:r>
        <w:rPr>
          <w:rFonts w:ascii="Arial" w:cs="Arial" w:eastAsia="Arial" w:hAnsi="Arial"/>
          <w:sz w:val="13"/>
          <w:szCs w:val="13"/>
          <w:color w:val="auto"/>
        </w:rPr>
        <w:t xml:space="preserve"> or any other Loan Document, or which are contained in any document furnished at any time under or in connection herewith or therewith, shall be true and correct on and as of the date of such Credit Extension, except to the extent that such representations and warranties specifically refer to an earlier date, in which case they shall be true and correct as of such earlier date, and except that for purposes of this </w:t>
      </w:r>
      <w:r>
        <w:rPr>
          <w:rFonts w:ascii="Arial" w:cs="Arial" w:eastAsia="Arial" w:hAnsi="Arial"/>
          <w:sz w:val="13"/>
          <w:szCs w:val="13"/>
          <w:u w:val="single" w:color="auto"/>
          <w:color w:val="auto"/>
        </w:rPr>
        <w:t>Section 5.02</w:t>
      </w:r>
      <w:r>
        <w:rPr>
          <w:rFonts w:ascii="Arial" w:cs="Arial" w:eastAsia="Arial" w:hAnsi="Arial"/>
          <w:sz w:val="13"/>
          <w:szCs w:val="13"/>
          <w:color w:val="auto"/>
        </w:rPr>
        <w:t xml:space="preserve">, the representations and warranties contained in subsections (a) and (b) of </w:t>
      </w:r>
      <w:r>
        <w:rPr>
          <w:rFonts w:ascii="Arial" w:cs="Arial" w:eastAsia="Arial" w:hAnsi="Arial"/>
          <w:sz w:val="13"/>
          <w:szCs w:val="13"/>
          <w:u w:val="single" w:color="auto"/>
          <w:color w:val="auto"/>
        </w:rPr>
        <w:t>Section 6.05</w:t>
      </w:r>
      <w:r>
        <w:rPr>
          <w:rFonts w:ascii="Arial" w:cs="Arial" w:eastAsia="Arial" w:hAnsi="Arial"/>
          <w:sz w:val="13"/>
          <w:szCs w:val="13"/>
          <w:color w:val="auto"/>
        </w:rPr>
        <w:t xml:space="preserve"> shall be deemed to refer to the most recent statements furnished pursuant to clauses (a) and (b), respectively, of </w:t>
      </w:r>
      <w:r>
        <w:rPr>
          <w:rFonts w:ascii="Arial" w:cs="Arial" w:eastAsia="Arial" w:hAnsi="Arial"/>
          <w:sz w:val="13"/>
          <w:szCs w:val="13"/>
          <w:u w:val="single" w:color="auto"/>
          <w:color w:val="auto"/>
        </w:rPr>
        <w:t>Section 7.01</w:t>
      </w:r>
      <w:r>
        <w:rPr>
          <w:rFonts w:ascii="Arial" w:cs="Arial" w:eastAsia="Arial" w:hAnsi="Arial"/>
          <w:sz w:val="13"/>
          <w:szCs w:val="13"/>
          <w:color w:val="auto"/>
        </w:rPr>
        <w:t>.</w:t>
      </w:r>
    </w:p>
    <w:p>
      <w:pPr>
        <w:spacing w:after="0" w:line="59" w:lineRule="exact"/>
        <w:rPr>
          <w:rFonts w:ascii="Arial" w:cs="Arial" w:eastAsia="Arial" w:hAnsi="Arial"/>
          <w:sz w:val="13"/>
          <w:szCs w:val="13"/>
          <w:color w:val="auto"/>
        </w:rPr>
      </w:pPr>
    </w:p>
    <w:p>
      <w:pPr>
        <w:ind w:left="580" w:hanging="188"/>
        <w:spacing w:after="0"/>
        <w:tabs>
          <w:tab w:leader="none" w:pos="58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No Default shall exist, or would result from such proposed Credit Extension.</w:t>
      </w:r>
    </w:p>
    <w:p>
      <w:pPr>
        <w:spacing w:after="0" w:line="86" w:lineRule="exact"/>
        <w:rPr>
          <w:rFonts w:ascii="Arial" w:cs="Arial" w:eastAsia="Arial" w:hAnsi="Arial"/>
          <w:sz w:val="13"/>
          <w:szCs w:val="13"/>
          <w:color w:val="auto"/>
        </w:rPr>
      </w:pPr>
    </w:p>
    <w:p>
      <w:pPr>
        <w:ind w:left="560" w:hanging="168"/>
        <w:spacing w:after="0"/>
        <w:tabs>
          <w:tab w:leader="none" w:pos="56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The Administrative Agent and, if applicable, the L/C Issuer or the Swing Line Lender shall have received a Request for Credit Extension in accordance with the requirements hereof.</w:t>
      </w:r>
    </w:p>
    <w:p>
      <w:pPr>
        <w:spacing w:after="0" w:line="86" w:lineRule="exact"/>
        <w:rPr>
          <w:rFonts w:ascii="Arial" w:cs="Arial" w:eastAsia="Arial" w:hAnsi="Arial"/>
          <w:sz w:val="13"/>
          <w:szCs w:val="13"/>
          <w:color w:val="auto"/>
        </w:rPr>
      </w:pPr>
    </w:p>
    <w:p>
      <w:pPr>
        <w:ind w:left="220" w:firstLine="172"/>
        <w:spacing w:after="0" w:line="296" w:lineRule="auto"/>
        <w:tabs>
          <w:tab w:leader="none" w:pos="569" w:val="left"/>
        </w:tabs>
        <w:numPr>
          <w:ilvl w:val="0"/>
          <w:numId w:val="118"/>
        </w:numPr>
        <w:rPr>
          <w:rFonts w:ascii="Arial" w:cs="Arial" w:eastAsia="Arial" w:hAnsi="Arial"/>
          <w:sz w:val="12"/>
          <w:szCs w:val="12"/>
          <w:color w:val="auto"/>
        </w:rPr>
      </w:pPr>
      <w:r>
        <w:rPr>
          <w:rFonts w:ascii="Arial" w:cs="Arial" w:eastAsia="Arial" w:hAnsi="Arial"/>
          <w:sz w:val="12"/>
          <w:szCs w:val="12"/>
          <w:color w:val="auto"/>
        </w:rPr>
        <w:t>In the case of a Credit Extension to be denominated in an Alternative Currency, there shall not have occurred any change in national or international financial, political or economic conditions or currency exchange rates or exchange controls which in the reasonable opinion of the Administrative Agent, the Required Lenders (in the case of any Loans to be denominated in an Alternative Currency) or the L/C Issuer (in the case of any Letter of Credit to be denominated in an Alternative Currency) would make it impracticable for such Credit Extension to be denominated in the relevant Alternative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264795</wp:posOffset>
            </wp:positionV>
            <wp:extent cx="7290435" cy="19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42" w:name="page143"/>
    <w:bookmarkEnd w:id="142"/>
    <w:p>
      <w:pPr>
        <w:ind w:left="1" w:right="160" w:firstLine="164"/>
        <w:spacing w:after="0" w:line="276" w:lineRule="auto"/>
        <w:rPr>
          <w:sz w:val="20"/>
          <w:szCs w:val="20"/>
          <w:color w:val="auto"/>
        </w:rPr>
      </w:pPr>
      <w:r>
        <w:rPr>
          <w:rFonts w:ascii="Arial" w:cs="Arial" w:eastAsia="Arial" w:hAnsi="Arial"/>
          <w:sz w:val="13"/>
          <w:szCs w:val="13"/>
          <w:color w:val="auto"/>
        </w:rPr>
        <w:t xml:space="preserve">Each Request for Credit Extension submitted by a Borrower shall be deemed to be a representation and warranty that the conditions specified in </w:t>
      </w:r>
      <w:r>
        <w:rPr>
          <w:rFonts w:ascii="Arial" w:cs="Arial" w:eastAsia="Arial" w:hAnsi="Arial"/>
          <w:sz w:val="13"/>
          <w:szCs w:val="13"/>
          <w:u w:val="single" w:color="auto"/>
          <w:color w:val="auto"/>
        </w:rPr>
        <w:t>Sections 5.02(a)</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(b)</w:t>
      </w:r>
      <w:r>
        <w:rPr>
          <w:rFonts w:ascii="Arial" w:cs="Arial" w:eastAsia="Arial" w:hAnsi="Arial"/>
          <w:sz w:val="13"/>
          <w:szCs w:val="13"/>
          <w:color w:val="auto"/>
        </w:rPr>
        <w:t xml:space="preserve"> have been satisfied on and as of the date of the applicable Credit Extension.</w:t>
      </w:r>
    </w:p>
    <w:p>
      <w:pPr>
        <w:spacing w:after="0" w:line="207" w:lineRule="exact"/>
        <w:rPr>
          <w:sz w:val="20"/>
          <w:szCs w:val="20"/>
          <w:color w:val="auto"/>
        </w:rPr>
      </w:pPr>
    </w:p>
    <w:p>
      <w:pPr>
        <w:ind w:left="5381"/>
        <w:spacing w:after="0"/>
        <w:rPr>
          <w:sz w:val="20"/>
          <w:szCs w:val="20"/>
          <w:color w:val="auto"/>
        </w:rPr>
      </w:pPr>
      <w:r>
        <w:rPr>
          <w:rFonts w:ascii="Arial" w:cs="Arial" w:eastAsia="Arial" w:hAnsi="Arial"/>
          <w:sz w:val="13"/>
          <w:szCs w:val="13"/>
          <w:color w:val="auto"/>
        </w:rPr>
        <w:t>ARTICLE VI</w:t>
      </w:r>
    </w:p>
    <w:p>
      <w:pPr>
        <w:spacing w:after="0" w:line="86" w:lineRule="exact"/>
        <w:rPr>
          <w:sz w:val="20"/>
          <w:szCs w:val="20"/>
          <w:color w:val="auto"/>
        </w:rPr>
      </w:pPr>
    </w:p>
    <w:p>
      <w:pPr>
        <w:ind w:left="4541"/>
        <w:spacing w:after="0"/>
        <w:rPr>
          <w:sz w:val="20"/>
          <w:szCs w:val="20"/>
          <w:color w:val="auto"/>
        </w:rPr>
      </w:pPr>
      <w:r>
        <w:rPr>
          <w:rFonts w:ascii="Arial" w:cs="Arial" w:eastAsia="Arial" w:hAnsi="Arial"/>
          <w:sz w:val="13"/>
          <w:szCs w:val="13"/>
          <w:color w:val="auto"/>
        </w:rPr>
        <w:t>REPRESENTATIONS AND WARRANTIES</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color w:val="auto"/>
        </w:rPr>
        <w:t>The Loan Parties represent and warrant to the Administrative Agent and the Lenders that:</w:t>
      </w:r>
    </w:p>
    <w:p>
      <w:pPr>
        <w:spacing w:after="0" w:line="165"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6.01 </w:t>
      </w:r>
      <w:r>
        <w:rPr>
          <w:rFonts w:ascii="Arial" w:cs="Arial" w:eastAsia="Arial" w:hAnsi="Arial"/>
          <w:sz w:val="13"/>
          <w:szCs w:val="13"/>
          <w:u w:val="single" w:color="auto"/>
          <w:color w:val="auto"/>
        </w:rPr>
        <w:t>Existence, Qualification and Power</w:t>
      </w:r>
      <w:r>
        <w:rPr>
          <w:rFonts w:ascii="Arial" w:cs="Arial" w:eastAsia="Arial" w:hAnsi="Arial"/>
          <w:sz w:val="13"/>
          <w:szCs w:val="13"/>
          <w:color w:val="auto"/>
        </w:rPr>
        <w:t>.</w:t>
      </w:r>
    </w:p>
    <w:p>
      <w:pPr>
        <w:spacing w:after="0" w:line="86" w:lineRule="exact"/>
        <w:rPr>
          <w:sz w:val="20"/>
          <w:szCs w:val="20"/>
          <w:color w:val="auto"/>
        </w:rPr>
      </w:pPr>
    </w:p>
    <w:p>
      <w:pPr>
        <w:jc w:val="both"/>
        <w:ind w:left="1" w:firstLine="164"/>
        <w:spacing w:after="0" w:line="289" w:lineRule="auto"/>
        <w:rPr>
          <w:sz w:val="20"/>
          <w:szCs w:val="20"/>
          <w:color w:val="auto"/>
        </w:rPr>
      </w:pPr>
      <w:r>
        <w:rPr>
          <w:rFonts w:ascii="Arial" w:cs="Arial" w:eastAsia="Arial" w:hAnsi="Arial"/>
          <w:sz w:val="12"/>
          <w:szCs w:val="12"/>
          <w:color w:val="auto"/>
        </w:rPr>
        <w:t>Each Loan Party (a) is duly organized or formed, validly existing and in good standing under the Laws of the jurisdiction of its incorporation or organization, (b) has all requisite power and authority and all requisite governmental licenses, authorizations, consents and approvals to (i) own its assets and carry on its business and (ii) execute, deliver and perform its obligations under the Loan Documents to which it is a party, and (c) is duly qualified and is licensed and in good standing under the Laws of each jurisdiction where its ownership, lease or operation of properties or the conduct of its business requires such qualification or license; except in each case referred to in clause (b)(i) or (c), to the extent that failure to do so could not reasonably be expected to have a Material Adverse Effect.</w:t>
      </w:r>
    </w:p>
    <w:p>
      <w:pPr>
        <w:spacing w:after="0" w:line="122"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6.02 </w:t>
      </w:r>
      <w:r>
        <w:rPr>
          <w:rFonts w:ascii="Arial" w:cs="Arial" w:eastAsia="Arial" w:hAnsi="Arial"/>
          <w:sz w:val="13"/>
          <w:szCs w:val="13"/>
          <w:u w:val="single" w:color="auto"/>
          <w:color w:val="auto"/>
        </w:rPr>
        <w:t>Authorization; No Contravention</w:t>
      </w:r>
      <w:r>
        <w:rPr>
          <w:rFonts w:ascii="Arial" w:cs="Arial" w:eastAsia="Arial" w:hAnsi="Arial"/>
          <w:sz w:val="13"/>
          <w:szCs w:val="13"/>
          <w:color w:val="auto"/>
        </w:rPr>
        <w:t>.</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2"/>
          <w:szCs w:val="12"/>
          <w:color w:val="auto"/>
        </w:rPr>
        <w:t>The execution, delivery and performance by each Loan Party of each Loan Document to which such Person is party have been duly authorized by all necessary corporate or other organizational action, and do not</w:t>
      </w:r>
    </w:p>
    <w:p>
      <w:pPr>
        <w:spacing w:after="0" w:line="27" w:lineRule="exact"/>
        <w:rPr>
          <w:sz w:val="20"/>
          <w:szCs w:val="20"/>
          <w:color w:val="auto"/>
        </w:rPr>
      </w:pPr>
    </w:p>
    <w:p>
      <w:pPr>
        <w:jc w:val="both"/>
        <w:ind w:left="1" w:right="80" w:hanging="1"/>
        <w:spacing w:after="0" w:line="258" w:lineRule="auto"/>
        <w:tabs>
          <w:tab w:leader="none" w:pos="180" w:val="left"/>
        </w:tabs>
        <w:numPr>
          <w:ilvl w:val="0"/>
          <w:numId w:val="119"/>
        </w:numPr>
        <w:rPr>
          <w:rFonts w:ascii="Arial" w:cs="Arial" w:eastAsia="Arial" w:hAnsi="Arial"/>
          <w:sz w:val="13"/>
          <w:szCs w:val="13"/>
          <w:color w:val="auto"/>
        </w:rPr>
      </w:pPr>
      <w:r>
        <w:rPr>
          <w:rFonts w:ascii="Arial" w:cs="Arial" w:eastAsia="Arial" w:hAnsi="Arial"/>
          <w:sz w:val="13"/>
          <w:szCs w:val="13"/>
          <w:color w:val="auto"/>
        </w:rPr>
        <w:t>contravene the terms of any of such Person’s Organization Documents; (b) conflict with or result in any breach or contravention of, or the creation of any Lien under (i) any material Contractual Obligation to which such Person is a party or (ii) any material order, injunction, writ or decree of any Governmental Authority or any arbitral award to which such Person or its property is subject; or (c) violate any Law (including, without limitation, Regulation U or Regulation X issued by the FRB).</w:t>
      </w:r>
    </w:p>
    <w:p>
      <w:pPr>
        <w:spacing w:after="0" w:line="139"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6.03 </w:t>
      </w:r>
      <w:r>
        <w:rPr>
          <w:rFonts w:ascii="Arial" w:cs="Arial" w:eastAsia="Arial" w:hAnsi="Arial"/>
          <w:sz w:val="13"/>
          <w:szCs w:val="13"/>
          <w:u w:val="single" w:color="auto"/>
          <w:color w:val="auto"/>
        </w:rPr>
        <w:t>Governmental Authorization; Other Consents</w:t>
      </w:r>
      <w:r>
        <w:rPr>
          <w:rFonts w:ascii="Arial" w:cs="Arial" w:eastAsia="Arial" w:hAnsi="Arial"/>
          <w:sz w:val="13"/>
          <w:szCs w:val="13"/>
          <w:color w:val="auto"/>
        </w:rPr>
        <w:t>.</w:t>
      </w:r>
    </w:p>
    <w:p>
      <w:pPr>
        <w:spacing w:after="0" w:line="86" w:lineRule="exact"/>
        <w:rPr>
          <w:sz w:val="20"/>
          <w:szCs w:val="20"/>
          <w:color w:val="auto"/>
        </w:rPr>
      </w:pPr>
    </w:p>
    <w:p>
      <w:pPr>
        <w:ind w:left="1" w:right="120" w:firstLine="164"/>
        <w:spacing w:after="0" w:line="320" w:lineRule="auto"/>
        <w:rPr>
          <w:sz w:val="20"/>
          <w:szCs w:val="20"/>
          <w:color w:val="auto"/>
        </w:rPr>
      </w:pPr>
      <w:r>
        <w:rPr>
          <w:rFonts w:ascii="Arial" w:cs="Arial" w:eastAsia="Arial" w:hAnsi="Arial"/>
          <w:sz w:val="12"/>
          <w:szCs w:val="12"/>
          <w:color w:val="auto"/>
        </w:rPr>
        <w:t>No approval, consent, exemption, authorization, or other action by, or notice to, or filing with, any Governmental Authority or any other Person is necessary or required in connection with the execution, delivery or performance by, or enforcement against, any Loan Party of this Agreement or any other Loan Document other than those that have already been obtained and are in full force and effect.</w:t>
      </w:r>
    </w:p>
    <w:p>
      <w:pPr>
        <w:spacing w:after="0" w:line="104"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6.04 </w:t>
      </w:r>
      <w:r>
        <w:rPr>
          <w:rFonts w:ascii="Arial" w:cs="Arial" w:eastAsia="Arial" w:hAnsi="Arial"/>
          <w:sz w:val="13"/>
          <w:szCs w:val="13"/>
          <w:u w:val="single" w:color="auto"/>
          <w:color w:val="auto"/>
        </w:rPr>
        <w:t>Binding Effect</w:t>
      </w:r>
      <w:r>
        <w:rPr>
          <w:rFonts w:ascii="Arial" w:cs="Arial" w:eastAsia="Arial" w:hAnsi="Arial"/>
          <w:sz w:val="13"/>
          <w:szCs w:val="13"/>
          <w:color w:val="auto"/>
        </w:rPr>
        <w:t>.</w:t>
      </w:r>
    </w:p>
    <w:p>
      <w:pPr>
        <w:spacing w:after="0" w:line="86" w:lineRule="exact"/>
        <w:rPr>
          <w:sz w:val="20"/>
          <w:szCs w:val="20"/>
          <w:color w:val="auto"/>
        </w:rPr>
      </w:pPr>
    </w:p>
    <w:p>
      <w:pPr>
        <w:ind w:left="1" w:right="240" w:firstLine="164"/>
        <w:spacing w:after="0" w:line="276" w:lineRule="auto"/>
        <w:rPr>
          <w:sz w:val="20"/>
          <w:szCs w:val="20"/>
          <w:color w:val="auto"/>
        </w:rPr>
      </w:pPr>
      <w:r>
        <w:rPr>
          <w:rFonts w:ascii="Arial" w:cs="Arial" w:eastAsia="Arial" w:hAnsi="Arial"/>
          <w:sz w:val="13"/>
          <w:szCs w:val="13"/>
          <w:color w:val="auto"/>
        </w:rPr>
        <w:t>Each Loan Document has been duly executed and delivered by each Loan Party that is party thereto. Each Loan Document constitutes a legal, valid and binding obligation of each Loan Party that is party thereto, enforceable against each such Loan Party in accordance with its terms.</w:t>
      </w:r>
    </w:p>
    <w:p>
      <w:pPr>
        <w:spacing w:after="0" w:line="128"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6.05 </w:t>
      </w:r>
      <w:r>
        <w:rPr>
          <w:rFonts w:ascii="Arial" w:cs="Arial" w:eastAsia="Arial" w:hAnsi="Arial"/>
          <w:sz w:val="13"/>
          <w:szCs w:val="13"/>
          <w:u w:val="single" w:color="auto"/>
          <w:color w:val="auto"/>
        </w:rPr>
        <w:t>Financial Statements; No Material Adverse Effect</w:t>
      </w:r>
      <w:r>
        <w:rPr>
          <w:rFonts w:ascii="Arial" w:cs="Arial" w:eastAsia="Arial" w:hAnsi="Arial"/>
          <w:sz w:val="13"/>
          <w:szCs w:val="13"/>
          <w:color w:val="auto"/>
        </w:rPr>
        <w:t>.</w:t>
      </w:r>
    </w:p>
    <w:p>
      <w:pPr>
        <w:spacing w:after="0" w:line="86" w:lineRule="exact"/>
        <w:rPr>
          <w:sz w:val="20"/>
          <w:szCs w:val="20"/>
          <w:color w:val="auto"/>
        </w:rPr>
      </w:pPr>
    </w:p>
    <w:p>
      <w:pPr>
        <w:ind w:left="1" w:right="260" w:firstLine="162"/>
        <w:spacing w:after="0" w:line="264" w:lineRule="auto"/>
        <w:tabs>
          <w:tab w:leader="none" w:pos="341" w:val="left"/>
        </w:tabs>
        <w:numPr>
          <w:ilvl w:val="0"/>
          <w:numId w:val="120"/>
        </w:numPr>
        <w:rPr>
          <w:rFonts w:ascii="Arial" w:cs="Arial" w:eastAsia="Arial" w:hAnsi="Arial"/>
          <w:sz w:val="13"/>
          <w:szCs w:val="13"/>
          <w:color w:val="auto"/>
        </w:rPr>
      </w:pPr>
      <w:r>
        <w:rPr>
          <w:rFonts w:ascii="Arial" w:cs="Arial" w:eastAsia="Arial" w:hAnsi="Arial"/>
          <w:sz w:val="13"/>
          <w:szCs w:val="13"/>
          <w:color w:val="auto"/>
        </w:rPr>
        <w:t>The Audited Financial Statements (i) were prepared in accordance with GAAP consistently applied throughout the period covered thereby, except as otherwise expressly noted therein; (ii) fairly present, in all material respects, the financial condition of the Company and its Subsidiaries as of the date thereof and their results of operations for the period covered thereby in accordance with GAAP consistently applied throughout the period covered thereby, except as otherwise expressly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275590</wp:posOffset>
            </wp:positionV>
            <wp:extent cx="7290435" cy="19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43" w:name="page144"/>
    <w:bookmarkEnd w:id="143"/>
    <w:p>
      <w:pPr>
        <w:ind w:right="700"/>
        <w:spacing w:after="0" w:line="276" w:lineRule="auto"/>
        <w:rPr>
          <w:sz w:val="20"/>
          <w:szCs w:val="20"/>
          <w:color w:val="auto"/>
        </w:rPr>
      </w:pPr>
      <w:r>
        <w:rPr>
          <w:rFonts w:ascii="Arial" w:cs="Arial" w:eastAsia="Arial" w:hAnsi="Arial"/>
          <w:sz w:val="13"/>
          <w:szCs w:val="13"/>
          <w:color w:val="auto"/>
        </w:rPr>
        <w:t>therein; and (iii) show all material indebtedness and other liabilities, direct or contingent, of the Company and its Subsidiaries as of the date thereof, including liabilities for taxes, material commitments and Indebtedness.</w:t>
      </w:r>
    </w:p>
    <w:p>
      <w:pPr>
        <w:spacing w:after="0" w:line="49" w:lineRule="exact"/>
        <w:rPr>
          <w:sz w:val="20"/>
          <w:szCs w:val="20"/>
          <w:color w:val="auto"/>
        </w:rPr>
      </w:pPr>
    </w:p>
    <w:p>
      <w:pPr>
        <w:ind w:firstLine="162"/>
        <w:spacing w:after="0" w:line="260" w:lineRule="auto"/>
        <w:tabs>
          <w:tab w:leader="none" w:pos="347" w:val="left"/>
        </w:tabs>
        <w:numPr>
          <w:ilvl w:val="0"/>
          <w:numId w:val="121"/>
        </w:numPr>
        <w:rPr>
          <w:rFonts w:ascii="Arial" w:cs="Arial" w:eastAsia="Arial" w:hAnsi="Arial"/>
          <w:sz w:val="13"/>
          <w:szCs w:val="13"/>
          <w:color w:val="auto"/>
        </w:rPr>
      </w:pPr>
      <w:r>
        <w:rPr>
          <w:rFonts w:ascii="Arial" w:cs="Arial" w:eastAsia="Arial" w:hAnsi="Arial"/>
          <w:sz w:val="13"/>
          <w:szCs w:val="13"/>
          <w:color w:val="auto"/>
        </w:rPr>
        <w:t>The Interim Financial Statements (i) were prepared in accordance with GAAP consistently applied throughout the period covered thereby, except as otherwise expressly noted therein; (ii) fairly present, in all material respects, the financial condition of the Company and its Subsidiaries as of the date thereof and their results of operations for the period covered thereby, subject, in the case of clauses (i) and (ii), to the absence of footnotes and to normal year-end audit adjustments; and (iii) show all material indebtedness and other liabilities, direct or contingent, of the Company and its Subsidiaries as of the date thereof, including liabilities for taxes, material commitments and Indebtedness.</w:t>
      </w:r>
    </w:p>
    <w:p>
      <w:pPr>
        <w:spacing w:after="0" w:line="59" w:lineRule="exact"/>
        <w:rPr>
          <w:rFonts w:ascii="Arial" w:cs="Arial" w:eastAsia="Arial" w:hAnsi="Arial"/>
          <w:sz w:val="13"/>
          <w:szCs w:val="13"/>
          <w:color w:val="auto"/>
        </w:rPr>
      </w:pPr>
    </w:p>
    <w:p>
      <w:pPr>
        <w:ind w:right="40" w:firstLine="162"/>
        <w:spacing w:after="0" w:line="260" w:lineRule="auto"/>
        <w:tabs>
          <w:tab w:leader="none" w:pos="342" w:val="left"/>
        </w:tabs>
        <w:numPr>
          <w:ilvl w:val="0"/>
          <w:numId w:val="121"/>
        </w:numPr>
        <w:rPr>
          <w:rFonts w:ascii="Arial" w:cs="Arial" w:eastAsia="Arial" w:hAnsi="Arial"/>
          <w:sz w:val="13"/>
          <w:szCs w:val="13"/>
          <w:color w:val="auto"/>
        </w:rPr>
      </w:pPr>
      <w:r>
        <w:rPr>
          <w:rFonts w:ascii="Arial" w:cs="Arial" w:eastAsia="Arial" w:hAnsi="Arial"/>
          <w:sz w:val="13"/>
          <w:szCs w:val="13"/>
          <w:color w:val="auto"/>
        </w:rPr>
        <w:t>From the date of the Audited Financial Statements to and including the Closing Date, there has been no Disposition by the Company or any Subsidiary, or any Involuntary Disposition, of any material part of the business or Property of the Company and its Subsidiaries, taken as a whole, and no purchase or other acquisition by any of them of any business or property (including any Capital Stock of any other Person) material in relation to the consolidated financial condition of the Company and its Subsidiaries, taken as a whole, in each case, which is not reflected in the foregoing financial statements or in the notes thereto and has not otherwise been disclosed in writing to the Lenders on or prior to the Closing Date.</w:t>
      </w:r>
    </w:p>
    <w:p>
      <w:pPr>
        <w:spacing w:after="0" w:line="59" w:lineRule="exact"/>
        <w:rPr>
          <w:rFonts w:ascii="Arial" w:cs="Arial" w:eastAsia="Arial" w:hAnsi="Arial"/>
          <w:sz w:val="13"/>
          <w:szCs w:val="13"/>
          <w:color w:val="auto"/>
        </w:rPr>
      </w:pPr>
    </w:p>
    <w:p>
      <w:pPr>
        <w:jc w:val="both"/>
        <w:ind w:right="140" w:firstLine="162"/>
        <w:spacing w:after="0" w:line="264" w:lineRule="auto"/>
        <w:tabs>
          <w:tab w:leader="none" w:pos="347" w:val="left"/>
        </w:tabs>
        <w:numPr>
          <w:ilvl w:val="0"/>
          <w:numId w:val="121"/>
        </w:numPr>
        <w:rPr>
          <w:rFonts w:ascii="Arial" w:cs="Arial" w:eastAsia="Arial" w:hAnsi="Arial"/>
          <w:sz w:val="13"/>
          <w:szCs w:val="13"/>
          <w:color w:val="auto"/>
        </w:rPr>
      </w:pPr>
      <w:r>
        <w:rPr>
          <w:rFonts w:ascii="Arial" w:cs="Arial" w:eastAsia="Arial" w:hAnsi="Arial"/>
          <w:sz w:val="13"/>
          <w:szCs w:val="13"/>
          <w:color w:val="auto"/>
        </w:rPr>
        <w:t xml:space="preserve">The financial statements delivered pursuant to </w:t>
      </w:r>
      <w:r>
        <w:rPr>
          <w:rFonts w:ascii="Arial" w:cs="Arial" w:eastAsia="Arial" w:hAnsi="Arial"/>
          <w:sz w:val="13"/>
          <w:szCs w:val="13"/>
          <w:u w:val="single" w:color="auto"/>
          <w:color w:val="auto"/>
        </w:rPr>
        <w:t>Section 7.01(a)</w:t>
      </w:r>
      <w:r>
        <w:rPr>
          <w:rFonts w:ascii="Arial" w:cs="Arial" w:eastAsia="Arial" w:hAnsi="Arial"/>
          <w:sz w:val="13"/>
          <w:szCs w:val="13"/>
          <w:color w:val="auto"/>
        </w:rPr>
        <w:t xml:space="preserve"> and (b) have been prepared in accordance with GAAP (except as may otherwise be permitted under </w:t>
      </w:r>
      <w:r>
        <w:rPr>
          <w:rFonts w:ascii="Arial" w:cs="Arial" w:eastAsia="Arial" w:hAnsi="Arial"/>
          <w:sz w:val="13"/>
          <w:szCs w:val="13"/>
          <w:u w:val="single" w:color="auto"/>
          <w:color w:val="auto"/>
        </w:rPr>
        <w:t>Section 7.01(a)</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(b)</w:t>
      </w:r>
      <w:r>
        <w:rPr>
          <w:rFonts w:ascii="Arial" w:cs="Arial" w:eastAsia="Arial" w:hAnsi="Arial"/>
          <w:sz w:val="13"/>
          <w:szCs w:val="13"/>
          <w:color w:val="auto"/>
        </w:rPr>
        <w:t>) and present fairly (on the basis disclosed in the footnotes to such financial statements) the consolidated financial condition, results of operations and cash flows of the Company and its Subsidiaries as of the dates thereof and for the periods covered thereby.</w:t>
      </w:r>
    </w:p>
    <w:p>
      <w:pPr>
        <w:spacing w:after="0" w:line="57" w:lineRule="exact"/>
        <w:rPr>
          <w:rFonts w:ascii="Arial" w:cs="Arial" w:eastAsia="Arial" w:hAnsi="Arial"/>
          <w:sz w:val="13"/>
          <w:szCs w:val="13"/>
          <w:color w:val="auto"/>
        </w:rPr>
      </w:pPr>
    </w:p>
    <w:p>
      <w:pPr>
        <w:ind w:left="340" w:hanging="178"/>
        <w:spacing w:after="0"/>
        <w:tabs>
          <w:tab w:leader="none" w:pos="34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Since the date of the Audited Financial Statements, there has been no event or circumstance that has had or could reasonably be expected to have a Material Adverse Effect.</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6.06 </w:t>
      </w:r>
      <w:r>
        <w:rPr>
          <w:rFonts w:ascii="Arial" w:cs="Arial" w:eastAsia="Arial" w:hAnsi="Arial"/>
          <w:sz w:val="13"/>
          <w:szCs w:val="13"/>
          <w:u w:val="single" w:color="auto"/>
          <w:color w:val="auto"/>
        </w:rPr>
        <w:t>Litigation</w:t>
      </w:r>
      <w:r>
        <w:rPr>
          <w:rFonts w:ascii="Arial" w:cs="Arial" w:eastAsia="Arial" w:hAnsi="Arial"/>
          <w:sz w:val="13"/>
          <w:szCs w:val="13"/>
          <w:color w:val="auto"/>
        </w:rPr>
        <w:t>.</w:t>
      </w:r>
    </w:p>
    <w:p>
      <w:pPr>
        <w:spacing w:after="0" w:line="86" w:lineRule="exact"/>
        <w:rPr>
          <w:sz w:val="20"/>
          <w:szCs w:val="20"/>
          <w:color w:val="auto"/>
        </w:rPr>
      </w:pPr>
    </w:p>
    <w:p>
      <w:pPr>
        <w:ind w:right="20" w:firstLine="161"/>
        <w:spacing w:after="0" w:line="264" w:lineRule="auto"/>
        <w:rPr>
          <w:sz w:val="20"/>
          <w:szCs w:val="20"/>
          <w:color w:val="auto"/>
        </w:rPr>
      </w:pPr>
      <w:r>
        <w:rPr>
          <w:rFonts w:ascii="Arial" w:cs="Arial" w:eastAsia="Arial" w:hAnsi="Arial"/>
          <w:sz w:val="13"/>
          <w:szCs w:val="13"/>
          <w:color w:val="auto"/>
        </w:rPr>
        <w:t>There are no actions, suits, proceedings, claims or disputes pending or, to the knowledge of the Loan Parties after due and diligent investigation, threatened or contemplated, at law, in equity, in arbitration or before any Governmental Authority, by or against the Company or any of its Subsidiaries or against any of their properties or revenues that (a) purport to affect or pertain to this Agreement or any other Loan Document, or any of the transactions contemplated hereby or (b) if determined adversely, could reasonably be expected to have a Material Adverse Effect.</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6.07 </w:t>
      </w:r>
      <w:r>
        <w:rPr>
          <w:rFonts w:ascii="Arial" w:cs="Arial" w:eastAsia="Arial" w:hAnsi="Arial"/>
          <w:sz w:val="13"/>
          <w:szCs w:val="13"/>
          <w:u w:val="single" w:color="auto"/>
          <w:color w:val="auto"/>
        </w:rPr>
        <w:t>No Default</w:t>
      </w:r>
      <w:r>
        <w:rPr>
          <w:rFonts w:ascii="Arial" w:cs="Arial" w:eastAsia="Arial" w:hAnsi="Arial"/>
          <w:sz w:val="13"/>
          <w:szCs w:val="13"/>
          <w:color w:val="auto"/>
        </w:rPr>
        <w:t>.</w:t>
      </w:r>
    </w:p>
    <w:p>
      <w:pPr>
        <w:spacing w:after="0" w:line="86" w:lineRule="exact"/>
        <w:rPr>
          <w:sz w:val="20"/>
          <w:szCs w:val="20"/>
          <w:color w:val="auto"/>
        </w:rPr>
      </w:pPr>
    </w:p>
    <w:p>
      <w:pPr>
        <w:ind w:left="340" w:hanging="178"/>
        <w:spacing w:after="0"/>
        <w:tabs>
          <w:tab w:leader="none" w:pos="34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Neither the Company nor any Subsidiary is in default under or with respect to any Contractual Obligation that could reasonably be expected to have a Material Adverse Effect.</w:t>
      </w:r>
    </w:p>
    <w:p>
      <w:pPr>
        <w:spacing w:after="0" w:line="86" w:lineRule="exact"/>
        <w:rPr>
          <w:rFonts w:ascii="Arial" w:cs="Arial" w:eastAsia="Arial" w:hAnsi="Arial"/>
          <w:sz w:val="13"/>
          <w:szCs w:val="13"/>
          <w:color w:val="auto"/>
        </w:rPr>
      </w:pPr>
    </w:p>
    <w:p>
      <w:pPr>
        <w:ind w:left="340" w:hanging="178"/>
        <w:spacing w:after="0"/>
        <w:tabs>
          <w:tab w:leader="none" w:pos="34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No Default has occurred and is continuing.</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6.08 </w:t>
      </w:r>
      <w:r>
        <w:rPr>
          <w:rFonts w:ascii="Arial" w:cs="Arial" w:eastAsia="Arial" w:hAnsi="Arial"/>
          <w:sz w:val="13"/>
          <w:szCs w:val="13"/>
          <w:u w:val="single" w:color="auto"/>
          <w:color w:val="auto"/>
        </w:rPr>
        <w:t>Ownership of Property; Liens</w:t>
      </w:r>
      <w:r>
        <w:rPr>
          <w:rFonts w:ascii="Arial" w:cs="Arial" w:eastAsia="Arial" w:hAnsi="Arial"/>
          <w:sz w:val="13"/>
          <w:szCs w:val="13"/>
          <w:color w:val="auto"/>
        </w:rPr>
        <w:t>.</w:t>
      </w:r>
    </w:p>
    <w:p>
      <w:pPr>
        <w:spacing w:after="0" w:line="86" w:lineRule="exact"/>
        <w:rPr>
          <w:sz w:val="20"/>
          <w:szCs w:val="20"/>
          <w:color w:val="auto"/>
        </w:rPr>
      </w:pPr>
    </w:p>
    <w:p>
      <w:pPr>
        <w:ind w:right="240" w:firstLine="164"/>
        <w:spacing w:after="0" w:line="276" w:lineRule="auto"/>
        <w:rPr>
          <w:sz w:val="20"/>
          <w:szCs w:val="20"/>
          <w:color w:val="auto"/>
        </w:rPr>
      </w:pPr>
      <w:r>
        <w:rPr>
          <w:rFonts w:ascii="Arial" w:cs="Arial" w:eastAsia="Arial" w:hAnsi="Arial"/>
          <w:sz w:val="13"/>
          <w:szCs w:val="13"/>
          <w:color w:val="auto"/>
        </w:rPr>
        <w:t>Each of the Company and its Subsidiaries has good record and marketable title in fee simple to, or valid leasehold interests in, all real property necessary or used in the ordinary conduct of its business, except for such defects in title as could not, individually or in the aggregate, reasonably be expected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44" w:name="page145"/>
    <w:bookmarkEnd w:id="144"/>
    <w:p>
      <w:pPr>
        <w:spacing w:after="0"/>
        <w:rPr>
          <w:sz w:val="20"/>
          <w:szCs w:val="20"/>
          <w:color w:val="auto"/>
        </w:rPr>
      </w:pPr>
      <w:r>
        <w:rPr>
          <w:rFonts w:ascii="Arial" w:cs="Arial" w:eastAsia="Arial" w:hAnsi="Arial"/>
          <w:sz w:val="13"/>
          <w:szCs w:val="13"/>
          <w:color w:val="auto"/>
        </w:rPr>
        <w:t>have a Material Adverse Effect. The property of the Company and its Subsidiaries is subject to no Liens, other than Permitted Liens.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6.09 </w:t>
      </w:r>
      <w:r>
        <w:rPr>
          <w:rFonts w:ascii="Arial" w:cs="Arial" w:eastAsia="Arial" w:hAnsi="Arial"/>
          <w:sz w:val="13"/>
          <w:szCs w:val="13"/>
          <w:u w:val="single" w:color="auto"/>
          <w:color w:val="auto"/>
        </w:rPr>
        <w:t>Environmental Compliance</w:t>
      </w:r>
      <w:r>
        <w:rPr>
          <w:rFonts w:ascii="Arial" w:cs="Arial" w:eastAsia="Arial" w:hAnsi="Arial"/>
          <w:sz w:val="13"/>
          <w:szCs w:val="13"/>
          <w:color w:val="auto"/>
        </w:rPr>
        <w: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Except as could not reasonably be expected to have a Material Adverse Effect:</w:t>
      </w:r>
    </w:p>
    <w:p>
      <w:pPr>
        <w:spacing w:after="0" w:line="86" w:lineRule="exact"/>
        <w:rPr>
          <w:sz w:val="20"/>
          <w:szCs w:val="20"/>
          <w:color w:val="auto"/>
        </w:rPr>
      </w:pPr>
    </w:p>
    <w:p>
      <w:pPr>
        <w:ind w:left="220" w:right="100" w:firstLine="172"/>
        <w:spacing w:after="0" w:line="276" w:lineRule="auto"/>
        <w:tabs>
          <w:tab w:leader="none" w:pos="562" w:val="left"/>
        </w:tabs>
        <w:numPr>
          <w:ilvl w:val="0"/>
          <w:numId w:val="123"/>
        </w:numPr>
        <w:rPr>
          <w:rFonts w:ascii="Arial" w:cs="Arial" w:eastAsia="Arial" w:hAnsi="Arial"/>
          <w:sz w:val="13"/>
          <w:szCs w:val="13"/>
          <w:color w:val="auto"/>
        </w:rPr>
      </w:pPr>
      <w:r>
        <w:rPr>
          <w:rFonts w:ascii="Arial" w:cs="Arial" w:eastAsia="Arial" w:hAnsi="Arial"/>
          <w:sz w:val="13"/>
          <w:szCs w:val="13"/>
          <w:color w:val="auto"/>
        </w:rPr>
        <w:t>Each of the Facilities and all operations at the Facilities are in compliance with all applicable Environmental Laws, and there is no violation of any Environmental Law with respect to the Facilities or the Businesses, and there are no conditions relating to the Facilities or the Businesses that could give rise to liability under any applicable Environmental Laws.</w:t>
      </w:r>
    </w:p>
    <w:p>
      <w:pPr>
        <w:spacing w:after="0" w:line="49" w:lineRule="exact"/>
        <w:rPr>
          <w:rFonts w:ascii="Arial" w:cs="Arial" w:eastAsia="Arial" w:hAnsi="Arial"/>
          <w:sz w:val="13"/>
          <w:szCs w:val="13"/>
          <w:color w:val="auto"/>
        </w:rPr>
      </w:pPr>
    </w:p>
    <w:p>
      <w:pPr>
        <w:ind w:left="580" w:hanging="188"/>
        <w:spacing w:after="0"/>
        <w:tabs>
          <w:tab w:leader="none" w:pos="580" w:val="left"/>
        </w:tabs>
        <w:numPr>
          <w:ilvl w:val="0"/>
          <w:numId w:val="123"/>
        </w:numPr>
        <w:rPr>
          <w:rFonts w:ascii="Arial" w:cs="Arial" w:eastAsia="Arial" w:hAnsi="Arial"/>
          <w:sz w:val="12"/>
          <w:szCs w:val="12"/>
          <w:color w:val="auto"/>
        </w:rPr>
      </w:pPr>
      <w:r>
        <w:rPr>
          <w:rFonts w:ascii="Arial" w:cs="Arial" w:eastAsia="Arial" w:hAnsi="Arial"/>
          <w:sz w:val="12"/>
          <w:szCs w:val="12"/>
          <w:color w:val="auto"/>
        </w:rPr>
        <w:t>None of the Facilities contains any Hazardous Materials at, on or under the Facilities in amounts or concentrations that constitute a violation of, or could give rise to liability under, Environmental Laws.</w:t>
      </w:r>
    </w:p>
    <w:p>
      <w:pPr>
        <w:spacing w:after="0" w:line="97" w:lineRule="exact"/>
        <w:rPr>
          <w:rFonts w:ascii="Arial" w:cs="Arial" w:eastAsia="Arial" w:hAnsi="Arial"/>
          <w:sz w:val="12"/>
          <w:szCs w:val="12"/>
          <w:color w:val="auto"/>
        </w:rPr>
      </w:pPr>
    </w:p>
    <w:p>
      <w:pPr>
        <w:ind w:left="220" w:right="80" w:firstLine="172"/>
        <w:spacing w:after="0" w:line="264" w:lineRule="auto"/>
        <w:tabs>
          <w:tab w:leader="none" w:pos="562" w:val="left"/>
        </w:tabs>
        <w:numPr>
          <w:ilvl w:val="0"/>
          <w:numId w:val="123"/>
        </w:numPr>
        <w:rPr>
          <w:rFonts w:ascii="Arial" w:cs="Arial" w:eastAsia="Arial" w:hAnsi="Arial"/>
          <w:sz w:val="13"/>
          <w:szCs w:val="13"/>
          <w:color w:val="auto"/>
        </w:rPr>
      </w:pPr>
      <w:r>
        <w:rPr>
          <w:rFonts w:ascii="Arial" w:cs="Arial" w:eastAsia="Arial" w:hAnsi="Arial"/>
          <w:sz w:val="13"/>
          <w:szCs w:val="13"/>
          <w:color w:val="auto"/>
        </w:rPr>
        <w:t>Neither the Company nor any Subsidiary has received any written or verbal notice of, or inquiry from any Governmental Authority regarding, any violation, alleged violation, non-compliance, liability or potential liability regarding environmental matters or compliance with Environmental Laws with regard to any of the Facilities or the Businesses, nor does any Responsible Officer of any Loan Party have knowledge or reason to believe that any such notice will be received or is being threatened.</w:t>
      </w:r>
    </w:p>
    <w:p>
      <w:pPr>
        <w:spacing w:after="0" w:line="57" w:lineRule="exact"/>
        <w:rPr>
          <w:rFonts w:ascii="Arial" w:cs="Arial" w:eastAsia="Arial" w:hAnsi="Arial"/>
          <w:sz w:val="13"/>
          <w:szCs w:val="13"/>
          <w:color w:val="auto"/>
        </w:rPr>
      </w:pPr>
    </w:p>
    <w:p>
      <w:pPr>
        <w:ind w:left="220" w:right="20" w:firstLine="172"/>
        <w:spacing w:after="0" w:line="276" w:lineRule="auto"/>
        <w:tabs>
          <w:tab w:leader="none" w:pos="569" w:val="left"/>
        </w:tabs>
        <w:numPr>
          <w:ilvl w:val="0"/>
          <w:numId w:val="123"/>
        </w:numPr>
        <w:rPr>
          <w:rFonts w:ascii="Arial" w:cs="Arial" w:eastAsia="Arial" w:hAnsi="Arial"/>
          <w:sz w:val="13"/>
          <w:szCs w:val="13"/>
          <w:color w:val="auto"/>
        </w:rPr>
      </w:pPr>
      <w:r>
        <w:rPr>
          <w:rFonts w:ascii="Arial" w:cs="Arial" w:eastAsia="Arial" w:hAnsi="Arial"/>
          <w:sz w:val="13"/>
          <w:szCs w:val="13"/>
          <w:color w:val="auto"/>
        </w:rPr>
        <w:t>Hazardous Materials have not been transported or disposed of from the Facilities, or generated, treated, stored or disposed of at, on or under any of the Facilities or any other location, in each case by or on behalf the Company or any Subsidiary in violation of, or in a manner that would be reasonably likely to give rise to liability under, any applicable Environmental Law.</w:t>
      </w:r>
    </w:p>
    <w:p>
      <w:pPr>
        <w:spacing w:after="0" w:line="49" w:lineRule="exact"/>
        <w:rPr>
          <w:rFonts w:ascii="Arial" w:cs="Arial" w:eastAsia="Arial" w:hAnsi="Arial"/>
          <w:sz w:val="13"/>
          <w:szCs w:val="13"/>
          <w:color w:val="auto"/>
        </w:rPr>
      </w:pPr>
    </w:p>
    <w:p>
      <w:pPr>
        <w:ind w:left="220" w:firstLine="172"/>
        <w:spacing w:after="0" w:line="264" w:lineRule="auto"/>
        <w:tabs>
          <w:tab w:leader="none" w:pos="562" w:val="left"/>
        </w:tabs>
        <w:numPr>
          <w:ilvl w:val="0"/>
          <w:numId w:val="123"/>
        </w:numPr>
        <w:rPr>
          <w:rFonts w:ascii="Arial" w:cs="Arial" w:eastAsia="Arial" w:hAnsi="Arial"/>
          <w:sz w:val="13"/>
          <w:szCs w:val="13"/>
          <w:color w:val="auto"/>
        </w:rPr>
      </w:pPr>
      <w:r>
        <w:rPr>
          <w:rFonts w:ascii="Arial" w:cs="Arial" w:eastAsia="Arial" w:hAnsi="Arial"/>
          <w:sz w:val="13"/>
          <w:szCs w:val="13"/>
          <w:color w:val="auto"/>
        </w:rPr>
        <w:t>No judicial proceeding or governmental or administrative action is pending or, to the knowledge of the Responsible Officers of the Loan Parties, threatened, under any Environmental Law to which the Company or any Subsidiary is or will be named as a party, nor are there any consent decrees or other decrees, consent orders, administrative orders or other orders, or other administrative or judicial requirements outstanding under any Environmental Law with respect to the Company, any Subsidiary, the Facilities or the Businesses.</w:t>
      </w:r>
    </w:p>
    <w:p>
      <w:pPr>
        <w:spacing w:after="0" w:line="57" w:lineRule="exact"/>
        <w:rPr>
          <w:rFonts w:ascii="Arial" w:cs="Arial" w:eastAsia="Arial" w:hAnsi="Arial"/>
          <w:sz w:val="13"/>
          <w:szCs w:val="13"/>
          <w:color w:val="auto"/>
        </w:rPr>
      </w:pPr>
    </w:p>
    <w:p>
      <w:pPr>
        <w:ind w:left="220" w:right="180" w:firstLine="172"/>
        <w:spacing w:after="0" w:line="320" w:lineRule="auto"/>
        <w:tabs>
          <w:tab w:leader="none" w:pos="547" w:val="left"/>
        </w:tabs>
        <w:numPr>
          <w:ilvl w:val="0"/>
          <w:numId w:val="123"/>
        </w:numPr>
        <w:rPr>
          <w:rFonts w:ascii="Arial" w:cs="Arial" w:eastAsia="Arial" w:hAnsi="Arial"/>
          <w:sz w:val="12"/>
          <w:szCs w:val="12"/>
          <w:color w:val="auto"/>
        </w:rPr>
      </w:pPr>
      <w:r>
        <w:rPr>
          <w:rFonts w:ascii="Arial" w:cs="Arial" w:eastAsia="Arial" w:hAnsi="Arial"/>
          <w:sz w:val="12"/>
          <w:szCs w:val="12"/>
          <w:color w:val="auto"/>
        </w:rPr>
        <w:t>There has been no release or threat of release of Hazardous Materials at or from the Facilities, or arising from or related to the operations (including, without limitation, disposal) of the Company or any Subsidiary in connection with the Facilities or otherwise in connection with the Businesses, in violation of or in amounts or in a manner that could give rise to liability under Environmental Laws.</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6.10 </w:t>
      </w:r>
      <w:r>
        <w:rPr>
          <w:rFonts w:ascii="Arial" w:cs="Arial" w:eastAsia="Arial" w:hAnsi="Arial"/>
          <w:sz w:val="13"/>
          <w:szCs w:val="13"/>
          <w:u w:val="single" w:color="auto"/>
          <w:color w:val="auto"/>
        </w:rPr>
        <w:t>Insurance</w:t>
      </w:r>
      <w:r>
        <w:rPr>
          <w:rFonts w:ascii="Arial" w:cs="Arial" w:eastAsia="Arial" w:hAnsi="Arial"/>
          <w:sz w:val="13"/>
          <w:szCs w:val="13"/>
          <w:color w:val="auto"/>
        </w:rPr>
        <w:t>.</w:t>
      </w:r>
    </w:p>
    <w:p>
      <w:pPr>
        <w:spacing w:after="0" w:line="86" w:lineRule="exact"/>
        <w:rPr>
          <w:sz w:val="20"/>
          <w:szCs w:val="20"/>
          <w:color w:val="auto"/>
        </w:rPr>
      </w:pPr>
    </w:p>
    <w:p>
      <w:pPr>
        <w:ind w:right="40" w:firstLine="161"/>
        <w:spacing w:after="0" w:line="320" w:lineRule="auto"/>
        <w:rPr>
          <w:sz w:val="20"/>
          <w:szCs w:val="20"/>
          <w:color w:val="auto"/>
        </w:rPr>
      </w:pPr>
      <w:r>
        <w:rPr>
          <w:rFonts w:ascii="Arial" w:cs="Arial" w:eastAsia="Arial" w:hAnsi="Arial"/>
          <w:sz w:val="12"/>
          <w:szCs w:val="12"/>
          <w:color w:val="auto"/>
        </w:rPr>
        <w:t>The properties of the Company and its Subsidiaries are insured with financially sound and reputable insurance companies not Affiliates of the Company, in such amounts, with such deductibles and covering such risks as are customarily carried by companies engaged in similar businesses and owning similar properties in localities where the Company or the applicable Subsidiary operates.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90435" cy="19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80"/>
          </w:cols>
          <w:pgMar w:left="220" w:top="720" w:right="399" w:bottom="1440" w:gutter="0" w:footer="0" w:header="0"/>
        </w:sectPr>
      </w:pPr>
    </w:p>
    <w:bookmarkStart w:id="145" w:name="page146"/>
    <w:bookmarkEnd w:id="145"/>
    <w:p>
      <w:pPr>
        <w:spacing w:after="0"/>
        <w:rPr>
          <w:sz w:val="20"/>
          <w:szCs w:val="20"/>
          <w:color w:val="auto"/>
        </w:rPr>
      </w:pPr>
      <w:r>
        <w:rPr>
          <w:rFonts w:ascii="Arial" w:cs="Arial" w:eastAsia="Arial" w:hAnsi="Arial"/>
          <w:sz w:val="13"/>
          <w:szCs w:val="13"/>
          <w:color w:val="auto"/>
        </w:rPr>
        <w:t xml:space="preserve">6.11 </w:t>
      </w:r>
      <w:r>
        <w:rPr>
          <w:rFonts w:ascii="Arial" w:cs="Arial" w:eastAsia="Arial" w:hAnsi="Arial"/>
          <w:sz w:val="13"/>
          <w:szCs w:val="13"/>
          <w:u w:val="single" w:color="auto"/>
          <w:color w:val="auto"/>
        </w:rPr>
        <w:t>Taxes</w:t>
      </w:r>
      <w:r>
        <w:rPr>
          <w:rFonts w:ascii="Arial" w:cs="Arial" w:eastAsia="Arial" w:hAnsi="Arial"/>
          <w:sz w:val="13"/>
          <w:szCs w:val="13"/>
          <w:color w:val="auto"/>
        </w:rPr>
        <w:t>.</w:t>
      </w:r>
    </w:p>
    <w:p>
      <w:pPr>
        <w:spacing w:after="0" w:line="86" w:lineRule="exact"/>
        <w:rPr>
          <w:sz w:val="20"/>
          <w:szCs w:val="20"/>
          <w:color w:val="auto"/>
        </w:rPr>
      </w:pPr>
    </w:p>
    <w:p>
      <w:pPr>
        <w:ind w:right="220" w:firstLine="161"/>
        <w:spacing w:after="0" w:line="260" w:lineRule="auto"/>
        <w:rPr>
          <w:sz w:val="20"/>
          <w:szCs w:val="20"/>
          <w:color w:val="auto"/>
        </w:rPr>
      </w:pPr>
      <w:r>
        <w:rPr>
          <w:rFonts w:ascii="Arial" w:cs="Arial" w:eastAsia="Arial" w:hAnsi="Arial"/>
          <w:sz w:val="13"/>
          <w:szCs w:val="13"/>
          <w:color w:val="auto"/>
        </w:rPr>
        <w:t>The Company and its Subsidiaries have filed all federal, state and other material tax returns and reports required to be filed, and have paid all federal, state and other material taxes, assessments, fees and other governmental charges levied or imposed upon them or their properties, income or assets otherwise due and payable, except those (i) which are being contested in good faith by appropriate proceedings diligently conducted and for which adequate reserves have been provided in accordance with GAAP and (ii) in respect of amounts involving less than $50,000 in the aggregate. There is no proposed tax assessment against the Company or any Subsidiary that would, if made, have a Material Adverse Effect.</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6.12 </w:t>
      </w:r>
      <w:r>
        <w:rPr>
          <w:rFonts w:ascii="Arial" w:cs="Arial" w:eastAsia="Arial" w:hAnsi="Arial"/>
          <w:sz w:val="13"/>
          <w:szCs w:val="13"/>
          <w:u w:val="single" w:color="auto"/>
          <w:color w:val="auto"/>
        </w:rPr>
        <w:t>ERISA Compliance</w:t>
      </w:r>
      <w:r>
        <w:rPr>
          <w:rFonts w:ascii="Arial" w:cs="Arial" w:eastAsia="Arial" w:hAnsi="Arial"/>
          <w:sz w:val="13"/>
          <w:szCs w:val="13"/>
          <w:color w:val="auto"/>
        </w:rPr>
        <w:t>.</w:t>
      </w:r>
    </w:p>
    <w:p>
      <w:pPr>
        <w:spacing w:after="0" w:line="86" w:lineRule="exact"/>
        <w:rPr>
          <w:sz w:val="20"/>
          <w:szCs w:val="20"/>
          <w:color w:val="auto"/>
        </w:rPr>
      </w:pPr>
    </w:p>
    <w:p>
      <w:pPr>
        <w:jc w:val="both"/>
        <w:ind w:right="100" w:firstLine="162"/>
        <w:spacing w:after="0" w:line="322" w:lineRule="auto"/>
        <w:tabs>
          <w:tab w:leader="none" w:pos="342" w:val="left"/>
        </w:tabs>
        <w:numPr>
          <w:ilvl w:val="0"/>
          <w:numId w:val="124"/>
        </w:numPr>
        <w:rPr>
          <w:rFonts w:ascii="Arial" w:cs="Arial" w:eastAsia="Arial" w:hAnsi="Arial"/>
          <w:sz w:val="11"/>
          <w:szCs w:val="11"/>
          <w:color w:val="auto"/>
        </w:rPr>
      </w:pPr>
      <w:r>
        <w:rPr>
          <w:rFonts w:ascii="Arial" w:cs="Arial" w:eastAsia="Arial" w:hAnsi="Arial"/>
          <w:sz w:val="11"/>
          <w:szCs w:val="11"/>
          <w:color w:val="auto"/>
        </w:rPr>
        <w:t>Each Plan is in compliance in all material respects with the applicable provisions of ERISA, the Internal Revenue Code and other federal or state Laws. Each Plan that is intended to qualify under Section 401(a) of the Internal Revenue Code has received a favorable determination letter from the IRS or an application for such a letter is currently being processed by the IRS with respect thereto and, to the best knowledge of the Loan Parties, nothing has occurred which would prevent, or cause the loss of, such qualification. Each Loan Party and each ERISA Affiliate have made all required contributions to each Plan subject to Section 412 of the Internal Revenue Code, and no application for a funding waiver or an extension of any amortization period pursuant to Section 412 of the Internal Revenue Code has been made with respect to any Plan.</w:t>
      </w:r>
    </w:p>
    <w:p>
      <w:pPr>
        <w:spacing w:after="0" w:line="28" w:lineRule="exact"/>
        <w:rPr>
          <w:rFonts w:ascii="Arial" w:cs="Arial" w:eastAsia="Arial" w:hAnsi="Arial"/>
          <w:sz w:val="11"/>
          <w:szCs w:val="11"/>
          <w:color w:val="auto"/>
        </w:rPr>
      </w:pPr>
    </w:p>
    <w:p>
      <w:pPr>
        <w:ind w:right="60" w:firstLine="162"/>
        <w:spacing w:after="0" w:line="264" w:lineRule="auto"/>
        <w:tabs>
          <w:tab w:leader="none" w:pos="347" w:val="left"/>
        </w:tabs>
        <w:numPr>
          <w:ilvl w:val="0"/>
          <w:numId w:val="124"/>
        </w:numPr>
        <w:rPr>
          <w:rFonts w:ascii="Arial" w:cs="Arial" w:eastAsia="Arial" w:hAnsi="Arial"/>
          <w:sz w:val="13"/>
          <w:szCs w:val="13"/>
          <w:color w:val="auto"/>
        </w:rPr>
      </w:pPr>
      <w:r>
        <w:rPr>
          <w:rFonts w:ascii="Arial" w:cs="Arial" w:eastAsia="Arial" w:hAnsi="Arial"/>
          <w:sz w:val="13"/>
          <w:szCs w:val="13"/>
          <w:color w:val="auto"/>
        </w:rPr>
        <w:t>There are no pending or, to the best knowledge of the Loan Parties, threatened claims, actions or lawsuits, or action by any Governmental Authority, with respect to any Plan that could be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57" w:lineRule="exact"/>
        <w:rPr>
          <w:rFonts w:ascii="Arial" w:cs="Arial" w:eastAsia="Arial" w:hAnsi="Arial"/>
          <w:sz w:val="13"/>
          <w:szCs w:val="13"/>
          <w:color w:val="auto"/>
        </w:rPr>
      </w:pPr>
    </w:p>
    <w:p>
      <w:pPr>
        <w:ind w:firstLine="162"/>
        <w:spacing w:after="0" w:line="258" w:lineRule="auto"/>
        <w:tabs>
          <w:tab w:leader="none" w:pos="342" w:val="left"/>
        </w:tabs>
        <w:numPr>
          <w:ilvl w:val="0"/>
          <w:numId w:val="124"/>
        </w:numPr>
        <w:rPr>
          <w:rFonts w:ascii="Arial" w:cs="Arial" w:eastAsia="Arial" w:hAnsi="Arial"/>
          <w:sz w:val="13"/>
          <w:szCs w:val="13"/>
          <w:color w:val="auto"/>
        </w:rPr>
      </w:pPr>
      <w:r>
        <w:rPr>
          <w:rFonts w:ascii="Arial" w:cs="Arial" w:eastAsia="Arial" w:hAnsi="Arial"/>
          <w:sz w:val="13"/>
          <w:szCs w:val="13"/>
          <w:color w:val="auto"/>
        </w:rPr>
        <w:t>(i) Other than with respect to the termination of certain Plans maintained by Prinzing Enterprises, Inc. (which is not reasonably expected to have a Material Adverse Effect), no ERISA Event has occurred or is reasonably expected to occur; (ii) no Pension Plan has any Unfunded Pension Liability; (iii) no Loan Party or any ERISA Affiliate has incurred, or reasonably expects to incur, any liability under Title IV of ERISA with respect to any Pension Plan (other than premiums due and not delinquent under Section 4007 of ERISA); (iv) no Loan Party or any ERISA Affiliate has incurred, or reasonably expects to incur, any liability (and no event has occurred which, with the giving of notice under Section 4219 of ERISA, would result in such liability) under Sections 4201 or 4243 of ERISA with respect to a Multiemployer Plan; and (v) no Loan Party or any ERISA Affiliate has engaged in a transaction that could be subject to Section 4069 or 4212(c) of ERISA.</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6.13 </w:t>
      </w:r>
      <w:r>
        <w:rPr>
          <w:rFonts w:ascii="Arial" w:cs="Arial" w:eastAsia="Arial" w:hAnsi="Arial"/>
          <w:sz w:val="13"/>
          <w:szCs w:val="13"/>
          <w:u w:val="single" w:color="auto"/>
          <w:color w:val="auto"/>
        </w:rPr>
        <w:t>Subsidiaries</w:t>
      </w:r>
      <w:r>
        <w:rPr>
          <w:rFonts w:ascii="Arial" w:cs="Arial" w:eastAsia="Arial" w:hAnsi="Arial"/>
          <w:sz w:val="13"/>
          <w:szCs w:val="13"/>
          <w:color w:val="auto"/>
        </w:rPr>
        <w:t>.</w:t>
      </w:r>
    </w:p>
    <w:p>
      <w:pPr>
        <w:spacing w:after="0" w:line="86" w:lineRule="exact"/>
        <w:rPr>
          <w:sz w:val="20"/>
          <w:szCs w:val="20"/>
          <w:color w:val="auto"/>
        </w:rPr>
      </w:pPr>
    </w:p>
    <w:p>
      <w:pPr>
        <w:ind w:right="140" w:firstLine="164"/>
        <w:spacing w:after="0" w:line="264" w:lineRule="auto"/>
        <w:rPr>
          <w:sz w:val="20"/>
          <w:szCs w:val="20"/>
          <w:color w:val="auto"/>
        </w:rPr>
      </w:pPr>
      <w:r>
        <w:rPr>
          <w:rFonts w:ascii="Arial" w:cs="Arial" w:eastAsia="Arial" w:hAnsi="Arial"/>
          <w:sz w:val="13"/>
          <w:szCs w:val="13"/>
          <w:color w:val="auto"/>
        </w:rPr>
        <w:t xml:space="preserve">Set forth on </w:t>
      </w:r>
      <w:r>
        <w:rPr>
          <w:rFonts w:ascii="Arial" w:cs="Arial" w:eastAsia="Arial" w:hAnsi="Arial"/>
          <w:sz w:val="13"/>
          <w:szCs w:val="13"/>
          <w:u w:val="single" w:color="auto"/>
          <w:color w:val="auto"/>
        </w:rPr>
        <w:t>Schedule 6.13</w:t>
      </w:r>
      <w:r>
        <w:rPr>
          <w:rFonts w:ascii="Arial" w:cs="Arial" w:eastAsia="Arial" w:hAnsi="Arial"/>
          <w:sz w:val="13"/>
          <w:szCs w:val="13"/>
          <w:color w:val="auto"/>
        </w:rPr>
        <w:t xml:space="preserve"> is a complete and accurate list as of the Closing Date of each Subsidiary, together with (i) jurisdiction of formation and (ii) the percentage of outstanding shares of Capital Stock owned (directly or indirectly) by the Company or any Subsidiary. The outstanding Capital Stock of each Subsidiary is validly issued, fully paid and non-assessable (except as provided in Wisconsin Statute Sect. 180.0622(2) (b), as judicially interpreted).</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6.14 </w:t>
      </w:r>
      <w:r>
        <w:rPr>
          <w:rFonts w:ascii="Arial" w:cs="Arial" w:eastAsia="Arial" w:hAnsi="Arial"/>
          <w:sz w:val="13"/>
          <w:szCs w:val="13"/>
          <w:u w:val="single" w:color="auto"/>
          <w:color w:val="auto"/>
        </w:rPr>
        <w:t>Margin Regulations; Investment Company Act</w:t>
      </w:r>
      <w:r>
        <w:rPr>
          <w:rFonts w:ascii="Arial" w:cs="Arial" w:eastAsia="Arial" w:hAnsi="Arial"/>
          <w:sz w:val="13"/>
          <w:szCs w:val="13"/>
          <w:color w:val="auto"/>
        </w:rPr>
        <w: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 No Borrower is engaged, and no Borrower will not engage, principally or as one of its important activities, in the business of purchasing or carrying margin stock (within the meaning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146" w:name="page147"/>
    <w:bookmarkEnd w:id="146"/>
    <w:p>
      <w:pPr>
        <w:ind w:right="220"/>
        <w:spacing w:after="0" w:line="296" w:lineRule="auto"/>
        <w:rPr>
          <w:sz w:val="20"/>
          <w:szCs w:val="20"/>
          <w:color w:val="auto"/>
        </w:rPr>
      </w:pPr>
      <w:r>
        <w:rPr>
          <w:rFonts w:ascii="Arial" w:cs="Arial" w:eastAsia="Arial" w:hAnsi="Arial"/>
          <w:sz w:val="12"/>
          <w:szCs w:val="12"/>
          <w:color w:val="auto"/>
        </w:rPr>
        <w:t xml:space="preserve">Regulation U issued by the FRB), or extending credit for the purpose of purchasing or carrying margin stock. Following the application of the proceeds of each Borrowing or drawing under each Letter of Credit, not more than 25% of the value of the assets (either of such Borrower only or of the Company and its Subsidiaries on a consolidated basis) subject to the provisions of </w:t>
      </w:r>
      <w:r>
        <w:rPr>
          <w:rFonts w:ascii="Arial" w:cs="Arial" w:eastAsia="Arial" w:hAnsi="Arial"/>
          <w:sz w:val="12"/>
          <w:szCs w:val="12"/>
          <w:u w:val="single" w:color="auto"/>
          <w:color w:val="auto"/>
        </w:rPr>
        <w:t>Section 8.01</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Section 8.05</w:t>
      </w:r>
      <w:r>
        <w:rPr>
          <w:rFonts w:ascii="Arial" w:cs="Arial" w:eastAsia="Arial" w:hAnsi="Arial"/>
          <w:sz w:val="12"/>
          <w:szCs w:val="12"/>
          <w:color w:val="auto"/>
        </w:rPr>
        <w:t xml:space="preserve"> or subject to any restriction contained in any agreement or instrument between the Borrowers and any Lender or any Affiliate of any Lender relating to Indebtedness and within the scope of </w:t>
      </w:r>
      <w:r>
        <w:rPr>
          <w:rFonts w:ascii="Arial" w:cs="Arial" w:eastAsia="Arial" w:hAnsi="Arial"/>
          <w:sz w:val="12"/>
          <w:szCs w:val="12"/>
          <w:u w:val="single" w:color="auto"/>
          <w:color w:val="auto"/>
        </w:rPr>
        <w:t>Section 9.01(e)</w:t>
      </w:r>
      <w:r>
        <w:rPr>
          <w:rFonts w:ascii="Arial" w:cs="Arial" w:eastAsia="Arial" w:hAnsi="Arial"/>
          <w:sz w:val="12"/>
          <w:szCs w:val="12"/>
          <w:color w:val="auto"/>
        </w:rPr>
        <w:t xml:space="preserve"> will be margin stock.</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(b) No Borrower, no Person Controlling a Borrower, nor any Subsidiary is or is required to be registered as an “investment company” under the Investment Company Act of 1940.</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6.15 </w:t>
      </w:r>
      <w:r>
        <w:rPr>
          <w:rFonts w:ascii="Arial" w:cs="Arial" w:eastAsia="Arial" w:hAnsi="Arial"/>
          <w:sz w:val="13"/>
          <w:szCs w:val="13"/>
          <w:u w:val="single" w:color="auto"/>
          <w:color w:val="auto"/>
        </w:rPr>
        <w:t>Disclosure</w:t>
      </w:r>
      <w:r>
        <w:rPr>
          <w:rFonts w:ascii="Arial" w:cs="Arial" w:eastAsia="Arial" w:hAnsi="Arial"/>
          <w:sz w:val="13"/>
          <w:szCs w:val="13"/>
          <w:color w:val="auto"/>
        </w:rPr>
        <w:t>.</w:t>
      </w:r>
    </w:p>
    <w:p>
      <w:pPr>
        <w:spacing w:after="0" w:line="86" w:lineRule="exact"/>
        <w:rPr>
          <w:sz w:val="20"/>
          <w:szCs w:val="20"/>
          <w:color w:val="auto"/>
        </w:rPr>
      </w:pPr>
    </w:p>
    <w:p>
      <w:pPr>
        <w:ind w:firstLine="164"/>
        <w:spacing w:after="0" w:line="257" w:lineRule="auto"/>
        <w:rPr>
          <w:sz w:val="20"/>
          <w:szCs w:val="20"/>
          <w:color w:val="auto"/>
        </w:rPr>
      </w:pPr>
      <w:r>
        <w:rPr>
          <w:rFonts w:ascii="Arial" w:cs="Arial" w:eastAsia="Arial" w:hAnsi="Arial"/>
          <w:sz w:val="13"/>
          <w:szCs w:val="13"/>
          <w:color w:val="auto"/>
        </w:rPr>
        <w:t xml:space="preserve">Each Loan Party has disclosed to the Administrative Agent and the Lenders all agreements, instruments and corporate or other restrictions to which it or any of its Subsidiaries is subject, and all other matters known to it, that, individually or in the aggregate, could reasonably be expected to result in a Material Adverse Effect. No report, financial statement, certificate or other information furnished (whether in writing or orally) by or on behalf of any Loan Party to the Administrative Agent or any Lender in connection with the transactions contemplated hereby and the negotiation of this Agreement or delivered hereunder (as modified or supplemented by other information so furnished), when taken as a whole, contains as of the applicable delivery date any material misstatement of fact or omits to state any material fact necessary to make the statements therein, in the light of the circumstances under which they were made, not misleading;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with respect to projected financial information, the Loan Parties represent only that such information was prepared in good faith based upon assumptions believed to be reasonable at the time.</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6.16 </w:t>
      </w:r>
      <w:r>
        <w:rPr>
          <w:rFonts w:ascii="Arial" w:cs="Arial" w:eastAsia="Arial" w:hAnsi="Arial"/>
          <w:sz w:val="13"/>
          <w:szCs w:val="13"/>
          <w:u w:val="single" w:color="auto"/>
          <w:color w:val="auto"/>
        </w:rPr>
        <w:t>Compliance with Laws</w:t>
      </w:r>
      <w:r>
        <w:rPr>
          <w:rFonts w:ascii="Arial" w:cs="Arial" w:eastAsia="Arial" w:hAnsi="Arial"/>
          <w:sz w:val="13"/>
          <w:szCs w:val="13"/>
          <w:color w:val="auto"/>
        </w:rPr>
        <w:t>.</w:t>
      </w:r>
    </w:p>
    <w:p>
      <w:pPr>
        <w:spacing w:after="0" w:line="86" w:lineRule="exact"/>
        <w:rPr>
          <w:sz w:val="20"/>
          <w:szCs w:val="20"/>
          <w:color w:val="auto"/>
        </w:rPr>
      </w:pPr>
    </w:p>
    <w:p>
      <w:pPr>
        <w:ind w:right="80" w:firstLine="164"/>
        <w:spacing w:after="0" w:line="264" w:lineRule="auto"/>
        <w:rPr>
          <w:sz w:val="20"/>
          <w:szCs w:val="20"/>
          <w:color w:val="auto"/>
        </w:rPr>
      </w:pPr>
      <w:r>
        <w:rPr>
          <w:rFonts w:ascii="Arial" w:cs="Arial" w:eastAsia="Arial" w:hAnsi="Arial"/>
          <w:sz w:val="13"/>
          <w:szCs w:val="13"/>
          <w:color w:val="auto"/>
        </w:rPr>
        <w:t>Each Loan Party and each Subsidiary is in compliance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6.17 </w:t>
      </w:r>
      <w:r>
        <w:rPr>
          <w:rFonts w:ascii="Arial" w:cs="Arial" w:eastAsia="Arial" w:hAnsi="Arial"/>
          <w:sz w:val="13"/>
          <w:szCs w:val="13"/>
          <w:u w:val="single" w:color="auto"/>
          <w:color w:val="auto"/>
        </w:rPr>
        <w:t>Intellectual Property; Licenses, Etc</w:t>
      </w:r>
      <w:r>
        <w:rPr>
          <w:rFonts w:ascii="Arial" w:cs="Arial" w:eastAsia="Arial" w:hAnsi="Arial"/>
          <w:sz w:val="13"/>
          <w:szCs w:val="13"/>
          <w:color w:val="auto"/>
        </w:rPr>
        <w:t>.</w:t>
      </w:r>
    </w:p>
    <w:p>
      <w:pPr>
        <w:spacing w:after="0" w:line="86" w:lineRule="exact"/>
        <w:rPr>
          <w:sz w:val="20"/>
          <w:szCs w:val="20"/>
          <w:color w:val="auto"/>
        </w:rPr>
      </w:pPr>
    </w:p>
    <w:p>
      <w:pPr>
        <w:ind w:right="60" w:firstLine="161"/>
        <w:spacing w:after="0" w:line="258" w:lineRule="auto"/>
        <w:rPr>
          <w:sz w:val="20"/>
          <w:szCs w:val="20"/>
          <w:color w:val="auto"/>
        </w:rPr>
      </w:pPr>
      <w:r>
        <w:rPr>
          <w:rFonts w:ascii="Arial" w:cs="Arial" w:eastAsia="Arial" w:hAnsi="Arial"/>
          <w:sz w:val="13"/>
          <w:szCs w:val="13"/>
          <w:color w:val="auto"/>
        </w:rPr>
        <w:t>The Company and its Subsidiaries own, or possess the legal right to use, all of the trademarks, service marks, trade names, copyrights, patents, patent rights, franchises, licenses and other intellectual property rights (collectively, “</w:t>
      </w:r>
      <w:r>
        <w:rPr>
          <w:rFonts w:ascii="Arial" w:cs="Arial" w:eastAsia="Arial" w:hAnsi="Arial"/>
          <w:sz w:val="13"/>
          <w:szCs w:val="13"/>
          <w:u w:val="single" w:color="auto"/>
          <w:color w:val="auto"/>
        </w:rPr>
        <w:t>IP Rights</w:t>
      </w:r>
      <w:r>
        <w:rPr>
          <w:rFonts w:ascii="Arial" w:cs="Arial" w:eastAsia="Arial" w:hAnsi="Arial"/>
          <w:sz w:val="13"/>
          <w:szCs w:val="13"/>
          <w:color w:val="auto"/>
        </w:rPr>
        <w:t>”) that are reasonably necessary for the operation of their respective businesses. Except for such claims and infringements that could not reasonably be expected to have a Material Adverse Effect, (i) no claim has been asserted and is pending by any Person challenging or questioning the use of any IP Rights or the validity or effectiveness of any IP Rights, nor does any Loan Party know of any such claim, and (ii) to the knowledge of the Responsible Officers of the Loan Parties, the use of any IP Rights by the Company or any Subsidiary or the granting of a right or a license in respect of any IP Rights from the Company or any Subsidiary does not infringe on the rights of any Person.</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6.18 </w:t>
      </w:r>
      <w:r>
        <w:rPr>
          <w:rFonts w:ascii="Arial" w:cs="Arial" w:eastAsia="Arial" w:hAnsi="Arial"/>
          <w:sz w:val="13"/>
          <w:szCs w:val="13"/>
          <w:u w:val="single" w:color="auto"/>
          <w:color w:val="auto"/>
        </w:rPr>
        <w:t>Solvency</w:t>
      </w:r>
      <w:r>
        <w:rPr>
          <w:rFonts w:ascii="Arial" w:cs="Arial" w:eastAsia="Arial" w:hAnsi="Arial"/>
          <w:sz w:val="13"/>
          <w:szCs w:val="13"/>
          <w:color w:val="auto"/>
        </w:rPr>
        <w: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Loan Parties are Solvent on a consolidated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47" w:name="page148"/>
    <w:bookmarkEnd w:id="147"/>
    <w:p>
      <w:pPr>
        <w:spacing w:after="0"/>
        <w:rPr>
          <w:sz w:val="20"/>
          <w:szCs w:val="20"/>
          <w:color w:val="auto"/>
        </w:rPr>
      </w:pPr>
      <w:r>
        <w:rPr>
          <w:rFonts w:ascii="Arial" w:cs="Arial" w:eastAsia="Arial" w:hAnsi="Arial"/>
          <w:sz w:val="13"/>
          <w:szCs w:val="13"/>
          <w:color w:val="auto"/>
        </w:rPr>
        <w:t xml:space="preserve">6.19 </w:t>
      </w:r>
      <w:r>
        <w:rPr>
          <w:rFonts w:ascii="Arial" w:cs="Arial" w:eastAsia="Arial" w:hAnsi="Arial"/>
          <w:sz w:val="13"/>
          <w:szCs w:val="13"/>
          <w:u w:val="single" w:color="auto"/>
          <w:color w:val="auto"/>
        </w:rPr>
        <w:t>Labor Matters</w:t>
      </w:r>
      <w:r>
        <w:rPr>
          <w:rFonts w:ascii="Arial" w:cs="Arial" w:eastAsia="Arial" w:hAnsi="Arial"/>
          <w:sz w:val="13"/>
          <w:szCs w:val="13"/>
          <w:color w:val="auto"/>
        </w:rPr>
        <w:t>.</w:t>
      </w:r>
    </w:p>
    <w:p>
      <w:pPr>
        <w:spacing w:after="0" w:line="86" w:lineRule="exact"/>
        <w:rPr>
          <w:sz w:val="20"/>
          <w:szCs w:val="20"/>
          <w:color w:val="auto"/>
        </w:rPr>
      </w:pPr>
    </w:p>
    <w:p>
      <w:pPr>
        <w:ind w:right="20" w:firstLine="161"/>
        <w:spacing w:after="0" w:line="276" w:lineRule="auto"/>
        <w:rPr>
          <w:sz w:val="20"/>
          <w:szCs w:val="20"/>
          <w:color w:val="auto"/>
        </w:rPr>
      </w:pPr>
      <w:r>
        <w:rPr>
          <w:rFonts w:ascii="Arial" w:cs="Arial" w:eastAsia="Arial" w:hAnsi="Arial"/>
          <w:sz w:val="13"/>
          <w:szCs w:val="13"/>
          <w:color w:val="auto"/>
        </w:rPr>
        <w:t>There are no collective bargaining agreements or Multiemployer Plans covering the employees of the Company or any Subsidiary as of the Closing Date and neither the Company nor any Subsidiary has suffered any strikes, walkouts, work stoppages or other material labor difficulty within the last five years.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VII</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AFFIRMATIVE COVENANTS</w:t>
      </w:r>
    </w:p>
    <w:p>
      <w:pPr>
        <w:spacing w:after="0" w:line="86" w:lineRule="exact"/>
        <w:rPr>
          <w:sz w:val="20"/>
          <w:szCs w:val="20"/>
          <w:color w:val="auto"/>
        </w:rPr>
      </w:pPr>
    </w:p>
    <w:p>
      <w:pPr>
        <w:ind w:right="120" w:firstLine="164"/>
        <w:spacing w:after="0" w:line="276" w:lineRule="auto"/>
        <w:rPr>
          <w:sz w:val="20"/>
          <w:szCs w:val="20"/>
          <w:color w:val="auto"/>
        </w:rPr>
      </w:pPr>
      <w:r>
        <w:rPr>
          <w:rFonts w:ascii="Arial" w:cs="Arial" w:eastAsia="Arial" w:hAnsi="Arial"/>
          <w:sz w:val="13"/>
          <w:szCs w:val="13"/>
          <w:color w:val="auto"/>
        </w:rPr>
        <w:t>So long as any Lender shall have any Commitment hereunder, any Loan or other Obligation hereunder shall remain unpaid or unsatisfied, or any Letter of Credit shall remain outstanding, the Loan Parties shall and shall cause each Subsidiary to:</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7.01 </w:t>
      </w:r>
      <w:r>
        <w:rPr>
          <w:rFonts w:ascii="Arial" w:cs="Arial" w:eastAsia="Arial" w:hAnsi="Arial"/>
          <w:sz w:val="13"/>
          <w:szCs w:val="13"/>
          <w:u w:val="single" w:color="auto"/>
          <w:color w:val="auto"/>
        </w:rPr>
        <w:t>Financial Statements</w:t>
      </w:r>
      <w:r>
        <w:rPr>
          <w:rFonts w:ascii="Arial" w:cs="Arial" w:eastAsia="Arial" w:hAnsi="Arial"/>
          <w:sz w:val="13"/>
          <w:szCs w:val="13"/>
          <w:color w:val="auto"/>
        </w:rPr>
        <w: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Deliver to the Administrative Agent and each Lender, in form and detail satisfactory to the Administrative Agent and the Required Lenders:</w:t>
      </w:r>
    </w:p>
    <w:p>
      <w:pPr>
        <w:spacing w:after="0" w:line="86" w:lineRule="exact"/>
        <w:rPr>
          <w:sz w:val="20"/>
          <w:szCs w:val="20"/>
          <w:color w:val="auto"/>
        </w:rPr>
      </w:pPr>
    </w:p>
    <w:p>
      <w:pPr>
        <w:ind w:left="220" w:firstLine="172"/>
        <w:spacing w:after="0" w:line="258" w:lineRule="auto"/>
        <w:tabs>
          <w:tab w:leader="none" w:pos="562" w:val="left"/>
        </w:tabs>
        <w:numPr>
          <w:ilvl w:val="0"/>
          <w:numId w:val="125"/>
        </w:numPr>
        <w:rPr>
          <w:rFonts w:ascii="Arial" w:cs="Arial" w:eastAsia="Arial" w:hAnsi="Arial"/>
          <w:sz w:val="13"/>
          <w:szCs w:val="13"/>
          <w:color w:val="auto"/>
        </w:rPr>
      </w:pPr>
      <w:r>
        <w:rPr>
          <w:rFonts w:ascii="Arial" w:cs="Arial" w:eastAsia="Arial" w:hAnsi="Arial"/>
          <w:sz w:val="13"/>
          <w:szCs w:val="13"/>
          <w:color w:val="auto"/>
        </w:rPr>
        <w:t>as soon as available, but in any event within ninety days after the end of each fiscal year of the Company, a consolidated balance sheet of the Company and its Subsidiaries as at the end of such fiscal year, and the related consolidated statements of income or operations, shareholders’ equity and cash flows for such fiscal year, setting forth in each case in comparative form the figures for the previous fiscal year, all in reasonable detail and prepared in accordance with GAAP, audited and accompanied by a report and opinion of an independent certified public accountant of nationally recognized standing reasonably acceptable to the Required Lenders, which report and opinion shall be prepared in accordance with generally accepted auditing standards and shall not be subject to any “going concern” or like qualification or exception or any qualification or exception as to the scope of such audit; and</w:t>
      </w:r>
    </w:p>
    <w:p>
      <w:pPr>
        <w:spacing w:after="0" w:line="61" w:lineRule="exact"/>
        <w:rPr>
          <w:rFonts w:ascii="Arial" w:cs="Arial" w:eastAsia="Arial" w:hAnsi="Arial"/>
          <w:sz w:val="13"/>
          <w:szCs w:val="13"/>
          <w:color w:val="auto"/>
        </w:rPr>
      </w:pPr>
    </w:p>
    <w:p>
      <w:pPr>
        <w:ind w:left="220" w:right="60" w:firstLine="172"/>
        <w:spacing w:after="0" w:line="258" w:lineRule="auto"/>
        <w:tabs>
          <w:tab w:leader="none" w:pos="569" w:val="left"/>
        </w:tabs>
        <w:numPr>
          <w:ilvl w:val="0"/>
          <w:numId w:val="125"/>
        </w:numPr>
        <w:rPr>
          <w:rFonts w:ascii="Arial" w:cs="Arial" w:eastAsia="Arial" w:hAnsi="Arial"/>
          <w:sz w:val="13"/>
          <w:szCs w:val="13"/>
          <w:color w:val="auto"/>
        </w:rPr>
      </w:pPr>
      <w:r>
        <w:rPr>
          <w:rFonts w:ascii="Arial" w:cs="Arial" w:eastAsia="Arial" w:hAnsi="Arial"/>
          <w:sz w:val="13"/>
          <w:szCs w:val="13"/>
          <w:color w:val="auto"/>
        </w:rPr>
        <w:t>as soon as available, but in any event within forty-five days after the end of each of the first three fiscal quarters of each fiscal year of the Company, a consolidated balance sheet of the Company and its Subsidiaries as at the end of such fiscal quarter, and the related consolidated statements of income or operations, shareholders’ equity and cash flows for such fiscal quarter and for the portion of the Company’s fiscal year then ended, setting forth in each case in comparative form the figures for the corresponding fiscal quarter of the previous fiscal year and the corresponding portion of the previous fiscal year, all in reasonable detail and certified by a Responsible Officer of the Company as fairly presenting the financial condition, results of operations, shareholders’ equity and cash flows of the Company and its Subsidiaries in accordance with GAAP, subject only to normal year-end audit adjustments and the absence of footnotes.</w:t>
      </w:r>
    </w:p>
    <w:p>
      <w:pPr>
        <w:spacing w:after="0" w:line="61" w:lineRule="exact"/>
        <w:rPr>
          <w:sz w:val="20"/>
          <w:szCs w:val="20"/>
          <w:color w:val="auto"/>
        </w:rPr>
      </w:pPr>
    </w:p>
    <w:p>
      <w:pPr>
        <w:ind w:left="340" w:right="100"/>
        <w:spacing w:after="0" w:line="276" w:lineRule="auto"/>
        <w:rPr>
          <w:sz w:val="20"/>
          <w:szCs w:val="20"/>
          <w:color w:val="auto"/>
        </w:rPr>
      </w:pPr>
      <w:r>
        <w:rPr>
          <w:rFonts w:ascii="Arial" w:cs="Arial" w:eastAsia="Arial" w:hAnsi="Arial"/>
          <w:sz w:val="13"/>
          <w:szCs w:val="13"/>
          <w:color w:val="auto"/>
        </w:rPr>
        <w:t xml:space="preserve">As to any information contained in materials furnished pursuant to </w:t>
      </w:r>
      <w:r>
        <w:rPr>
          <w:rFonts w:ascii="Arial" w:cs="Arial" w:eastAsia="Arial" w:hAnsi="Arial"/>
          <w:sz w:val="13"/>
          <w:szCs w:val="13"/>
          <w:u w:val="single" w:color="auto"/>
          <w:color w:val="auto"/>
        </w:rPr>
        <w:t>Section 7.02(d)</w:t>
      </w:r>
      <w:r>
        <w:rPr>
          <w:rFonts w:ascii="Arial" w:cs="Arial" w:eastAsia="Arial" w:hAnsi="Arial"/>
          <w:sz w:val="13"/>
          <w:szCs w:val="13"/>
          <w:color w:val="auto"/>
        </w:rPr>
        <w:t>, the Company shall not be separately required to furnish such information under clause (a) or (b) above, but the foregoing shall not be in derogation of the obligation of the Company to furnish the information and materials described in subsections (a) and (b) above at the times specified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48" w:name="page149"/>
    <w:bookmarkEnd w:id="148"/>
    <w:p>
      <w:pPr>
        <w:spacing w:after="0"/>
        <w:rPr>
          <w:sz w:val="20"/>
          <w:szCs w:val="20"/>
          <w:color w:val="auto"/>
        </w:rPr>
      </w:pPr>
      <w:r>
        <w:rPr>
          <w:rFonts w:ascii="Arial" w:cs="Arial" w:eastAsia="Arial" w:hAnsi="Arial"/>
          <w:sz w:val="13"/>
          <w:szCs w:val="13"/>
          <w:color w:val="auto"/>
        </w:rPr>
        <w:t xml:space="preserve">7.02 </w:t>
      </w:r>
      <w:r>
        <w:rPr>
          <w:rFonts w:ascii="Arial" w:cs="Arial" w:eastAsia="Arial" w:hAnsi="Arial"/>
          <w:sz w:val="13"/>
          <w:szCs w:val="13"/>
          <w:u w:val="single" w:color="auto"/>
          <w:color w:val="auto"/>
        </w:rPr>
        <w:t>Certificates; Other Information</w:t>
      </w:r>
      <w:r>
        <w:rPr>
          <w:rFonts w:ascii="Arial" w:cs="Arial" w:eastAsia="Arial" w:hAnsi="Arial"/>
          <w:sz w:val="13"/>
          <w:szCs w:val="13"/>
          <w:color w:val="auto"/>
        </w:rPr>
        <w: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Deliver to the Administrative Agent and each Lender, in form and detail satisfactory to the Administrative Agent and the Required Lenders:</w:t>
      </w:r>
    </w:p>
    <w:p>
      <w:pPr>
        <w:spacing w:after="0" w:line="86" w:lineRule="exact"/>
        <w:rPr>
          <w:sz w:val="20"/>
          <w:szCs w:val="20"/>
          <w:color w:val="auto"/>
        </w:rPr>
      </w:pPr>
    </w:p>
    <w:p>
      <w:pPr>
        <w:ind w:left="220" w:right="180" w:firstLine="172"/>
        <w:spacing w:after="0" w:line="320" w:lineRule="auto"/>
        <w:tabs>
          <w:tab w:leader="none" w:pos="562" w:val="left"/>
        </w:tabs>
        <w:numPr>
          <w:ilvl w:val="0"/>
          <w:numId w:val="126"/>
        </w:numPr>
        <w:rPr>
          <w:rFonts w:ascii="Arial" w:cs="Arial" w:eastAsia="Arial" w:hAnsi="Arial"/>
          <w:sz w:val="12"/>
          <w:szCs w:val="12"/>
          <w:color w:val="auto"/>
        </w:rPr>
      </w:pPr>
      <w:r>
        <w:rPr>
          <w:rFonts w:ascii="Arial" w:cs="Arial" w:eastAsia="Arial" w:hAnsi="Arial"/>
          <w:sz w:val="12"/>
          <w:szCs w:val="12"/>
          <w:color w:val="auto"/>
        </w:rPr>
        <w:t xml:space="preserve">within the period for the delivery of the financial statements referred to in </w:t>
      </w:r>
      <w:r>
        <w:rPr>
          <w:rFonts w:ascii="Arial" w:cs="Arial" w:eastAsia="Arial" w:hAnsi="Arial"/>
          <w:sz w:val="12"/>
          <w:szCs w:val="12"/>
          <w:u w:val="single" w:color="auto"/>
          <w:color w:val="auto"/>
        </w:rPr>
        <w:t>Section 7.01(a)</w:t>
      </w:r>
      <w:r>
        <w:rPr>
          <w:rFonts w:ascii="Arial" w:cs="Arial" w:eastAsia="Arial" w:hAnsi="Arial"/>
          <w:sz w:val="12"/>
          <w:szCs w:val="12"/>
          <w:color w:val="auto"/>
        </w:rPr>
        <w:t xml:space="preserve">, a certificate of its independent certified public accountants certifying such financial statements and stating that in making the examination necessary therefor no knowledge was obtained of any Default in respect of </w:t>
      </w:r>
      <w:r>
        <w:rPr>
          <w:rFonts w:ascii="Arial" w:cs="Arial" w:eastAsia="Arial" w:hAnsi="Arial"/>
          <w:sz w:val="12"/>
          <w:szCs w:val="12"/>
          <w:u w:val="single" w:color="auto"/>
          <w:color w:val="auto"/>
        </w:rPr>
        <w:t>Section 8.11</w:t>
      </w:r>
      <w:r>
        <w:rPr>
          <w:rFonts w:ascii="Arial" w:cs="Arial" w:eastAsia="Arial" w:hAnsi="Arial"/>
          <w:sz w:val="12"/>
          <w:szCs w:val="12"/>
          <w:color w:val="auto"/>
        </w:rPr>
        <w:t xml:space="preserve"> or, if any such Default shall exist, stating the nature and status of such event;</w:t>
      </w:r>
    </w:p>
    <w:p>
      <w:pPr>
        <w:spacing w:after="0" w:line="25" w:lineRule="exact"/>
        <w:rPr>
          <w:rFonts w:ascii="Arial" w:cs="Arial" w:eastAsia="Arial" w:hAnsi="Arial"/>
          <w:sz w:val="12"/>
          <w:szCs w:val="12"/>
          <w:color w:val="auto"/>
        </w:rPr>
      </w:pPr>
    </w:p>
    <w:p>
      <w:pPr>
        <w:ind w:left="580" w:hanging="188"/>
        <w:spacing w:after="0"/>
        <w:tabs>
          <w:tab w:leader="none" w:pos="58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 xml:space="preserve">within the period for the delivery of the financial statements referred to in </w:t>
      </w:r>
      <w:r>
        <w:rPr>
          <w:rFonts w:ascii="Arial" w:cs="Arial" w:eastAsia="Arial" w:hAnsi="Arial"/>
          <w:sz w:val="13"/>
          <w:szCs w:val="13"/>
          <w:u w:val="single" w:color="auto"/>
          <w:color w:val="auto"/>
        </w:rPr>
        <w:t>Sections 7.01(a)</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(b)</w:t>
      </w:r>
      <w:r>
        <w:rPr>
          <w:rFonts w:ascii="Arial" w:cs="Arial" w:eastAsia="Arial" w:hAnsi="Arial"/>
          <w:sz w:val="13"/>
          <w:szCs w:val="13"/>
          <w:color w:val="auto"/>
        </w:rPr>
        <w:t>, a duly completed Compliance Certificate signed by a Responsible Officer of the Company;</w:t>
      </w:r>
    </w:p>
    <w:p>
      <w:pPr>
        <w:spacing w:after="0" w:line="86" w:lineRule="exact"/>
        <w:rPr>
          <w:rFonts w:ascii="Arial" w:cs="Arial" w:eastAsia="Arial" w:hAnsi="Arial"/>
          <w:sz w:val="13"/>
          <w:szCs w:val="13"/>
          <w:color w:val="auto"/>
        </w:rPr>
      </w:pPr>
    </w:p>
    <w:p>
      <w:pPr>
        <w:ind w:left="220" w:right="300" w:firstLine="172"/>
        <w:spacing w:after="0" w:line="276" w:lineRule="auto"/>
        <w:tabs>
          <w:tab w:leader="none" w:pos="562" w:val="left"/>
        </w:tabs>
        <w:numPr>
          <w:ilvl w:val="0"/>
          <w:numId w:val="126"/>
        </w:numPr>
        <w:rPr>
          <w:rFonts w:ascii="Arial" w:cs="Arial" w:eastAsia="Arial" w:hAnsi="Arial"/>
          <w:sz w:val="13"/>
          <w:szCs w:val="13"/>
          <w:color w:val="auto"/>
        </w:rPr>
      </w:pPr>
      <w:r>
        <w:rPr>
          <w:rFonts w:ascii="Arial" w:cs="Arial" w:eastAsia="Arial" w:hAnsi="Arial"/>
          <w:sz w:val="13"/>
          <w:szCs w:val="13"/>
          <w:color w:val="auto"/>
        </w:rPr>
        <w:t xml:space="preserve">concurrently with the delivery of the financial statements referred to in </w:t>
      </w:r>
      <w:r>
        <w:rPr>
          <w:rFonts w:ascii="Arial" w:cs="Arial" w:eastAsia="Arial" w:hAnsi="Arial"/>
          <w:sz w:val="13"/>
          <w:szCs w:val="13"/>
          <w:u w:val="single" w:color="auto"/>
          <w:color w:val="auto"/>
        </w:rPr>
        <w:t>Sections 7.01(a)</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(b)</w:t>
      </w:r>
      <w:r>
        <w:rPr>
          <w:rFonts w:ascii="Arial" w:cs="Arial" w:eastAsia="Arial" w:hAnsi="Arial"/>
          <w:sz w:val="13"/>
          <w:szCs w:val="13"/>
          <w:color w:val="auto"/>
        </w:rPr>
        <w:t>, a certificate of a Responsible Officer of the Company containing information regarding the amount of all Dispositions (in excess of $3,000,000) and Acquisitions that occurred during the period covered by such financial statements.</w:t>
      </w:r>
    </w:p>
    <w:p>
      <w:pPr>
        <w:spacing w:after="0" w:line="49" w:lineRule="exact"/>
        <w:rPr>
          <w:rFonts w:ascii="Arial" w:cs="Arial" w:eastAsia="Arial" w:hAnsi="Arial"/>
          <w:sz w:val="13"/>
          <w:szCs w:val="13"/>
          <w:color w:val="auto"/>
        </w:rPr>
      </w:pPr>
    </w:p>
    <w:p>
      <w:pPr>
        <w:ind w:left="220" w:firstLine="172"/>
        <w:spacing w:after="0" w:line="320" w:lineRule="auto"/>
        <w:tabs>
          <w:tab w:leader="none" w:pos="569" w:val="left"/>
        </w:tabs>
        <w:numPr>
          <w:ilvl w:val="0"/>
          <w:numId w:val="126"/>
        </w:numPr>
        <w:rPr>
          <w:rFonts w:ascii="Arial" w:cs="Arial" w:eastAsia="Arial" w:hAnsi="Arial"/>
          <w:sz w:val="12"/>
          <w:szCs w:val="12"/>
          <w:color w:val="auto"/>
        </w:rPr>
      </w:pPr>
      <w:r>
        <w:rPr>
          <w:rFonts w:ascii="Arial" w:cs="Arial" w:eastAsia="Arial" w:hAnsi="Arial"/>
          <w:sz w:val="12"/>
          <w:szCs w:val="12"/>
          <w:color w:val="auto"/>
        </w:rPr>
        <w:t>promptly after any request by the Administrative Agent or any Lender, copies of any detailed audit reports, management letters or recommendations submitted to the board of directors (or the audit committee of the board of directors) of the Company by independent accountants in connection with the accounts or books of the Company or any Subsidiary, or any audit of any of them;</w:t>
      </w:r>
    </w:p>
    <w:p>
      <w:pPr>
        <w:spacing w:after="0" w:line="25" w:lineRule="exact"/>
        <w:rPr>
          <w:rFonts w:ascii="Arial" w:cs="Arial" w:eastAsia="Arial" w:hAnsi="Arial"/>
          <w:sz w:val="12"/>
          <w:szCs w:val="12"/>
          <w:color w:val="auto"/>
        </w:rPr>
      </w:pPr>
    </w:p>
    <w:p>
      <w:pPr>
        <w:ind w:left="220" w:firstLine="172"/>
        <w:spacing w:after="0" w:line="257" w:lineRule="auto"/>
        <w:tabs>
          <w:tab w:leader="none" w:pos="562" w:val="left"/>
        </w:tabs>
        <w:numPr>
          <w:ilvl w:val="0"/>
          <w:numId w:val="126"/>
        </w:numPr>
        <w:rPr>
          <w:rFonts w:ascii="Arial" w:cs="Arial" w:eastAsia="Arial" w:hAnsi="Arial"/>
          <w:sz w:val="13"/>
          <w:szCs w:val="13"/>
          <w:color w:val="auto"/>
        </w:rPr>
      </w:pPr>
      <w:r>
        <w:rPr>
          <w:rFonts w:ascii="Arial" w:cs="Arial" w:eastAsia="Arial" w:hAnsi="Arial"/>
          <w:sz w:val="13"/>
          <w:szCs w:val="13"/>
          <w:color w:val="auto"/>
        </w:rPr>
        <w:t>promptly after the same are available, (i) copies of each annual report, proxy or financial statement or other report or communication sent to the stockholders of the Company, and copies of all annual, regular, periodic and special reports and registration statements which the Company may file or be required to file with the SEC under Section 13 or 15(d) of the Securities Exchange Act of 1934 or to a holder of any Indebtedness owed by the Company or any Subsidiary in its capacity as such a holder and not otherwise required to be delivered to the Administrative Agent pursuant hereto and (ii) upon the reasonable request of the Administrative Agent, all reports and written information to and from the United States Environmental Protection Agency, or any state or local agency responsible for environmental matters, the United States Occupational Health and Safety Administration, or any state or local agency responsible for health and safety matters, or any successor agencies or authorities concerning environmental, health or safety matters; and</w:t>
      </w:r>
    </w:p>
    <w:p>
      <w:pPr>
        <w:spacing w:after="0" w:line="61" w:lineRule="exact"/>
        <w:rPr>
          <w:rFonts w:ascii="Arial" w:cs="Arial" w:eastAsia="Arial" w:hAnsi="Arial"/>
          <w:sz w:val="13"/>
          <w:szCs w:val="13"/>
          <w:color w:val="auto"/>
        </w:rPr>
      </w:pPr>
    </w:p>
    <w:p>
      <w:pPr>
        <w:ind w:left="220" w:right="260" w:firstLine="172"/>
        <w:spacing w:after="0" w:line="276" w:lineRule="auto"/>
        <w:tabs>
          <w:tab w:leader="none" w:pos="547" w:val="left"/>
        </w:tabs>
        <w:numPr>
          <w:ilvl w:val="0"/>
          <w:numId w:val="126"/>
        </w:numPr>
        <w:rPr>
          <w:rFonts w:ascii="Arial" w:cs="Arial" w:eastAsia="Arial" w:hAnsi="Arial"/>
          <w:sz w:val="13"/>
          <w:szCs w:val="13"/>
          <w:color w:val="auto"/>
        </w:rPr>
      </w:pPr>
      <w:r>
        <w:rPr>
          <w:rFonts w:ascii="Arial" w:cs="Arial" w:eastAsia="Arial" w:hAnsi="Arial"/>
          <w:sz w:val="13"/>
          <w:szCs w:val="13"/>
          <w:color w:val="auto"/>
        </w:rPr>
        <w:t>promptly, such additional information regarding the business, financial or corporate affairs of the Company or any Subsidiary, or compliance with the terms of the Loan Documents, as the Administrative Agent or any Lender may from time to time reasonably request.</w:t>
      </w:r>
    </w:p>
    <w:p>
      <w:pPr>
        <w:spacing w:after="0" w:line="49" w:lineRule="exact"/>
        <w:rPr>
          <w:sz w:val="20"/>
          <w:szCs w:val="20"/>
          <w:color w:val="auto"/>
        </w:rPr>
      </w:pPr>
    </w:p>
    <w:p>
      <w:pPr>
        <w:ind w:right="20" w:firstLine="164"/>
        <w:spacing w:after="0" w:line="260" w:lineRule="auto"/>
        <w:rPr>
          <w:sz w:val="20"/>
          <w:szCs w:val="20"/>
          <w:color w:val="auto"/>
        </w:rPr>
      </w:pPr>
      <w:r>
        <w:rPr>
          <w:rFonts w:ascii="Arial" w:cs="Arial" w:eastAsia="Arial" w:hAnsi="Arial"/>
          <w:sz w:val="13"/>
          <w:szCs w:val="13"/>
          <w:color w:val="auto"/>
        </w:rPr>
        <w:t xml:space="preserve">Documents required to be delivered pursuant to </w:t>
      </w:r>
      <w:r>
        <w:rPr>
          <w:rFonts w:ascii="Arial" w:cs="Arial" w:eastAsia="Arial" w:hAnsi="Arial"/>
          <w:sz w:val="13"/>
          <w:szCs w:val="13"/>
          <w:u w:val="single" w:color="auto"/>
          <w:color w:val="auto"/>
        </w:rPr>
        <w:t>Section 7.01(a)</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(b)</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7.02(e)</w:t>
      </w:r>
      <w:r>
        <w:rPr>
          <w:rFonts w:ascii="Arial" w:cs="Arial" w:eastAsia="Arial" w:hAnsi="Arial"/>
          <w:sz w:val="13"/>
          <w:szCs w:val="13"/>
          <w:color w:val="auto"/>
        </w:rPr>
        <w:t xml:space="preserve"> (to the extent any such documents are included in materials otherwise filed with the SEC) may be delivered electronically and if so delivered, shall be deemed to have been delivered on the date (i) on which the Company posts such documents, or provides a link thereto on the Company’s website on the Internet at the website address listed on </w:t>
      </w:r>
      <w:r>
        <w:rPr>
          <w:rFonts w:ascii="Arial" w:cs="Arial" w:eastAsia="Arial" w:hAnsi="Arial"/>
          <w:sz w:val="13"/>
          <w:szCs w:val="13"/>
          <w:u w:val="single" w:color="auto"/>
          <w:color w:val="auto"/>
        </w:rPr>
        <w:t>Schedule 11.02</w:t>
      </w:r>
      <w:r>
        <w:rPr>
          <w:rFonts w:ascii="Arial" w:cs="Arial" w:eastAsia="Arial" w:hAnsi="Arial"/>
          <w:sz w:val="13"/>
          <w:szCs w:val="13"/>
          <w:color w:val="auto"/>
        </w:rPr>
        <w:t>; or (ii) on which such documents are posted on the Company’s behalf on an Internet or intranet website, if any, to which each Lender and the Administrative Agent have access (whether a commercial, third-party website or whether sponsored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277495</wp:posOffset>
            </wp:positionV>
            <wp:extent cx="7290435" cy="19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49" w:name="page150"/>
    <w:bookmarkEnd w:id="149"/>
    <w:p>
      <w:pPr>
        <w:ind w:right="40"/>
        <w:spacing w:after="0" w:line="282" w:lineRule="auto"/>
        <w:rPr>
          <w:sz w:val="20"/>
          <w:szCs w:val="20"/>
          <w:color w:val="auto"/>
        </w:rPr>
      </w:pPr>
      <w:r>
        <w:rPr>
          <w:rFonts w:ascii="Arial" w:cs="Arial" w:eastAsia="Arial" w:hAnsi="Arial"/>
          <w:sz w:val="12"/>
          <w:szCs w:val="12"/>
          <w:color w:val="auto"/>
        </w:rPr>
        <w:t xml:space="preserve">Administrative Agent);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 the Company shall deliver paper copies of such documents to the Administrative Agent or any Lender that requests the Company to deliver such paper copies until a written request to cease delivering paper copies is given by the Administrative Agent or such Lender and (ii) the Company shall notify (which may be by facsimile or electronic mail) the Administrative Agent and each Lender of the posting of any such documents and provide to the Administrative Agent by electronic mail electronic versions (</w:t>
      </w:r>
      <w:r>
        <w:rPr>
          <w:rFonts w:ascii="Arial" w:cs="Arial" w:eastAsia="Arial" w:hAnsi="Arial"/>
          <w:sz w:val="12"/>
          <w:szCs w:val="12"/>
          <w:u w:val="single" w:color="auto"/>
          <w:color w:val="auto"/>
        </w:rPr>
        <w:t>i.e.</w:t>
      </w:r>
      <w:r>
        <w:rPr>
          <w:rFonts w:ascii="Arial" w:cs="Arial" w:eastAsia="Arial" w:hAnsi="Arial"/>
          <w:sz w:val="12"/>
          <w:szCs w:val="12"/>
          <w:color w:val="auto"/>
        </w:rPr>
        <w:t xml:space="preserve">, soft copies) of such documents. Notwithstanding anything contained herein, in every instance the Company shall be required to provide paper copies of the Compliance Certificates required by </w:t>
      </w:r>
      <w:r>
        <w:rPr>
          <w:rFonts w:ascii="Arial" w:cs="Arial" w:eastAsia="Arial" w:hAnsi="Arial"/>
          <w:sz w:val="12"/>
          <w:szCs w:val="12"/>
          <w:u w:val="single" w:color="auto"/>
          <w:color w:val="auto"/>
        </w:rPr>
        <w:t>Section 7.02(b)</w:t>
      </w:r>
      <w:r>
        <w:rPr>
          <w:rFonts w:ascii="Arial" w:cs="Arial" w:eastAsia="Arial" w:hAnsi="Arial"/>
          <w:sz w:val="12"/>
          <w:szCs w:val="12"/>
          <w:color w:val="auto"/>
        </w:rPr>
        <w:t xml:space="preserve"> to the Administrative Agent. Except for such Compliance Certificates, the Administrative Agent shall have no obligation to request the delivery or to maintain copies of the documents referred to above, and in any event shall have no responsibility to monitor compliance by the Company with any such request for delivery, and each Lender shall be solely responsible for requesting delivery to it or maintaining its copies of such documents.</w:t>
      </w:r>
    </w:p>
    <w:p>
      <w:pPr>
        <w:spacing w:after="0" w:line="49" w:lineRule="exact"/>
        <w:rPr>
          <w:sz w:val="20"/>
          <w:szCs w:val="20"/>
          <w:color w:val="auto"/>
        </w:rPr>
      </w:pPr>
    </w:p>
    <w:p>
      <w:pPr>
        <w:ind w:right="20" w:firstLine="161"/>
        <w:spacing w:after="0" w:line="279" w:lineRule="auto"/>
        <w:rPr>
          <w:sz w:val="20"/>
          <w:szCs w:val="20"/>
          <w:color w:val="auto"/>
        </w:rPr>
      </w:pPr>
      <w:r>
        <w:rPr>
          <w:rFonts w:ascii="Arial" w:cs="Arial" w:eastAsia="Arial" w:hAnsi="Arial"/>
          <w:sz w:val="12"/>
          <w:szCs w:val="12"/>
          <w:color w:val="auto"/>
        </w:rPr>
        <w:t>The Company hereby acknowledges that (a) the Administrative Agent and/or BAS will make available to the Lenders and the L/C Issuer materials and/or information provided by or on behalf of the Company hereunder (collectively, “</w:t>
      </w:r>
      <w:r>
        <w:rPr>
          <w:rFonts w:ascii="Arial" w:cs="Arial" w:eastAsia="Arial" w:hAnsi="Arial"/>
          <w:sz w:val="12"/>
          <w:szCs w:val="12"/>
          <w:u w:val="single" w:color="auto"/>
          <w:color w:val="auto"/>
        </w:rPr>
        <w:t>Company Materials</w:t>
      </w:r>
      <w:r>
        <w:rPr>
          <w:rFonts w:ascii="Arial" w:cs="Arial" w:eastAsia="Arial" w:hAnsi="Arial"/>
          <w:sz w:val="12"/>
          <w:szCs w:val="12"/>
          <w:color w:val="auto"/>
        </w:rPr>
        <w:t>”) by posting the Company Materials on IntraLinks or another similar electronic system (the “</w:t>
      </w:r>
      <w:r>
        <w:rPr>
          <w:rFonts w:ascii="Arial" w:cs="Arial" w:eastAsia="Arial" w:hAnsi="Arial"/>
          <w:sz w:val="12"/>
          <w:szCs w:val="12"/>
          <w:u w:val="single" w:color="auto"/>
          <w:color w:val="auto"/>
        </w:rPr>
        <w:t>Platform</w:t>
      </w:r>
      <w:r>
        <w:rPr>
          <w:rFonts w:ascii="Arial" w:cs="Arial" w:eastAsia="Arial" w:hAnsi="Arial"/>
          <w:sz w:val="12"/>
          <w:szCs w:val="12"/>
          <w:color w:val="auto"/>
        </w:rPr>
        <w:t>”) and (b) certain of the Lenders may be “public-side” Lenders (</w:t>
      </w:r>
      <w:r>
        <w:rPr>
          <w:rFonts w:ascii="Arial" w:cs="Arial" w:eastAsia="Arial" w:hAnsi="Arial"/>
          <w:sz w:val="12"/>
          <w:szCs w:val="12"/>
          <w:i w:val="1"/>
          <w:iCs w:val="1"/>
          <w:color w:val="auto"/>
        </w:rPr>
        <w:t>i.e.,</w:t>
      </w:r>
      <w:r>
        <w:rPr>
          <w:rFonts w:ascii="Arial" w:cs="Arial" w:eastAsia="Arial" w:hAnsi="Arial"/>
          <w:sz w:val="12"/>
          <w:szCs w:val="12"/>
          <w:color w:val="auto"/>
        </w:rPr>
        <w:t xml:space="preserve"> Lenders that do not wish to receive material non-public information with respect to the Company or its securities) (each, a “</w:t>
      </w:r>
      <w:r>
        <w:rPr>
          <w:rFonts w:ascii="Arial" w:cs="Arial" w:eastAsia="Arial" w:hAnsi="Arial"/>
          <w:sz w:val="12"/>
          <w:szCs w:val="12"/>
          <w:u w:val="single" w:color="auto"/>
          <w:color w:val="auto"/>
        </w:rPr>
        <w:t>Public Lender</w:t>
      </w:r>
      <w:r>
        <w:rPr>
          <w:rFonts w:ascii="Arial" w:cs="Arial" w:eastAsia="Arial" w:hAnsi="Arial"/>
          <w:sz w:val="12"/>
          <w:szCs w:val="12"/>
          <w:color w:val="auto"/>
        </w:rPr>
        <w:t>”). The Company hereby agrees that (w) all Company Materials that are to be made available to Public Lenders shall be clearly and conspicuously marked “PUBLIC” which, at a minimum, shall mean that the word “PUBLIC” shall appear prominently on the first page thereof; (x) by marking Company Materials “PUBLIC,” the Company shall be deemed to have authorized the Administrative Agent, BAS, the L/C Issuer and the Lenders to treat such Company Materials as not containing any material non-public information with respect to the Company or its securities for purposes of United States federal and state securities laws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to the extent such Company Materials constitute Information, they shall be treated as set forth in </w:t>
      </w:r>
      <w:r>
        <w:rPr>
          <w:rFonts w:ascii="Arial" w:cs="Arial" w:eastAsia="Arial" w:hAnsi="Arial"/>
          <w:sz w:val="12"/>
          <w:szCs w:val="12"/>
          <w:u w:val="single" w:color="auto"/>
          <w:color w:val="auto"/>
        </w:rPr>
        <w:t>Section 11.08</w:t>
      </w:r>
      <w:r>
        <w:rPr>
          <w:rFonts w:ascii="Arial" w:cs="Arial" w:eastAsia="Arial" w:hAnsi="Arial"/>
          <w:sz w:val="12"/>
          <w:szCs w:val="12"/>
          <w:color w:val="auto"/>
        </w:rPr>
        <w:t>); (y) all Company Materials marked “PUBLIC” are permitted to be made available through a portion of the Platform designated as “Public Investor;” and (z) the Administrative Agent and BAS shall be entitled to treat any Company Materials that are not marked “PUBLIC” as being suitable only for posting on a portion of the Platform not marked as “Public Investor.” Notwithstanding the foregoing, the Company shall not be under any obligation to mark any Company Materials “PUBLIC.”</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7.03 </w:t>
      </w:r>
      <w:r>
        <w:rPr>
          <w:rFonts w:ascii="Arial" w:cs="Arial" w:eastAsia="Arial" w:hAnsi="Arial"/>
          <w:sz w:val="13"/>
          <w:szCs w:val="13"/>
          <w:u w:val="single" w:color="auto"/>
          <w:color w:val="auto"/>
        </w:rPr>
        <w:t>Notices</w:t>
      </w:r>
      <w:r>
        <w:rPr>
          <w:rFonts w:ascii="Arial" w:cs="Arial" w:eastAsia="Arial" w:hAnsi="Arial"/>
          <w:sz w:val="13"/>
          <w:szCs w:val="13"/>
          <w:color w:val="auto"/>
        </w:rPr>
        <w:t>.</w:t>
      </w:r>
    </w:p>
    <w:p>
      <w:pPr>
        <w:spacing w:after="0" w:line="86" w:lineRule="exact"/>
        <w:rPr>
          <w:sz w:val="20"/>
          <w:szCs w:val="20"/>
          <w:color w:val="auto"/>
        </w:rPr>
      </w:pPr>
    </w:p>
    <w:p>
      <w:pPr>
        <w:ind w:left="340" w:hanging="178"/>
        <w:spacing w:after="0"/>
        <w:tabs>
          <w:tab w:leader="none" w:pos="340" w:val="left"/>
        </w:tabs>
        <w:numPr>
          <w:ilvl w:val="0"/>
          <w:numId w:val="127"/>
        </w:numPr>
        <w:rPr>
          <w:rFonts w:ascii="Arial" w:cs="Arial" w:eastAsia="Arial" w:hAnsi="Arial"/>
          <w:sz w:val="13"/>
          <w:szCs w:val="13"/>
          <w:color w:val="auto"/>
        </w:rPr>
      </w:pPr>
      <w:r>
        <w:rPr>
          <w:rFonts w:ascii="Arial" w:cs="Arial" w:eastAsia="Arial" w:hAnsi="Arial"/>
          <w:sz w:val="13"/>
          <w:szCs w:val="13"/>
          <w:color w:val="auto"/>
        </w:rPr>
        <w:t>Promptly (and in any event, within five Business Days) notify the Administrative Agent and each Lender of the occurrence of any Default.</w:t>
      </w:r>
    </w:p>
    <w:p>
      <w:pPr>
        <w:spacing w:after="0" w:line="86" w:lineRule="exact"/>
        <w:rPr>
          <w:rFonts w:ascii="Arial" w:cs="Arial" w:eastAsia="Arial" w:hAnsi="Arial"/>
          <w:sz w:val="13"/>
          <w:szCs w:val="13"/>
          <w:color w:val="auto"/>
        </w:rPr>
      </w:pPr>
    </w:p>
    <w:p>
      <w:pPr>
        <w:ind w:right="180" w:firstLine="162"/>
        <w:spacing w:after="0" w:line="296" w:lineRule="auto"/>
        <w:tabs>
          <w:tab w:leader="none" w:pos="349" w:val="left"/>
        </w:tabs>
        <w:numPr>
          <w:ilvl w:val="0"/>
          <w:numId w:val="127"/>
        </w:numPr>
        <w:rPr>
          <w:rFonts w:ascii="Arial" w:cs="Arial" w:eastAsia="Arial" w:hAnsi="Arial"/>
          <w:sz w:val="12"/>
          <w:szCs w:val="12"/>
          <w:color w:val="auto"/>
        </w:rPr>
      </w:pPr>
      <w:r>
        <w:rPr>
          <w:rFonts w:ascii="Arial" w:cs="Arial" w:eastAsia="Arial" w:hAnsi="Arial"/>
          <w:sz w:val="12"/>
          <w:szCs w:val="12"/>
          <w:color w:val="auto"/>
        </w:rPr>
        <w:t>Promptly notify the Administrative Agent and each Lender of any matter that has resulted or could reasonably be expected to result in a Material Adverse Effect, including (i) breach or non-performance of, or any default under, a Contractual Obligation of the Company or any Subsidiary; (ii) any dispute, litigation, investigation, proceeding or suspension between the Company or any Subsidiary and any Governmental Authority; or (iii) the commencement of, or any material development in, any litigation or proceeding affecting the Company or any Subsidiary, including pursuant to any applicable Environmental Laws.</w:t>
      </w:r>
    </w:p>
    <w:p>
      <w:pPr>
        <w:spacing w:after="0" w:line="39" w:lineRule="exact"/>
        <w:rPr>
          <w:rFonts w:ascii="Arial" w:cs="Arial" w:eastAsia="Arial" w:hAnsi="Arial"/>
          <w:sz w:val="12"/>
          <w:szCs w:val="12"/>
          <w:color w:val="auto"/>
        </w:rPr>
      </w:pPr>
    </w:p>
    <w:p>
      <w:pPr>
        <w:ind w:firstLine="162"/>
        <w:spacing w:after="0" w:line="276" w:lineRule="auto"/>
        <w:tabs>
          <w:tab w:leader="none" w:pos="342" w:val="left"/>
        </w:tabs>
        <w:numPr>
          <w:ilvl w:val="0"/>
          <w:numId w:val="127"/>
        </w:numPr>
        <w:rPr>
          <w:rFonts w:ascii="Arial" w:cs="Arial" w:eastAsia="Arial" w:hAnsi="Arial"/>
          <w:sz w:val="13"/>
          <w:szCs w:val="13"/>
          <w:color w:val="auto"/>
        </w:rPr>
      </w:pPr>
      <w:r>
        <w:rPr>
          <w:rFonts w:ascii="Arial" w:cs="Arial" w:eastAsia="Arial" w:hAnsi="Arial"/>
          <w:sz w:val="13"/>
          <w:szCs w:val="13"/>
          <w:color w:val="auto"/>
        </w:rPr>
        <w:t>Other than with respect to the termination of certain Plans maintained by Prinzing Enterprises, Inc. (which is not reasonably expected to have a Material Adverse Effect), promptly notify the Administrative Agent and each Lender of the occurrence of any ERISA Event.</w:t>
      </w:r>
    </w:p>
    <w:p>
      <w:pPr>
        <w:spacing w:after="0" w:line="49" w:lineRule="exact"/>
        <w:rPr>
          <w:rFonts w:ascii="Arial" w:cs="Arial" w:eastAsia="Arial" w:hAnsi="Arial"/>
          <w:sz w:val="13"/>
          <w:szCs w:val="13"/>
          <w:color w:val="auto"/>
        </w:rPr>
      </w:pPr>
    </w:p>
    <w:p>
      <w:pPr>
        <w:ind w:left="340" w:hanging="178"/>
        <w:spacing w:after="0"/>
        <w:tabs>
          <w:tab w:leader="none" w:pos="340" w:val="left"/>
        </w:tabs>
        <w:numPr>
          <w:ilvl w:val="0"/>
          <w:numId w:val="127"/>
        </w:numPr>
        <w:rPr>
          <w:rFonts w:ascii="Arial" w:cs="Arial" w:eastAsia="Arial" w:hAnsi="Arial"/>
          <w:sz w:val="13"/>
          <w:szCs w:val="13"/>
          <w:color w:val="auto"/>
        </w:rPr>
      </w:pPr>
      <w:r>
        <w:rPr>
          <w:rFonts w:ascii="Arial" w:cs="Arial" w:eastAsia="Arial" w:hAnsi="Arial"/>
          <w:sz w:val="13"/>
          <w:szCs w:val="13"/>
          <w:color w:val="auto"/>
        </w:rPr>
        <w:t>Promptly notify the Administrative Agent and each Lender of any material change in accounting policies or financial reporting practices by the Company or any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50" w:name="page151"/>
    <w:bookmarkEnd w:id="150"/>
    <w:p>
      <w:pPr>
        <w:ind w:firstLine="164"/>
        <w:spacing w:after="0" w:line="264" w:lineRule="auto"/>
        <w:rPr>
          <w:sz w:val="20"/>
          <w:szCs w:val="20"/>
          <w:color w:val="auto"/>
        </w:rPr>
      </w:pPr>
      <w:r>
        <w:rPr>
          <w:rFonts w:ascii="Arial" w:cs="Arial" w:eastAsia="Arial" w:hAnsi="Arial"/>
          <w:sz w:val="13"/>
          <w:szCs w:val="13"/>
          <w:color w:val="auto"/>
        </w:rPr>
        <w:t xml:space="preserve">Each notice pursuant to this </w:t>
      </w:r>
      <w:r>
        <w:rPr>
          <w:rFonts w:ascii="Arial" w:cs="Arial" w:eastAsia="Arial" w:hAnsi="Arial"/>
          <w:sz w:val="13"/>
          <w:szCs w:val="13"/>
          <w:u w:val="single" w:color="auto"/>
          <w:color w:val="auto"/>
        </w:rPr>
        <w:t>Section 7.03(a)</w:t>
      </w:r>
      <w:r>
        <w:rPr>
          <w:rFonts w:ascii="Arial" w:cs="Arial" w:eastAsia="Arial" w:hAnsi="Arial"/>
          <w:sz w:val="13"/>
          <w:szCs w:val="13"/>
          <w:color w:val="auto"/>
        </w:rPr>
        <w:t xml:space="preserve"> through </w:t>
      </w:r>
      <w:r>
        <w:rPr>
          <w:rFonts w:ascii="Arial" w:cs="Arial" w:eastAsia="Arial" w:hAnsi="Arial"/>
          <w:sz w:val="13"/>
          <w:szCs w:val="13"/>
          <w:u w:val="single" w:color="auto"/>
          <w:color w:val="auto"/>
        </w:rPr>
        <w:t>(d)</w:t>
      </w:r>
      <w:r>
        <w:rPr>
          <w:rFonts w:ascii="Arial" w:cs="Arial" w:eastAsia="Arial" w:hAnsi="Arial"/>
          <w:sz w:val="13"/>
          <w:szCs w:val="13"/>
          <w:color w:val="auto"/>
        </w:rPr>
        <w:t xml:space="preserve"> shall be accompanied by a statement of a Responsible Officer of the Company setting forth details of the occurrence referred to therein and stating what action the Company has taken and proposes to take with respect thereto. Each notice pursuant to </w:t>
      </w:r>
      <w:r>
        <w:rPr>
          <w:rFonts w:ascii="Arial" w:cs="Arial" w:eastAsia="Arial" w:hAnsi="Arial"/>
          <w:sz w:val="13"/>
          <w:szCs w:val="13"/>
          <w:u w:val="single" w:color="auto"/>
          <w:color w:val="auto"/>
        </w:rPr>
        <w:t>Section 7.03(a)</w:t>
      </w:r>
      <w:r>
        <w:rPr>
          <w:rFonts w:ascii="Arial" w:cs="Arial" w:eastAsia="Arial" w:hAnsi="Arial"/>
          <w:sz w:val="13"/>
          <w:szCs w:val="13"/>
          <w:color w:val="auto"/>
        </w:rPr>
        <w:t xml:space="preserve"> shall describe with particularity any and all provisions of this Agreement and any other Loan Document that have been breached.</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7.04 </w:t>
      </w:r>
      <w:r>
        <w:rPr>
          <w:rFonts w:ascii="Arial" w:cs="Arial" w:eastAsia="Arial" w:hAnsi="Arial"/>
          <w:sz w:val="13"/>
          <w:szCs w:val="13"/>
          <w:u w:val="single" w:color="auto"/>
          <w:color w:val="auto"/>
        </w:rPr>
        <w:t>Payment of Obligations</w:t>
      </w:r>
      <w:r>
        <w:rPr>
          <w:rFonts w:ascii="Arial" w:cs="Arial" w:eastAsia="Arial" w:hAnsi="Arial"/>
          <w:sz w:val="13"/>
          <w:szCs w:val="13"/>
          <w:color w:val="auto"/>
        </w:rPr>
        <w:t>.</w:t>
      </w:r>
    </w:p>
    <w:p>
      <w:pPr>
        <w:spacing w:after="0" w:line="86" w:lineRule="exact"/>
        <w:rPr>
          <w:sz w:val="20"/>
          <w:szCs w:val="20"/>
          <w:color w:val="auto"/>
        </w:rPr>
      </w:pPr>
    </w:p>
    <w:p>
      <w:pPr>
        <w:ind w:right="180" w:firstLine="164"/>
        <w:spacing w:after="0" w:line="260" w:lineRule="auto"/>
        <w:rPr>
          <w:sz w:val="20"/>
          <w:szCs w:val="20"/>
          <w:color w:val="auto"/>
        </w:rPr>
      </w:pPr>
      <w:r>
        <w:rPr>
          <w:rFonts w:ascii="Arial" w:cs="Arial" w:eastAsia="Arial" w:hAnsi="Arial"/>
          <w:sz w:val="13"/>
          <w:szCs w:val="13"/>
          <w:color w:val="auto"/>
        </w:rPr>
        <w:t>Pay and discharge, as the same shall become due and payable, all its material obligations and material liabilities, including (a) all tax liabilities, assessments and governmental charges or levies upon it or its properties or assets, unless the same are being contested in good faith by appropriate proceedings diligently conducted and adequate reserves in accordance with GAAP are being maintained by the Company or such Subsidiary; (b) all lawful claims which, if unpaid, would by law become a Lien upon its property; and (c) all Indebtedness, as and when due and payable, but subject to any subordination provisions contained in any instrument or agreement evidencing such Indebtedness.</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7.05 </w:t>
      </w:r>
      <w:r>
        <w:rPr>
          <w:rFonts w:ascii="Arial" w:cs="Arial" w:eastAsia="Arial" w:hAnsi="Arial"/>
          <w:sz w:val="13"/>
          <w:szCs w:val="13"/>
          <w:u w:val="single" w:color="auto"/>
          <w:color w:val="auto"/>
        </w:rPr>
        <w:t>Preservation of Existence, Etc.</w:t>
      </w:r>
    </w:p>
    <w:p>
      <w:pPr>
        <w:spacing w:after="0" w:line="86" w:lineRule="exact"/>
        <w:rPr>
          <w:sz w:val="20"/>
          <w:szCs w:val="20"/>
          <w:color w:val="auto"/>
        </w:rPr>
      </w:pPr>
    </w:p>
    <w:p>
      <w:pPr>
        <w:ind w:left="340" w:hanging="178"/>
        <w:spacing w:after="0"/>
        <w:tabs>
          <w:tab w:leader="none" w:pos="34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 xml:space="preserve">Preserve, renew and maintain in full force and effect its legal existence under the Laws of the jurisdiction of its organization except in a transaction permitted by </w:t>
      </w:r>
      <w:r>
        <w:rPr>
          <w:rFonts w:ascii="Arial" w:cs="Arial" w:eastAsia="Arial" w:hAnsi="Arial"/>
          <w:sz w:val="13"/>
          <w:szCs w:val="13"/>
          <w:u w:val="single" w:color="auto"/>
          <w:color w:val="auto"/>
        </w:rPr>
        <w:t>Section 8.04</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8.05</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right="220" w:firstLine="162"/>
        <w:spacing w:after="0" w:line="276" w:lineRule="auto"/>
        <w:tabs>
          <w:tab w:leader="none" w:pos="349" w:val="left"/>
        </w:tabs>
        <w:numPr>
          <w:ilvl w:val="0"/>
          <w:numId w:val="128"/>
        </w:numPr>
        <w:rPr>
          <w:rFonts w:ascii="Arial" w:cs="Arial" w:eastAsia="Arial" w:hAnsi="Arial"/>
          <w:sz w:val="13"/>
          <w:szCs w:val="13"/>
          <w:color w:val="auto"/>
        </w:rPr>
      </w:pPr>
      <w:r>
        <w:rPr>
          <w:rFonts w:ascii="Arial" w:cs="Arial" w:eastAsia="Arial" w:hAnsi="Arial"/>
          <w:sz w:val="13"/>
          <w:szCs w:val="13"/>
          <w:color w:val="auto"/>
        </w:rPr>
        <w:t>Preserve, renew and maintain in full force and effect its good standing under the Laws of the jurisdiction of its organization, except to the extent the failure to do so could not reasonably be expected to have a Material Adverse Effect.</w:t>
      </w:r>
    </w:p>
    <w:p>
      <w:pPr>
        <w:spacing w:after="0" w:line="49" w:lineRule="exact"/>
        <w:rPr>
          <w:rFonts w:ascii="Arial" w:cs="Arial" w:eastAsia="Arial" w:hAnsi="Arial"/>
          <w:sz w:val="13"/>
          <w:szCs w:val="13"/>
          <w:color w:val="auto"/>
        </w:rPr>
      </w:pPr>
    </w:p>
    <w:p>
      <w:pPr>
        <w:ind w:right="300" w:firstLine="162"/>
        <w:spacing w:after="0" w:line="276" w:lineRule="auto"/>
        <w:tabs>
          <w:tab w:leader="none" w:pos="34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Take all reasonable action to maintain all rights, privileges, permits, licenses and franchises necessary or desirable in the normal conduct of its business, except to the extent that the failure to do so could not reasonably be expected to have a Material Adverse Effect.</w:t>
      </w:r>
    </w:p>
    <w:p>
      <w:pPr>
        <w:spacing w:after="0" w:line="49" w:lineRule="exact"/>
        <w:rPr>
          <w:rFonts w:ascii="Arial" w:cs="Arial" w:eastAsia="Arial" w:hAnsi="Arial"/>
          <w:sz w:val="13"/>
          <w:szCs w:val="13"/>
          <w:color w:val="auto"/>
        </w:rPr>
      </w:pPr>
    </w:p>
    <w:p>
      <w:pPr>
        <w:ind w:left="340" w:hanging="178"/>
        <w:spacing w:after="0"/>
        <w:tabs>
          <w:tab w:leader="none" w:pos="340" w:val="left"/>
        </w:tabs>
        <w:numPr>
          <w:ilvl w:val="0"/>
          <w:numId w:val="128"/>
        </w:numPr>
        <w:rPr>
          <w:rFonts w:ascii="Arial" w:cs="Arial" w:eastAsia="Arial" w:hAnsi="Arial"/>
          <w:sz w:val="12"/>
          <w:szCs w:val="12"/>
          <w:color w:val="auto"/>
        </w:rPr>
      </w:pPr>
      <w:r>
        <w:rPr>
          <w:rFonts w:ascii="Arial" w:cs="Arial" w:eastAsia="Arial" w:hAnsi="Arial"/>
          <w:sz w:val="12"/>
          <w:szCs w:val="12"/>
          <w:color w:val="auto"/>
        </w:rPr>
        <w:t>Preserve or renew all of its material registered patents, copyrights, trademarks, trade names and service marks, the non-preservation of which could reasonably be expected to have a Material Adverse Effect.</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7.06 </w:t>
      </w:r>
      <w:r>
        <w:rPr>
          <w:rFonts w:ascii="Arial" w:cs="Arial" w:eastAsia="Arial" w:hAnsi="Arial"/>
          <w:sz w:val="13"/>
          <w:szCs w:val="13"/>
          <w:u w:val="single" w:color="auto"/>
          <w:color w:val="auto"/>
        </w:rPr>
        <w:t>Maintenance of Properties</w:t>
      </w:r>
      <w:r>
        <w:rPr>
          <w:rFonts w:ascii="Arial" w:cs="Arial" w:eastAsia="Arial" w:hAnsi="Arial"/>
          <w:sz w:val="13"/>
          <w:szCs w:val="13"/>
          <w:color w:val="auto"/>
        </w:rPr>
        <w:t>.</w:t>
      </w:r>
    </w:p>
    <w:p>
      <w:pPr>
        <w:spacing w:after="0" w:line="86" w:lineRule="exact"/>
        <w:rPr>
          <w:sz w:val="20"/>
          <w:szCs w:val="20"/>
          <w:color w:val="auto"/>
        </w:rPr>
      </w:pPr>
    </w:p>
    <w:p>
      <w:pPr>
        <w:ind w:left="340" w:hanging="178"/>
        <w:spacing w:after="0"/>
        <w:tabs>
          <w:tab w:leader="none" w:pos="340" w:val="left"/>
        </w:tabs>
        <w:numPr>
          <w:ilvl w:val="0"/>
          <w:numId w:val="129"/>
        </w:numPr>
        <w:rPr>
          <w:rFonts w:ascii="Arial" w:cs="Arial" w:eastAsia="Arial" w:hAnsi="Arial"/>
          <w:sz w:val="13"/>
          <w:szCs w:val="13"/>
          <w:color w:val="auto"/>
        </w:rPr>
      </w:pPr>
      <w:r>
        <w:rPr>
          <w:rFonts w:ascii="Arial" w:cs="Arial" w:eastAsia="Arial" w:hAnsi="Arial"/>
          <w:sz w:val="13"/>
          <w:szCs w:val="13"/>
          <w:color w:val="auto"/>
        </w:rPr>
        <w:t>Maintain, preserve and protect all of its material properties and equipment necessary in the operation of its business in good working order and condition, ordinary wear and tear excepted.</w:t>
      </w:r>
    </w:p>
    <w:p>
      <w:pPr>
        <w:spacing w:after="0" w:line="86" w:lineRule="exact"/>
        <w:rPr>
          <w:rFonts w:ascii="Arial" w:cs="Arial" w:eastAsia="Arial" w:hAnsi="Arial"/>
          <w:sz w:val="13"/>
          <w:szCs w:val="13"/>
          <w:color w:val="auto"/>
        </w:rPr>
      </w:pPr>
    </w:p>
    <w:p>
      <w:pPr>
        <w:ind w:left="340" w:hanging="178"/>
        <w:spacing w:after="0"/>
        <w:tabs>
          <w:tab w:leader="none" w:pos="340" w:val="left"/>
        </w:tabs>
        <w:numPr>
          <w:ilvl w:val="0"/>
          <w:numId w:val="129"/>
        </w:numPr>
        <w:rPr>
          <w:rFonts w:ascii="Arial" w:cs="Arial" w:eastAsia="Arial" w:hAnsi="Arial"/>
          <w:sz w:val="13"/>
          <w:szCs w:val="13"/>
          <w:color w:val="auto"/>
        </w:rPr>
      </w:pPr>
      <w:r>
        <w:rPr>
          <w:rFonts w:ascii="Arial" w:cs="Arial" w:eastAsia="Arial" w:hAnsi="Arial"/>
          <w:sz w:val="13"/>
          <w:szCs w:val="13"/>
          <w:color w:val="auto"/>
        </w:rPr>
        <w:t>Make all necessary repairs thereto and renewals and replacements thereof, except where the failure to do so could not reasonably be expected to have a Material Adverse Effect.</w:t>
      </w:r>
    </w:p>
    <w:p>
      <w:pPr>
        <w:spacing w:after="0" w:line="86" w:lineRule="exact"/>
        <w:rPr>
          <w:rFonts w:ascii="Arial" w:cs="Arial" w:eastAsia="Arial" w:hAnsi="Arial"/>
          <w:sz w:val="13"/>
          <w:szCs w:val="13"/>
          <w:color w:val="auto"/>
        </w:rPr>
      </w:pPr>
    </w:p>
    <w:p>
      <w:pPr>
        <w:ind w:left="340" w:hanging="178"/>
        <w:spacing w:after="0"/>
        <w:tabs>
          <w:tab w:leader="none" w:pos="340" w:val="left"/>
        </w:tabs>
        <w:numPr>
          <w:ilvl w:val="0"/>
          <w:numId w:val="129"/>
        </w:numPr>
        <w:rPr>
          <w:rFonts w:ascii="Arial" w:cs="Arial" w:eastAsia="Arial" w:hAnsi="Arial"/>
          <w:sz w:val="13"/>
          <w:szCs w:val="13"/>
          <w:color w:val="auto"/>
        </w:rPr>
      </w:pPr>
      <w:r>
        <w:rPr>
          <w:rFonts w:ascii="Arial" w:cs="Arial" w:eastAsia="Arial" w:hAnsi="Arial"/>
          <w:sz w:val="13"/>
          <w:szCs w:val="13"/>
          <w:color w:val="auto"/>
        </w:rPr>
        <w:t>Use the standard of care typical in the industry in the operation and maintenance of its facilities.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7.07 </w:t>
      </w:r>
      <w:r>
        <w:rPr>
          <w:rFonts w:ascii="Arial" w:cs="Arial" w:eastAsia="Arial" w:hAnsi="Arial"/>
          <w:sz w:val="13"/>
          <w:szCs w:val="13"/>
          <w:u w:val="single" w:color="auto"/>
          <w:color w:val="auto"/>
        </w:rPr>
        <w:t>Maintenance of Insurance</w:t>
      </w:r>
      <w:r>
        <w:rPr>
          <w:rFonts w:ascii="Arial" w:cs="Arial" w:eastAsia="Arial" w:hAnsi="Arial"/>
          <w:sz w:val="13"/>
          <w:szCs w:val="13"/>
          <w:color w:val="auto"/>
        </w:rPr>
        <w:t>.</w:t>
      </w:r>
    </w:p>
    <w:p>
      <w:pPr>
        <w:spacing w:after="0" w:line="86" w:lineRule="exact"/>
        <w:rPr>
          <w:sz w:val="20"/>
          <w:szCs w:val="20"/>
          <w:color w:val="auto"/>
        </w:rPr>
      </w:pPr>
    </w:p>
    <w:p>
      <w:pPr>
        <w:ind w:right="240" w:firstLine="164"/>
        <w:spacing w:after="0" w:line="276" w:lineRule="auto"/>
        <w:rPr>
          <w:sz w:val="20"/>
          <w:szCs w:val="20"/>
          <w:color w:val="auto"/>
        </w:rPr>
      </w:pPr>
      <w:r>
        <w:rPr>
          <w:rFonts w:ascii="Arial" w:cs="Arial" w:eastAsia="Arial" w:hAnsi="Arial"/>
          <w:sz w:val="13"/>
          <w:szCs w:val="13"/>
          <w:color w:val="auto"/>
        </w:rPr>
        <w:t>Maintain in full force and effect insurance (including worker’s compensation insurance, liability insurance, casualty insurance and business interruption insurance) with financially sound and reputable insurance companies not Affiliates of the Company, in such amounts, with such deductibles and covering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151" w:name="page152"/>
    <w:bookmarkEnd w:id="151"/>
    <w:p>
      <w:pPr>
        <w:spacing w:after="0"/>
        <w:rPr>
          <w:sz w:val="20"/>
          <w:szCs w:val="20"/>
          <w:color w:val="auto"/>
        </w:rPr>
      </w:pPr>
      <w:r>
        <w:rPr>
          <w:rFonts w:ascii="Arial" w:cs="Arial" w:eastAsia="Arial" w:hAnsi="Arial"/>
          <w:sz w:val="13"/>
          <w:szCs w:val="13"/>
          <w:color w:val="auto"/>
        </w:rPr>
        <w:t>such risks as are customarily carried by companies engaged in similar businesses and owning similar properties in localities where the Company or the applicable Subsidiary operates.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7.08 </w:t>
      </w:r>
      <w:r>
        <w:rPr>
          <w:rFonts w:ascii="Arial" w:cs="Arial" w:eastAsia="Arial" w:hAnsi="Arial"/>
          <w:sz w:val="13"/>
          <w:szCs w:val="13"/>
          <w:u w:val="single" w:color="auto"/>
          <w:color w:val="auto"/>
        </w:rPr>
        <w:t>Compliance with Laws</w:t>
      </w:r>
      <w:r>
        <w:rPr>
          <w:rFonts w:ascii="Arial" w:cs="Arial" w:eastAsia="Arial" w:hAnsi="Arial"/>
          <w:sz w:val="13"/>
          <w:szCs w:val="13"/>
          <w:color w:val="auto"/>
        </w:rPr>
        <w:t>.</w:t>
      </w:r>
    </w:p>
    <w:p>
      <w:pPr>
        <w:spacing w:after="0" w:line="86" w:lineRule="exact"/>
        <w:rPr>
          <w:sz w:val="20"/>
          <w:szCs w:val="20"/>
          <w:color w:val="auto"/>
        </w:rPr>
      </w:pPr>
    </w:p>
    <w:p>
      <w:pPr>
        <w:ind w:right="260" w:firstLine="164"/>
        <w:spacing w:after="0" w:line="371" w:lineRule="auto"/>
        <w:rPr>
          <w:sz w:val="20"/>
          <w:szCs w:val="20"/>
          <w:color w:val="auto"/>
        </w:rPr>
      </w:pPr>
      <w:r>
        <w:rPr>
          <w:rFonts w:ascii="Arial" w:cs="Arial" w:eastAsia="Arial" w:hAnsi="Arial"/>
          <w:sz w:val="11"/>
          <w:szCs w:val="11"/>
          <w:color w:val="auto"/>
        </w:rPr>
        <w:t>Comply with the requirements of all Laws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w:t>
      </w:r>
    </w:p>
    <w:p>
      <w:pPr>
        <w:spacing w:after="0" w:line="8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7.09 </w:t>
      </w:r>
      <w:r>
        <w:rPr>
          <w:rFonts w:ascii="Arial" w:cs="Arial" w:eastAsia="Arial" w:hAnsi="Arial"/>
          <w:sz w:val="13"/>
          <w:szCs w:val="13"/>
          <w:u w:val="single" w:color="auto"/>
          <w:color w:val="auto"/>
        </w:rPr>
        <w:t>Books and Records</w:t>
      </w:r>
      <w:r>
        <w:rPr>
          <w:rFonts w:ascii="Arial" w:cs="Arial" w:eastAsia="Arial" w:hAnsi="Arial"/>
          <w:sz w:val="13"/>
          <w:szCs w:val="13"/>
          <w:color w:val="auto"/>
        </w:rPr>
        <w:t>.</w:t>
      </w:r>
    </w:p>
    <w:p>
      <w:pPr>
        <w:spacing w:after="0" w:line="86" w:lineRule="exact"/>
        <w:rPr>
          <w:sz w:val="20"/>
          <w:szCs w:val="20"/>
          <w:color w:val="auto"/>
        </w:rPr>
      </w:pPr>
    </w:p>
    <w:p>
      <w:pPr>
        <w:ind w:right="120" w:firstLine="162"/>
        <w:spacing w:after="0" w:line="276" w:lineRule="auto"/>
        <w:tabs>
          <w:tab w:leader="none" w:pos="342" w:val="left"/>
        </w:tabs>
        <w:numPr>
          <w:ilvl w:val="0"/>
          <w:numId w:val="130"/>
        </w:numPr>
        <w:rPr>
          <w:rFonts w:ascii="Arial" w:cs="Arial" w:eastAsia="Arial" w:hAnsi="Arial"/>
          <w:sz w:val="13"/>
          <w:szCs w:val="13"/>
          <w:color w:val="auto"/>
        </w:rPr>
      </w:pPr>
      <w:r>
        <w:rPr>
          <w:rFonts w:ascii="Arial" w:cs="Arial" w:eastAsia="Arial" w:hAnsi="Arial"/>
          <w:sz w:val="13"/>
          <w:szCs w:val="13"/>
          <w:color w:val="auto"/>
        </w:rPr>
        <w:t>Maintain proper books of record and account, in which full, true and correct entries in conformity with GAAP consistently applied shall be made of all financial transactions and matters involving the assets and business of the Company or such Subsidiary, as the case may be.</w:t>
      </w:r>
    </w:p>
    <w:p>
      <w:pPr>
        <w:spacing w:after="0" w:line="49" w:lineRule="exact"/>
        <w:rPr>
          <w:rFonts w:ascii="Arial" w:cs="Arial" w:eastAsia="Arial" w:hAnsi="Arial"/>
          <w:sz w:val="13"/>
          <w:szCs w:val="13"/>
          <w:color w:val="auto"/>
        </w:rPr>
      </w:pPr>
    </w:p>
    <w:p>
      <w:pPr>
        <w:ind w:firstLine="162"/>
        <w:spacing w:after="0" w:line="276" w:lineRule="auto"/>
        <w:tabs>
          <w:tab w:leader="none" w:pos="349" w:val="left"/>
        </w:tabs>
        <w:numPr>
          <w:ilvl w:val="0"/>
          <w:numId w:val="130"/>
        </w:numPr>
        <w:rPr>
          <w:rFonts w:ascii="Arial" w:cs="Arial" w:eastAsia="Arial" w:hAnsi="Arial"/>
          <w:sz w:val="13"/>
          <w:szCs w:val="13"/>
          <w:color w:val="auto"/>
        </w:rPr>
      </w:pPr>
      <w:r>
        <w:rPr>
          <w:rFonts w:ascii="Arial" w:cs="Arial" w:eastAsia="Arial" w:hAnsi="Arial"/>
          <w:sz w:val="13"/>
          <w:szCs w:val="13"/>
          <w:color w:val="auto"/>
        </w:rPr>
        <w:t>Maintain such books of record and account in material conformity with all applicable requirements of any Governmental Authority having regulatory jurisdiction over the Company or such Subsidiary, as the case may be.</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7.10 </w:t>
      </w:r>
      <w:r>
        <w:rPr>
          <w:rFonts w:ascii="Arial" w:cs="Arial" w:eastAsia="Arial" w:hAnsi="Arial"/>
          <w:sz w:val="13"/>
          <w:szCs w:val="13"/>
          <w:u w:val="single" w:color="auto"/>
          <w:color w:val="auto"/>
        </w:rPr>
        <w:t>Inspection Rights</w:t>
      </w:r>
      <w:r>
        <w:rPr>
          <w:rFonts w:ascii="Arial" w:cs="Arial" w:eastAsia="Arial" w:hAnsi="Arial"/>
          <w:sz w:val="13"/>
          <w:szCs w:val="13"/>
          <w:color w:val="auto"/>
        </w:rPr>
        <w:t>.</w:t>
      </w:r>
    </w:p>
    <w:p>
      <w:pPr>
        <w:spacing w:after="0" w:line="86" w:lineRule="exact"/>
        <w:rPr>
          <w:sz w:val="20"/>
          <w:szCs w:val="20"/>
          <w:color w:val="auto"/>
        </w:rPr>
      </w:pPr>
    </w:p>
    <w:p>
      <w:pPr>
        <w:ind w:right="100" w:firstLine="164"/>
        <w:spacing w:after="0" w:line="322" w:lineRule="auto"/>
        <w:rPr>
          <w:sz w:val="20"/>
          <w:szCs w:val="20"/>
          <w:color w:val="auto"/>
        </w:rPr>
      </w:pPr>
      <w:r>
        <w:rPr>
          <w:rFonts w:ascii="Arial" w:cs="Arial" w:eastAsia="Arial" w:hAnsi="Arial"/>
          <w:sz w:val="11"/>
          <w:szCs w:val="11"/>
          <w:color w:val="auto"/>
        </w:rPr>
        <w:t xml:space="preserve">Permit representatives and independent contractors of the Administrative Agent and each Lender to visit and inspect any of its properties, to examine its corporate, financial and operating records, and make copies thereof or abstracts therefrom, and to discuss its affairs, finances and accounts with its directors, officers, and independent public accountants, all at the expense of the Company and at such reasonable times during normal business hours and as often as may be reasonably desired, upon reasonable advance notice to the Company;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when an Event of Default exists the Administrative Agent or any Lender (or any of their respective representatives or independent contractors) may do any of the foregoing at the expense of the Company at any time during normal business hours and without advance notice.</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7.11 </w:t>
      </w:r>
      <w:r>
        <w:rPr>
          <w:rFonts w:ascii="Arial" w:cs="Arial" w:eastAsia="Arial" w:hAnsi="Arial"/>
          <w:sz w:val="13"/>
          <w:szCs w:val="13"/>
          <w:u w:val="single" w:color="auto"/>
          <w:color w:val="auto"/>
        </w:rPr>
        <w:t>Use of Proceeds</w:t>
      </w:r>
      <w:r>
        <w:rPr>
          <w:rFonts w:ascii="Arial" w:cs="Arial" w:eastAsia="Arial" w:hAnsi="Arial"/>
          <w:sz w:val="13"/>
          <w:szCs w:val="13"/>
          <w:color w:val="auto"/>
        </w:rPr>
        <w:t>.</w:t>
      </w:r>
    </w:p>
    <w:p>
      <w:pPr>
        <w:spacing w:after="0" w:line="86" w:lineRule="exact"/>
        <w:rPr>
          <w:sz w:val="20"/>
          <w:szCs w:val="20"/>
          <w:color w:val="auto"/>
        </w:rPr>
      </w:pPr>
    </w:p>
    <w:p>
      <w:pPr>
        <w:ind w:right="100" w:firstLine="164"/>
        <w:spacing w:after="0" w:line="276" w:lineRule="auto"/>
        <w:rPr>
          <w:sz w:val="20"/>
          <w:szCs w:val="20"/>
          <w:color w:val="auto"/>
        </w:rPr>
      </w:pPr>
      <w:r>
        <w:rPr>
          <w:rFonts w:ascii="Arial" w:cs="Arial" w:eastAsia="Arial" w:hAnsi="Arial"/>
          <w:sz w:val="13"/>
          <w:szCs w:val="13"/>
          <w:color w:val="auto"/>
        </w:rPr>
        <w:t xml:space="preserve">Use the proceeds of the Credit Extensions to finance working capital, capital expenditures and other lawful corporate purposes (including Permitted Acquisitions),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in no event shall the proceeds of the Credit Extensions be used in contravention of any Law or of any Loan Document.</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7.12 </w:t>
      </w:r>
      <w:r>
        <w:rPr>
          <w:rFonts w:ascii="Arial" w:cs="Arial" w:eastAsia="Arial" w:hAnsi="Arial"/>
          <w:sz w:val="13"/>
          <w:szCs w:val="13"/>
          <w:u w:val="single" w:color="auto"/>
          <w:color w:val="auto"/>
        </w:rPr>
        <w:t>Additional Guarantors.</w:t>
      </w:r>
    </w:p>
    <w:p>
      <w:pPr>
        <w:spacing w:after="0" w:line="86" w:lineRule="exact"/>
        <w:rPr>
          <w:sz w:val="20"/>
          <w:szCs w:val="20"/>
          <w:color w:val="auto"/>
        </w:rPr>
      </w:pPr>
    </w:p>
    <w:p>
      <w:pPr>
        <w:jc w:val="both"/>
        <w:ind w:firstLine="161"/>
        <w:spacing w:after="0" w:line="260" w:lineRule="auto"/>
        <w:rPr>
          <w:sz w:val="20"/>
          <w:szCs w:val="20"/>
          <w:color w:val="auto"/>
        </w:rPr>
      </w:pPr>
      <w:r>
        <w:rPr>
          <w:rFonts w:ascii="Arial" w:cs="Arial" w:eastAsia="Arial" w:hAnsi="Arial"/>
          <w:sz w:val="13"/>
          <w:szCs w:val="13"/>
          <w:color w:val="auto"/>
        </w:rPr>
        <w:t xml:space="preserve">Within forty-five (45) days after the acquisition or formation of any Domestic Subsidiary, cause such Person to (a) become a Guarantor by executing and delivering to the Administrative Agent a Joinder Agreement or such other documents as the Administrative Agent shall deem appropriate for such purpose, and (b) deliver to the Administrative Agent documents of the types referred to in </w:t>
      </w:r>
      <w:r>
        <w:rPr>
          <w:rFonts w:ascii="Arial" w:cs="Arial" w:eastAsia="Arial" w:hAnsi="Arial"/>
          <w:sz w:val="13"/>
          <w:szCs w:val="13"/>
          <w:u w:val="single" w:color="auto"/>
          <w:color w:val="auto"/>
        </w:rPr>
        <w:t>Section 5.01(f)</w:t>
      </w:r>
      <w:r>
        <w:rPr>
          <w:rFonts w:ascii="Arial" w:cs="Arial" w:eastAsia="Arial" w:hAnsi="Arial"/>
          <w:sz w:val="13"/>
          <w:szCs w:val="13"/>
          <w:color w:val="auto"/>
        </w:rPr>
        <w:t xml:space="preserve"> and favorable opinions of counsel to such Person (which shall cover, among other things, the legality, validity, binding effect and enforceability of the documentation referred to in clause (a)), all in form, content and scope reasonably satisfactory to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277495</wp:posOffset>
            </wp:positionV>
            <wp:extent cx="7290435" cy="190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52" w:name="page153"/>
    <w:bookmarkEnd w:id="152"/>
    <w:p>
      <w:pPr>
        <w:spacing w:after="0"/>
        <w:rPr>
          <w:sz w:val="20"/>
          <w:szCs w:val="20"/>
          <w:color w:val="auto"/>
        </w:rPr>
      </w:pPr>
      <w:r>
        <w:rPr>
          <w:rFonts w:ascii="Arial" w:cs="Arial" w:eastAsia="Arial" w:hAnsi="Arial"/>
          <w:sz w:val="13"/>
          <w:szCs w:val="13"/>
          <w:color w:val="auto"/>
        </w:rPr>
        <w:t xml:space="preserve">7.13 </w:t>
      </w:r>
      <w:r>
        <w:rPr>
          <w:rFonts w:ascii="Arial" w:cs="Arial" w:eastAsia="Arial" w:hAnsi="Arial"/>
          <w:sz w:val="13"/>
          <w:szCs w:val="13"/>
          <w:u w:val="single" w:color="auto"/>
          <w:color w:val="auto"/>
        </w:rPr>
        <w:t>ERISA Compliance</w:t>
      </w:r>
      <w:r>
        <w:rPr>
          <w:rFonts w:ascii="Arial" w:cs="Arial" w:eastAsia="Arial" w:hAnsi="Arial"/>
          <w:sz w:val="13"/>
          <w:szCs w:val="13"/>
          <w:color w:val="auto"/>
        </w:rPr>
        <w:t>.</w:t>
      </w:r>
    </w:p>
    <w:p>
      <w:pPr>
        <w:spacing w:after="0" w:line="86" w:lineRule="exact"/>
        <w:rPr>
          <w:sz w:val="20"/>
          <w:szCs w:val="20"/>
          <w:color w:val="auto"/>
        </w:rPr>
      </w:pPr>
    </w:p>
    <w:p>
      <w:pPr>
        <w:jc w:val="both"/>
        <w:ind w:right="140" w:firstLine="164"/>
        <w:spacing w:after="0" w:line="264" w:lineRule="auto"/>
        <w:rPr>
          <w:sz w:val="20"/>
          <w:szCs w:val="20"/>
          <w:color w:val="auto"/>
        </w:rPr>
      </w:pPr>
      <w:r>
        <w:rPr>
          <w:rFonts w:ascii="Arial" w:cs="Arial" w:eastAsia="Arial" w:hAnsi="Arial"/>
          <w:sz w:val="13"/>
          <w:szCs w:val="13"/>
          <w:color w:val="auto"/>
        </w:rPr>
        <w:t>Do, and cause each of its ERISA Affiliates to do, each of the following: (a) maintain each Plan in compliance in all material respects with the applicable provisions of ERISA, the Internal Revenue Code and other federal or state law; (b) cause each Plan that is qualified under Section 401(a) of the Internal Revenue Code to maintain such qualification; and (c) make all required contributions to any Plan subject to Section 412 of the Internal Revenue Code.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ARTICLE VIII</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NEGATIVE COVENANTS</w:t>
      </w:r>
    </w:p>
    <w:p>
      <w:pPr>
        <w:spacing w:after="0" w:line="86" w:lineRule="exact"/>
        <w:rPr>
          <w:sz w:val="20"/>
          <w:szCs w:val="20"/>
          <w:color w:val="auto"/>
        </w:rPr>
      </w:pPr>
    </w:p>
    <w:p>
      <w:pPr>
        <w:ind w:right="200" w:firstLine="164"/>
        <w:spacing w:after="0" w:line="276" w:lineRule="auto"/>
        <w:rPr>
          <w:sz w:val="20"/>
          <w:szCs w:val="20"/>
          <w:color w:val="auto"/>
        </w:rPr>
      </w:pPr>
      <w:r>
        <w:rPr>
          <w:rFonts w:ascii="Arial" w:cs="Arial" w:eastAsia="Arial" w:hAnsi="Arial"/>
          <w:sz w:val="13"/>
          <w:szCs w:val="13"/>
          <w:color w:val="auto"/>
        </w:rPr>
        <w:t>So long as any Lender shall have any Commitment hereunder, any Loan or other Obligation hereunder shall remain unpaid or unsatisfied, or any Letter of Credit shall remain outstanding, no Loan Party shall, nor shall it permit any Subsidiary to, directly or indirectly:</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8.01 </w:t>
      </w:r>
      <w:r>
        <w:rPr>
          <w:rFonts w:ascii="Arial" w:cs="Arial" w:eastAsia="Arial" w:hAnsi="Arial"/>
          <w:sz w:val="13"/>
          <w:szCs w:val="13"/>
          <w:u w:val="single" w:color="auto"/>
          <w:color w:val="auto"/>
        </w:rPr>
        <w:t>Liens</w:t>
      </w:r>
      <w:r>
        <w:rPr>
          <w:rFonts w:ascii="Arial" w:cs="Arial" w:eastAsia="Arial" w:hAnsi="Arial"/>
          <w:sz w:val="13"/>
          <w:szCs w:val="13"/>
          <w:color w:val="auto"/>
        </w:rPr>
        <w: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Create, incur, assume or suffer to exist any Lien upon any of its property, assets or revenues, whether now owned or hereafter acquired, other than the following:</w:t>
      </w:r>
    </w:p>
    <w:p>
      <w:pPr>
        <w:spacing w:after="0" w:line="86" w:lineRule="exact"/>
        <w:rPr>
          <w:sz w:val="20"/>
          <w:szCs w:val="20"/>
          <w:color w:val="auto"/>
        </w:rPr>
      </w:pPr>
    </w:p>
    <w:p>
      <w:pPr>
        <w:ind w:left="560" w:hanging="168"/>
        <w:spacing w:after="0"/>
        <w:tabs>
          <w:tab w:leader="none" w:pos="560" w:val="left"/>
        </w:tabs>
        <w:numPr>
          <w:ilvl w:val="0"/>
          <w:numId w:val="131"/>
        </w:numPr>
        <w:rPr>
          <w:rFonts w:ascii="Arial" w:cs="Arial" w:eastAsia="Arial" w:hAnsi="Arial"/>
          <w:sz w:val="13"/>
          <w:szCs w:val="13"/>
          <w:color w:val="auto"/>
        </w:rPr>
      </w:pPr>
      <w:r>
        <w:rPr>
          <w:rFonts w:ascii="Arial" w:cs="Arial" w:eastAsia="Arial" w:hAnsi="Arial"/>
          <w:sz w:val="13"/>
          <w:szCs w:val="13"/>
          <w:color w:val="auto"/>
        </w:rPr>
        <w:t>Liens pursuant to any Loan Document;</w:t>
      </w:r>
    </w:p>
    <w:p>
      <w:pPr>
        <w:spacing w:after="0" w:line="86" w:lineRule="exact"/>
        <w:rPr>
          <w:rFonts w:ascii="Arial" w:cs="Arial" w:eastAsia="Arial" w:hAnsi="Arial"/>
          <w:sz w:val="13"/>
          <w:szCs w:val="13"/>
          <w:color w:val="auto"/>
        </w:rPr>
      </w:pPr>
    </w:p>
    <w:p>
      <w:pPr>
        <w:ind w:left="220" w:right="540" w:firstLine="172"/>
        <w:spacing w:after="0" w:line="276" w:lineRule="auto"/>
        <w:tabs>
          <w:tab w:leader="none" w:pos="569" w:val="left"/>
        </w:tabs>
        <w:numPr>
          <w:ilvl w:val="0"/>
          <w:numId w:val="131"/>
        </w:numPr>
        <w:rPr>
          <w:rFonts w:ascii="Arial" w:cs="Arial" w:eastAsia="Arial" w:hAnsi="Arial"/>
          <w:sz w:val="13"/>
          <w:szCs w:val="13"/>
          <w:color w:val="auto"/>
        </w:rPr>
      </w:pPr>
      <w:r>
        <w:rPr>
          <w:rFonts w:ascii="Arial" w:cs="Arial" w:eastAsia="Arial" w:hAnsi="Arial"/>
          <w:sz w:val="13"/>
          <w:szCs w:val="13"/>
          <w:color w:val="auto"/>
        </w:rPr>
        <w:t xml:space="preserve">Liens existing on the date hereof and listed on </w:t>
      </w:r>
      <w:r>
        <w:rPr>
          <w:rFonts w:ascii="Arial" w:cs="Arial" w:eastAsia="Arial" w:hAnsi="Arial"/>
          <w:sz w:val="13"/>
          <w:szCs w:val="13"/>
          <w:u w:val="single" w:color="auto"/>
          <w:color w:val="auto"/>
        </w:rPr>
        <w:t>Schedule 8.01</w:t>
      </w:r>
      <w:r>
        <w:rPr>
          <w:rFonts w:ascii="Arial" w:cs="Arial" w:eastAsia="Arial" w:hAnsi="Arial"/>
          <w:sz w:val="13"/>
          <w:szCs w:val="13"/>
          <w:color w:val="auto"/>
        </w:rPr>
        <w:t xml:space="preserve"> and any renewals or extensions thereof,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property covered thereby is not increased and any renewal or extension of the obligations secured or benefited thereby is permitted by </w:t>
      </w:r>
      <w:r>
        <w:rPr>
          <w:rFonts w:ascii="Arial" w:cs="Arial" w:eastAsia="Arial" w:hAnsi="Arial"/>
          <w:sz w:val="13"/>
          <w:szCs w:val="13"/>
          <w:u w:val="single" w:color="auto"/>
          <w:color w:val="auto"/>
        </w:rPr>
        <w:t>Section 8.03(b)</w:t>
      </w:r>
      <w:r>
        <w:rPr>
          <w:rFonts w:ascii="Arial" w:cs="Arial" w:eastAsia="Arial" w:hAnsi="Arial"/>
          <w:sz w:val="13"/>
          <w:szCs w:val="13"/>
          <w:color w:val="auto"/>
        </w:rPr>
        <w:t>;</w:t>
      </w:r>
    </w:p>
    <w:p>
      <w:pPr>
        <w:spacing w:after="0" w:line="49" w:lineRule="exact"/>
        <w:rPr>
          <w:rFonts w:ascii="Arial" w:cs="Arial" w:eastAsia="Arial" w:hAnsi="Arial"/>
          <w:sz w:val="13"/>
          <w:szCs w:val="13"/>
          <w:color w:val="auto"/>
        </w:rPr>
      </w:pPr>
    </w:p>
    <w:p>
      <w:pPr>
        <w:ind w:left="220" w:right="320" w:firstLine="172"/>
        <w:spacing w:after="0" w:line="276" w:lineRule="auto"/>
        <w:tabs>
          <w:tab w:leader="none" w:pos="562" w:val="left"/>
        </w:tabs>
        <w:numPr>
          <w:ilvl w:val="0"/>
          <w:numId w:val="131"/>
        </w:numPr>
        <w:rPr>
          <w:rFonts w:ascii="Arial" w:cs="Arial" w:eastAsia="Arial" w:hAnsi="Arial"/>
          <w:sz w:val="13"/>
          <w:szCs w:val="13"/>
          <w:color w:val="auto"/>
        </w:rPr>
      </w:pPr>
      <w:r>
        <w:rPr>
          <w:rFonts w:ascii="Arial" w:cs="Arial" w:eastAsia="Arial" w:hAnsi="Arial"/>
          <w:sz w:val="13"/>
          <w:szCs w:val="13"/>
          <w:color w:val="auto"/>
        </w:rPr>
        <w:t>Liens (other than Liens imposed under ERISA) for taxes, assessments or governmental charges or levies not yet due or which are being contested in good faith and by appropriate proceedings diligently conducted, if adequate reserves with respect thereto are maintained on the books of the applicable Person in accordance with GAAP;</w:t>
      </w:r>
    </w:p>
    <w:p>
      <w:pPr>
        <w:spacing w:after="0" w:line="49" w:lineRule="exact"/>
        <w:rPr>
          <w:rFonts w:ascii="Arial" w:cs="Arial" w:eastAsia="Arial" w:hAnsi="Arial"/>
          <w:sz w:val="13"/>
          <w:szCs w:val="13"/>
          <w:color w:val="auto"/>
        </w:rPr>
      </w:pPr>
    </w:p>
    <w:p>
      <w:pPr>
        <w:ind w:left="220" w:right="80" w:firstLine="172"/>
        <w:spacing w:after="0" w:line="264" w:lineRule="auto"/>
        <w:tabs>
          <w:tab w:leader="none" w:pos="569" w:val="left"/>
        </w:tabs>
        <w:numPr>
          <w:ilvl w:val="0"/>
          <w:numId w:val="131"/>
        </w:numPr>
        <w:rPr>
          <w:rFonts w:ascii="Arial" w:cs="Arial" w:eastAsia="Arial" w:hAnsi="Arial"/>
          <w:sz w:val="13"/>
          <w:szCs w:val="13"/>
          <w:color w:val="auto"/>
        </w:rPr>
      </w:pPr>
      <w:r>
        <w:rPr>
          <w:rFonts w:ascii="Arial" w:cs="Arial" w:eastAsia="Arial" w:hAnsi="Arial"/>
          <w:sz w:val="13"/>
          <w:szCs w:val="13"/>
          <w:color w:val="auto"/>
        </w:rPr>
        <w:t xml:space="preserve">statutory Liens of landlords and Liens of carriers, warehousemen, mechanics, materialmen and suppliers and other Liens imposed by law or pursuant to customary reservations or retentions of title arising in the ordinary course of business,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such Liens secure only amounts not yet due and payable or, if due and payable, are unfiled and no other action has been taken to enforce the same or are being contested in good faith by appropriate proceedings for which adequate reserves determined in accordance with GAAP have been established;</w:t>
      </w:r>
    </w:p>
    <w:p>
      <w:pPr>
        <w:spacing w:after="0" w:line="57" w:lineRule="exact"/>
        <w:rPr>
          <w:rFonts w:ascii="Arial" w:cs="Arial" w:eastAsia="Arial" w:hAnsi="Arial"/>
          <w:sz w:val="13"/>
          <w:szCs w:val="13"/>
          <w:color w:val="auto"/>
        </w:rPr>
      </w:pPr>
    </w:p>
    <w:p>
      <w:pPr>
        <w:ind w:left="560" w:hanging="168"/>
        <w:spacing w:after="0"/>
        <w:tabs>
          <w:tab w:leader="none" w:pos="560" w:val="left"/>
        </w:tabs>
        <w:numPr>
          <w:ilvl w:val="0"/>
          <w:numId w:val="131"/>
        </w:numPr>
        <w:rPr>
          <w:rFonts w:ascii="Arial" w:cs="Arial" w:eastAsia="Arial" w:hAnsi="Arial"/>
          <w:sz w:val="12"/>
          <w:szCs w:val="12"/>
          <w:color w:val="auto"/>
        </w:rPr>
      </w:pPr>
      <w:r>
        <w:rPr>
          <w:rFonts w:ascii="Arial" w:cs="Arial" w:eastAsia="Arial" w:hAnsi="Arial"/>
          <w:sz w:val="12"/>
          <w:szCs w:val="12"/>
          <w:color w:val="auto"/>
        </w:rPr>
        <w:t>pledges or deposits in the ordinary course of business in connection with workers’ compensation, unemployment insurance and other social security legislation, other than any Lien imposed by ERISA;</w:t>
      </w:r>
    </w:p>
    <w:p>
      <w:pPr>
        <w:spacing w:after="0" w:line="97" w:lineRule="exact"/>
        <w:rPr>
          <w:rFonts w:ascii="Arial" w:cs="Arial" w:eastAsia="Arial" w:hAnsi="Arial"/>
          <w:sz w:val="12"/>
          <w:szCs w:val="12"/>
          <w:color w:val="auto"/>
        </w:rPr>
      </w:pPr>
    </w:p>
    <w:p>
      <w:pPr>
        <w:ind w:left="220" w:firstLine="172"/>
        <w:spacing w:after="0" w:line="276" w:lineRule="auto"/>
        <w:tabs>
          <w:tab w:leader="none" w:pos="547" w:val="left"/>
        </w:tabs>
        <w:numPr>
          <w:ilvl w:val="0"/>
          <w:numId w:val="131"/>
        </w:numPr>
        <w:rPr>
          <w:rFonts w:ascii="Arial" w:cs="Arial" w:eastAsia="Arial" w:hAnsi="Arial"/>
          <w:sz w:val="13"/>
          <w:szCs w:val="13"/>
          <w:color w:val="auto"/>
        </w:rPr>
      </w:pPr>
      <w:r>
        <w:rPr>
          <w:rFonts w:ascii="Arial" w:cs="Arial" w:eastAsia="Arial" w:hAnsi="Arial"/>
          <w:sz w:val="13"/>
          <w:szCs w:val="13"/>
          <w:color w:val="auto"/>
        </w:rPr>
        <w:t>deposits to secure the performance of bids, trade contracts and leases (other than Indebtedness), statutory obligations, surety bonds (other than bonds related to judgments or litigation), performance bonds and other obligations of a like nature incurred in the ordinary course of business;</w:t>
      </w:r>
    </w:p>
    <w:p>
      <w:pPr>
        <w:spacing w:after="0" w:line="49" w:lineRule="exact"/>
        <w:rPr>
          <w:rFonts w:ascii="Arial" w:cs="Arial" w:eastAsia="Arial" w:hAnsi="Arial"/>
          <w:sz w:val="13"/>
          <w:szCs w:val="13"/>
          <w:color w:val="auto"/>
        </w:rPr>
      </w:pPr>
    </w:p>
    <w:p>
      <w:pPr>
        <w:ind w:left="580" w:hanging="188"/>
        <w:spacing w:after="0"/>
        <w:tabs>
          <w:tab w:leader="none" w:pos="580" w:val="left"/>
        </w:tabs>
        <w:numPr>
          <w:ilvl w:val="0"/>
          <w:numId w:val="131"/>
        </w:numPr>
        <w:rPr>
          <w:rFonts w:ascii="Arial" w:cs="Arial" w:eastAsia="Arial" w:hAnsi="Arial"/>
          <w:sz w:val="13"/>
          <w:szCs w:val="13"/>
          <w:color w:val="auto"/>
        </w:rPr>
      </w:pPr>
      <w:r>
        <w:rPr>
          <w:rFonts w:ascii="Arial" w:cs="Arial" w:eastAsia="Arial" w:hAnsi="Arial"/>
          <w:sz w:val="13"/>
          <w:szCs w:val="13"/>
          <w:color w:val="auto"/>
        </w:rPr>
        <w:t>easements, rights-of-way, restrictions and other similar encumbrances affecting real property which, in the aggregate, are not substantial in amount, and which do not in any case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153" w:name="page154"/>
    <w:bookmarkEnd w:id="153"/>
    <w:p>
      <w:pPr>
        <w:spacing w:after="0"/>
        <w:rPr>
          <w:sz w:val="20"/>
          <w:szCs w:val="20"/>
          <w:color w:val="auto"/>
        </w:rPr>
      </w:pPr>
      <w:r>
        <w:rPr>
          <w:rFonts w:ascii="Arial" w:cs="Arial" w:eastAsia="Arial" w:hAnsi="Arial"/>
          <w:sz w:val="13"/>
          <w:szCs w:val="13"/>
          <w:color w:val="auto"/>
        </w:rPr>
        <w:t>materially detract from the value of the property subject thereto or materially interfere with the ordinary conduct of the business of the applicable Person;</w:t>
      </w:r>
    </w:p>
    <w:p>
      <w:pPr>
        <w:spacing w:after="0" w:line="86" w:lineRule="exact"/>
        <w:rPr>
          <w:sz w:val="20"/>
          <w:szCs w:val="20"/>
          <w:color w:val="auto"/>
        </w:rPr>
      </w:pPr>
    </w:p>
    <w:p>
      <w:pPr>
        <w:ind w:firstLine="172"/>
        <w:spacing w:after="0" w:line="264" w:lineRule="auto"/>
        <w:tabs>
          <w:tab w:leader="none" w:pos="349" w:val="left"/>
        </w:tabs>
        <w:numPr>
          <w:ilvl w:val="0"/>
          <w:numId w:val="132"/>
        </w:numPr>
        <w:rPr>
          <w:rFonts w:ascii="Arial" w:cs="Arial" w:eastAsia="Arial" w:hAnsi="Arial"/>
          <w:sz w:val="13"/>
          <w:szCs w:val="13"/>
          <w:color w:val="auto"/>
        </w:rPr>
      </w:pPr>
      <w:r>
        <w:rPr>
          <w:rFonts w:ascii="Arial" w:cs="Arial" w:eastAsia="Arial" w:hAnsi="Arial"/>
          <w:sz w:val="13"/>
          <w:szCs w:val="13"/>
          <w:color w:val="auto"/>
        </w:rPr>
        <w:t>Liens securing judgments for the payment of money (or appeal or other surety bonds relating to such judgments) not in excess of the Threshold Amount (except to the extent covered by independent third-party insurance as to which the insurer has acknowledged in writing its obligation to cover), unless any such judgment remains undischarged for a period of more than thirty consecutive days during which execution is not effectively stayed;</w:t>
      </w:r>
    </w:p>
    <w:p>
      <w:pPr>
        <w:spacing w:after="0" w:line="57" w:lineRule="exact"/>
        <w:rPr>
          <w:rFonts w:ascii="Arial" w:cs="Arial" w:eastAsia="Arial" w:hAnsi="Arial"/>
          <w:sz w:val="13"/>
          <w:szCs w:val="13"/>
          <w:color w:val="auto"/>
        </w:rPr>
      </w:pPr>
    </w:p>
    <w:p>
      <w:pPr>
        <w:ind w:firstLine="172"/>
        <w:spacing w:after="0" w:line="264" w:lineRule="auto"/>
        <w:tabs>
          <w:tab w:leader="none" w:pos="320" w:val="left"/>
        </w:tabs>
        <w:numPr>
          <w:ilvl w:val="0"/>
          <w:numId w:val="132"/>
        </w:numPr>
        <w:rPr>
          <w:rFonts w:ascii="Arial" w:cs="Arial" w:eastAsia="Arial" w:hAnsi="Arial"/>
          <w:sz w:val="13"/>
          <w:szCs w:val="13"/>
          <w:color w:val="auto"/>
        </w:rPr>
      </w:pPr>
      <w:r>
        <w:rPr>
          <w:rFonts w:ascii="Arial" w:cs="Arial" w:eastAsia="Arial" w:hAnsi="Arial"/>
          <w:sz w:val="13"/>
          <w:szCs w:val="13"/>
          <w:color w:val="auto"/>
        </w:rPr>
        <w:t xml:space="preserve">Liens securing Indebtedness permitted under </w:t>
      </w:r>
      <w:r>
        <w:rPr>
          <w:rFonts w:ascii="Arial" w:cs="Arial" w:eastAsia="Arial" w:hAnsi="Arial"/>
          <w:sz w:val="13"/>
          <w:szCs w:val="13"/>
          <w:u w:val="single" w:color="auto"/>
          <w:color w:val="auto"/>
        </w:rPr>
        <w:t>Section 8.03(e)</w:t>
      </w:r>
      <w:r>
        <w:rPr>
          <w:rFonts w:ascii="Arial" w:cs="Arial" w:eastAsia="Arial" w:hAnsi="Arial"/>
          <w:sz w:val="13"/>
          <w:szCs w:val="13"/>
          <w:color w:val="auto"/>
        </w:rPr>
        <w:t xml:space="preserv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 such Liens do not at any time encumber any Property other than the Property financed by such Indebtedness, (ii) the Indebtedness secured thereby does not exceed the cost or fair market value, whichever is lower, of the Property being acquired on the date of acquisition and (iii) such Liens attach to such Property concurrently with or within ninety days after the acquisition thereof;</w:t>
      </w:r>
    </w:p>
    <w:p>
      <w:pPr>
        <w:spacing w:after="0" w:line="57" w:lineRule="exact"/>
        <w:rPr>
          <w:rFonts w:ascii="Arial" w:cs="Arial" w:eastAsia="Arial" w:hAnsi="Arial"/>
          <w:sz w:val="13"/>
          <w:szCs w:val="13"/>
          <w:color w:val="auto"/>
        </w:rPr>
      </w:pPr>
    </w:p>
    <w:p>
      <w:pPr>
        <w:ind w:left="320" w:hanging="148"/>
        <w:spacing w:after="0"/>
        <w:tabs>
          <w:tab w:leader="none" w:pos="320" w:val="left"/>
        </w:tabs>
        <w:numPr>
          <w:ilvl w:val="0"/>
          <w:numId w:val="132"/>
        </w:numPr>
        <w:rPr>
          <w:rFonts w:ascii="Arial" w:cs="Arial" w:eastAsia="Arial" w:hAnsi="Arial"/>
          <w:sz w:val="13"/>
          <w:szCs w:val="13"/>
          <w:color w:val="auto"/>
        </w:rPr>
      </w:pPr>
      <w:r>
        <w:rPr>
          <w:rFonts w:ascii="Arial" w:cs="Arial" w:eastAsia="Arial" w:hAnsi="Arial"/>
          <w:sz w:val="13"/>
          <w:szCs w:val="13"/>
          <w:color w:val="auto"/>
        </w:rPr>
        <w:t>licenses or sublicenses and leases or subleases granted to others not interfering in any material respect with the business of the Company or any of its Subsidiaries;</w:t>
      </w:r>
    </w:p>
    <w:p>
      <w:pPr>
        <w:spacing w:after="0" w:line="86" w:lineRule="exact"/>
        <w:rPr>
          <w:rFonts w:ascii="Arial" w:cs="Arial" w:eastAsia="Arial" w:hAnsi="Arial"/>
          <w:sz w:val="13"/>
          <w:szCs w:val="13"/>
          <w:color w:val="auto"/>
        </w:rPr>
      </w:pPr>
    </w:p>
    <w:p>
      <w:pPr>
        <w:ind w:right="580" w:firstLine="172"/>
        <w:spacing w:after="0" w:line="276" w:lineRule="auto"/>
        <w:tabs>
          <w:tab w:leader="none" w:pos="349" w:val="left"/>
        </w:tabs>
        <w:numPr>
          <w:ilvl w:val="0"/>
          <w:numId w:val="132"/>
        </w:numPr>
        <w:rPr>
          <w:rFonts w:ascii="Arial" w:cs="Arial" w:eastAsia="Arial" w:hAnsi="Arial"/>
          <w:sz w:val="13"/>
          <w:szCs w:val="13"/>
          <w:color w:val="auto"/>
        </w:rPr>
      </w:pPr>
      <w:r>
        <w:rPr>
          <w:rFonts w:ascii="Arial" w:cs="Arial" w:eastAsia="Arial" w:hAnsi="Arial"/>
          <w:sz w:val="13"/>
          <w:szCs w:val="13"/>
          <w:color w:val="auto"/>
        </w:rPr>
        <w:t>any interest of title of a lessor under, and Liens arising from UCC financing statements (or equivalent filings, registrations or agreements in foreign jurisdictions) relating to, leases permitted by this Agreement;</w:t>
      </w:r>
    </w:p>
    <w:p>
      <w:pPr>
        <w:spacing w:after="0" w:line="49" w:lineRule="exact"/>
        <w:rPr>
          <w:rFonts w:ascii="Arial" w:cs="Arial" w:eastAsia="Arial" w:hAnsi="Arial"/>
          <w:sz w:val="13"/>
          <w:szCs w:val="13"/>
          <w:color w:val="auto"/>
        </w:rPr>
      </w:pPr>
    </w:p>
    <w:p>
      <w:pPr>
        <w:ind w:left="320" w:hanging="148"/>
        <w:spacing w:after="0"/>
        <w:tabs>
          <w:tab w:leader="none" w:pos="320" w:val="left"/>
        </w:tabs>
        <w:numPr>
          <w:ilvl w:val="0"/>
          <w:numId w:val="132"/>
        </w:numPr>
        <w:rPr>
          <w:rFonts w:ascii="Arial" w:cs="Arial" w:eastAsia="Arial" w:hAnsi="Arial"/>
          <w:sz w:val="13"/>
          <w:szCs w:val="13"/>
          <w:color w:val="auto"/>
        </w:rPr>
      </w:pPr>
      <w:r>
        <w:rPr>
          <w:rFonts w:ascii="Arial" w:cs="Arial" w:eastAsia="Arial" w:hAnsi="Arial"/>
          <w:sz w:val="13"/>
          <w:szCs w:val="13"/>
          <w:color w:val="auto"/>
        </w:rPr>
        <w:t xml:space="preserve">Liens deemed to exist in connection with Investments in repurchase agreements permitted under </w:t>
      </w:r>
      <w:r>
        <w:rPr>
          <w:rFonts w:ascii="Arial" w:cs="Arial" w:eastAsia="Arial" w:hAnsi="Arial"/>
          <w:sz w:val="13"/>
          <w:szCs w:val="13"/>
          <w:u w:val="single" w:color="auto"/>
          <w:color w:val="auto"/>
        </w:rPr>
        <w:t>Section 8.02</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400" w:hanging="228"/>
        <w:spacing w:after="0"/>
        <w:tabs>
          <w:tab w:leader="none" w:pos="400" w:val="left"/>
        </w:tabs>
        <w:numPr>
          <w:ilvl w:val="0"/>
          <w:numId w:val="132"/>
        </w:numPr>
        <w:rPr>
          <w:rFonts w:ascii="Arial" w:cs="Arial" w:eastAsia="Arial" w:hAnsi="Arial"/>
          <w:sz w:val="13"/>
          <w:szCs w:val="13"/>
          <w:color w:val="auto"/>
        </w:rPr>
      </w:pPr>
      <w:r>
        <w:rPr>
          <w:rFonts w:ascii="Arial" w:cs="Arial" w:eastAsia="Arial" w:hAnsi="Arial"/>
          <w:sz w:val="13"/>
          <w:szCs w:val="13"/>
          <w:color w:val="auto"/>
        </w:rPr>
        <w:t>normal and customary rights of setoff upon deposits of cash in favor of banks or other depository institutions;</w:t>
      </w:r>
    </w:p>
    <w:p>
      <w:pPr>
        <w:spacing w:after="0" w:line="86" w:lineRule="exact"/>
        <w:rPr>
          <w:rFonts w:ascii="Arial" w:cs="Arial" w:eastAsia="Arial" w:hAnsi="Arial"/>
          <w:sz w:val="13"/>
          <w:szCs w:val="13"/>
          <w:color w:val="auto"/>
        </w:rPr>
      </w:pPr>
    </w:p>
    <w:p>
      <w:pPr>
        <w:ind w:left="360" w:hanging="188"/>
        <w:spacing w:after="0"/>
        <w:tabs>
          <w:tab w:leader="none" w:pos="360" w:val="left"/>
        </w:tabs>
        <w:numPr>
          <w:ilvl w:val="0"/>
          <w:numId w:val="132"/>
        </w:numPr>
        <w:rPr>
          <w:rFonts w:ascii="Arial" w:cs="Arial" w:eastAsia="Arial" w:hAnsi="Arial"/>
          <w:sz w:val="13"/>
          <w:szCs w:val="13"/>
          <w:color w:val="auto"/>
        </w:rPr>
      </w:pPr>
      <w:r>
        <w:rPr>
          <w:rFonts w:ascii="Arial" w:cs="Arial" w:eastAsia="Arial" w:hAnsi="Arial"/>
          <w:sz w:val="13"/>
          <w:szCs w:val="13"/>
          <w:color w:val="auto"/>
        </w:rPr>
        <w:t>Liens of a collection bank arising under Section 4-210 of the Uniform Commercial Code on items in the course of collection;</w:t>
      </w:r>
    </w:p>
    <w:p>
      <w:pPr>
        <w:spacing w:after="0" w:line="86" w:lineRule="exact"/>
        <w:rPr>
          <w:rFonts w:ascii="Arial" w:cs="Arial" w:eastAsia="Arial" w:hAnsi="Arial"/>
          <w:sz w:val="13"/>
          <w:szCs w:val="13"/>
          <w:color w:val="auto"/>
        </w:rPr>
      </w:pPr>
    </w:p>
    <w:p>
      <w:pPr>
        <w:ind w:right="420" w:firstLine="172"/>
        <w:spacing w:after="0" w:line="276" w:lineRule="auto"/>
        <w:tabs>
          <w:tab w:leader="none" w:pos="349" w:val="left"/>
        </w:tabs>
        <w:numPr>
          <w:ilvl w:val="0"/>
          <w:numId w:val="132"/>
        </w:numPr>
        <w:rPr>
          <w:rFonts w:ascii="Arial" w:cs="Arial" w:eastAsia="Arial" w:hAnsi="Arial"/>
          <w:sz w:val="13"/>
          <w:szCs w:val="13"/>
          <w:color w:val="auto"/>
        </w:rPr>
      </w:pPr>
      <w:r>
        <w:rPr>
          <w:rFonts w:ascii="Arial" w:cs="Arial" w:eastAsia="Arial" w:hAnsi="Arial"/>
          <w:sz w:val="13"/>
          <w:szCs w:val="13"/>
          <w:color w:val="auto"/>
        </w:rPr>
        <w:t>Liens of sellers of goods to the Company and any of its Subsidiaries arising under Article 2 of the Uniform Commercial Code or similar provisions of applicable law in the ordinary course of business, covering only the goods sold and securing only the unpaid purchase price for such goods and related expenses;</w:t>
      </w:r>
    </w:p>
    <w:p>
      <w:pPr>
        <w:spacing w:after="0" w:line="49" w:lineRule="exact"/>
        <w:rPr>
          <w:rFonts w:ascii="Arial" w:cs="Arial" w:eastAsia="Arial" w:hAnsi="Arial"/>
          <w:sz w:val="13"/>
          <w:szCs w:val="13"/>
          <w:color w:val="auto"/>
        </w:rPr>
      </w:pPr>
    </w:p>
    <w:p>
      <w:pPr>
        <w:jc w:val="both"/>
        <w:ind w:right="20" w:firstLine="172"/>
        <w:spacing w:after="0" w:line="334" w:lineRule="auto"/>
        <w:tabs>
          <w:tab w:leader="none" w:pos="349" w:val="left"/>
        </w:tabs>
        <w:numPr>
          <w:ilvl w:val="0"/>
          <w:numId w:val="132"/>
        </w:numPr>
        <w:rPr>
          <w:rFonts w:ascii="Arial" w:cs="Arial" w:eastAsia="Arial" w:hAnsi="Arial"/>
          <w:sz w:val="11"/>
          <w:szCs w:val="11"/>
          <w:color w:val="auto"/>
        </w:rPr>
      </w:pPr>
      <w:r>
        <w:rPr>
          <w:rFonts w:ascii="Arial" w:cs="Arial" w:eastAsia="Arial" w:hAnsi="Arial"/>
          <w:sz w:val="11"/>
          <w:szCs w:val="11"/>
          <w:color w:val="auto"/>
        </w:rPr>
        <w:t xml:space="preserve">Liens on the Property of a Person which becomes a Subsidiary in connection with a Permitted Acquisition occurring after the Closing Date that secures Indebtedness permitted under </w:t>
      </w:r>
      <w:r>
        <w:rPr>
          <w:rFonts w:ascii="Arial" w:cs="Arial" w:eastAsia="Arial" w:hAnsi="Arial"/>
          <w:sz w:val="11"/>
          <w:szCs w:val="11"/>
          <w:u w:val="single" w:color="auto"/>
          <w:color w:val="auto"/>
        </w:rPr>
        <w:t>Section 8.03(j)</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 such Liens existed at the time such Person become a Subsidiary and were not created in anticipation of such Permitted Acquisition, and (b) no such Lien is spread to cover any additional Property (other than proceeds of the collateral originally subject to such Lien in accordance with the instrument creating such Lien) after the Closing Date and that the amount of Indebtedness secured thereby is not increased;</w:t>
      </w:r>
    </w:p>
    <w:p>
      <w:pPr>
        <w:spacing w:after="0" w:line="22" w:lineRule="exact"/>
        <w:rPr>
          <w:rFonts w:ascii="Arial" w:cs="Arial" w:eastAsia="Arial" w:hAnsi="Arial"/>
          <w:sz w:val="11"/>
          <w:szCs w:val="11"/>
          <w:color w:val="auto"/>
        </w:rPr>
      </w:pPr>
    </w:p>
    <w:p>
      <w:pPr>
        <w:ind w:left="360" w:hanging="188"/>
        <w:spacing w:after="0"/>
        <w:tabs>
          <w:tab w:leader="none" w:pos="360" w:val="left"/>
        </w:tabs>
        <w:numPr>
          <w:ilvl w:val="0"/>
          <w:numId w:val="132"/>
        </w:numPr>
        <w:rPr>
          <w:rFonts w:ascii="Arial" w:cs="Arial" w:eastAsia="Arial" w:hAnsi="Arial"/>
          <w:sz w:val="13"/>
          <w:szCs w:val="13"/>
          <w:color w:val="auto"/>
        </w:rPr>
      </w:pPr>
      <w:r>
        <w:rPr>
          <w:rFonts w:ascii="Arial" w:cs="Arial" w:eastAsia="Arial" w:hAnsi="Arial"/>
          <w:sz w:val="13"/>
          <w:szCs w:val="13"/>
          <w:color w:val="auto"/>
        </w:rPr>
        <w:t xml:space="preserve">Liens granted by Guarantors to Brady Investment Co. that secure intercompany Indebtedness permitted by </w:t>
      </w:r>
      <w:r>
        <w:rPr>
          <w:rFonts w:ascii="Arial" w:cs="Arial" w:eastAsia="Arial" w:hAnsi="Arial"/>
          <w:sz w:val="13"/>
          <w:szCs w:val="13"/>
          <w:u w:val="single" w:color="auto"/>
          <w:color w:val="auto"/>
        </w:rPr>
        <w:t>Section 8.03(c)</w:t>
      </w:r>
      <w:r>
        <w:rPr>
          <w:rFonts w:ascii="Arial" w:cs="Arial" w:eastAsia="Arial" w:hAnsi="Arial"/>
          <w:sz w:val="13"/>
          <w:szCs w:val="13"/>
          <w:color w:val="auto"/>
        </w:rPr>
        <w:t>; and</w:t>
      </w:r>
    </w:p>
    <w:p>
      <w:pPr>
        <w:spacing w:after="0" w:line="86" w:lineRule="exact"/>
        <w:rPr>
          <w:rFonts w:ascii="Arial" w:cs="Arial" w:eastAsia="Arial" w:hAnsi="Arial"/>
          <w:sz w:val="13"/>
          <w:szCs w:val="13"/>
          <w:color w:val="auto"/>
        </w:rPr>
      </w:pPr>
    </w:p>
    <w:p>
      <w:pPr>
        <w:ind w:left="340" w:hanging="168"/>
        <w:spacing w:after="0"/>
        <w:tabs>
          <w:tab w:leader="none" w:pos="340" w:val="left"/>
        </w:tabs>
        <w:numPr>
          <w:ilvl w:val="0"/>
          <w:numId w:val="132"/>
        </w:numPr>
        <w:rPr>
          <w:rFonts w:ascii="Arial" w:cs="Arial" w:eastAsia="Arial" w:hAnsi="Arial"/>
          <w:sz w:val="13"/>
          <w:szCs w:val="13"/>
          <w:color w:val="auto"/>
        </w:rPr>
      </w:pPr>
      <w:r>
        <w:rPr>
          <w:rFonts w:ascii="Arial" w:cs="Arial" w:eastAsia="Arial" w:hAnsi="Arial"/>
          <w:sz w:val="13"/>
          <w:szCs w:val="13"/>
          <w:color w:val="auto"/>
        </w:rPr>
        <w:t>other Liens securing obligations in an aggregate amount not to exceed $5,000,000 at any time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294640</wp:posOffset>
            </wp:positionV>
            <wp:extent cx="7290435" cy="19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154" w:name="page155"/>
    <w:bookmarkEnd w:id="154"/>
    <w:p>
      <w:pPr>
        <w:spacing w:after="0"/>
        <w:rPr>
          <w:sz w:val="20"/>
          <w:szCs w:val="20"/>
          <w:color w:val="auto"/>
        </w:rPr>
      </w:pPr>
      <w:r>
        <w:rPr>
          <w:rFonts w:ascii="Arial" w:cs="Arial" w:eastAsia="Arial" w:hAnsi="Arial"/>
          <w:sz w:val="13"/>
          <w:szCs w:val="13"/>
          <w:color w:val="auto"/>
        </w:rPr>
        <w:t xml:space="preserve">8.02 </w:t>
      </w:r>
      <w:r>
        <w:rPr>
          <w:rFonts w:ascii="Arial" w:cs="Arial" w:eastAsia="Arial" w:hAnsi="Arial"/>
          <w:sz w:val="13"/>
          <w:szCs w:val="13"/>
          <w:u w:val="single" w:color="auto"/>
          <w:color w:val="auto"/>
        </w:rPr>
        <w:t>Investments</w:t>
      </w:r>
      <w:r>
        <w:rPr>
          <w:rFonts w:ascii="Arial" w:cs="Arial" w:eastAsia="Arial" w:hAnsi="Arial"/>
          <w:sz w:val="13"/>
          <w:szCs w:val="13"/>
          <w:color w:val="auto"/>
        </w:rPr>
        <w: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Make any Investments, except:</w:t>
      </w:r>
    </w:p>
    <w:p>
      <w:pPr>
        <w:spacing w:after="0" w:line="86" w:lineRule="exact"/>
        <w:rPr>
          <w:sz w:val="20"/>
          <w:szCs w:val="20"/>
          <w:color w:val="auto"/>
        </w:rPr>
      </w:pPr>
    </w:p>
    <w:p>
      <w:pPr>
        <w:ind w:left="560" w:hanging="168"/>
        <w:spacing w:after="0"/>
        <w:tabs>
          <w:tab w:leader="none" w:pos="560" w:val="left"/>
        </w:tabs>
        <w:numPr>
          <w:ilvl w:val="0"/>
          <w:numId w:val="133"/>
        </w:numPr>
        <w:rPr>
          <w:rFonts w:ascii="Arial" w:cs="Arial" w:eastAsia="Arial" w:hAnsi="Arial"/>
          <w:sz w:val="13"/>
          <w:szCs w:val="13"/>
          <w:color w:val="auto"/>
        </w:rPr>
      </w:pPr>
      <w:r>
        <w:rPr>
          <w:rFonts w:ascii="Arial" w:cs="Arial" w:eastAsia="Arial" w:hAnsi="Arial"/>
          <w:sz w:val="13"/>
          <w:szCs w:val="13"/>
          <w:color w:val="auto"/>
        </w:rPr>
        <w:t>Investments held by the Company or such Subsidiary in the form of cash or Cash Equivalents;</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133"/>
        </w:numPr>
        <w:rPr>
          <w:rFonts w:ascii="Arial" w:cs="Arial" w:eastAsia="Arial" w:hAnsi="Arial"/>
          <w:sz w:val="13"/>
          <w:szCs w:val="13"/>
          <w:color w:val="auto"/>
        </w:rPr>
      </w:pPr>
      <w:r>
        <w:rPr>
          <w:rFonts w:ascii="Arial" w:cs="Arial" w:eastAsia="Arial" w:hAnsi="Arial"/>
          <w:sz w:val="13"/>
          <w:szCs w:val="13"/>
          <w:color w:val="auto"/>
        </w:rPr>
        <w:t xml:space="preserve">Investments existing as of the Closing Date and set forth in </w:t>
      </w:r>
      <w:r>
        <w:rPr>
          <w:rFonts w:ascii="Arial" w:cs="Arial" w:eastAsia="Arial" w:hAnsi="Arial"/>
          <w:sz w:val="13"/>
          <w:szCs w:val="13"/>
          <w:u w:val="single" w:color="auto"/>
          <w:color w:val="auto"/>
        </w:rPr>
        <w:t>Schedule 8.02</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560" w:hanging="168"/>
        <w:spacing w:after="0"/>
        <w:tabs>
          <w:tab w:leader="none" w:pos="560" w:val="left"/>
        </w:tabs>
        <w:numPr>
          <w:ilvl w:val="0"/>
          <w:numId w:val="133"/>
        </w:numPr>
        <w:rPr>
          <w:rFonts w:ascii="Arial" w:cs="Arial" w:eastAsia="Arial" w:hAnsi="Arial"/>
          <w:sz w:val="13"/>
          <w:szCs w:val="13"/>
          <w:color w:val="auto"/>
        </w:rPr>
      </w:pPr>
      <w:r>
        <w:rPr>
          <w:rFonts w:ascii="Arial" w:cs="Arial" w:eastAsia="Arial" w:hAnsi="Arial"/>
          <w:sz w:val="13"/>
          <w:szCs w:val="13"/>
          <w:color w:val="auto"/>
        </w:rPr>
        <w:t>Investments in any Person that is a Loan Party prior to giving effect to such Investment;</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133"/>
        </w:numPr>
        <w:rPr>
          <w:rFonts w:ascii="Arial" w:cs="Arial" w:eastAsia="Arial" w:hAnsi="Arial"/>
          <w:sz w:val="13"/>
          <w:szCs w:val="13"/>
          <w:color w:val="auto"/>
        </w:rPr>
      </w:pPr>
      <w:r>
        <w:rPr>
          <w:rFonts w:ascii="Arial" w:cs="Arial" w:eastAsia="Arial" w:hAnsi="Arial"/>
          <w:sz w:val="13"/>
          <w:szCs w:val="13"/>
          <w:color w:val="auto"/>
        </w:rPr>
        <w:t>Investments by any Subsidiary of the Company that is not a Loan Party in any other Subsidiary of the Company that is not a Loan Party;</w:t>
      </w:r>
    </w:p>
    <w:p>
      <w:pPr>
        <w:spacing w:after="0" w:line="86" w:lineRule="exact"/>
        <w:rPr>
          <w:rFonts w:ascii="Arial" w:cs="Arial" w:eastAsia="Arial" w:hAnsi="Arial"/>
          <w:sz w:val="13"/>
          <w:szCs w:val="13"/>
          <w:color w:val="auto"/>
        </w:rPr>
      </w:pPr>
    </w:p>
    <w:p>
      <w:pPr>
        <w:ind w:left="220" w:firstLine="172"/>
        <w:spacing w:after="0" w:line="264" w:lineRule="auto"/>
        <w:tabs>
          <w:tab w:leader="none" w:pos="562" w:val="left"/>
        </w:tabs>
        <w:numPr>
          <w:ilvl w:val="0"/>
          <w:numId w:val="133"/>
        </w:numPr>
        <w:rPr>
          <w:rFonts w:ascii="Arial" w:cs="Arial" w:eastAsia="Arial" w:hAnsi="Arial"/>
          <w:sz w:val="13"/>
          <w:szCs w:val="13"/>
          <w:color w:val="auto"/>
        </w:rPr>
      </w:pPr>
      <w:r>
        <w:rPr>
          <w:rFonts w:ascii="Arial" w:cs="Arial" w:eastAsia="Arial" w:hAnsi="Arial"/>
          <w:sz w:val="13"/>
          <w:szCs w:val="13"/>
          <w:color w:val="auto"/>
        </w:rPr>
        <w:t>Investments consisting of extensions of credit in the nature of accounts receivable or notes receivable arising from the grant of trade credit in the ordinary course of business, and Investments (including debt obligations) received in connection with bankruptcy or reorganization of suppliers and customers and in settlement of delinquent obligations of, and other disputes with, customers and suppliers arising in the ordinary course of business;</w:t>
      </w:r>
    </w:p>
    <w:p>
      <w:pPr>
        <w:spacing w:after="0" w:line="57" w:lineRule="exact"/>
        <w:rPr>
          <w:rFonts w:ascii="Arial" w:cs="Arial" w:eastAsia="Arial" w:hAnsi="Arial"/>
          <w:sz w:val="13"/>
          <w:szCs w:val="13"/>
          <w:color w:val="auto"/>
        </w:rPr>
      </w:pPr>
    </w:p>
    <w:p>
      <w:pPr>
        <w:ind w:left="560" w:hanging="168"/>
        <w:spacing w:after="0"/>
        <w:tabs>
          <w:tab w:leader="none" w:pos="560" w:val="left"/>
        </w:tabs>
        <w:numPr>
          <w:ilvl w:val="0"/>
          <w:numId w:val="133"/>
        </w:numPr>
        <w:rPr>
          <w:rFonts w:ascii="Arial" w:cs="Arial" w:eastAsia="Arial" w:hAnsi="Arial"/>
          <w:sz w:val="13"/>
          <w:szCs w:val="13"/>
          <w:color w:val="auto"/>
        </w:rPr>
      </w:pPr>
      <w:r>
        <w:rPr>
          <w:rFonts w:ascii="Arial" w:cs="Arial" w:eastAsia="Arial" w:hAnsi="Arial"/>
          <w:sz w:val="13"/>
          <w:szCs w:val="13"/>
          <w:color w:val="auto"/>
        </w:rPr>
        <w:t>loans and advances to officers, directors and employees in an amount not to exceed $2,000,000 in the aggregate at any time outstanding;</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133"/>
        </w:numPr>
        <w:rPr>
          <w:rFonts w:ascii="Arial" w:cs="Arial" w:eastAsia="Arial" w:hAnsi="Arial"/>
          <w:sz w:val="13"/>
          <w:szCs w:val="13"/>
          <w:color w:val="auto"/>
        </w:rPr>
      </w:pPr>
      <w:r>
        <w:rPr>
          <w:rFonts w:ascii="Arial" w:cs="Arial" w:eastAsia="Arial" w:hAnsi="Arial"/>
          <w:sz w:val="13"/>
          <w:szCs w:val="13"/>
          <w:color w:val="auto"/>
        </w:rPr>
        <w:t xml:space="preserve">Guarantees permitted by </w:t>
      </w:r>
      <w:r>
        <w:rPr>
          <w:rFonts w:ascii="Arial" w:cs="Arial" w:eastAsia="Arial" w:hAnsi="Arial"/>
          <w:sz w:val="13"/>
          <w:szCs w:val="13"/>
          <w:u w:val="single" w:color="auto"/>
          <w:color w:val="auto"/>
        </w:rPr>
        <w:t>Section 8.03</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133"/>
        </w:numPr>
        <w:rPr>
          <w:rFonts w:ascii="Arial" w:cs="Arial" w:eastAsia="Arial" w:hAnsi="Arial"/>
          <w:sz w:val="13"/>
          <w:szCs w:val="13"/>
          <w:color w:val="auto"/>
        </w:rPr>
      </w:pPr>
      <w:r>
        <w:rPr>
          <w:rFonts w:ascii="Arial" w:cs="Arial" w:eastAsia="Arial" w:hAnsi="Arial"/>
          <w:sz w:val="13"/>
          <w:szCs w:val="13"/>
          <w:color w:val="auto"/>
        </w:rPr>
        <w:t>Permitted Acquisitions;</w:t>
      </w:r>
    </w:p>
    <w:p>
      <w:pPr>
        <w:spacing w:after="0" w:line="86" w:lineRule="exact"/>
        <w:rPr>
          <w:rFonts w:ascii="Arial" w:cs="Arial" w:eastAsia="Arial" w:hAnsi="Arial"/>
          <w:sz w:val="13"/>
          <w:szCs w:val="13"/>
          <w:color w:val="auto"/>
        </w:rPr>
      </w:pPr>
    </w:p>
    <w:p>
      <w:pPr>
        <w:ind w:left="220" w:right="80" w:firstLine="172"/>
        <w:spacing w:after="0" w:line="276" w:lineRule="auto"/>
        <w:tabs>
          <w:tab w:leader="none" w:pos="540" w:val="left"/>
        </w:tabs>
        <w:numPr>
          <w:ilvl w:val="0"/>
          <w:numId w:val="133"/>
        </w:numPr>
        <w:rPr>
          <w:rFonts w:ascii="Arial" w:cs="Arial" w:eastAsia="Arial" w:hAnsi="Arial"/>
          <w:sz w:val="13"/>
          <w:szCs w:val="13"/>
          <w:color w:val="auto"/>
        </w:rPr>
      </w:pPr>
      <w:r>
        <w:rPr>
          <w:rFonts w:ascii="Arial" w:cs="Arial" w:eastAsia="Arial" w:hAnsi="Arial"/>
          <w:sz w:val="13"/>
          <w:szCs w:val="13"/>
          <w:color w:val="auto"/>
        </w:rPr>
        <w:t>Investments by any Loan Party in its Wholly Owned Subsidiaries that are not Loan Parties so long as such Investments are made in the ordinary course of business and consistent with the parties’ historical practices with respect to the amounts, terms and conditions thereof, and are otherwise made in the reasonable business judgment of the Loan Parties;</w:t>
      </w:r>
    </w:p>
    <w:p>
      <w:pPr>
        <w:spacing w:after="0" w:line="49" w:lineRule="exact"/>
        <w:rPr>
          <w:rFonts w:ascii="Arial" w:cs="Arial" w:eastAsia="Arial" w:hAnsi="Arial"/>
          <w:sz w:val="13"/>
          <w:szCs w:val="13"/>
          <w:color w:val="auto"/>
        </w:rPr>
      </w:pPr>
    </w:p>
    <w:p>
      <w:pPr>
        <w:ind w:left="220" w:right="200" w:firstLine="172"/>
        <w:spacing w:after="0" w:line="276" w:lineRule="auto"/>
        <w:tabs>
          <w:tab w:leader="none" w:pos="540" w:val="left"/>
        </w:tabs>
        <w:numPr>
          <w:ilvl w:val="0"/>
          <w:numId w:val="133"/>
        </w:numPr>
        <w:rPr>
          <w:rFonts w:ascii="Arial" w:cs="Arial" w:eastAsia="Arial" w:hAnsi="Arial"/>
          <w:sz w:val="13"/>
          <w:szCs w:val="13"/>
          <w:color w:val="auto"/>
        </w:rPr>
      </w:pPr>
      <w:r>
        <w:rPr>
          <w:rFonts w:ascii="Arial" w:cs="Arial" w:eastAsia="Arial" w:hAnsi="Arial"/>
          <w:sz w:val="13"/>
          <w:szCs w:val="13"/>
          <w:color w:val="auto"/>
        </w:rPr>
        <w:t>Investments in partnerships, joint ventures and any other non-Wholly Owned Subsidiary where the aggregate amount of such Investments outstanding at any one time do not exceed 20% of Consolidated Tangible Net Worth, provided that no Loan Party may become a general partner in any partnership; and</w:t>
      </w:r>
    </w:p>
    <w:p>
      <w:pPr>
        <w:spacing w:after="0" w:line="49" w:lineRule="exact"/>
        <w:rPr>
          <w:rFonts w:ascii="Arial" w:cs="Arial" w:eastAsia="Arial" w:hAnsi="Arial"/>
          <w:sz w:val="13"/>
          <w:szCs w:val="13"/>
          <w:color w:val="auto"/>
        </w:rPr>
      </w:pPr>
    </w:p>
    <w:p>
      <w:pPr>
        <w:ind w:left="580" w:hanging="188"/>
        <w:spacing w:after="0"/>
        <w:tabs>
          <w:tab w:leader="none" w:pos="580" w:val="left"/>
        </w:tabs>
        <w:numPr>
          <w:ilvl w:val="0"/>
          <w:numId w:val="133"/>
        </w:numPr>
        <w:rPr>
          <w:rFonts w:ascii="Arial" w:cs="Arial" w:eastAsia="Arial" w:hAnsi="Arial"/>
          <w:sz w:val="13"/>
          <w:szCs w:val="13"/>
          <w:color w:val="auto"/>
        </w:rPr>
      </w:pPr>
      <w:r>
        <w:rPr>
          <w:rFonts w:ascii="Arial" w:cs="Arial" w:eastAsia="Arial" w:hAnsi="Arial"/>
          <w:sz w:val="13"/>
          <w:szCs w:val="13"/>
          <w:color w:val="auto"/>
        </w:rPr>
        <w:t>Investments of a nature not contemplated in the foregoing clauses in an amount not to exceed $10,000,000 in the aggregate at any time outstanding.</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8.03 </w:t>
      </w:r>
      <w:r>
        <w:rPr>
          <w:rFonts w:ascii="Arial" w:cs="Arial" w:eastAsia="Arial" w:hAnsi="Arial"/>
          <w:sz w:val="13"/>
          <w:szCs w:val="13"/>
          <w:u w:val="single" w:color="auto"/>
          <w:color w:val="auto"/>
        </w:rPr>
        <w:t>Indebtedness</w:t>
      </w:r>
      <w:r>
        <w:rPr>
          <w:rFonts w:ascii="Arial" w:cs="Arial" w:eastAsia="Arial" w:hAnsi="Arial"/>
          <w:sz w:val="13"/>
          <w:szCs w:val="13"/>
          <w:color w:val="auto"/>
        </w:rPr>
        <w: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Create, incur, assume or suffer to exist any Indebtedness, except:</w:t>
      </w:r>
    </w:p>
    <w:p>
      <w:pPr>
        <w:spacing w:after="0" w:line="86" w:lineRule="exact"/>
        <w:rPr>
          <w:sz w:val="20"/>
          <w:szCs w:val="20"/>
          <w:color w:val="auto"/>
        </w:rPr>
      </w:pPr>
    </w:p>
    <w:p>
      <w:pPr>
        <w:ind w:left="560" w:hanging="168"/>
        <w:spacing w:after="0"/>
        <w:tabs>
          <w:tab w:leader="none" w:pos="560" w:val="left"/>
        </w:tabs>
        <w:numPr>
          <w:ilvl w:val="0"/>
          <w:numId w:val="134"/>
        </w:numPr>
        <w:rPr>
          <w:rFonts w:ascii="Arial" w:cs="Arial" w:eastAsia="Arial" w:hAnsi="Arial"/>
          <w:sz w:val="13"/>
          <w:szCs w:val="13"/>
          <w:color w:val="auto"/>
        </w:rPr>
      </w:pPr>
      <w:r>
        <w:rPr>
          <w:rFonts w:ascii="Arial" w:cs="Arial" w:eastAsia="Arial" w:hAnsi="Arial"/>
          <w:sz w:val="13"/>
          <w:szCs w:val="13"/>
          <w:color w:val="auto"/>
        </w:rPr>
        <w:t>Indebtedness under the Loan Documents;</w:t>
      </w:r>
    </w:p>
    <w:p>
      <w:pPr>
        <w:spacing w:after="0" w:line="86" w:lineRule="exact"/>
        <w:rPr>
          <w:rFonts w:ascii="Arial" w:cs="Arial" w:eastAsia="Arial" w:hAnsi="Arial"/>
          <w:sz w:val="13"/>
          <w:szCs w:val="13"/>
          <w:color w:val="auto"/>
        </w:rPr>
      </w:pPr>
    </w:p>
    <w:p>
      <w:pPr>
        <w:ind w:left="220" w:right="400" w:firstLine="172"/>
        <w:spacing w:after="0" w:line="276" w:lineRule="auto"/>
        <w:tabs>
          <w:tab w:leader="none" w:pos="569" w:val="left"/>
        </w:tabs>
        <w:numPr>
          <w:ilvl w:val="0"/>
          <w:numId w:val="134"/>
        </w:numPr>
        <w:rPr>
          <w:rFonts w:ascii="Arial" w:cs="Arial" w:eastAsia="Arial" w:hAnsi="Arial"/>
          <w:sz w:val="13"/>
          <w:szCs w:val="13"/>
          <w:color w:val="auto"/>
        </w:rPr>
      </w:pPr>
      <w:r>
        <w:rPr>
          <w:rFonts w:ascii="Arial" w:cs="Arial" w:eastAsia="Arial" w:hAnsi="Arial"/>
          <w:sz w:val="13"/>
          <w:szCs w:val="13"/>
          <w:color w:val="auto"/>
        </w:rPr>
        <w:t xml:space="preserve">Indebtedness of the Company and its Subsidiaries set forth in </w:t>
      </w:r>
      <w:r>
        <w:rPr>
          <w:rFonts w:ascii="Arial" w:cs="Arial" w:eastAsia="Arial" w:hAnsi="Arial"/>
          <w:sz w:val="13"/>
          <w:szCs w:val="13"/>
          <w:u w:val="single" w:color="auto"/>
          <w:color w:val="auto"/>
        </w:rPr>
        <w:t>Schedule 8.03</w:t>
      </w:r>
      <w:r>
        <w:rPr>
          <w:rFonts w:ascii="Arial" w:cs="Arial" w:eastAsia="Arial" w:hAnsi="Arial"/>
          <w:sz w:val="13"/>
          <w:szCs w:val="13"/>
          <w:color w:val="auto"/>
        </w:rPr>
        <w:t xml:space="preserve"> (and renewals, refinancings and extensions thereof on terms and conditions not materially less favorable to the applicable debtor(s));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60"/>
          </w:cols>
          <w:pgMar w:left="220" w:top="720" w:right="319" w:bottom="1440" w:gutter="0" w:footer="0" w:header="0"/>
        </w:sectPr>
      </w:pPr>
    </w:p>
    <w:bookmarkStart w:id="155" w:name="page156"/>
    <w:bookmarkEnd w:id="155"/>
    <w:p>
      <w:pPr>
        <w:ind w:left="560" w:hanging="168"/>
        <w:spacing w:after="0"/>
        <w:tabs>
          <w:tab w:leader="none" w:pos="560" w:val="left"/>
        </w:tabs>
        <w:numPr>
          <w:ilvl w:val="0"/>
          <w:numId w:val="135"/>
        </w:numPr>
        <w:rPr>
          <w:rFonts w:ascii="Arial" w:cs="Arial" w:eastAsia="Arial" w:hAnsi="Arial"/>
          <w:sz w:val="13"/>
          <w:szCs w:val="13"/>
          <w:color w:val="auto"/>
        </w:rPr>
      </w:pPr>
      <w:r>
        <w:rPr>
          <w:rFonts w:ascii="Arial" w:cs="Arial" w:eastAsia="Arial" w:hAnsi="Arial"/>
          <w:sz w:val="13"/>
          <w:szCs w:val="13"/>
          <w:color w:val="auto"/>
        </w:rPr>
        <w:t xml:space="preserve">intercompany Indebtedness permitted under </w:t>
      </w:r>
      <w:r>
        <w:rPr>
          <w:rFonts w:ascii="Arial" w:cs="Arial" w:eastAsia="Arial" w:hAnsi="Arial"/>
          <w:sz w:val="13"/>
          <w:szCs w:val="13"/>
          <w:u w:val="single" w:color="auto"/>
          <w:color w:val="auto"/>
        </w:rPr>
        <w:t>Section 8.02</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220" w:right="220" w:firstLine="172"/>
        <w:spacing w:after="0" w:line="260" w:lineRule="auto"/>
        <w:tabs>
          <w:tab w:leader="none" w:pos="569" w:val="left"/>
        </w:tabs>
        <w:numPr>
          <w:ilvl w:val="0"/>
          <w:numId w:val="135"/>
        </w:numPr>
        <w:rPr>
          <w:rFonts w:ascii="Arial" w:cs="Arial" w:eastAsia="Arial" w:hAnsi="Arial"/>
          <w:sz w:val="13"/>
          <w:szCs w:val="13"/>
          <w:color w:val="auto"/>
        </w:rPr>
      </w:pPr>
      <w:r>
        <w:rPr>
          <w:rFonts w:ascii="Arial" w:cs="Arial" w:eastAsia="Arial" w:hAnsi="Arial"/>
          <w:sz w:val="13"/>
          <w:szCs w:val="13"/>
          <w:color w:val="auto"/>
        </w:rPr>
        <w:t xml:space="preserve">obligations (contingent or otherwise) of the Company or any Subsidiary existing or arising under any Swap Contract,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 such obligations are (or were) entered into by such Person in the ordinary course of business for the purpose of directly mitigating risks associated with liabilities, commitments, investments, assets, or property held or reasonably anticipated by such Person, or changes in the value of securities issued by such Person, and not for purposes of speculation or taking a “market view;” and (ii) such Swap Contract does not contain any provision exonerating the non-defaulting party from its obligation to make payments on outstanding transactions to the defaulting party;</w:t>
      </w:r>
    </w:p>
    <w:p>
      <w:pPr>
        <w:spacing w:after="0" w:line="59" w:lineRule="exact"/>
        <w:rPr>
          <w:rFonts w:ascii="Arial" w:cs="Arial" w:eastAsia="Arial" w:hAnsi="Arial"/>
          <w:sz w:val="13"/>
          <w:szCs w:val="13"/>
          <w:color w:val="auto"/>
        </w:rPr>
      </w:pPr>
    </w:p>
    <w:p>
      <w:pPr>
        <w:ind w:left="220" w:firstLine="172"/>
        <w:spacing w:after="0" w:line="260" w:lineRule="auto"/>
        <w:tabs>
          <w:tab w:leader="none" w:pos="562" w:val="left"/>
        </w:tabs>
        <w:numPr>
          <w:ilvl w:val="0"/>
          <w:numId w:val="135"/>
        </w:numPr>
        <w:rPr>
          <w:rFonts w:ascii="Arial" w:cs="Arial" w:eastAsia="Arial" w:hAnsi="Arial"/>
          <w:sz w:val="13"/>
          <w:szCs w:val="13"/>
          <w:color w:val="auto"/>
        </w:rPr>
      </w:pPr>
      <w:r>
        <w:rPr>
          <w:rFonts w:ascii="Arial" w:cs="Arial" w:eastAsia="Arial" w:hAnsi="Arial"/>
          <w:sz w:val="13"/>
          <w:szCs w:val="13"/>
          <w:color w:val="auto"/>
        </w:rPr>
        <w:t xml:space="preserve">purchase money Indebtedness (including obligations in respect of Sale and Leaseback Transactions, Capital Leases or Synthetic Leases) hereafter incurred by the Company or any of its Subsidiaries to finance the purchase of fixed assets, and renewals, refinancings and extensions thereof,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 the total of all such Indebtedness for all such Persons taken together shall not exceed an aggregate principal amount of $25,000,000 at any one time outstanding; (ii) such Indebtedness when incurred shall not exceed the purchase price of the asset(s) financed; and (iii) no such Indebtedness shall be refinanced for a principal amount in excess of the principal balance outstanding thereon at the time of such refinancing;</w:t>
      </w:r>
    </w:p>
    <w:p>
      <w:pPr>
        <w:spacing w:after="0" w:line="59" w:lineRule="exact"/>
        <w:rPr>
          <w:rFonts w:ascii="Arial" w:cs="Arial" w:eastAsia="Arial" w:hAnsi="Arial"/>
          <w:sz w:val="13"/>
          <w:szCs w:val="13"/>
          <w:color w:val="auto"/>
        </w:rPr>
      </w:pPr>
    </w:p>
    <w:p>
      <w:pPr>
        <w:ind w:left="560" w:hanging="168"/>
        <w:spacing w:after="0"/>
        <w:tabs>
          <w:tab w:leader="none" w:pos="560" w:val="left"/>
        </w:tabs>
        <w:numPr>
          <w:ilvl w:val="0"/>
          <w:numId w:val="135"/>
        </w:numPr>
        <w:rPr>
          <w:rFonts w:ascii="Arial" w:cs="Arial" w:eastAsia="Arial" w:hAnsi="Arial"/>
          <w:sz w:val="13"/>
          <w:szCs w:val="13"/>
          <w:color w:val="auto"/>
        </w:rPr>
      </w:pPr>
      <w:r>
        <w:rPr>
          <w:rFonts w:ascii="Arial" w:cs="Arial" w:eastAsia="Arial" w:hAnsi="Arial"/>
          <w:sz w:val="13"/>
          <w:szCs w:val="13"/>
          <w:color w:val="auto"/>
        </w:rPr>
        <w:t>unsecured Indebtedness of the Company arising under the Note Purchase Agreement (and renewals, refinancings and extensions thereof);</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135"/>
        </w:numPr>
        <w:rPr>
          <w:rFonts w:ascii="Arial" w:cs="Arial" w:eastAsia="Arial" w:hAnsi="Arial"/>
          <w:sz w:val="13"/>
          <w:szCs w:val="13"/>
          <w:color w:val="auto"/>
        </w:rPr>
      </w:pPr>
      <w:r>
        <w:rPr>
          <w:rFonts w:ascii="Arial" w:cs="Arial" w:eastAsia="Arial" w:hAnsi="Arial"/>
          <w:sz w:val="13"/>
          <w:szCs w:val="13"/>
          <w:color w:val="auto"/>
        </w:rPr>
        <w:t>so long as no Default or Event of Default exists prior to or after giving effect thereto, other unsecured Indebtedness;</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135"/>
        </w:numPr>
        <w:rPr>
          <w:rFonts w:ascii="Arial" w:cs="Arial" w:eastAsia="Arial" w:hAnsi="Arial"/>
          <w:sz w:val="13"/>
          <w:szCs w:val="13"/>
          <w:color w:val="auto"/>
        </w:rPr>
      </w:pPr>
      <w:r>
        <w:rPr>
          <w:rFonts w:ascii="Arial" w:cs="Arial" w:eastAsia="Arial" w:hAnsi="Arial"/>
          <w:sz w:val="13"/>
          <w:szCs w:val="13"/>
          <w:color w:val="auto"/>
        </w:rPr>
        <w:t>Subordinated Indebtedness;</w:t>
      </w:r>
    </w:p>
    <w:p>
      <w:pPr>
        <w:spacing w:after="0" w:line="86" w:lineRule="exact"/>
        <w:rPr>
          <w:rFonts w:ascii="Arial" w:cs="Arial" w:eastAsia="Arial" w:hAnsi="Arial"/>
          <w:sz w:val="13"/>
          <w:szCs w:val="13"/>
          <w:color w:val="auto"/>
        </w:rPr>
      </w:pPr>
    </w:p>
    <w:p>
      <w:pPr>
        <w:ind w:left="220" w:right="120" w:firstLine="172"/>
        <w:spacing w:after="0" w:line="276" w:lineRule="auto"/>
        <w:tabs>
          <w:tab w:leader="none" w:pos="540" w:val="left"/>
        </w:tabs>
        <w:numPr>
          <w:ilvl w:val="0"/>
          <w:numId w:val="135"/>
        </w:numPr>
        <w:rPr>
          <w:rFonts w:ascii="Arial" w:cs="Arial" w:eastAsia="Arial" w:hAnsi="Arial"/>
          <w:sz w:val="13"/>
          <w:szCs w:val="13"/>
          <w:color w:val="auto"/>
        </w:rPr>
      </w:pPr>
      <w:r>
        <w:rPr>
          <w:rFonts w:ascii="Arial" w:cs="Arial" w:eastAsia="Arial" w:hAnsi="Arial"/>
          <w:sz w:val="13"/>
          <w:szCs w:val="13"/>
          <w:color w:val="auto"/>
        </w:rPr>
        <w:t xml:space="preserve">Guarantees with respect to Indebtedness permitted under clauses (a) through (h) of this </w:t>
      </w:r>
      <w:r>
        <w:rPr>
          <w:rFonts w:ascii="Arial" w:cs="Arial" w:eastAsia="Arial" w:hAnsi="Arial"/>
          <w:sz w:val="13"/>
          <w:szCs w:val="13"/>
          <w:u w:val="single" w:color="auto"/>
          <w:color w:val="auto"/>
        </w:rPr>
        <w:t>Section 8.03</w:t>
      </w:r>
      <w:r>
        <w:rPr>
          <w:rFonts w:ascii="Arial" w:cs="Arial" w:eastAsia="Arial" w:hAnsi="Arial"/>
          <w:sz w:val="13"/>
          <w:szCs w:val="13"/>
          <w:color w:val="auto"/>
        </w:rPr>
        <w:t>; provided that any Guarantees of any Subordinated Indebtedness shall be subordinated to the same extent as such Subordinated Indebtedness;</w:t>
      </w:r>
    </w:p>
    <w:p>
      <w:pPr>
        <w:spacing w:after="0" w:line="49" w:lineRule="exact"/>
        <w:rPr>
          <w:rFonts w:ascii="Arial" w:cs="Arial" w:eastAsia="Arial" w:hAnsi="Arial"/>
          <w:sz w:val="13"/>
          <w:szCs w:val="13"/>
          <w:color w:val="auto"/>
        </w:rPr>
      </w:pPr>
    </w:p>
    <w:p>
      <w:pPr>
        <w:ind w:left="220" w:right="120" w:firstLine="172"/>
        <w:spacing w:after="0" w:line="264" w:lineRule="auto"/>
        <w:tabs>
          <w:tab w:leader="none" w:pos="540" w:val="left"/>
        </w:tabs>
        <w:numPr>
          <w:ilvl w:val="0"/>
          <w:numId w:val="135"/>
        </w:numPr>
        <w:rPr>
          <w:rFonts w:ascii="Arial" w:cs="Arial" w:eastAsia="Arial" w:hAnsi="Arial"/>
          <w:sz w:val="13"/>
          <w:szCs w:val="13"/>
          <w:color w:val="auto"/>
        </w:rPr>
      </w:pPr>
      <w:r>
        <w:rPr>
          <w:rFonts w:ascii="Arial" w:cs="Arial" w:eastAsia="Arial" w:hAnsi="Arial"/>
          <w:sz w:val="13"/>
          <w:szCs w:val="13"/>
          <w:color w:val="auto"/>
        </w:rPr>
        <w:t xml:space="preserve">purchase money Indebtedness (including obligations in respect of Capital Leases, Synthetic Leases, mortgages, industrial revenue bonds, industrial development bonds and similar financings) of a Person which becomes a Subsidiary after the Closing Date pursuant to a Permitted Acquisition,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 such Indebtedness existed at the time such Person became a Subsidiary and was not created in anticipation thereof and (ii) that the amount of such Indebtedness is not increased; and</w:t>
      </w:r>
    </w:p>
    <w:p>
      <w:pPr>
        <w:spacing w:after="0" w:line="57" w:lineRule="exact"/>
        <w:rPr>
          <w:rFonts w:ascii="Arial" w:cs="Arial" w:eastAsia="Arial" w:hAnsi="Arial"/>
          <w:sz w:val="13"/>
          <w:szCs w:val="13"/>
          <w:color w:val="auto"/>
        </w:rPr>
      </w:pPr>
    </w:p>
    <w:p>
      <w:pPr>
        <w:ind w:left="220" w:right="100" w:firstLine="172"/>
        <w:spacing w:after="0" w:line="264" w:lineRule="auto"/>
        <w:tabs>
          <w:tab w:leader="none" w:pos="569" w:val="left"/>
        </w:tabs>
        <w:numPr>
          <w:ilvl w:val="0"/>
          <w:numId w:val="135"/>
        </w:numPr>
        <w:rPr>
          <w:rFonts w:ascii="Arial" w:cs="Arial" w:eastAsia="Arial" w:hAnsi="Arial"/>
          <w:sz w:val="13"/>
          <w:szCs w:val="13"/>
          <w:color w:val="auto"/>
        </w:rPr>
      </w:pPr>
      <w:r>
        <w:rPr>
          <w:rFonts w:ascii="Arial" w:cs="Arial" w:eastAsia="Arial" w:hAnsi="Arial"/>
          <w:sz w:val="13"/>
          <w:szCs w:val="13"/>
          <w:color w:val="auto"/>
        </w:rPr>
        <w:t xml:space="preserve">other Indebtedness of a Person which becomes a Subsidiary after the Closing Date pursuant to a Permitted Acquisition,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 the aggregate principal amount of all such Indebtedness does not to exceed $5,000,000 at any one time outstanding, (ii) such Indebtedness existed at the time such Person became a Subsidiary and was not created in anticipation thereof and (iii) that the amount of such Indebtedness is not increased.</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8.04 </w:t>
      </w:r>
      <w:r>
        <w:rPr>
          <w:rFonts w:ascii="Arial" w:cs="Arial" w:eastAsia="Arial" w:hAnsi="Arial"/>
          <w:sz w:val="13"/>
          <w:szCs w:val="13"/>
          <w:u w:val="single" w:color="auto"/>
          <w:color w:val="auto"/>
        </w:rPr>
        <w:t>Fundamental Changes</w:t>
      </w:r>
      <w:r>
        <w:rPr>
          <w:rFonts w:ascii="Arial" w:cs="Arial" w:eastAsia="Arial" w:hAnsi="Arial"/>
          <w:sz w:val="13"/>
          <w:szCs w:val="13"/>
          <w:color w:val="auto"/>
        </w:rPr>
        <w:t>.</w:t>
      </w:r>
    </w:p>
    <w:p>
      <w:pPr>
        <w:spacing w:after="0" w:line="86" w:lineRule="exact"/>
        <w:rPr>
          <w:sz w:val="20"/>
          <w:szCs w:val="20"/>
          <w:color w:val="auto"/>
        </w:rPr>
      </w:pPr>
    </w:p>
    <w:p>
      <w:pPr>
        <w:ind w:right="460" w:firstLine="164"/>
        <w:spacing w:after="0" w:line="371" w:lineRule="auto"/>
        <w:rPr>
          <w:sz w:val="20"/>
          <w:szCs w:val="20"/>
          <w:color w:val="auto"/>
        </w:rPr>
      </w:pPr>
      <w:r>
        <w:rPr>
          <w:rFonts w:ascii="Arial" w:cs="Arial" w:eastAsia="Arial" w:hAnsi="Arial"/>
          <w:sz w:val="11"/>
          <w:szCs w:val="11"/>
          <w:color w:val="auto"/>
        </w:rPr>
        <w:t xml:space="preserve">Merge, dissolve, liquidate, consolidate with or into another Person, or Dispose of (whether in one transaction or in a series of transactions) all or substantially all of its assets (whether now owned or hereafter acquired) to or in favor of any Person; provided that, notwithstanding the foregoing provisions of this </w:t>
      </w:r>
      <w:r>
        <w:rPr>
          <w:rFonts w:ascii="Arial" w:cs="Arial" w:eastAsia="Arial" w:hAnsi="Arial"/>
          <w:sz w:val="11"/>
          <w:szCs w:val="11"/>
          <w:u w:val="single" w:color="auto"/>
          <w:color w:val="auto"/>
        </w:rPr>
        <w:t>Section 8.04</w:t>
      </w:r>
      <w:r>
        <w:rPr>
          <w:rFonts w:ascii="Arial" w:cs="Arial" w:eastAsia="Arial" w:hAnsi="Arial"/>
          <w:sz w:val="11"/>
          <w:szCs w:val="11"/>
          <w:color w:val="auto"/>
        </w:rPr>
        <w:t xml:space="preserve"> but subject to the terms of </w:t>
      </w:r>
      <w:r>
        <w:rPr>
          <w:rFonts w:ascii="Arial" w:cs="Arial" w:eastAsia="Arial" w:hAnsi="Arial"/>
          <w:sz w:val="11"/>
          <w:szCs w:val="11"/>
          <w:u w:val="single" w:color="auto"/>
          <w:color w:val="auto"/>
        </w:rPr>
        <w:t>Sections 7.12</w:t>
      </w:r>
      <w:r>
        <w:rPr>
          <w:rFonts w:ascii="Arial" w:cs="Arial" w:eastAsia="Arial" w:hAnsi="Arial"/>
          <w:sz w:val="11"/>
          <w:szCs w:val="11"/>
          <w:color w:val="auto"/>
        </w:rPr>
        <w:t>, (a) the Company may merge or consolidate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90435" cy="190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56" w:name="page157"/>
    <w:bookmarkEnd w:id="156"/>
    <w:p>
      <w:pPr>
        <w:spacing w:after="0" w:line="258" w:lineRule="auto"/>
        <w:rPr>
          <w:sz w:val="20"/>
          <w:szCs w:val="20"/>
          <w:color w:val="auto"/>
        </w:rPr>
      </w:pPr>
      <w:r>
        <w:rPr>
          <w:rFonts w:ascii="Arial" w:cs="Arial" w:eastAsia="Arial" w:hAnsi="Arial"/>
          <w:sz w:val="13"/>
          <w:szCs w:val="13"/>
          <w:color w:val="auto"/>
        </w:rPr>
        <w:t>any of its Subsidiaries provided that the Company shall be the continuing or surviving corporation, (b) any Loan Party (other than the Company) may merge or consolidate with any other Loan Party (other than the Company) provided that, if a Borrower is a party to such transaction, a Borrower shall be the continuing or surviving Person, (c) any Foreign Subsidiary may be merged or consolidated with or into any Loan Party provided that such Loan Party shall be the continuing or surviving corporation, (d) any Foreign Subsidiary may be merged or consolidated with or into any other Foreign Subsidiary, (e) any Subsidiary of the Company may merge with any Person that is not a Loan Party in connection with a Permitted Acquisition and (f) any Subsidiary (other than a Borrower) may dissolve, liquidate or wind up its affairs at any time provided that such dissolution, liquidation or winding up, as applicable, could not have a Material Adverse Effect.</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8.05 </w:t>
      </w:r>
      <w:r>
        <w:rPr>
          <w:rFonts w:ascii="Arial" w:cs="Arial" w:eastAsia="Arial" w:hAnsi="Arial"/>
          <w:sz w:val="13"/>
          <w:szCs w:val="13"/>
          <w:u w:val="single" w:color="auto"/>
          <w:color w:val="auto"/>
        </w:rPr>
        <w:t>Dispositions</w:t>
      </w:r>
      <w:r>
        <w:rPr>
          <w:rFonts w:ascii="Arial" w:cs="Arial" w:eastAsia="Arial" w:hAnsi="Arial"/>
          <w:sz w:val="13"/>
          <w:szCs w:val="13"/>
          <w:color w:val="auto"/>
        </w:rPr>
        <w: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Make any Disposition except:</w:t>
      </w:r>
    </w:p>
    <w:p>
      <w:pPr>
        <w:spacing w:after="0" w:line="86" w:lineRule="exact"/>
        <w:rPr>
          <w:sz w:val="20"/>
          <w:szCs w:val="20"/>
          <w:color w:val="auto"/>
        </w:rPr>
      </w:pPr>
    </w:p>
    <w:p>
      <w:pPr>
        <w:ind w:left="340" w:hanging="178"/>
        <w:spacing w:after="0"/>
        <w:tabs>
          <w:tab w:leader="none" w:pos="340" w:val="left"/>
        </w:tabs>
        <w:numPr>
          <w:ilvl w:val="0"/>
          <w:numId w:val="136"/>
        </w:numPr>
        <w:rPr>
          <w:rFonts w:ascii="Arial" w:cs="Arial" w:eastAsia="Arial" w:hAnsi="Arial"/>
          <w:sz w:val="13"/>
          <w:szCs w:val="13"/>
          <w:color w:val="auto"/>
        </w:rPr>
      </w:pPr>
      <w:r>
        <w:rPr>
          <w:rFonts w:ascii="Arial" w:cs="Arial" w:eastAsia="Arial" w:hAnsi="Arial"/>
          <w:sz w:val="13"/>
          <w:szCs w:val="13"/>
          <w:color w:val="auto"/>
        </w:rPr>
        <w:t>Dispositions of inventory in the ordinary course of business;</w:t>
      </w:r>
    </w:p>
    <w:p>
      <w:pPr>
        <w:spacing w:after="0" w:line="86" w:lineRule="exact"/>
        <w:rPr>
          <w:rFonts w:ascii="Arial" w:cs="Arial" w:eastAsia="Arial" w:hAnsi="Arial"/>
          <w:sz w:val="13"/>
          <w:szCs w:val="13"/>
          <w:color w:val="auto"/>
        </w:rPr>
      </w:pPr>
    </w:p>
    <w:p>
      <w:pPr>
        <w:ind w:left="340" w:hanging="178"/>
        <w:spacing w:after="0"/>
        <w:tabs>
          <w:tab w:leader="none" w:pos="340" w:val="left"/>
        </w:tabs>
        <w:numPr>
          <w:ilvl w:val="0"/>
          <w:numId w:val="136"/>
        </w:numPr>
        <w:rPr>
          <w:rFonts w:ascii="Arial" w:cs="Arial" w:eastAsia="Arial" w:hAnsi="Arial"/>
          <w:sz w:val="13"/>
          <w:szCs w:val="13"/>
          <w:color w:val="auto"/>
        </w:rPr>
      </w:pPr>
      <w:r>
        <w:rPr>
          <w:rFonts w:ascii="Arial" w:cs="Arial" w:eastAsia="Arial" w:hAnsi="Arial"/>
          <w:sz w:val="13"/>
          <w:szCs w:val="13"/>
          <w:color w:val="auto"/>
        </w:rPr>
        <w:t>Dispositions of machinery and equipment no longer used or useful in the conduct of business of the Company and its Subsidiaries;</w:t>
      </w:r>
    </w:p>
    <w:p>
      <w:pPr>
        <w:spacing w:after="0" w:line="86" w:lineRule="exact"/>
        <w:rPr>
          <w:rFonts w:ascii="Arial" w:cs="Arial" w:eastAsia="Arial" w:hAnsi="Arial"/>
          <w:sz w:val="13"/>
          <w:szCs w:val="13"/>
          <w:color w:val="auto"/>
        </w:rPr>
      </w:pPr>
    </w:p>
    <w:p>
      <w:pPr>
        <w:ind w:right="460" w:firstLine="162"/>
        <w:spacing w:after="0" w:line="276" w:lineRule="auto"/>
        <w:tabs>
          <w:tab w:leader="none" w:pos="342" w:val="left"/>
        </w:tabs>
        <w:numPr>
          <w:ilvl w:val="0"/>
          <w:numId w:val="136"/>
        </w:numPr>
        <w:rPr>
          <w:rFonts w:ascii="Arial" w:cs="Arial" w:eastAsia="Arial" w:hAnsi="Arial"/>
          <w:sz w:val="13"/>
          <w:szCs w:val="13"/>
          <w:color w:val="auto"/>
        </w:rPr>
      </w:pPr>
      <w:r>
        <w:rPr>
          <w:rFonts w:ascii="Arial" w:cs="Arial" w:eastAsia="Arial" w:hAnsi="Arial"/>
          <w:sz w:val="13"/>
          <w:szCs w:val="13"/>
          <w:color w:val="auto"/>
        </w:rPr>
        <w:t>Dispositions of Property in the ordinary course of business to the extent that (i) such Property is exchanged for credit against the purchase price of similar replacement Property or (ii) the proceeds of such Disposition are promptly applied to the purchase price of such replacement Property;</w:t>
      </w:r>
    </w:p>
    <w:p>
      <w:pPr>
        <w:spacing w:after="0" w:line="49" w:lineRule="exact"/>
        <w:rPr>
          <w:rFonts w:ascii="Arial" w:cs="Arial" w:eastAsia="Arial" w:hAnsi="Arial"/>
          <w:sz w:val="13"/>
          <w:szCs w:val="13"/>
          <w:color w:val="auto"/>
        </w:rPr>
      </w:pPr>
    </w:p>
    <w:p>
      <w:pPr>
        <w:ind w:right="300" w:firstLine="162"/>
        <w:spacing w:after="0" w:line="276" w:lineRule="auto"/>
        <w:tabs>
          <w:tab w:leader="none" w:pos="349" w:val="left"/>
        </w:tabs>
        <w:numPr>
          <w:ilvl w:val="0"/>
          <w:numId w:val="136"/>
        </w:numPr>
        <w:rPr>
          <w:rFonts w:ascii="Arial" w:cs="Arial" w:eastAsia="Arial" w:hAnsi="Arial"/>
          <w:sz w:val="13"/>
          <w:szCs w:val="13"/>
          <w:color w:val="auto"/>
        </w:rPr>
      </w:pPr>
      <w:r>
        <w:rPr>
          <w:rFonts w:ascii="Arial" w:cs="Arial" w:eastAsia="Arial" w:hAnsi="Arial"/>
          <w:sz w:val="13"/>
          <w:szCs w:val="13"/>
          <w:color w:val="auto"/>
        </w:rPr>
        <w:t xml:space="preserve">Dispositions of Property to the Company or any Subsidiary;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the transferor of such Property is a Loan Party (i) the transferee thereof must be a Loan Party or (ii) to the extent such transaction constitutes an Investment, such transaction is permitted under </w:t>
      </w:r>
      <w:r>
        <w:rPr>
          <w:rFonts w:ascii="Arial" w:cs="Arial" w:eastAsia="Arial" w:hAnsi="Arial"/>
          <w:sz w:val="13"/>
          <w:szCs w:val="13"/>
          <w:u w:val="single" w:color="auto"/>
          <w:color w:val="auto"/>
        </w:rPr>
        <w:t>Section 8.02</w:t>
      </w:r>
      <w:r>
        <w:rPr>
          <w:rFonts w:ascii="Arial" w:cs="Arial" w:eastAsia="Arial" w:hAnsi="Arial"/>
          <w:sz w:val="13"/>
          <w:szCs w:val="13"/>
          <w:color w:val="auto"/>
        </w:rPr>
        <w:t>;</w:t>
      </w:r>
    </w:p>
    <w:p>
      <w:pPr>
        <w:spacing w:after="0" w:line="49" w:lineRule="exact"/>
        <w:rPr>
          <w:rFonts w:ascii="Arial" w:cs="Arial" w:eastAsia="Arial" w:hAnsi="Arial"/>
          <w:sz w:val="13"/>
          <w:szCs w:val="13"/>
          <w:color w:val="auto"/>
        </w:rPr>
      </w:pPr>
    </w:p>
    <w:p>
      <w:pPr>
        <w:ind w:left="340" w:hanging="178"/>
        <w:spacing w:after="0"/>
        <w:tabs>
          <w:tab w:leader="none" w:pos="340" w:val="left"/>
        </w:tabs>
        <w:numPr>
          <w:ilvl w:val="0"/>
          <w:numId w:val="136"/>
        </w:numPr>
        <w:rPr>
          <w:rFonts w:ascii="Arial" w:cs="Arial" w:eastAsia="Arial" w:hAnsi="Arial"/>
          <w:sz w:val="13"/>
          <w:szCs w:val="13"/>
          <w:color w:val="auto"/>
        </w:rPr>
      </w:pPr>
      <w:r>
        <w:rPr>
          <w:rFonts w:ascii="Arial" w:cs="Arial" w:eastAsia="Arial" w:hAnsi="Arial"/>
          <w:sz w:val="13"/>
          <w:szCs w:val="13"/>
          <w:color w:val="auto"/>
        </w:rPr>
        <w:t>Dispositions of accounts receivable in connection with the collection or compromise thereof;</w:t>
      </w:r>
    </w:p>
    <w:p>
      <w:pPr>
        <w:spacing w:after="0" w:line="86" w:lineRule="exact"/>
        <w:rPr>
          <w:rFonts w:ascii="Arial" w:cs="Arial" w:eastAsia="Arial" w:hAnsi="Arial"/>
          <w:sz w:val="13"/>
          <w:szCs w:val="13"/>
          <w:color w:val="auto"/>
        </w:rPr>
      </w:pPr>
    </w:p>
    <w:p>
      <w:pPr>
        <w:ind w:right="340" w:firstLine="162"/>
        <w:spacing w:after="0" w:line="276" w:lineRule="auto"/>
        <w:tabs>
          <w:tab w:leader="none" w:pos="327" w:val="left"/>
        </w:tabs>
        <w:numPr>
          <w:ilvl w:val="0"/>
          <w:numId w:val="136"/>
        </w:numPr>
        <w:rPr>
          <w:rFonts w:ascii="Arial" w:cs="Arial" w:eastAsia="Arial" w:hAnsi="Arial"/>
          <w:sz w:val="13"/>
          <w:szCs w:val="13"/>
          <w:color w:val="auto"/>
        </w:rPr>
      </w:pPr>
      <w:r>
        <w:rPr>
          <w:rFonts w:ascii="Arial" w:cs="Arial" w:eastAsia="Arial" w:hAnsi="Arial"/>
          <w:sz w:val="13"/>
          <w:szCs w:val="13"/>
          <w:color w:val="auto"/>
        </w:rPr>
        <w:t>Dispositions of Property in the ordinary course of business so long as the Person Disposing of such Property applies the proceeds thereof to acquire replacement Property of the same or similar nature within 180 days following such Disposition; and</w:t>
      </w:r>
    </w:p>
    <w:p>
      <w:pPr>
        <w:spacing w:after="0" w:line="49" w:lineRule="exact"/>
        <w:rPr>
          <w:rFonts w:ascii="Arial" w:cs="Arial" w:eastAsia="Arial" w:hAnsi="Arial"/>
          <w:sz w:val="13"/>
          <w:szCs w:val="13"/>
          <w:color w:val="auto"/>
        </w:rPr>
      </w:pPr>
    </w:p>
    <w:p>
      <w:pPr>
        <w:ind w:right="40" w:firstLine="162"/>
        <w:spacing w:after="0" w:line="260" w:lineRule="auto"/>
        <w:tabs>
          <w:tab w:leader="none" w:pos="349" w:val="left"/>
        </w:tabs>
        <w:numPr>
          <w:ilvl w:val="0"/>
          <w:numId w:val="136"/>
        </w:numPr>
        <w:rPr>
          <w:rFonts w:ascii="Arial" w:cs="Arial" w:eastAsia="Arial" w:hAnsi="Arial"/>
          <w:sz w:val="13"/>
          <w:szCs w:val="13"/>
          <w:color w:val="auto"/>
        </w:rPr>
      </w:pPr>
      <w:r>
        <w:rPr>
          <w:rFonts w:ascii="Arial" w:cs="Arial" w:eastAsia="Arial" w:hAnsi="Arial"/>
          <w:sz w:val="13"/>
          <w:szCs w:val="13"/>
          <w:color w:val="auto"/>
        </w:rPr>
        <w:t xml:space="preserve">other Dispositions so long as (i) the consideration paid in connection therewith shall be in an amount not less than the fair market value of the Property disposed of, (ii) such Disposition does not involve the sale or other disposition of a minority equity interest in any Subsidiary, (iii) such Disposition does not involve a sale or other disposition of receivables other than receivables owned by or attributable to other Property concurrently being disposed of in a transaction otherwise permitted under this </w:t>
      </w:r>
      <w:r>
        <w:rPr>
          <w:rFonts w:ascii="Arial" w:cs="Arial" w:eastAsia="Arial" w:hAnsi="Arial"/>
          <w:sz w:val="13"/>
          <w:szCs w:val="13"/>
          <w:u w:val="single" w:color="auto"/>
          <w:color w:val="auto"/>
        </w:rPr>
        <w:t>Section 8.05</w:t>
      </w:r>
      <w:r>
        <w:rPr>
          <w:rFonts w:ascii="Arial" w:cs="Arial" w:eastAsia="Arial" w:hAnsi="Arial"/>
          <w:sz w:val="13"/>
          <w:szCs w:val="13"/>
          <w:color w:val="auto"/>
        </w:rPr>
        <w:t>, and (iv) the aggregate net book value of all of the assets sold or otherwise disposed of by the Company and its Subsidiaries in all such Dispositions in any fiscal year of the Company shall not exceed 15% of Consolidated Tangible Net Worth.</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8.06 </w:t>
      </w:r>
      <w:r>
        <w:rPr>
          <w:rFonts w:ascii="Arial" w:cs="Arial" w:eastAsia="Arial" w:hAnsi="Arial"/>
          <w:sz w:val="13"/>
          <w:szCs w:val="13"/>
          <w:u w:val="single" w:color="auto"/>
          <w:color w:val="auto"/>
        </w:rPr>
        <w:t>Restricted Payments</w:t>
      </w:r>
      <w:r>
        <w:rPr>
          <w:rFonts w:ascii="Arial" w:cs="Arial" w:eastAsia="Arial" w:hAnsi="Arial"/>
          <w:sz w:val="13"/>
          <w:szCs w:val="13"/>
          <w:color w:val="auto"/>
        </w:rPr>
        <w: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Declare or make, directly or indirectly, any Restricted Payment, or incur any obligation (contingent or otherwise) to do so, except that:</w:t>
      </w:r>
    </w:p>
    <w:p>
      <w:pPr>
        <w:spacing w:after="0" w:line="86" w:lineRule="exact"/>
        <w:rPr>
          <w:sz w:val="20"/>
          <w:szCs w:val="20"/>
          <w:color w:val="auto"/>
        </w:rPr>
      </w:pPr>
    </w:p>
    <w:p>
      <w:pPr>
        <w:ind w:left="220" w:right="80" w:firstLine="172"/>
        <w:spacing w:after="0" w:line="276" w:lineRule="auto"/>
        <w:tabs>
          <w:tab w:leader="none" w:pos="562" w:val="left"/>
        </w:tabs>
        <w:numPr>
          <w:ilvl w:val="0"/>
          <w:numId w:val="137"/>
        </w:numPr>
        <w:rPr>
          <w:rFonts w:ascii="Arial" w:cs="Arial" w:eastAsia="Arial" w:hAnsi="Arial"/>
          <w:sz w:val="13"/>
          <w:szCs w:val="13"/>
          <w:color w:val="auto"/>
        </w:rPr>
      </w:pPr>
      <w:r>
        <w:rPr>
          <w:rFonts w:ascii="Arial" w:cs="Arial" w:eastAsia="Arial" w:hAnsi="Arial"/>
          <w:sz w:val="13"/>
          <w:szCs w:val="13"/>
          <w:color w:val="auto"/>
        </w:rPr>
        <w:t>each Subsidiary may make Restricted Payments (directly or indirectly) to any Loan Party (and, in the case of a Restricted Payment by a non-wholly-owned Subsidiary, to each owner of Capital Stock in such Subsidiary on a pro rata basis based on such owner’s respective ownership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57" w:name="page158"/>
    <w:bookmarkEnd w:id="157"/>
    <w:p>
      <w:pPr>
        <w:ind w:left="580" w:hanging="188"/>
        <w:spacing w:after="0"/>
        <w:tabs>
          <w:tab w:leader="none" w:pos="580" w:val="left"/>
        </w:tabs>
        <w:numPr>
          <w:ilvl w:val="0"/>
          <w:numId w:val="138"/>
        </w:numPr>
        <w:rPr>
          <w:rFonts w:ascii="Arial" w:cs="Arial" w:eastAsia="Arial" w:hAnsi="Arial"/>
          <w:sz w:val="13"/>
          <w:szCs w:val="13"/>
          <w:color w:val="auto"/>
        </w:rPr>
      </w:pPr>
      <w:r>
        <w:rPr>
          <w:rFonts w:ascii="Arial" w:cs="Arial" w:eastAsia="Arial" w:hAnsi="Arial"/>
          <w:sz w:val="13"/>
          <w:szCs w:val="13"/>
          <w:color w:val="auto"/>
        </w:rPr>
        <w:t>the Company and each Subsidiary may declare and make dividend payments or other distributions payable solely in the Capital Stock of such Person; and</w:t>
      </w:r>
    </w:p>
    <w:p>
      <w:pPr>
        <w:spacing w:after="0" w:line="86" w:lineRule="exact"/>
        <w:rPr>
          <w:rFonts w:ascii="Arial" w:cs="Arial" w:eastAsia="Arial" w:hAnsi="Arial"/>
          <w:sz w:val="13"/>
          <w:szCs w:val="13"/>
          <w:color w:val="auto"/>
        </w:rPr>
      </w:pPr>
    </w:p>
    <w:p>
      <w:pPr>
        <w:ind w:left="220" w:right="100" w:firstLine="172"/>
        <w:spacing w:after="0" w:line="276" w:lineRule="auto"/>
        <w:tabs>
          <w:tab w:leader="none" w:pos="562" w:val="left"/>
        </w:tabs>
        <w:numPr>
          <w:ilvl w:val="0"/>
          <w:numId w:val="138"/>
        </w:numPr>
        <w:rPr>
          <w:rFonts w:ascii="Arial" w:cs="Arial" w:eastAsia="Arial" w:hAnsi="Arial"/>
          <w:sz w:val="13"/>
          <w:szCs w:val="13"/>
          <w:color w:val="auto"/>
        </w:rPr>
      </w:pPr>
      <w:r>
        <w:rPr>
          <w:rFonts w:ascii="Arial" w:cs="Arial" w:eastAsia="Arial" w:hAnsi="Arial"/>
          <w:sz w:val="13"/>
          <w:szCs w:val="13"/>
          <w:color w:val="auto"/>
        </w:rPr>
        <w:t xml:space="preserve">so long as no Default exists immediately prior and after giving effect thereto, the Company may make other Restricted Payments in an aggregate amount during any fiscal year of the Company not to exceed the sum of (i) $50,000,000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(ii) an amount equal to 75% of Consolidated Net Income for the prior fiscal year of the Company.</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8.07 </w:t>
      </w:r>
      <w:r>
        <w:rPr>
          <w:rFonts w:ascii="Arial" w:cs="Arial" w:eastAsia="Arial" w:hAnsi="Arial"/>
          <w:sz w:val="13"/>
          <w:szCs w:val="13"/>
          <w:u w:val="single" w:color="auto"/>
          <w:color w:val="auto"/>
        </w:rPr>
        <w:t>Change in Nature of Business</w:t>
      </w:r>
      <w:r>
        <w:rPr>
          <w:rFonts w:ascii="Arial" w:cs="Arial" w:eastAsia="Arial" w:hAnsi="Arial"/>
          <w:sz w:val="13"/>
          <w:szCs w:val="13"/>
          <w:color w:val="auto"/>
        </w:rPr>
        <w:t>.</w:t>
      </w:r>
    </w:p>
    <w:p>
      <w:pPr>
        <w:spacing w:after="0" w:line="86" w:lineRule="exact"/>
        <w:rPr>
          <w:sz w:val="20"/>
          <w:szCs w:val="20"/>
          <w:color w:val="auto"/>
        </w:rPr>
      </w:pPr>
    </w:p>
    <w:p>
      <w:pPr>
        <w:ind w:right="360" w:firstLine="164"/>
        <w:spacing w:after="0" w:line="276" w:lineRule="auto"/>
        <w:rPr>
          <w:sz w:val="20"/>
          <w:szCs w:val="20"/>
          <w:color w:val="auto"/>
        </w:rPr>
      </w:pPr>
      <w:r>
        <w:rPr>
          <w:rFonts w:ascii="Arial" w:cs="Arial" w:eastAsia="Arial" w:hAnsi="Arial"/>
          <w:sz w:val="13"/>
          <w:szCs w:val="13"/>
          <w:color w:val="auto"/>
        </w:rPr>
        <w:t>Engage in any material line of business substantially different from those lines of business conducted by the Company and its Subsidiaries on the Closing Date or any business substantially related or incidental thereto.</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8.08 </w:t>
      </w:r>
      <w:r>
        <w:rPr>
          <w:rFonts w:ascii="Arial" w:cs="Arial" w:eastAsia="Arial" w:hAnsi="Arial"/>
          <w:sz w:val="13"/>
          <w:szCs w:val="13"/>
          <w:u w:val="single" w:color="auto"/>
          <w:color w:val="auto"/>
        </w:rPr>
        <w:t>Transactions with Affiliates and Insiders</w:t>
      </w:r>
      <w:r>
        <w:rPr>
          <w:rFonts w:ascii="Arial" w:cs="Arial" w:eastAsia="Arial" w:hAnsi="Arial"/>
          <w:sz w:val="13"/>
          <w:szCs w:val="13"/>
          <w:color w:val="auto"/>
        </w:rPr>
        <w:t>.</w:t>
      </w:r>
    </w:p>
    <w:p>
      <w:pPr>
        <w:spacing w:after="0" w:line="86" w:lineRule="exact"/>
        <w:rPr>
          <w:sz w:val="20"/>
          <w:szCs w:val="20"/>
          <w:color w:val="auto"/>
        </w:rPr>
      </w:pPr>
    </w:p>
    <w:p>
      <w:pPr>
        <w:ind w:right="20" w:firstLine="164"/>
        <w:spacing w:after="0" w:line="289" w:lineRule="auto"/>
        <w:rPr>
          <w:sz w:val="20"/>
          <w:szCs w:val="20"/>
          <w:color w:val="auto"/>
        </w:rPr>
      </w:pPr>
      <w:r>
        <w:rPr>
          <w:rFonts w:ascii="Arial" w:cs="Arial" w:eastAsia="Arial" w:hAnsi="Arial"/>
          <w:sz w:val="12"/>
          <w:szCs w:val="12"/>
          <w:color w:val="auto"/>
        </w:rPr>
        <w:t xml:space="preserve">Enter into or permit to exist any transaction or series of transactions with any officer, director or Affiliate of such Person other than (a) advances of working capital to any Loan Party, (b) transfers of cash and assets to any Loan Party, (c) intercompany transactions expressly permitted by </w:t>
      </w:r>
      <w:r>
        <w:rPr>
          <w:rFonts w:ascii="Arial" w:cs="Arial" w:eastAsia="Arial" w:hAnsi="Arial"/>
          <w:sz w:val="12"/>
          <w:szCs w:val="12"/>
          <w:u w:val="single" w:color="auto"/>
          <w:color w:val="auto"/>
        </w:rPr>
        <w:t>Section 8.02</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8.03</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8.04</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8.05</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Section 8.06</w:t>
      </w:r>
      <w:r>
        <w:rPr>
          <w:rFonts w:ascii="Arial" w:cs="Arial" w:eastAsia="Arial" w:hAnsi="Arial"/>
          <w:sz w:val="12"/>
          <w:szCs w:val="12"/>
          <w:color w:val="auto"/>
        </w:rPr>
        <w:t>, (d) normal and reasonable compensation and reimbursement of expenses of officers and directors and (e) except as otherwise specifically limited in this Agreement, other transactions which are entered into in the ordinary course of such Person’s business on terms and conditions substantially as favorable to such Person as would be obtainable by it in a comparable arms-length transaction with a Person other than an officer, director or Affiliate.</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8.09 </w:t>
      </w:r>
      <w:r>
        <w:rPr>
          <w:rFonts w:ascii="Arial" w:cs="Arial" w:eastAsia="Arial" w:hAnsi="Arial"/>
          <w:sz w:val="13"/>
          <w:szCs w:val="13"/>
          <w:u w:val="single" w:color="auto"/>
          <w:color w:val="auto"/>
        </w:rPr>
        <w:t>Burdensome Agreements</w:t>
      </w:r>
      <w:r>
        <w:rPr>
          <w:rFonts w:ascii="Arial" w:cs="Arial" w:eastAsia="Arial" w:hAnsi="Arial"/>
          <w:sz w:val="13"/>
          <w:szCs w:val="13"/>
          <w:color w:val="auto"/>
        </w:rPr>
        <w:t>.</w:t>
      </w:r>
    </w:p>
    <w:p>
      <w:pPr>
        <w:spacing w:after="0" w:line="86" w:lineRule="exact"/>
        <w:rPr>
          <w:sz w:val="20"/>
          <w:szCs w:val="20"/>
          <w:color w:val="auto"/>
        </w:rPr>
      </w:pPr>
    </w:p>
    <w:p>
      <w:pPr>
        <w:ind w:firstLine="162"/>
        <w:spacing w:after="0" w:line="310" w:lineRule="auto"/>
        <w:tabs>
          <w:tab w:leader="none" w:pos="342" w:val="left"/>
        </w:tabs>
        <w:numPr>
          <w:ilvl w:val="0"/>
          <w:numId w:val="139"/>
        </w:numPr>
        <w:rPr>
          <w:rFonts w:ascii="Arial" w:cs="Arial" w:eastAsia="Arial" w:hAnsi="Arial"/>
          <w:sz w:val="11"/>
          <w:szCs w:val="11"/>
          <w:color w:val="auto"/>
        </w:rPr>
      </w:pPr>
      <w:r>
        <w:rPr>
          <w:rFonts w:ascii="Arial" w:cs="Arial" w:eastAsia="Arial" w:hAnsi="Arial"/>
          <w:sz w:val="11"/>
          <w:szCs w:val="11"/>
          <w:color w:val="auto"/>
        </w:rPr>
        <w:t xml:space="preserve">Enter into, or permit to exist, any Contractual Obligation that encumbers or restricts the ability of any such Person to (i) pay dividends or make any other distributions to any Loan Party on its Capital Stock or with respect to any other interest or participation in, or measured by, its profits, (ii) pay any Indebtedness or other obligation owed to any Loan Party, (iii) make loans or advances to any Loan Party, (iv) sell, lease or transfer any of its Property to any Loan Party, (v) pledge its Property pursuant to the Loan Documents or any renewals, refinancings, exchanges, refundings or extension thereof or (vi) act as a Loan Party pursuant to the Loan Documents or any renewals, refinancings, exchanges, refundings or extension thereof, except (in respect of any of the matters referred to in clauses (i)-(v) above) for (1) this Agreement and the other Loan Documents, (2) any document or instrument governing Indebtedness incurred pursuant to </w:t>
      </w:r>
      <w:r>
        <w:rPr>
          <w:rFonts w:ascii="Arial" w:cs="Arial" w:eastAsia="Arial" w:hAnsi="Arial"/>
          <w:sz w:val="11"/>
          <w:szCs w:val="11"/>
          <w:u w:val="single" w:color="auto"/>
          <w:color w:val="auto"/>
        </w:rPr>
        <w:t>Section 8.03(e)</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any such restriction contained therein relates only to the asset or assets constructed or acquired in connection therewith, (3) any Permitted Lien or any document or instrument governing any Permitted Lien,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any such restriction contained therein relates only to the asset or assets subject to such Permitted Lien, (4) the Note Purchase Agreement or (5) customary restrictions and conditions contained in any agreement relating to the sale of any Property permitted under </w:t>
      </w:r>
      <w:r>
        <w:rPr>
          <w:rFonts w:ascii="Arial" w:cs="Arial" w:eastAsia="Arial" w:hAnsi="Arial"/>
          <w:sz w:val="11"/>
          <w:szCs w:val="11"/>
          <w:u w:val="single" w:color="auto"/>
          <w:color w:val="auto"/>
        </w:rPr>
        <w:t>Section 8.05</w:t>
      </w:r>
      <w:r>
        <w:rPr>
          <w:rFonts w:ascii="Arial" w:cs="Arial" w:eastAsia="Arial" w:hAnsi="Arial"/>
          <w:sz w:val="11"/>
          <w:szCs w:val="11"/>
          <w:color w:val="auto"/>
        </w:rPr>
        <w:t xml:space="preserve"> pending the consummation of such sale.</w:t>
      </w:r>
    </w:p>
    <w:p>
      <w:pPr>
        <w:spacing w:after="0" w:line="35" w:lineRule="exact"/>
        <w:rPr>
          <w:rFonts w:ascii="Arial" w:cs="Arial" w:eastAsia="Arial" w:hAnsi="Arial"/>
          <w:sz w:val="11"/>
          <w:szCs w:val="11"/>
          <w:color w:val="auto"/>
        </w:rPr>
      </w:pPr>
    </w:p>
    <w:p>
      <w:pPr>
        <w:ind w:right="20" w:firstLine="162"/>
        <w:spacing w:after="0" w:line="260" w:lineRule="auto"/>
        <w:tabs>
          <w:tab w:leader="none" w:pos="349" w:val="left"/>
        </w:tabs>
        <w:numPr>
          <w:ilvl w:val="0"/>
          <w:numId w:val="139"/>
        </w:numPr>
        <w:rPr>
          <w:rFonts w:ascii="Arial" w:cs="Arial" w:eastAsia="Arial" w:hAnsi="Arial"/>
          <w:sz w:val="13"/>
          <w:szCs w:val="13"/>
          <w:color w:val="auto"/>
        </w:rPr>
      </w:pPr>
      <w:r>
        <w:rPr>
          <w:rFonts w:ascii="Arial" w:cs="Arial" w:eastAsia="Arial" w:hAnsi="Arial"/>
          <w:sz w:val="13"/>
          <w:szCs w:val="13"/>
          <w:color w:val="auto"/>
        </w:rPr>
        <w:t xml:space="preserve">Enter into, or permit to exist, any Contractual Obligation that prohibits or otherwise restricts the existence of any Lien upon any of its Property in favor of the Administrative Agent (for the benefit of the Lenders) for the purpose of securing the Obligations, whether now owned or hereafter acquired, or requiring the grant of any security for any obligation if such Property is given as security for the Obligations, except (i) any document or instrument governing Indebtedness incurred pursuant to </w:t>
      </w:r>
      <w:r>
        <w:rPr>
          <w:rFonts w:ascii="Arial" w:cs="Arial" w:eastAsia="Arial" w:hAnsi="Arial"/>
          <w:sz w:val="13"/>
          <w:szCs w:val="13"/>
          <w:u w:val="single" w:color="auto"/>
          <w:color w:val="auto"/>
        </w:rPr>
        <w:t>Section 8.03(e)</w:t>
      </w:r>
      <w:r>
        <w:rPr>
          <w:rFonts w:ascii="Arial" w:cs="Arial" w:eastAsia="Arial" w:hAnsi="Arial"/>
          <w:sz w:val="13"/>
          <w:szCs w:val="13"/>
          <w:color w:val="auto"/>
        </w:rPr>
        <w:t xml:space="preserv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any such restriction contained therein relates only to the asset or assets constructed or acquired in connection therewith, (ii) in connection with any Permitted Lien or any document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277495</wp:posOffset>
            </wp:positionV>
            <wp:extent cx="7290435" cy="190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58" w:name="page159"/>
    <w:bookmarkEnd w:id="158"/>
    <w:p>
      <w:pPr>
        <w:ind w:right="220"/>
        <w:spacing w:after="0" w:line="276" w:lineRule="auto"/>
        <w:rPr>
          <w:sz w:val="20"/>
          <w:szCs w:val="20"/>
          <w:color w:val="auto"/>
        </w:rPr>
      </w:pPr>
      <w:r>
        <w:rPr>
          <w:rFonts w:ascii="Arial" w:cs="Arial" w:eastAsia="Arial" w:hAnsi="Arial"/>
          <w:sz w:val="13"/>
          <w:szCs w:val="13"/>
          <w:color w:val="auto"/>
        </w:rPr>
        <w:t xml:space="preserve">instrument governing any Permitted Lien,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any such restriction contained therein relates only to the asset or assets subject to such Permitted Lien, (iii) the Note Purchase Agreement and (iv) pursuant to customary restrictions and conditions contained in any agreement relating to the sale of any Property permitted under </w:t>
      </w:r>
      <w:r>
        <w:rPr>
          <w:rFonts w:ascii="Arial" w:cs="Arial" w:eastAsia="Arial" w:hAnsi="Arial"/>
          <w:sz w:val="13"/>
          <w:szCs w:val="13"/>
          <w:u w:val="single" w:color="auto"/>
          <w:color w:val="auto"/>
        </w:rPr>
        <w:t>Section 8.05</w:t>
      </w:r>
      <w:r>
        <w:rPr>
          <w:rFonts w:ascii="Arial" w:cs="Arial" w:eastAsia="Arial" w:hAnsi="Arial"/>
          <w:sz w:val="13"/>
          <w:szCs w:val="13"/>
          <w:color w:val="auto"/>
        </w:rPr>
        <w:t>, pending the consummation of such sale.</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8.10 </w:t>
      </w:r>
      <w:r>
        <w:rPr>
          <w:rFonts w:ascii="Arial" w:cs="Arial" w:eastAsia="Arial" w:hAnsi="Arial"/>
          <w:sz w:val="13"/>
          <w:szCs w:val="13"/>
          <w:u w:val="single" w:color="auto"/>
          <w:color w:val="auto"/>
        </w:rPr>
        <w:t>Use of Proceeds</w:t>
      </w:r>
      <w:r>
        <w:rPr>
          <w:rFonts w:ascii="Arial" w:cs="Arial" w:eastAsia="Arial" w:hAnsi="Arial"/>
          <w:sz w:val="13"/>
          <w:szCs w:val="13"/>
          <w:color w:val="auto"/>
        </w:rPr>
        <w:t>.</w:t>
      </w:r>
    </w:p>
    <w:p>
      <w:pPr>
        <w:spacing w:after="0" w:line="86"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Use the proceeds of any Credit Extension, whether directly or indirectly, and whether immediately, incidentally or ultimately, to purchase or carry margin stock (within the meaning of Regulation U of the FRB) or to extend credit to others for the purpose of purchasing or carrying margin stock or to refund indebtedness originally incurred for such purpose.</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8.11 </w:t>
      </w:r>
      <w:r>
        <w:rPr>
          <w:rFonts w:ascii="Arial" w:cs="Arial" w:eastAsia="Arial" w:hAnsi="Arial"/>
          <w:sz w:val="13"/>
          <w:szCs w:val="13"/>
          <w:u w:val="single" w:color="auto"/>
          <w:color w:val="auto"/>
        </w:rPr>
        <w:t>Financial Covenants</w:t>
      </w:r>
      <w:r>
        <w:rPr>
          <w:rFonts w:ascii="Arial" w:cs="Arial" w:eastAsia="Arial" w:hAnsi="Arial"/>
          <w:sz w:val="13"/>
          <w:szCs w:val="13"/>
          <w:color w:val="auto"/>
        </w:rPr>
        <w:t>.</w:t>
      </w:r>
    </w:p>
    <w:p>
      <w:pPr>
        <w:spacing w:after="0" w:line="86" w:lineRule="exact"/>
        <w:rPr>
          <w:sz w:val="20"/>
          <w:szCs w:val="20"/>
          <w:color w:val="auto"/>
        </w:rPr>
      </w:pPr>
    </w:p>
    <w:p>
      <w:pPr>
        <w:ind w:left="340" w:hanging="178"/>
        <w:spacing w:after="0"/>
        <w:tabs>
          <w:tab w:leader="none" w:pos="340" w:val="left"/>
        </w:tabs>
        <w:numPr>
          <w:ilvl w:val="0"/>
          <w:numId w:val="140"/>
        </w:numPr>
        <w:rPr>
          <w:rFonts w:ascii="Arial" w:cs="Arial" w:eastAsia="Arial" w:hAnsi="Arial"/>
          <w:sz w:val="13"/>
          <w:szCs w:val="13"/>
          <w:color w:val="auto"/>
        </w:rPr>
      </w:pPr>
      <w:r>
        <w:rPr>
          <w:rFonts w:ascii="Arial" w:cs="Arial" w:eastAsia="Arial" w:hAnsi="Arial"/>
          <w:sz w:val="13"/>
          <w:szCs w:val="13"/>
          <w:u w:val="single" w:color="auto"/>
          <w:color w:val="auto"/>
        </w:rPr>
        <w:t>Consolidated Leverage Ratio</w:t>
      </w:r>
      <w:r>
        <w:rPr>
          <w:rFonts w:ascii="Arial" w:cs="Arial" w:eastAsia="Arial" w:hAnsi="Arial"/>
          <w:sz w:val="13"/>
          <w:szCs w:val="13"/>
          <w:color w:val="auto"/>
        </w:rPr>
        <w:t>. Permit the Consolidated Leverage Ratio as of the end of any fiscal quarter of the Company to be greater than 3.00:1.0.</w:t>
      </w:r>
    </w:p>
    <w:p>
      <w:pPr>
        <w:spacing w:after="0" w:line="86" w:lineRule="exact"/>
        <w:rPr>
          <w:rFonts w:ascii="Arial" w:cs="Arial" w:eastAsia="Arial" w:hAnsi="Arial"/>
          <w:sz w:val="13"/>
          <w:szCs w:val="13"/>
          <w:color w:val="auto"/>
        </w:rPr>
      </w:pPr>
    </w:p>
    <w:p>
      <w:pPr>
        <w:ind w:left="340" w:hanging="178"/>
        <w:spacing w:after="0"/>
        <w:tabs>
          <w:tab w:leader="none" w:pos="340" w:val="left"/>
        </w:tabs>
        <w:numPr>
          <w:ilvl w:val="0"/>
          <w:numId w:val="140"/>
        </w:numPr>
        <w:rPr>
          <w:rFonts w:ascii="Arial" w:cs="Arial" w:eastAsia="Arial" w:hAnsi="Arial"/>
          <w:sz w:val="13"/>
          <w:szCs w:val="13"/>
          <w:color w:val="auto"/>
        </w:rPr>
      </w:pPr>
      <w:r>
        <w:rPr>
          <w:rFonts w:ascii="Arial" w:cs="Arial" w:eastAsia="Arial" w:hAnsi="Arial"/>
          <w:sz w:val="13"/>
          <w:szCs w:val="13"/>
          <w:u w:val="single" w:color="auto"/>
          <w:color w:val="auto"/>
        </w:rPr>
        <w:t>Consolidated Interest Coverage Ratio</w:t>
      </w:r>
      <w:r>
        <w:rPr>
          <w:rFonts w:ascii="Arial" w:cs="Arial" w:eastAsia="Arial" w:hAnsi="Arial"/>
          <w:sz w:val="13"/>
          <w:szCs w:val="13"/>
          <w:color w:val="auto"/>
        </w:rPr>
        <w:t>. Permit the Consolidated Interest Coverage Ratio as of the end of any fiscal quarter of the Company to be less than 3.00:1.0.</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8.12 </w:t>
      </w:r>
      <w:r>
        <w:rPr>
          <w:rFonts w:ascii="Arial" w:cs="Arial" w:eastAsia="Arial" w:hAnsi="Arial"/>
          <w:sz w:val="13"/>
          <w:szCs w:val="13"/>
          <w:u w:val="single" w:color="auto"/>
          <w:color w:val="auto"/>
        </w:rPr>
        <w:t>Prepayment of Other Indebtedness, Etc.</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If any Default has occurred and is continuing or would be directly or indirectly caused as a result thereof:</w:t>
      </w:r>
    </w:p>
    <w:p>
      <w:pPr>
        <w:spacing w:after="0" w:line="86" w:lineRule="exact"/>
        <w:rPr>
          <w:sz w:val="20"/>
          <w:szCs w:val="20"/>
          <w:color w:val="auto"/>
        </w:rPr>
      </w:pPr>
    </w:p>
    <w:p>
      <w:pPr>
        <w:ind w:right="20" w:firstLine="162"/>
        <w:spacing w:after="0" w:line="264" w:lineRule="auto"/>
        <w:tabs>
          <w:tab w:leader="none" w:pos="335" w:val="left"/>
        </w:tabs>
        <w:numPr>
          <w:ilvl w:val="0"/>
          <w:numId w:val="141"/>
        </w:numPr>
        <w:rPr>
          <w:rFonts w:ascii="Arial" w:cs="Arial" w:eastAsia="Arial" w:hAnsi="Arial"/>
          <w:sz w:val="13"/>
          <w:szCs w:val="13"/>
          <w:color w:val="auto"/>
        </w:rPr>
      </w:pPr>
      <w:r>
        <w:rPr>
          <w:rFonts w:ascii="Arial" w:cs="Arial" w:eastAsia="Arial" w:hAnsi="Arial"/>
          <w:sz w:val="13"/>
          <w:szCs w:val="13"/>
          <w:color w:val="auto"/>
        </w:rPr>
        <w:t>Amend or modify any of the terms of any Indebtedness of the Company or any Subsidiary (other than Indebtedness arising under the Loan Documents) if such amendment or modification would add or change any terms in a manner adverse to the Company or any Subsidiary, or shorten the final maturity or average life to maturity or require any payment to be made sooner than originally scheduled or increase the interest rate applicable thereto.</w:t>
      </w:r>
    </w:p>
    <w:p>
      <w:pPr>
        <w:spacing w:after="0" w:line="57" w:lineRule="exact"/>
        <w:rPr>
          <w:rFonts w:ascii="Arial" w:cs="Arial" w:eastAsia="Arial" w:hAnsi="Arial"/>
          <w:sz w:val="13"/>
          <w:szCs w:val="13"/>
          <w:color w:val="auto"/>
        </w:rPr>
      </w:pPr>
    </w:p>
    <w:p>
      <w:pPr>
        <w:ind w:right="80" w:firstLine="162"/>
        <w:spacing w:after="0" w:line="264" w:lineRule="auto"/>
        <w:tabs>
          <w:tab w:leader="none" w:pos="349" w:val="left"/>
        </w:tabs>
        <w:numPr>
          <w:ilvl w:val="0"/>
          <w:numId w:val="141"/>
        </w:numPr>
        <w:rPr>
          <w:rFonts w:ascii="Arial" w:cs="Arial" w:eastAsia="Arial" w:hAnsi="Arial"/>
          <w:sz w:val="13"/>
          <w:szCs w:val="13"/>
          <w:color w:val="auto"/>
        </w:rPr>
      </w:pPr>
      <w:r>
        <w:rPr>
          <w:rFonts w:ascii="Arial" w:cs="Arial" w:eastAsia="Arial" w:hAnsi="Arial"/>
          <w:sz w:val="13"/>
          <w:szCs w:val="13"/>
          <w:color w:val="auto"/>
        </w:rPr>
        <w:t>Make (or give any notice with respect thereto) any voluntary or optional payment or prepayment or redemption or acquisition for value of (including without limitation, by way of depositing money or securities with the trustee with respect thereto before due for the purpose of paying when due), refund, refinance or exchange of any Indebtedness of the Company or any Subsidiary (other than Indebtedness arising under the Loan Documents).</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8.13 </w:t>
      </w:r>
      <w:r>
        <w:rPr>
          <w:rFonts w:ascii="Arial" w:cs="Arial" w:eastAsia="Arial" w:hAnsi="Arial"/>
          <w:sz w:val="13"/>
          <w:szCs w:val="13"/>
          <w:u w:val="single" w:color="auto"/>
          <w:color w:val="auto"/>
        </w:rPr>
        <w:t>Organization Documents; Fiscal Year; Legal Name, State of Formation and Form of Entity</w:t>
      </w:r>
      <w:r>
        <w:rPr>
          <w:rFonts w:ascii="Arial" w:cs="Arial" w:eastAsia="Arial" w:hAnsi="Arial"/>
          <w:sz w:val="13"/>
          <w:szCs w:val="13"/>
          <w:color w:val="auto"/>
        </w:rPr>
        <w:t>.</w:t>
      </w:r>
    </w:p>
    <w:p>
      <w:pPr>
        <w:spacing w:after="0" w:line="86" w:lineRule="exact"/>
        <w:rPr>
          <w:sz w:val="20"/>
          <w:szCs w:val="20"/>
          <w:color w:val="auto"/>
        </w:rPr>
      </w:pPr>
    </w:p>
    <w:p>
      <w:pPr>
        <w:ind w:left="680" w:hanging="337"/>
        <w:spacing w:after="0"/>
        <w:tabs>
          <w:tab w:leader="none" w:pos="680" w:val="left"/>
        </w:tabs>
        <w:numPr>
          <w:ilvl w:val="0"/>
          <w:numId w:val="142"/>
        </w:numPr>
        <w:rPr>
          <w:rFonts w:ascii="Arial" w:cs="Arial" w:eastAsia="Arial" w:hAnsi="Arial"/>
          <w:sz w:val="13"/>
          <w:szCs w:val="13"/>
          <w:color w:val="auto"/>
        </w:rPr>
      </w:pPr>
      <w:r>
        <w:rPr>
          <w:rFonts w:ascii="Arial" w:cs="Arial" w:eastAsia="Arial" w:hAnsi="Arial"/>
          <w:sz w:val="13"/>
          <w:szCs w:val="13"/>
          <w:color w:val="auto"/>
        </w:rPr>
        <w:t>Amend, modify or change its Organization Documents in a manner adverse to the Lenders.</w:t>
      </w:r>
    </w:p>
    <w:p>
      <w:pPr>
        <w:spacing w:after="0" w:line="96" w:lineRule="exact"/>
        <w:rPr>
          <w:rFonts w:ascii="Arial" w:cs="Arial" w:eastAsia="Arial" w:hAnsi="Arial"/>
          <w:sz w:val="13"/>
          <w:szCs w:val="13"/>
          <w:color w:val="auto"/>
        </w:rPr>
      </w:pPr>
    </w:p>
    <w:p>
      <w:pPr>
        <w:ind w:left="680" w:hanging="337"/>
        <w:spacing w:after="0"/>
        <w:tabs>
          <w:tab w:leader="none" w:pos="680" w:val="left"/>
        </w:tabs>
        <w:numPr>
          <w:ilvl w:val="0"/>
          <w:numId w:val="142"/>
        </w:numPr>
        <w:rPr>
          <w:rFonts w:ascii="Arial" w:cs="Arial" w:eastAsia="Arial" w:hAnsi="Arial"/>
          <w:sz w:val="13"/>
          <w:szCs w:val="13"/>
          <w:color w:val="auto"/>
        </w:rPr>
      </w:pPr>
      <w:r>
        <w:rPr>
          <w:rFonts w:ascii="Arial" w:cs="Arial" w:eastAsia="Arial" w:hAnsi="Arial"/>
          <w:sz w:val="13"/>
          <w:szCs w:val="13"/>
          <w:color w:val="auto"/>
        </w:rPr>
        <w:t>Change its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1" w:right="259" w:bottom="1440" w:gutter="0" w:footer="0" w:header="0"/>
        </w:sectPr>
      </w:pPr>
    </w:p>
    <w:bookmarkStart w:id="159" w:name="page160"/>
    <w:bookmarkEnd w:id="159"/>
    <w:p>
      <w:pPr>
        <w:jc w:val="center"/>
        <w:spacing w:after="0"/>
        <w:rPr>
          <w:sz w:val="20"/>
          <w:szCs w:val="20"/>
          <w:color w:val="auto"/>
        </w:rPr>
      </w:pPr>
      <w:r>
        <w:rPr>
          <w:rFonts w:ascii="Arial" w:cs="Arial" w:eastAsia="Arial" w:hAnsi="Arial"/>
          <w:sz w:val="13"/>
          <w:szCs w:val="13"/>
          <w:color w:val="auto"/>
        </w:rPr>
        <w:t>ARTICLE IX</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EVENTS OF DEFAULT AND REMEDIES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9.01 </w:t>
      </w:r>
      <w:r>
        <w:rPr>
          <w:rFonts w:ascii="Arial" w:cs="Arial" w:eastAsia="Arial" w:hAnsi="Arial"/>
          <w:sz w:val="13"/>
          <w:szCs w:val="13"/>
          <w:u w:val="single" w:color="auto"/>
          <w:color w:val="auto"/>
        </w:rPr>
        <w:t>Events of Defaul</w:t>
      </w:r>
      <w:r>
        <w:rPr>
          <w:rFonts w:ascii="Arial" w:cs="Arial" w:eastAsia="Arial" w:hAnsi="Arial"/>
          <w:sz w:val="13"/>
          <w:szCs w:val="13"/>
          <w:color w:val="auto"/>
        </w:rPr>
        <w:t>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Any of the following shall constitute an Event of Default:</w:t>
      </w:r>
    </w:p>
    <w:p>
      <w:pPr>
        <w:spacing w:after="0" w:line="86" w:lineRule="exact"/>
        <w:rPr>
          <w:sz w:val="20"/>
          <w:szCs w:val="20"/>
          <w:color w:val="auto"/>
        </w:rPr>
      </w:pPr>
    </w:p>
    <w:p>
      <w:pPr>
        <w:ind w:left="220" w:firstLine="172"/>
        <w:spacing w:after="0" w:line="264" w:lineRule="auto"/>
        <w:tabs>
          <w:tab w:leader="none" w:pos="562" w:val="left"/>
        </w:tabs>
        <w:numPr>
          <w:ilvl w:val="1"/>
          <w:numId w:val="143"/>
        </w:numPr>
        <w:rPr>
          <w:rFonts w:ascii="Arial" w:cs="Arial" w:eastAsia="Arial" w:hAnsi="Arial"/>
          <w:sz w:val="13"/>
          <w:szCs w:val="13"/>
          <w:color w:val="auto"/>
        </w:rPr>
      </w:pPr>
      <w:r>
        <w:rPr>
          <w:rFonts w:ascii="Arial" w:cs="Arial" w:eastAsia="Arial" w:hAnsi="Arial"/>
          <w:sz w:val="13"/>
          <w:szCs w:val="13"/>
          <w:u w:val="single" w:color="auto"/>
          <w:color w:val="auto"/>
        </w:rPr>
        <w:t>Non-Payment</w:t>
      </w:r>
      <w:r>
        <w:rPr>
          <w:rFonts w:ascii="Arial" w:cs="Arial" w:eastAsia="Arial" w:hAnsi="Arial"/>
          <w:sz w:val="13"/>
          <w:szCs w:val="13"/>
          <w:color w:val="auto"/>
        </w:rPr>
        <w:t>. Any Loan Party fails to pay (i) when and as required to be paid herein, and in the currency required hereunder, any amount of principal of any Loan or any L/C Obligation, or (ii) within three days after the same becomes due, any interest on any Loan or on any L/C Obligation, or any fee due hereunder, or (iii) within five days after the same becomes due, any other amount payable hereunder or under any other Loan Document; or</w:t>
      </w:r>
    </w:p>
    <w:p>
      <w:pPr>
        <w:spacing w:after="0" w:line="57" w:lineRule="exact"/>
        <w:rPr>
          <w:rFonts w:ascii="Arial" w:cs="Arial" w:eastAsia="Arial" w:hAnsi="Arial"/>
          <w:sz w:val="13"/>
          <w:szCs w:val="13"/>
          <w:color w:val="auto"/>
        </w:rPr>
      </w:pPr>
    </w:p>
    <w:p>
      <w:pPr>
        <w:ind w:left="580" w:hanging="188"/>
        <w:spacing w:after="0"/>
        <w:tabs>
          <w:tab w:leader="none" w:pos="580" w:val="left"/>
        </w:tabs>
        <w:numPr>
          <w:ilvl w:val="1"/>
          <w:numId w:val="143"/>
        </w:numPr>
        <w:rPr>
          <w:rFonts w:ascii="Arial" w:cs="Arial" w:eastAsia="Arial" w:hAnsi="Arial"/>
          <w:sz w:val="13"/>
          <w:szCs w:val="13"/>
          <w:color w:val="auto"/>
        </w:rPr>
      </w:pPr>
      <w:r>
        <w:rPr>
          <w:rFonts w:ascii="Arial" w:cs="Arial" w:eastAsia="Arial" w:hAnsi="Arial"/>
          <w:sz w:val="13"/>
          <w:szCs w:val="13"/>
          <w:u w:val="single" w:color="auto"/>
          <w:color w:val="auto"/>
        </w:rPr>
        <w:t>Specific Covenants</w:t>
      </w:r>
      <w:r>
        <w:rPr>
          <w:rFonts w:ascii="Arial" w:cs="Arial" w:eastAsia="Arial" w:hAnsi="Arial"/>
          <w:sz w:val="13"/>
          <w:szCs w:val="13"/>
          <w:color w:val="auto"/>
        </w:rPr>
        <w:t xml:space="preserve">. The Loan Parties fail to perform or observe any term, covenant or agreement contained in any of </w:t>
      </w:r>
      <w:r>
        <w:rPr>
          <w:rFonts w:ascii="Arial" w:cs="Arial" w:eastAsia="Arial" w:hAnsi="Arial"/>
          <w:sz w:val="13"/>
          <w:szCs w:val="13"/>
          <w:u w:val="single" w:color="auto"/>
          <w:color w:val="auto"/>
        </w:rPr>
        <w:t>Section 7.01</w:t>
      </w:r>
      <w:r>
        <w:rPr>
          <w:rFonts w:ascii="Arial" w:cs="Arial" w:eastAsia="Arial" w:hAnsi="Arial"/>
          <w:sz w:val="13"/>
          <w:szCs w:val="13"/>
          <w:color w:val="auto"/>
        </w:rPr>
        <w:t xml:space="preserve">, </w:t>
      </w:r>
      <w:r>
        <w:rPr>
          <w:rFonts w:ascii="Arial" w:cs="Arial" w:eastAsia="Arial" w:hAnsi="Arial"/>
          <w:sz w:val="13"/>
          <w:szCs w:val="13"/>
          <w:u w:val="single" w:color="auto"/>
          <w:color w:val="auto"/>
        </w:rPr>
        <w:t>7.02</w:t>
      </w:r>
      <w:r>
        <w:rPr>
          <w:rFonts w:ascii="Arial" w:cs="Arial" w:eastAsia="Arial" w:hAnsi="Arial"/>
          <w:sz w:val="13"/>
          <w:szCs w:val="13"/>
          <w:color w:val="auto"/>
        </w:rPr>
        <w:t xml:space="preserve">, </w:t>
      </w:r>
      <w:r>
        <w:rPr>
          <w:rFonts w:ascii="Arial" w:cs="Arial" w:eastAsia="Arial" w:hAnsi="Arial"/>
          <w:sz w:val="13"/>
          <w:szCs w:val="13"/>
          <w:u w:val="single" w:color="auto"/>
          <w:color w:val="auto"/>
        </w:rPr>
        <w:t>7.03</w:t>
      </w:r>
      <w:r>
        <w:rPr>
          <w:rFonts w:ascii="Arial" w:cs="Arial" w:eastAsia="Arial" w:hAnsi="Arial"/>
          <w:sz w:val="13"/>
          <w:szCs w:val="13"/>
          <w:color w:val="auto"/>
        </w:rPr>
        <w:t xml:space="preserve">, </w:t>
      </w:r>
      <w:r>
        <w:rPr>
          <w:rFonts w:ascii="Arial" w:cs="Arial" w:eastAsia="Arial" w:hAnsi="Arial"/>
          <w:sz w:val="13"/>
          <w:szCs w:val="13"/>
          <w:u w:val="single" w:color="auto"/>
          <w:color w:val="auto"/>
        </w:rPr>
        <w:t>7.05</w:t>
      </w:r>
      <w:r>
        <w:rPr>
          <w:rFonts w:ascii="Arial" w:cs="Arial" w:eastAsia="Arial" w:hAnsi="Arial"/>
          <w:sz w:val="13"/>
          <w:szCs w:val="13"/>
          <w:color w:val="auto"/>
        </w:rPr>
        <w:t xml:space="preserve">, </w:t>
      </w:r>
      <w:r>
        <w:rPr>
          <w:rFonts w:ascii="Arial" w:cs="Arial" w:eastAsia="Arial" w:hAnsi="Arial"/>
          <w:sz w:val="13"/>
          <w:szCs w:val="13"/>
          <w:u w:val="single" w:color="auto"/>
          <w:color w:val="auto"/>
        </w:rPr>
        <w:t>7.10</w:t>
      </w:r>
      <w:r>
        <w:rPr>
          <w:rFonts w:ascii="Arial" w:cs="Arial" w:eastAsia="Arial" w:hAnsi="Arial"/>
          <w:sz w:val="13"/>
          <w:szCs w:val="13"/>
          <w:color w:val="auto"/>
        </w:rPr>
        <w:t xml:space="preserve">, </w:t>
      </w:r>
      <w:r>
        <w:rPr>
          <w:rFonts w:ascii="Arial" w:cs="Arial" w:eastAsia="Arial" w:hAnsi="Arial"/>
          <w:sz w:val="13"/>
          <w:szCs w:val="13"/>
          <w:u w:val="single" w:color="auto"/>
          <w:color w:val="auto"/>
        </w:rPr>
        <w:t>7.11</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7.12</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Article VIII</w:t>
      </w:r>
      <w:r>
        <w:rPr>
          <w:rFonts w:ascii="Arial" w:cs="Arial" w:eastAsia="Arial" w:hAnsi="Arial"/>
          <w:sz w:val="13"/>
          <w:szCs w:val="13"/>
          <w:color w:val="auto"/>
        </w:rPr>
        <w:t xml:space="preserve"> or</w:t>
      </w:r>
    </w:p>
    <w:p>
      <w:pPr>
        <w:spacing w:after="0" w:line="86" w:lineRule="exact"/>
        <w:rPr>
          <w:rFonts w:ascii="Arial" w:cs="Arial" w:eastAsia="Arial" w:hAnsi="Arial"/>
          <w:sz w:val="13"/>
          <w:szCs w:val="13"/>
          <w:color w:val="auto"/>
        </w:rPr>
      </w:pPr>
    </w:p>
    <w:p>
      <w:pPr>
        <w:ind w:left="220" w:right="320" w:firstLine="172"/>
        <w:spacing w:after="0" w:line="320" w:lineRule="auto"/>
        <w:tabs>
          <w:tab w:leader="none" w:pos="562" w:val="left"/>
        </w:tabs>
        <w:numPr>
          <w:ilvl w:val="1"/>
          <w:numId w:val="143"/>
        </w:numPr>
        <w:rPr>
          <w:rFonts w:ascii="Arial" w:cs="Arial" w:eastAsia="Arial" w:hAnsi="Arial"/>
          <w:sz w:val="12"/>
          <w:szCs w:val="12"/>
          <w:color w:val="auto"/>
        </w:rPr>
      </w:pPr>
      <w:r>
        <w:rPr>
          <w:rFonts w:ascii="Arial" w:cs="Arial" w:eastAsia="Arial" w:hAnsi="Arial"/>
          <w:sz w:val="12"/>
          <w:szCs w:val="12"/>
          <w:u w:val="single" w:color="auto"/>
          <w:color w:val="auto"/>
        </w:rPr>
        <w:t>Other Defaults</w:t>
      </w:r>
      <w:r>
        <w:rPr>
          <w:rFonts w:ascii="Arial" w:cs="Arial" w:eastAsia="Arial" w:hAnsi="Arial"/>
          <w:sz w:val="12"/>
          <w:szCs w:val="12"/>
          <w:color w:val="auto"/>
        </w:rPr>
        <w:t>. Any Loan Party fails to perform or observe any other covenant or agreement (not specified in subsection (a) or (b) above) contained in any Loan Document on its part to be performed or observed and such failure continues for thirty days after the earlier to occur of notice thereof from the Administrative Agent or a Loan Party becoming aware of such failure; or</w:t>
      </w:r>
    </w:p>
    <w:p>
      <w:pPr>
        <w:spacing w:after="0" w:line="25" w:lineRule="exact"/>
        <w:rPr>
          <w:rFonts w:ascii="Arial" w:cs="Arial" w:eastAsia="Arial" w:hAnsi="Arial"/>
          <w:sz w:val="12"/>
          <w:szCs w:val="12"/>
          <w:color w:val="auto"/>
        </w:rPr>
      </w:pPr>
    </w:p>
    <w:p>
      <w:pPr>
        <w:ind w:left="220" w:firstLine="172"/>
        <w:spacing w:after="0" w:line="276" w:lineRule="auto"/>
        <w:tabs>
          <w:tab w:leader="none" w:pos="569" w:val="left"/>
        </w:tabs>
        <w:numPr>
          <w:ilvl w:val="1"/>
          <w:numId w:val="143"/>
        </w:numPr>
        <w:rPr>
          <w:rFonts w:ascii="Arial" w:cs="Arial" w:eastAsia="Arial" w:hAnsi="Arial"/>
          <w:sz w:val="13"/>
          <w:szCs w:val="13"/>
          <w:color w:val="auto"/>
        </w:rPr>
      </w:pPr>
      <w:r>
        <w:rPr>
          <w:rFonts w:ascii="Arial" w:cs="Arial" w:eastAsia="Arial" w:hAnsi="Arial"/>
          <w:sz w:val="13"/>
          <w:szCs w:val="13"/>
          <w:u w:val="single" w:color="auto"/>
          <w:color w:val="auto"/>
        </w:rPr>
        <w:t>Representations and Warranties</w:t>
      </w:r>
      <w:r>
        <w:rPr>
          <w:rFonts w:ascii="Arial" w:cs="Arial" w:eastAsia="Arial" w:hAnsi="Arial"/>
          <w:sz w:val="13"/>
          <w:szCs w:val="13"/>
          <w:color w:val="auto"/>
        </w:rPr>
        <w:t>. Any representation, warranty, certification or statement of fact made or deemed made by or on behalf of a Loan Party herein, in any other Loan Document, or in any document delivered in connection herewith or therewith shall be incorrect or misleading in any material respect when made or deemed made; or</w:t>
      </w:r>
    </w:p>
    <w:p>
      <w:pPr>
        <w:spacing w:after="0" w:line="49" w:lineRule="exact"/>
        <w:rPr>
          <w:rFonts w:ascii="Arial" w:cs="Arial" w:eastAsia="Arial" w:hAnsi="Arial"/>
          <w:sz w:val="13"/>
          <w:szCs w:val="13"/>
          <w:color w:val="auto"/>
        </w:rPr>
      </w:pPr>
    </w:p>
    <w:p>
      <w:pPr>
        <w:ind w:left="220" w:right="80" w:firstLine="172"/>
        <w:spacing w:after="0" w:line="300" w:lineRule="auto"/>
        <w:tabs>
          <w:tab w:leader="none" w:pos="562" w:val="left"/>
        </w:tabs>
        <w:numPr>
          <w:ilvl w:val="1"/>
          <w:numId w:val="143"/>
        </w:numPr>
        <w:rPr>
          <w:rFonts w:ascii="Arial" w:cs="Arial" w:eastAsia="Arial" w:hAnsi="Arial"/>
          <w:sz w:val="11"/>
          <w:szCs w:val="11"/>
          <w:color w:val="auto"/>
        </w:rPr>
      </w:pPr>
      <w:r>
        <w:rPr>
          <w:rFonts w:ascii="Arial" w:cs="Arial" w:eastAsia="Arial" w:hAnsi="Arial"/>
          <w:sz w:val="11"/>
          <w:szCs w:val="11"/>
          <w:u w:val="single" w:color="auto"/>
          <w:color w:val="auto"/>
        </w:rPr>
        <w:t>Cross-Default</w:t>
      </w:r>
      <w:r>
        <w:rPr>
          <w:rFonts w:ascii="Arial" w:cs="Arial" w:eastAsia="Arial" w:hAnsi="Arial"/>
          <w:sz w:val="11"/>
          <w:szCs w:val="11"/>
          <w:color w:val="auto"/>
        </w:rPr>
        <w:t>. (i) The Company or any Subsidiary (A) fails to make any payment when due (whether by scheduled maturity, required prepayment, acceleration, demand, or otherwise) in respect of any Indebtedness or Guarantee (other than Indebtedness hereunder and Indebtedness under Swap Contracts) having an aggregate principal amount (including undrawn committed or available amounts and including amounts owing to all creditors under any combined or syndicated credit arrangement) of more than the Threshold Amount, or (B) fails to observe or perform any other agreement or condition relating to any such Indebtedness or Guarantee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or (ii) there occurs under any Swap Contract an Early Termination Date (as defined in such Swap Contract) resulting from (A) any event of default under such Swap Contract as to which the Company or any Subsidiary is the Defaulting Party (as defined in such Swap Contract) or</w:t>
      </w:r>
    </w:p>
    <w:p>
      <w:pPr>
        <w:ind w:left="220" w:right="160" w:firstLine="8"/>
        <w:spacing w:after="0" w:line="264" w:lineRule="auto"/>
        <w:tabs>
          <w:tab w:leader="none" w:pos="427" w:val="left"/>
        </w:tabs>
        <w:numPr>
          <w:ilvl w:val="0"/>
          <w:numId w:val="144"/>
        </w:numPr>
        <w:rPr>
          <w:rFonts w:ascii="Arial" w:cs="Arial" w:eastAsia="Arial" w:hAnsi="Arial"/>
          <w:sz w:val="13"/>
          <w:szCs w:val="13"/>
          <w:color w:val="auto"/>
        </w:rPr>
      </w:pPr>
      <w:r>
        <w:rPr>
          <w:rFonts w:ascii="Arial" w:cs="Arial" w:eastAsia="Arial" w:hAnsi="Arial"/>
          <w:sz w:val="13"/>
          <w:szCs w:val="13"/>
          <w:color w:val="auto"/>
        </w:rPr>
        <w:t>any Termination Event (as so defined) under such Swap Contract as to which the Company or any Subsidiary is an Affected Party (as so defined) and, in either event, the Swap Termination Value owed by the Company or such Subsidiary as a result thereof is greater than the Threshold Amount;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275590</wp:posOffset>
            </wp:positionV>
            <wp:extent cx="7290435" cy="190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956" w:right="219" w:bottom="1440" w:gutter="0" w:footer="0" w:header="0"/>
        </w:sectPr>
      </w:pPr>
    </w:p>
    <w:bookmarkStart w:id="160" w:name="page161"/>
    <w:bookmarkEnd w:id="160"/>
    <w:p>
      <w:pPr>
        <w:ind w:left="220" w:right="100" w:firstLine="172"/>
        <w:spacing w:after="0" w:line="258" w:lineRule="auto"/>
        <w:tabs>
          <w:tab w:leader="none" w:pos="547" w:val="left"/>
        </w:tabs>
        <w:numPr>
          <w:ilvl w:val="0"/>
          <w:numId w:val="145"/>
        </w:numPr>
        <w:rPr>
          <w:rFonts w:ascii="Arial" w:cs="Arial" w:eastAsia="Arial" w:hAnsi="Arial"/>
          <w:sz w:val="13"/>
          <w:szCs w:val="13"/>
          <w:color w:val="auto"/>
        </w:rPr>
      </w:pPr>
      <w:r>
        <w:rPr>
          <w:rFonts w:ascii="Arial" w:cs="Arial" w:eastAsia="Arial" w:hAnsi="Arial"/>
          <w:sz w:val="13"/>
          <w:szCs w:val="13"/>
          <w:u w:val="single" w:color="auto"/>
          <w:color w:val="auto"/>
        </w:rPr>
        <w:t>Insolvency Proceedings, Etc.</w:t>
      </w:r>
      <w:r>
        <w:rPr>
          <w:rFonts w:ascii="Arial" w:cs="Arial" w:eastAsia="Arial" w:hAnsi="Arial"/>
          <w:sz w:val="13"/>
          <w:szCs w:val="13"/>
          <w:color w:val="auto"/>
        </w:rPr>
        <w:t xml:space="preserve"> Any Loan Party or any of its Subsidiaries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sixty calendar days; or any proceeding under any Debtor Relief Law relating to any such Person or to all or any material part of its property is instituted without the consent of such Person and continues undismissed or unstayed for sixty calendar days, or an order for relief is entered in any such proceeding; or</w:t>
      </w:r>
    </w:p>
    <w:p>
      <w:pPr>
        <w:spacing w:after="0" w:line="61" w:lineRule="exact"/>
        <w:rPr>
          <w:rFonts w:ascii="Arial" w:cs="Arial" w:eastAsia="Arial" w:hAnsi="Arial"/>
          <w:sz w:val="13"/>
          <w:szCs w:val="13"/>
          <w:color w:val="auto"/>
        </w:rPr>
      </w:pPr>
    </w:p>
    <w:p>
      <w:pPr>
        <w:ind w:left="220" w:firstLine="172"/>
        <w:spacing w:after="0" w:line="371" w:lineRule="auto"/>
        <w:tabs>
          <w:tab w:leader="none" w:pos="569" w:val="left"/>
        </w:tabs>
        <w:numPr>
          <w:ilvl w:val="0"/>
          <w:numId w:val="145"/>
        </w:numPr>
        <w:rPr>
          <w:rFonts w:ascii="Arial" w:cs="Arial" w:eastAsia="Arial" w:hAnsi="Arial"/>
          <w:sz w:val="11"/>
          <w:szCs w:val="11"/>
          <w:color w:val="auto"/>
        </w:rPr>
      </w:pPr>
      <w:r>
        <w:rPr>
          <w:rFonts w:ascii="Arial" w:cs="Arial" w:eastAsia="Arial" w:hAnsi="Arial"/>
          <w:sz w:val="11"/>
          <w:szCs w:val="11"/>
          <w:u w:val="single" w:color="auto"/>
          <w:color w:val="auto"/>
        </w:rPr>
        <w:t>Inability to Pay Debts; Attachment</w:t>
      </w:r>
      <w:r>
        <w:rPr>
          <w:rFonts w:ascii="Arial" w:cs="Arial" w:eastAsia="Arial" w:hAnsi="Arial"/>
          <w:sz w:val="11"/>
          <w:szCs w:val="11"/>
          <w:color w:val="auto"/>
        </w:rPr>
        <w:t>. (i) The Company or any Subsidiary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thirty days after its issue or levy; or</w:t>
      </w:r>
    </w:p>
    <w:p>
      <w:pPr>
        <w:spacing w:after="0" w:line="2" w:lineRule="exact"/>
        <w:rPr>
          <w:rFonts w:ascii="Arial" w:cs="Arial" w:eastAsia="Arial" w:hAnsi="Arial"/>
          <w:sz w:val="11"/>
          <w:szCs w:val="11"/>
          <w:color w:val="auto"/>
        </w:rPr>
      </w:pPr>
    </w:p>
    <w:p>
      <w:pPr>
        <w:ind w:left="220" w:right="60" w:firstLine="172"/>
        <w:spacing w:after="0" w:line="260" w:lineRule="auto"/>
        <w:tabs>
          <w:tab w:leader="none" w:pos="569" w:val="left"/>
        </w:tabs>
        <w:numPr>
          <w:ilvl w:val="0"/>
          <w:numId w:val="145"/>
        </w:numPr>
        <w:rPr>
          <w:rFonts w:ascii="Arial" w:cs="Arial" w:eastAsia="Arial" w:hAnsi="Arial"/>
          <w:sz w:val="13"/>
          <w:szCs w:val="13"/>
          <w:color w:val="auto"/>
        </w:rPr>
      </w:pPr>
      <w:r>
        <w:rPr>
          <w:rFonts w:ascii="Arial" w:cs="Arial" w:eastAsia="Arial" w:hAnsi="Arial"/>
          <w:sz w:val="13"/>
          <w:szCs w:val="13"/>
          <w:u w:val="single" w:color="auto"/>
          <w:color w:val="auto"/>
        </w:rPr>
        <w:t>Judgments</w:t>
      </w:r>
      <w:r>
        <w:rPr>
          <w:rFonts w:ascii="Arial" w:cs="Arial" w:eastAsia="Arial" w:hAnsi="Arial"/>
          <w:sz w:val="13"/>
          <w:szCs w:val="13"/>
          <w:color w:val="auto"/>
        </w:rPr>
        <w:t>. There is entered against the Company or any Subsidiary (i) one or more final judgments or orders for the payment of money in an aggregate amount exceeding the Threshold Amount (to the extent not covered by independent third-party insurance as to which the insurer does not dispute coverage), or (ii) any one or more non-monetary final judgments that have, or could reasonably be expected to have, individually or in the aggregate, a Material Adverse Effect and, in either case, (A) enforcement proceedings are commenced by any creditor upon such judgment or order, or (B) there is a period of ten consecutive days during which a stay of enforcement of such judgment, by reason of a pending appeal or otherwise, is not in effect; or</w:t>
      </w:r>
    </w:p>
    <w:p>
      <w:pPr>
        <w:spacing w:after="0" w:line="59" w:lineRule="exact"/>
        <w:rPr>
          <w:rFonts w:ascii="Arial" w:cs="Arial" w:eastAsia="Arial" w:hAnsi="Arial"/>
          <w:sz w:val="13"/>
          <w:szCs w:val="13"/>
          <w:color w:val="auto"/>
        </w:rPr>
      </w:pPr>
    </w:p>
    <w:p>
      <w:pPr>
        <w:ind w:left="220" w:right="100" w:firstLine="172"/>
        <w:spacing w:after="0" w:line="296" w:lineRule="auto"/>
        <w:tabs>
          <w:tab w:leader="none" w:pos="540" w:val="left"/>
        </w:tabs>
        <w:numPr>
          <w:ilvl w:val="0"/>
          <w:numId w:val="145"/>
        </w:numPr>
        <w:rPr>
          <w:rFonts w:ascii="Arial" w:cs="Arial" w:eastAsia="Arial" w:hAnsi="Arial"/>
          <w:sz w:val="12"/>
          <w:szCs w:val="12"/>
          <w:color w:val="auto"/>
        </w:rPr>
      </w:pPr>
      <w:r>
        <w:rPr>
          <w:rFonts w:ascii="Arial" w:cs="Arial" w:eastAsia="Arial" w:hAnsi="Arial"/>
          <w:sz w:val="12"/>
          <w:szCs w:val="12"/>
          <w:u w:val="single" w:color="auto"/>
          <w:color w:val="auto"/>
        </w:rPr>
        <w:t>ERISA</w:t>
      </w:r>
      <w:r>
        <w:rPr>
          <w:rFonts w:ascii="Arial" w:cs="Arial" w:eastAsia="Arial" w:hAnsi="Arial"/>
          <w:sz w:val="12"/>
          <w:szCs w:val="12"/>
          <w:color w:val="auto"/>
        </w:rPr>
        <w:t>. (i) An ERISA Event occurs with respect to a Pension Plan or Multiemployer Plan which has resulted or could reasonably be expected to result in liability of the Company under Title IV of ERISA to the Pension Plan, Multiemployer Plan or the PBGC in an aggregate amount in excess of the Threshold Amount, or (ii) the Company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spacing w:after="0" w:line="39" w:lineRule="exact"/>
        <w:rPr>
          <w:rFonts w:ascii="Arial" w:cs="Arial" w:eastAsia="Arial" w:hAnsi="Arial"/>
          <w:sz w:val="12"/>
          <w:szCs w:val="12"/>
          <w:color w:val="auto"/>
        </w:rPr>
      </w:pPr>
    </w:p>
    <w:p>
      <w:pPr>
        <w:ind w:left="220" w:right="80" w:firstLine="172"/>
        <w:spacing w:after="0" w:line="264" w:lineRule="auto"/>
        <w:tabs>
          <w:tab w:leader="none" w:pos="540" w:val="left"/>
        </w:tabs>
        <w:numPr>
          <w:ilvl w:val="0"/>
          <w:numId w:val="145"/>
        </w:numPr>
        <w:rPr>
          <w:rFonts w:ascii="Arial" w:cs="Arial" w:eastAsia="Arial" w:hAnsi="Arial"/>
          <w:sz w:val="13"/>
          <w:szCs w:val="13"/>
          <w:color w:val="auto"/>
        </w:rPr>
      </w:pPr>
      <w:r>
        <w:rPr>
          <w:rFonts w:ascii="Arial" w:cs="Arial" w:eastAsia="Arial" w:hAnsi="Arial"/>
          <w:sz w:val="13"/>
          <w:szCs w:val="13"/>
          <w:u w:val="single" w:color="auto"/>
          <w:color w:val="auto"/>
        </w:rPr>
        <w:t>Invalidity of Loan Documents</w:t>
      </w:r>
      <w:r>
        <w:rPr>
          <w:rFonts w:ascii="Arial" w:cs="Arial" w:eastAsia="Arial" w:hAnsi="Arial"/>
          <w:sz w:val="13"/>
          <w:szCs w:val="13"/>
          <w:color w:val="auto"/>
        </w:rPr>
        <w:t>. Any Loan Document, at any time after its execution and delivery and for any reason other than as expressly permitted hereunder or satisfaction in full of all the Obligations, ceases to be in full force and effect; or any Loan Party or any other Person contests in any manner the validity or enforceability of any Loan Document; or any Loan Party denies that it has any or further liability or obligation under any Loan Document, or purports to revoke, terminate or rescind any Loan Document; or</w:t>
      </w:r>
    </w:p>
    <w:p>
      <w:pPr>
        <w:spacing w:after="0" w:line="57" w:lineRule="exact"/>
        <w:rPr>
          <w:rFonts w:ascii="Arial" w:cs="Arial" w:eastAsia="Arial" w:hAnsi="Arial"/>
          <w:sz w:val="13"/>
          <w:szCs w:val="13"/>
          <w:color w:val="auto"/>
        </w:rPr>
      </w:pPr>
    </w:p>
    <w:p>
      <w:pPr>
        <w:ind w:left="580" w:hanging="188"/>
        <w:spacing w:after="0"/>
        <w:tabs>
          <w:tab w:leader="none" w:pos="580" w:val="left"/>
        </w:tabs>
        <w:numPr>
          <w:ilvl w:val="0"/>
          <w:numId w:val="145"/>
        </w:numPr>
        <w:rPr>
          <w:rFonts w:ascii="Arial" w:cs="Arial" w:eastAsia="Arial" w:hAnsi="Arial"/>
          <w:sz w:val="13"/>
          <w:szCs w:val="13"/>
          <w:color w:val="auto"/>
        </w:rPr>
      </w:pPr>
      <w:r>
        <w:rPr>
          <w:rFonts w:ascii="Arial" w:cs="Arial" w:eastAsia="Arial" w:hAnsi="Arial"/>
          <w:sz w:val="13"/>
          <w:szCs w:val="13"/>
          <w:u w:val="single" w:color="auto"/>
          <w:color w:val="auto"/>
        </w:rPr>
        <w:t>Change of Control</w:t>
      </w:r>
      <w:r>
        <w:rPr>
          <w:rFonts w:ascii="Arial" w:cs="Arial" w:eastAsia="Arial" w:hAnsi="Arial"/>
          <w:sz w:val="13"/>
          <w:szCs w:val="13"/>
          <w:color w:val="auto"/>
        </w:rPr>
        <w:t>. There occurs any Change of Control.</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9.02 </w:t>
      </w:r>
      <w:r>
        <w:rPr>
          <w:rFonts w:ascii="Arial" w:cs="Arial" w:eastAsia="Arial" w:hAnsi="Arial"/>
          <w:sz w:val="13"/>
          <w:szCs w:val="13"/>
          <w:u w:val="single" w:color="auto"/>
          <w:color w:val="auto"/>
        </w:rPr>
        <w:t>Remedies Upon Event of Default</w:t>
      </w:r>
      <w:r>
        <w:rPr>
          <w:rFonts w:ascii="Arial" w:cs="Arial" w:eastAsia="Arial" w:hAnsi="Arial"/>
          <w:sz w:val="13"/>
          <w:szCs w:val="13"/>
          <w:color w:val="auto"/>
        </w:rPr>
        <w: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If any Event of Default occurs and is continuing, the Administrative Agent shall, at the request of, or may, with the consent of, the Required Lenders, take any or all of the following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61" w:name="page162"/>
    <w:bookmarkEnd w:id="161"/>
    <w:p>
      <w:pPr>
        <w:ind w:left="560" w:hanging="168"/>
        <w:spacing w:after="0"/>
        <w:tabs>
          <w:tab w:leader="none" w:pos="560" w:val="left"/>
        </w:tabs>
        <w:numPr>
          <w:ilvl w:val="0"/>
          <w:numId w:val="146"/>
        </w:numPr>
        <w:rPr>
          <w:rFonts w:ascii="Arial" w:cs="Arial" w:eastAsia="Arial" w:hAnsi="Arial"/>
          <w:sz w:val="11"/>
          <w:szCs w:val="11"/>
          <w:color w:val="auto"/>
        </w:rPr>
      </w:pPr>
      <w:r>
        <w:rPr>
          <w:rFonts w:ascii="Arial" w:cs="Arial" w:eastAsia="Arial" w:hAnsi="Arial"/>
          <w:sz w:val="11"/>
          <w:szCs w:val="11"/>
          <w:color w:val="auto"/>
        </w:rPr>
        <w:t>declare the commitment of each Lender to make Loans and any obligation of the L/C Issuer to make L/C Credit Extensions to be terminated, whereupon such commitments and obligation shall be terminated;</w:t>
      </w:r>
    </w:p>
    <w:p>
      <w:pPr>
        <w:spacing w:after="0" w:line="109" w:lineRule="exact"/>
        <w:rPr>
          <w:rFonts w:ascii="Arial" w:cs="Arial" w:eastAsia="Arial" w:hAnsi="Arial"/>
          <w:sz w:val="11"/>
          <w:szCs w:val="11"/>
          <w:color w:val="auto"/>
        </w:rPr>
      </w:pPr>
    </w:p>
    <w:p>
      <w:pPr>
        <w:ind w:left="220" w:right="60" w:firstLine="172"/>
        <w:spacing w:after="0" w:line="276" w:lineRule="auto"/>
        <w:tabs>
          <w:tab w:leader="none" w:pos="569" w:val="left"/>
        </w:tabs>
        <w:numPr>
          <w:ilvl w:val="0"/>
          <w:numId w:val="146"/>
        </w:numPr>
        <w:rPr>
          <w:rFonts w:ascii="Arial" w:cs="Arial" w:eastAsia="Arial" w:hAnsi="Arial"/>
          <w:sz w:val="13"/>
          <w:szCs w:val="13"/>
          <w:color w:val="auto"/>
        </w:rPr>
      </w:pPr>
      <w:r>
        <w:rPr>
          <w:rFonts w:ascii="Arial" w:cs="Arial" w:eastAsia="Arial" w:hAnsi="Arial"/>
          <w:sz w:val="13"/>
          <w:szCs w:val="13"/>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Borrowers;</w:t>
      </w:r>
    </w:p>
    <w:p>
      <w:pPr>
        <w:spacing w:after="0" w:line="49" w:lineRule="exact"/>
        <w:rPr>
          <w:rFonts w:ascii="Arial" w:cs="Arial" w:eastAsia="Arial" w:hAnsi="Arial"/>
          <w:sz w:val="13"/>
          <w:szCs w:val="13"/>
          <w:color w:val="auto"/>
        </w:rPr>
      </w:pPr>
    </w:p>
    <w:p>
      <w:pPr>
        <w:ind w:left="560" w:hanging="168"/>
        <w:spacing w:after="0"/>
        <w:tabs>
          <w:tab w:leader="none" w:pos="560" w:val="left"/>
        </w:tabs>
        <w:numPr>
          <w:ilvl w:val="0"/>
          <w:numId w:val="146"/>
        </w:numPr>
        <w:rPr>
          <w:rFonts w:ascii="Arial" w:cs="Arial" w:eastAsia="Arial" w:hAnsi="Arial"/>
          <w:sz w:val="13"/>
          <w:szCs w:val="13"/>
          <w:color w:val="auto"/>
        </w:rPr>
      </w:pPr>
      <w:r>
        <w:rPr>
          <w:rFonts w:ascii="Arial" w:cs="Arial" w:eastAsia="Arial" w:hAnsi="Arial"/>
          <w:sz w:val="13"/>
          <w:szCs w:val="13"/>
          <w:color w:val="auto"/>
        </w:rPr>
        <w:t>require that the Borrowers Cash Collateralize the L/C Obligations (in an amount equal to the then Outstanding Amount thereof); and</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146"/>
        </w:numPr>
        <w:rPr>
          <w:rFonts w:ascii="Arial" w:cs="Arial" w:eastAsia="Arial" w:hAnsi="Arial"/>
          <w:sz w:val="13"/>
          <w:szCs w:val="13"/>
          <w:color w:val="auto"/>
        </w:rPr>
      </w:pPr>
      <w:r>
        <w:rPr>
          <w:rFonts w:ascii="Arial" w:cs="Arial" w:eastAsia="Arial" w:hAnsi="Arial"/>
          <w:sz w:val="13"/>
          <w:szCs w:val="13"/>
          <w:color w:val="auto"/>
        </w:rPr>
        <w:t>exercise on behalf of itself and the Lenders all rights and remedies available to it and the Lenders under the Loan Documents or applicable law;</w:t>
      </w:r>
    </w:p>
    <w:p>
      <w:pPr>
        <w:spacing w:after="0" w:line="86" w:lineRule="exact"/>
        <w:rPr>
          <w:sz w:val="20"/>
          <w:szCs w:val="20"/>
          <w:color w:val="auto"/>
        </w:rPr>
      </w:pPr>
    </w:p>
    <w:p>
      <w:pPr>
        <w:ind w:right="40"/>
        <w:spacing w:after="0" w:line="260" w:lineRule="auto"/>
        <w:rPr>
          <w:sz w:val="20"/>
          <w:szCs w:val="20"/>
          <w:color w:val="auto"/>
        </w:rPr>
      </w:pP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upon the occurrence of an entry of an order for relief with respect to any Borrower under the Bankruptcy Code of the United States, the obligation of each 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Borrowers to Cash Collateralize the L/C Obligations as aforesaid shall automatically become effective, in each case without further act of the Administrative Agent or any Lender.</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9.03 </w:t>
      </w:r>
      <w:r>
        <w:rPr>
          <w:rFonts w:ascii="Arial" w:cs="Arial" w:eastAsia="Arial" w:hAnsi="Arial"/>
          <w:sz w:val="13"/>
          <w:szCs w:val="13"/>
          <w:u w:val="single" w:color="auto"/>
          <w:color w:val="auto"/>
        </w:rPr>
        <w:t>Application of Funds</w:t>
      </w:r>
      <w:r>
        <w:rPr>
          <w:rFonts w:ascii="Arial" w:cs="Arial" w:eastAsia="Arial" w:hAnsi="Arial"/>
          <w:sz w:val="13"/>
          <w:szCs w:val="13"/>
          <w:color w:val="auto"/>
        </w:rPr>
        <w:t>.</w:t>
      </w:r>
    </w:p>
    <w:p>
      <w:pPr>
        <w:spacing w:after="0" w:line="86" w:lineRule="exact"/>
        <w:rPr>
          <w:sz w:val="20"/>
          <w:szCs w:val="20"/>
          <w:color w:val="auto"/>
        </w:rPr>
      </w:pPr>
    </w:p>
    <w:p>
      <w:pPr>
        <w:ind w:right="520" w:firstLine="157"/>
        <w:spacing w:after="0" w:line="320" w:lineRule="auto"/>
        <w:rPr>
          <w:sz w:val="20"/>
          <w:szCs w:val="20"/>
          <w:color w:val="auto"/>
        </w:rPr>
      </w:pPr>
      <w:r>
        <w:rPr>
          <w:rFonts w:ascii="Arial" w:cs="Arial" w:eastAsia="Arial" w:hAnsi="Arial"/>
          <w:sz w:val="12"/>
          <w:szCs w:val="12"/>
          <w:color w:val="auto"/>
        </w:rPr>
        <w:t xml:space="preserve">After the exercise of remedies provided for in </w:t>
      </w:r>
      <w:r>
        <w:rPr>
          <w:rFonts w:ascii="Arial" w:cs="Arial" w:eastAsia="Arial" w:hAnsi="Arial"/>
          <w:sz w:val="12"/>
          <w:szCs w:val="12"/>
          <w:u w:val="single" w:color="auto"/>
          <w:color w:val="auto"/>
        </w:rPr>
        <w:t>Section 9.02</w:t>
      </w:r>
      <w:r>
        <w:rPr>
          <w:rFonts w:ascii="Arial" w:cs="Arial" w:eastAsia="Arial" w:hAnsi="Arial"/>
          <w:sz w:val="12"/>
          <w:szCs w:val="12"/>
          <w:color w:val="auto"/>
        </w:rPr>
        <w:t xml:space="preserve"> (or after the Loans have automatically become immediately due and payable and the L/C Obligations have automatically been required to be Cash Collateralized as set forth in the proviso to </w:t>
      </w:r>
      <w:r>
        <w:rPr>
          <w:rFonts w:ascii="Arial" w:cs="Arial" w:eastAsia="Arial" w:hAnsi="Arial"/>
          <w:sz w:val="12"/>
          <w:szCs w:val="12"/>
          <w:u w:val="single" w:color="auto"/>
          <w:color w:val="auto"/>
        </w:rPr>
        <w:t>Section 9.02</w:t>
      </w:r>
      <w:r>
        <w:rPr>
          <w:rFonts w:ascii="Arial" w:cs="Arial" w:eastAsia="Arial" w:hAnsi="Arial"/>
          <w:sz w:val="12"/>
          <w:szCs w:val="12"/>
          <w:color w:val="auto"/>
        </w:rPr>
        <w:t>), any amounts received on account of the Obligations shall be applied by the Administrative Agent in the following order:</w:t>
      </w:r>
    </w:p>
    <w:p>
      <w:pPr>
        <w:spacing w:after="0" w:line="25" w:lineRule="exact"/>
        <w:rPr>
          <w:sz w:val="20"/>
          <w:szCs w:val="20"/>
          <w:color w:val="auto"/>
        </w:rPr>
      </w:pPr>
    </w:p>
    <w:p>
      <w:pPr>
        <w:ind w:left="220" w:right="60"/>
        <w:spacing w:after="0" w:line="276" w:lineRule="auto"/>
        <w:rPr>
          <w:sz w:val="20"/>
          <w:szCs w:val="20"/>
          <w:color w:val="auto"/>
        </w:rPr>
      </w:pPr>
      <w:r>
        <w:rPr>
          <w:rFonts w:ascii="Arial" w:cs="Arial" w:eastAsia="Arial" w:hAnsi="Arial"/>
          <w:sz w:val="13"/>
          <w:szCs w:val="13"/>
          <w:u w:val="single" w:color="auto"/>
          <w:color w:val="auto"/>
        </w:rPr>
        <w:t>First</w:t>
      </w:r>
      <w:r>
        <w:rPr>
          <w:rFonts w:ascii="Arial" w:cs="Arial" w:eastAsia="Arial" w:hAnsi="Arial"/>
          <w:sz w:val="13"/>
          <w:szCs w:val="13"/>
          <w:color w:val="auto"/>
        </w:rPr>
        <w:t xml:space="preserve">, to payment of that portion of the Obligations constituting fees, indemnities, expenses and other amounts (including Attorney Costs and amounts payable under </w:t>
      </w:r>
      <w:r>
        <w:rPr>
          <w:rFonts w:ascii="Arial" w:cs="Arial" w:eastAsia="Arial" w:hAnsi="Arial"/>
          <w:sz w:val="13"/>
          <w:szCs w:val="13"/>
          <w:u w:val="single" w:color="auto"/>
          <w:color w:val="auto"/>
        </w:rPr>
        <w:t>Article III</w:t>
      </w:r>
      <w:r>
        <w:rPr>
          <w:rFonts w:ascii="Arial" w:cs="Arial" w:eastAsia="Arial" w:hAnsi="Arial"/>
          <w:sz w:val="13"/>
          <w:szCs w:val="13"/>
          <w:color w:val="auto"/>
        </w:rPr>
        <w:t>) payable to the Administrative Agent in its capacity as such;</w:t>
      </w:r>
    </w:p>
    <w:p>
      <w:pPr>
        <w:spacing w:after="0" w:line="49" w:lineRule="exact"/>
        <w:rPr>
          <w:sz w:val="20"/>
          <w:szCs w:val="20"/>
          <w:color w:val="auto"/>
        </w:rPr>
      </w:pPr>
    </w:p>
    <w:p>
      <w:pPr>
        <w:ind w:left="220"/>
        <w:spacing w:after="0" w:line="276" w:lineRule="auto"/>
        <w:rPr>
          <w:sz w:val="20"/>
          <w:szCs w:val="20"/>
          <w:color w:val="auto"/>
        </w:rPr>
      </w:pPr>
      <w:r>
        <w:rPr>
          <w:rFonts w:ascii="Arial" w:cs="Arial" w:eastAsia="Arial" w:hAnsi="Arial"/>
          <w:sz w:val="13"/>
          <w:szCs w:val="13"/>
          <w:u w:val="single" w:color="auto"/>
          <w:color w:val="auto"/>
        </w:rPr>
        <w:t>Second</w:t>
      </w:r>
      <w:r>
        <w:rPr>
          <w:rFonts w:ascii="Arial" w:cs="Arial" w:eastAsia="Arial" w:hAnsi="Arial"/>
          <w:sz w:val="13"/>
          <w:szCs w:val="13"/>
          <w:color w:val="auto"/>
        </w:rPr>
        <w:t xml:space="preserve">, to payment of that portion of the Obligations constituting fees, indemnities and other amounts (other than principal and interest) payable to the Lenders (including Attorney Costs and amounts payable under </w:t>
      </w:r>
      <w:r>
        <w:rPr>
          <w:rFonts w:ascii="Arial" w:cs="Arial" w:eastAsia="Arial" w:hAnsi="Arial"/>
          <w:sz w:val="13"/>
          <w:szCs w:val="13"/>
          <w:u w:val="single" w:color="auto"/>
          <w:color w:val="auto"/>
        </w:rPr>
        <w:t>Article III</w:t>
      </w:r>
      <w:r>
        <w:rPr>
          <w:rFonts w:ascii="Arial" w:cs="Arial" w:eastAsia="Arial" w:hAnsi="Arial"/>
          <w:sz w:val="13"/>
          <w:szCs w:val="13"/>
          <w:color w:val="auto"/>
        </w:rPr>
        <w:t xml:space="preserve">), ratably among them in proportion to the amounts described in this clause </w:t>
      </w:r>
      <w:r>
        <w:rPr>
          <w:rFonts w:ascii="Arial" w:cs="Arial" w:eastAsia="Arial" w:hAnsi="Arial"/>
          <w:sz w:val="13"/>
          <w:szCs w:val="13"/>
          <w:u w:val="single" w:color="auto"/>
          <w:color w:val="auto"/>
        </w:rPr>
        <w:t>Second</w:t>
      </w:r>
      <w:r>
        <w:rPr>
          <w:rFonts w:ascii="Arial" w:cs="Arial" w:eastAsia="Arial" w:hAnsi="Arial"/>
          <w:sz w:val="13"/>
          <w:szCs w:val="13"/>
          <w:color w:val="auto"/>
        </w:rPr>
        <w:t xml:space="preserve"> payable to them;</w:t>
      </w:r>
    </w:p>
    <w:p>
      <w:pPr>
        <w:spacing w:after="0" w:line="49" w:lineRule="exact"/>
        <w:rPr>
          <w:sz w:val="20"/>
          <w:szCs w:val="20"/>
          <w:color w:val="auto"/>
        </w:rPr>
      </w:pPr>
    </w:p>
    <w:p>
      <w:pPr>
        <w:ind w:left="220" w:right="40"/>
        <w:spacing w:after="0" w:line="264" w:lineRule="auto"/>
        <w:rPr>
          <w:sz w:val="20"/>
          <w:szCs w:val="20"/>
          <w:color w:val="auto"/>
        </w:rPr>
      </w:pPr>
      <w:r>
        <w:rPr>
          <w:rFonts w:ascii="Arial" w:cs="Arial" w:eastAsia="Arial" w:hAnsi="Arial"/>
          <w:sz w:val="13"/>
          <w:szCs w:val="13"/>
          <w:u w:val="single" w:color="auto"/>
          <w:color w:val="auto"/>
        </w:rPr>
        <w:t>Third</w:t>
      </w:r>
      <w:r>
        <w:rPr>
          <w:rFonts w:ascii="Arial" w:cs="Arial" w:eastAsia="Arial" w:hAnsi="Arial"/>
          <w:sz w:val="13"/>
          <w:szCs w:val="13"/>
          <w:color w:val="auto"/>
        </w:rPr>
        <w:t xml:space="preserve">, to payment of that portion of the Obligations constituting accrued and unpaid interest on the Loans and L/C Borrowings and fees, premiums and scheduled periodic payments, and any interest accrued thereon, due under any Swap Contract between any Loan Party and any Lender, or any Affiliate of a Lender, to the extent such Swap Contract is permitted by </w:t>
      </w:r>
      <w:r>
        <w:rPr>
          <w:rFonts w:ascii="Arial" w:cs="Arial" w:eastAsia="Arial" w:hAnsi="Arial"/>
          <w:sz w:val="13"/>
          <w:szCs w:val="13"/>
          <w:u w:val="single" w:color="auto"/>
          <w:color w:val="auto"/>
        </w:rPr>
        <w:t>Section 8.03(d)</w:t>
      </w:r>
      <w:r>
        <w:rPr>
          <w:rFonts w:ascii="Arial" w:cs="Arial" w:eastAsia="Arial" w:hAnsi="Arial"/>
          <w:sz w:val="13"/>
          <w:szCs w:val="13"/>
          <w:color w:val="auto"/>
        </w:rPr>
        <w:t xml:space="preserve">, ratably among the Lenders (and, in the case of such Swap Contracts, Affiliates of Lenders) in proportion to the respective amounts described in this clause </w:t>
      </w:r>
      <w:r>
        <w:rPr>
          <w:rFonts w:ascii="Arial" w:cs="Arial" w:eastAsia="Arial" w:hAnsi="Arial"/>
          <w:sz w:val="13"/>
          <w:szCs w:val="13"/>
          <w:u w:val="single" w:color="auto"/>
          <w:color w:val="auto"/>
        </w:rPr>
        <w:t>Third</w:t>
      </w:r>
      <w:r>
        <w:rPr>
          <w:rFonts w:ascii="Arial" w:cs="Arial" w:eastAsia="Arial" w:hAnsi="Arial"/>
          <w:sz w:val="13"/>
          <w:szCs w:val="13"/>
          <w:color w:val="auto"/>
        </w:rPr>
        <w:t xml:space="preserve"> held by them;</w:t>
      </w:r>
    </w:p>
    <w:p>
      <w:pPr>
        <w:spacing w:after="0" w:line="57" w:lineRule="exact"/>
        <w:rPr>
          <w:sz w:val="20"/>
          <w:szCs w:val="20"/>
          <w:color w:val="auto"/>
        </w:rPr>
      </w:pPr>
    </w:p>
    <w:p>
      <w:pPr>
        <w:ind w:left="220" w:right="160"/>
        <w:spacing w:after="0" w:line="264" w:lineRule="auto"/>
        <w:rPr>
          <w:sz w:val="20"/>
          <w:szCs w:val="20"/>
          <w:color w:val="auto"/>
        </w:rPr>
      </w:pPr>
      <w:r>
        <w:rPr>
          <w:rFonts w:ascii="Arial" w:cs="Arial" w:eastAsia="Arial" w:hAnsi="Arial"/>
          <w:sz w:val="13"/>
          <w:szCs w:val="13"/>
          <w:u w:val="single" w:color="auto"/>
          <w:color w:val="auto"/>
        </w:rPr>
        <w:t>Fourth</w:t>
      </w:r>
      <w:r>
        <w:rPr>
          <w:rFonts w:ascii="Arial" w:cs="Arial" w:eastAsia="Arial" w:hAnsi="Arial"/>
          <w:sz w:val="13"/>
          <w:szCs w:val="13"/>
          <w:color w:val="auto"/>
        </w:rPr>
        <w:t xml:space="preserve">, to (a) payment of that portion of the Obligations constituting unpaid principal of the Loans and L/C Borrowings, (b) payment of breakage, termination or other payments, and any interest accrued thereon, due under any Swap Contract between any Loan Party and any Lender, or any Affiliate of a Lender, to the extent such Swap Contract is permitted by </w:t>
      </w:r>
      <w:r>
        <w:rPr>
          <w:rFonts w:ascii="Arial" w:cs="Arial" w:eastAsia="Arial" w:hAnsi="Arial"/>
          <w:sz w:val="13"/>
          <w:szCs w:val="13"/>
          <w:u w:val="single" w:color="auto"/>
          <w:color w:val="auto"/>
        </w:rPr>
        <w:t>Section 8.03(d)</w:t>
      </w:r>
      <w:r>
        <w:rPr>
          <w:rFonts w:ascii="Arial" w:cs="Arial" w:eastAsia="Arial" w:hAnsi="Arial"/>
          <w:sz w:val="13"/>
          <w:szCs w:val="13"/>
          <w:color w:val="auto"/>
        </w:rPr>
        <w:t>, (c) payments of amounts due under any Treasury Management Agreement between any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275590</wp:posOffset>
            </wp:positionV>
            <wp:extent cx="7290435" cy="190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62" w:name="page163"/>
    <w:bookmarkEnd w:id="162"/>
    <w:p>
      <w:pPr>
        <w:ind w:left="220" w:right="40"/>
        <w:spacing w:after="0" w:line="276" w:lineRule="auto"/>
        <w:rPr>
          <w:sz w:val="20"/>
          <w:szCs w:val="20"/>
          <w:color w:val="auto"/>
        </w:rPr>
      </w:pPr>
      <w:r>
        <w:rPr>
          <w:rFonts w:ascii="Arial" w:cs="Arial" w:eastAsia="Arial" w:hAnsi="Arial"/>
          <w:sz w:val="13"/>
          <w:szCs w:val="13"/>
          <w:color w:val="auto"/>
        </w:rPr>
        <w:t xml:space="preserve">Party and any Lender, or any Affiliate of a Lender and (d) Cash Collateralize that portion of L/C Obligations comprised of the aggregate undrawn amount of Letters of Credit, ratably among the Lenders (and, in the case of such Swap Contracts, Affiliates of Lenders) in proportion to the respective amounts described in this clause </w:t>
      </w:r>
      <w:r>
        <w:rPr>
          <w:rFonts w:ascii="Arial" w:cs="Arial" w:eastAsia="Arial" w:hAnsi="Arial"/>
          <w:sz w:val="13"/>
          <w:szCs w:val="13"/>
          <w:u w:val="single" w:color="auto"/>
          <w:color w:val="auto"/>
        </w:rPr>
        <w:t>Fourth</w:t>
      </w:r>
      <w:r>
        <w:rPr>
          <w:rFonts w:ascii="Arial" w:cs="Arial" w:eastAsia="Arial" w:hAnsi="Arial"/>
          <w:sz w:val="13"/>
          <w:szCs w:val="13"/>
          <w:color w:val="auto"/>
        </w:rPr>
        <w:t xml:space="preserve"> held by them; and</w:t>
      </w:r>
    </w:p>
    <w:p>
      <w:pPr>
        <w:spacing w:after="0" w:line="49" w:lineRule="exact"/>
        <w:rPr>
          <w:sz w:val="20"/>
          <w:szCs w:val="20"/>
          <w:color w:val="auto"/>
        </w:rPr>
      </w:pPr>
    </w:p>
    <w:p>
      <w:pPr>
        <w:ind w:left="220"/>
        <w:spacing w:after="0"/>
        <w:rPr>
          <w:sz w:val="20"/>
          <w:szCs w:val="20"/>
          <w:color w:val="auto"/>
        </w:rPr>
      </w:pPr>
      <w:r>
        <w:rPr>
          <w:rFonts w:ascii="Arial" w:cs="Arial" w:eastAsia="Arial" w:hAnsi="Arial"/>
          <w:sz w:val="13"/>
          <w:szCs w:val="13"/>
          <w:u w:val="single" w:color="auto"/>
          <w:color w:val="auto"/>
        </w:rPr>
        <w:t>Last</w:t>
      </w:r>
      <w:r>
        <w:rPr>
          <w:rFonts w:ascii="Arial" w:cs="Arial" w:eastAsia="Arial" w:hAnsi="Arial"/>
          <w:sz w:val="13"/>
          <w:szCs w:val="13"/>
          <w:color w:val="auto"/>
        </w:rPr>
        <w:t>, the balance, if any, after all of the Obligations have been indefeasibly paid in full, to the Borrowers or as otherwise required by Law.</w:t>
      </w:r>
    </w:p>
    <w:p>
      <w:pPr>
        <w:spacing w:after="0" w:line="86" w:lineRule="exact"/>
        <w:rPr>
          <w:sz w:val="20"/>
          <w:szCs w:val="20"/>
          <w:color w:val="auto"/>
        </w:rPr>
      </w:pPr>
    </w:p>
    <w:p>
      <w:pPr>
        <w:jc w:val="both"/>
        <w:ind w:right="40" w:firstLine="164"/>
        <w:spacing w:after="0" w:line="264" w:lineRule="auto"/>
        <w:rPr>
          <w:sz w:val="20"/>
          <w:szCs w:val="20"/>
          <w:color w:val="auto"/>
        </w:rPr>
      </w:pPr>
      <w:r>
        <w:rPr>
          <w:rFonts w:ascii="Arial" w:cs="Arial" w:eastAsia="Arial" w:hAnsi="Arial"/>
          <w:sz w:val="13"/>
          <w:szCs w:val="13"/>
          <w:color w:val="auto"/>
        </w:rPr>
        <w:t xml:space="preserve">Subject to </w:t>
      </w:r>
      <w:r>
        <w:rPr>
          <w:rFonts w:ascii="Arial" w:cs="Arial" w:eastAsia="Arial" w:hAnsi="Arial"/>
          <w:sz w:val="13"/>
          <w:szCs w:val="13"/>
          <w:u w:val="single" w:color="auto"/>
          <w:color w:val="auto"/>
        </w:rPr>
        <w:t>Section 2.03(c)</w:t>
      </w:r>
      <w:r>
        <w:rPr>
          <w:rFonts w:ascii="Arial" w:cs="Arial" w:eastAsia="Arial" w:hAnsi="Arial"/>
          <w:sz w:val="13"/>
          <w:szCs w:val="13"/>
          <w:color w:val="auto"/>
        </w:rPr>
        <w:t xml:space="preserve">, amounts used to Cash Collateralize the aggregate undrawn amount of Letters of Credit pursuant to clause </w:t>
      </w:r>
      <w:r>
        <w:rPr>
          <w:rFonts w:ascii="Arial" w:cs="Arial" w:eastAsia="Arial" w:hAnsi="Arial"/>
          <w:sz w:val="13"/>
          <w:szCs w:val="13"/>
          <w:u w:val="single" w:color="auto"/>
          <w:color w:val="auto"/>
        </w:rPr>
        <w:t>Fourth</w:t>
      </w:r>
      <w:r>
        <w:rPr>
          <w:rFonts w:ascii="Arial" w:cs="Arial" w:eastAsia="Arial" w:hAnsi="Arial"/>
          <w:sz w:val="13"/>
          <w:szCs w:val="13"/>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X</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ADMINISTRATIVE AGENT</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10.01 </w:t>
      </w:r>
      <w:r>
        <w:rPr>
          <w:rFonts w:ascii="Arial" w:cs="Arial" w:eastAsia="Arial" w:hAnsi="Arial"/>
          <w:sz w:val="13"/>
          <w:szCs w:val="13"/>
          <w:u w:val="single" w:color="auto"/>
          <w:color w:val="auto"/>
        </w:rPr>
        <w:t>Appointment and Authority</w:t>
      </w:r>
      <w:r>
        <w:rPr>
          <w:rFonts w:ascii="Arial" w:cs="Arial" w:eastAsia="Arial" w:hAnsi="Arial"/>
          <w:sz w:val="13"/>
          <w:szCs w:val="13"/>
          <w:color w:val="auto"/>
        </w:rPr>
        <w:t>.</w:t>
      </w:r>
    </w:p>
    <w:p>
      <w:pPr>
        <w:spacing w:after="0" w:line="86" w:lineRule="exact"/>
        <w:rPr>
          <w:sz w:val="20"/>
          <w:szCs w:val="20"/>
          <w:color w:val="auto"/>
        </w:rPr>
      </w:pPr>
    </w:p>
    <w:p>
      <w:pPr>
        <w:ind w:right="120" w:firstLine="164"/>
        <w:spacing w:after="0" w:line="260" w:lineRule="auto"/>
        <w:rPr>
          <w:sz w:val="20"/>
          <w:szCs w:val="20"/>
          <w:color w:val="auto"/>
        </w:rPr>
      </w:pPr>
      <w:r>
        <w:rPr>
          <w:rFonts w:ascii="Arial" w:cs="Arial" w:eastAsia="Arial" w:hAnsi="Arial"/>
          <w:sz w:val="13"/>
          <w:szCs w:val="13"/>
          <w:color w:val="auto"/>
        </w:rPr>
        <w:t>Each of the Lenders and the L/C Issuer hereby 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 and no Loan Party shall have rights as a third party beneficiary of any of such provisions.</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10.02 </w:t>
      </w:r>
      <w:r>
        <w:rPr>
          <w:rFonts w:ascii="Arial" w:cs="Arial" w:eastAsia="Arial" w:hAnsi="Arial"/>
          <w:sz w:val="13"/>
          <w:szCs w:val="13"/>
          <w:u w:val="single" w:color="auto"/>
          <w:color w:val="auto"/>
        </w:rPr>
        <w:t>Rights as a Lender</w:t>
      </w:r>
      <w:r>
        <w:rPr>
          <w:rFonts w:ascii="Arial" w:cs="Arial" w:eastAsia="Arial" w:hAnsi="Arial"/>
          <w:sz w:val="13"/>
          <w:szCs w:val="13"/>
          <w:color w:val="auto"/>
        </w:rPr>
        <w:t>.</w:t>
      </w:r>
    </w:p>
    <w:p>
      <w:pPr>
        <w:spacing w:after="0" w:line="86" w:lineRule="exact"/>
        <w:rPr>
          <w:sz w:val="20"/>
          <w:szCs w:val="20"/>
          <w:color w:val="auto"/>
        </w:rPr>
      </w:pPr>
    </w:p>
    <w:p>
      <w:pPr>
        <w:ind w:firstLine="161"/>
        <w:spacing w:after="0" w:line="289" w:lineRule="auto"/>
        <w:rPr>
          <w:sz w:val="20"/>
          <w:szCs w:val="20"/>
          <w:color w:val="auto"/>
        </w:rPr>
      </w:pPr>
      <w:r>
        <w:rPr>
          <w:rFonts w:ascii="Arial" w:cs="Arial" w:eastAsia="Arial" w:hAnsi="Arial"/>
          <w:sz w:val="12"/>
          <w:szCs w:val="12"/>
          <w:color w:val="auto"/>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any Loan Party or any Subsidiary or other Affiliate thereof as if such Person were not the Administrative Agent hereunder and without any duty to account therefor to the Lenders.</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10.03 </w:t>
      </w:r>
      <w:r>
        <w:rPr>
          <w:rFonts w:ascii="Arial" w:cs="Arial" w:eastAsia="Arial" w:hAnsi="Arial"/>
          <w:sz w:val="13"/>
          <w:szCs w:val="13"/>
          <w:u w:val="single" w:color="auto"/>
          <w:color w:val="auto"/>
        </w:rPr>
        <w:t>Exculpatory Provisions</w:t>
      </w:r>
      <w:r>
        <w:rPr>
          <w:rFonts w:ascii="Arial" w:cs="Arial" w:eastAsia="Arial" w:hAnsi="Arial"/>
          <w:sz w:val="13"/>
          <w:szCs w:val="13"/>
          <w:color w:val="auto"/>
        </w:rPr>
        <w: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The Administrative Agent shall not have any duties or obligations except those expressly set forth herein and in the other Loan Documents. Without limiting the generality of the foregoing, the Administrative Agent:</w:t>
      </w:r>
    </w:p>
    <w:p>
      <w:pPr>
        <w:spacing w:after="0" w:line="98" w:lineRule="exact"/>
        <w:rPr>
          <w:sz w:val="20"/>
          <w:szCs w:val="20"/>
          <w:color w:val="auto"/>
        </w:rPr>
      </w:pPr>
    </w:p>
    <w:p>
      <w:pPr>
        <w:ind w:left="560" w:hanging="168"/>
        <w:spacing w:after="0"/>
        <w:tabs>
          <w:tab w:leader="none" w:pos="560" w:val="left"/>
        </w:tabs>
        <w:numPr>
          <w:ilvl w:val="0"/>
          <w:numId w:val="147"/>
        </w:numPr>
        <w:rPr>
          <w:rFonts w:ascii="Arial" w:cs="Arial" w:eastAsia="Arial" w:hAnsi="Arial"/>
          <w:sz w:val="13"/>
          <w:szCs w:val="13"/>
          <w:color w:val="auto"/>
        </w:rPr>
      </w:pPr>
      <w:r>
        <w:rPr>
          <w:rFonts w:ascii="Arial" w:cs="Arial" w:eastAsia="Arial" w:hAnsi="Arial"/>
          <w:sz w:val="13"/>
          <w:szCs w:val="13"/>
          <w:color w:val="auto"/>
        </w:rPr>
        <w:t>shall not be subject to any fiduciary or other implied duties, regardless of whether a Default has occurred and is continuing;</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147"/>
        </w:numPr>
        <w:rPr>
          <w:rFonts w:ascii="Arial" w:cs="Arial" w:eastAsia="Arial" w:hAnsi="Arial"/>
          <w:sz w:val="13"/>
          <w:szCs w:val="13"/>
          <w:color w:val="auto"/>
        </w:rPr>
      </w:pPr>
      <w:r>
        <w:rPr>
          <w:rFonts w:ascii="Arial" w:cs="Arial" w:eastAsia="Arial" w:hAnsi="Arial"/>
          <w:sz w:val="13"/>
          <w:szCs w:val="13"/>
          <w:color w:val="auto"/>
        </w:rPr>
        <w:t>shall not have any duty to take any discretionary action or exercise any discretionary powers, except discretionary rights and powers expressly contemplated hereby or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63" w:name="page164"/>
    <w:bookmarkEnd w:id="163"/>
    <w:p>
      <w:pPr>
        <w:ind w:left="220" w:right="80"/>
        <w:spacing w:after="0" w:line="264" w:lineRule="auto"/>
        <w:rPr>
          <w:sz w:val="20"/>
          <w:szCs w:val="20"/>
          <w:color w:val="auto"/>
        </w:rPr>
      </w:pPr>
      <w:r>
        <w:rPr>
          <w:rFonts w:ascii="Arial" w:cs="Arial" w:eastAsia="Arial" w:hAnsi="Arial"/>
          <w:sz w:val="13"/>
          <w:szCs w:val="13"/>
          <w:color w:val="auto"/>
        </w:rPr>
        <w:t xml:space="preserve">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Administrative Agent shall not be required to take any action that, in its opinion or the opinion of its counsel, may expose the Administrative Agent to liability or that is contrary to any Loan Document or applicable law; and</w:t>
      </w:r>
    </w:p>
    <w:p>
      <w:pPr>
        <w:spacing w:after="0" w:line="57" w:lineRule="exact"/>
        <w:rPr>
          <w:sz w:val="20"/>
          <w:szCs w:val="20"/>
          <w:color w:val="auto"/>
        </w:rPr>
      </w:pPr>
    </w:p>
    <w:p>
      <w:pPr>
        <w:ind w:left="220" w:firstLine="172"/>
        <w:spacing w:after="0" w:line="276" w:lineRule="auto"/>
        <w:tabs>
          <w:tab w:leader="none" w:pos="562" w:val="left"/>
        </w:tabs>
        <w:numPr>
          <w:ilvl w:val="0"/>
          <w:numId w:val="148"/>
        </w:numPr>
        <w:rPr>
          <w:rFonts w:ascii="Arial" w:cs="Arial" w:eastAsia="Arial" w:hAnsi="Arial"/>
          <w:sz w:val="13"/>
          <w:szCs w:val="13"/>
          <w:color w:val="auto"/>
        </w:rPr>
      </w:pPr>
      <w:r>
        <w:rPr>
          <w:rFonts w:ascii="Arial" w:cs="Arial" w:eastAsia="Arial" w:hAnsi="Arial"/>
          <w:sz w:val="13"/>
          <w:szCs w:val="13"/>
          <w:color w:val="auto"/>
        </w:rPr>
        <w:t>shall not, except as expressly set forth herein and in the other Loan Documents, have any duty to disclose, and shall not be liable for the failure to disclose, any information relating to any Loan Party or any of its Affiliates that is communicated to or obtained by the Person serving as the Administrative Agent or any of its Affiliates in any capacity.</w:t>
      </w:r>
    </w:p>
    <w:p>
      <w:pPr>
        <w:spacing w:after="0" w:line="49" w:lineRule="exact"/>
        <w:rPr>
          <w:sz w:val="20"/>
          <w:szCs w:val="20"/>
          <w:color w:val="auto"/>
        </w:rPr>
      </w:pPr>
    </w:p>
    <w:p>
      <w:pPr>
        <w:ind w:right="120" w:firstLine="161"/>
        <w:spacing w:after="0" w:line="260" w:lineRule="auto"/>
        <w:rPr>
          <w:sz w:val="20"/>
          <w:szCs w:val="20"/>
          <w:color w:val="auto"/>
        </w:rPr>
      </w:pPr>
      <w:r>
        <w:rPr>
          <w:rFonts w:ascii="Arial" w:cs="Arial" w:eastAsia="Arial" w:hAnsi="Arial"/>
          <w:sz w:val="13"/>
          <w:szCs w:val="13"/>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3"/>
          <w:szCs w:val="13"/>
          <w:u w:val="single" w:color="auto"/>
          <w:color w:val="auto"/>
        </w:rPr>
        <w:t>Sections 11.01</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9.02</w:t>
      </w:r>
      <w:r>
        <w:rPr>
          <w:rFonts w:ascii="Arial" w:cs="Arial" w:eastAsia="Arial" w:hAnsi="Arial"/>
          <w:sz w:val="13"/>
          <w:szCs w:val="13"/>
          <w:color w:val="auto"/>
        </w:rPr>
        <w:t>) or (ii) in the absence of its own gross negligence or willful misconduct. The Administrative Agent shall be deemed not to have knowledge of any Default unless and until notice describing such Default is given to the Administrative Agent by the Company, a Lender or the L/C Issuer.</w:t>
      </w:r>
    </w:p>
    <w:p>
      <w:pPr>
        <w:spacing w:after="0" w:line="60" w:lineRule="exact"/>
        <w:rPr>
          <w:sz w:val="20"/>
          <w:szCs w:val="20"/>
          <w:color w:val="auto"/>
        </w:rPr>
      </w:pPr>
    </w:p>
    <w:p>
      <w:pPr>
        <w:ind w:firstLine="161"/>
        <w:spacing w:after="0" w:line="322" w:lineRule="auto"/>
        <w:rPr>
          <w:sz w:val="20"/>
          <w:szCs w:val="20"/>
          <w:color w:val="auto"/>
        </w:rPr>
      </w:pPr>
      <w:r>
        <w:rPr>
          <w:rFonts w:ascii="Arial" w:cs="Arial" w:eastAsia="Arial" w:hAnsi="Arial"/>
          <w:sz w:val="11"/>
          <w:szCs w:val="11"/>
          <w:color w:val="auto"/>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Arial" w:cs="Arial" w:eastAsia="Arial" w:hAnsi="Arial"/>
          <w:sz w:val="11"/>
          <w:szCs w:val="11"/>
          <w:u w:val="single" w:color="auto"/>
          <w:color w:val="auto"/>
        </w:rPr>
        <w:t>Article V</w:t>
      </w:r>
      <w:r>
        <w:rPr>
          <w:rFonts w:ascii="Arial" w:cs="Arial" w:eastAsia="Arial" w:hAnsi="Arial"/>
          <w:sz w:val="11"/>
          <w:szCs w:val="11"/>
          <w:color w:val="auto"/>
        </w:rPr>
        <w:t xml:space="preserve"> or elsewhere herein, other than to confirm receipt of items expressly required to be delivered to the Administrative Agent.</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10.04 </w:t>
      </w:r>
      <w:r>
        <w:rPr>
          <w:rFonts w:ascii="Arial" w:cs="Arial" w:eastAsia="Arial" w:hAnsi="Arial"/>
          <w:sz w:val="13"/>
          <w:szCs w:val="13"/>
          <w:u w:val="single" w:color="auto"/>
          <w:color w:val="auto"/>
        </w:rPr>
        <w:t>Reliance by Administrative Agent</w:t>
      </w:r>
      <w:r>
        <w:rPr>
          <w:rFonts w:ascii="Arial" w:cs="Arial" w:eastAsia="Arial" w:hAnsi="Arial"/>
          <w:sz w:val="13"/>
          <w:szCs w:val="13"/>
          <w:color w:val="auto"/>
        </w:rPr>
        <w:t>.</w:t>
      </w:r>
    </w:p>
    <w:p>
      <w:pPr>
        <w:spacing w:after="0" w:line="86" w:lineRule="exact"/>
        <w:rPr>
          <w:sz w:val="20"/>
          <w:szCs w:val="20"/>
          <w:color w:val="auto"/>
        </w:rPr>
      </w:pPr>
    </w:p>
    <w:p>
      <w:pPr>
        <w:ind w:right="120" w:firstLine="161"/>
        <w:spacing w:after="0" w:line="281" w:lineRule="auto"/>
        <w:rPr>
          <w:sz w:val="20"/>
          <w:szCs w:val="20"/>
          <w:color w:val="auto"/>
        </w:rPr>
      </w:pPr>
      <w:r>
        <w:rPr>
          <w:rFonts w:ascii="Arial" w:cs="Arial" w:eastAsia="Arial" w:hAnsi="Arial"/>
          <w:sz w:val="12"/>
          <w:szCs w:val="12"/>
          <w:color w:val="auto"/>
        </w:rPr>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L/C Issuer, the Administrative Agent may presume that such condition is satisfactory to such Lender or the L/C Issuer unless the Administrative Agent shall have received notice to the contrary from such Lender or the L/C Issuer prior to the making of such Loan or the issuance of such Letter of Credit. The Administrative Agent may consult with legal counsel (who may be counsel for the Loan Parties), independent accountants and other experts selected by it, and shall not be liable for any action taken or not taken by it in accordance with the advice of any such counsel, accountants or experts.</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10.05 </w:t>
      </w:r>
      <w:r>
        <w:rPr>
          <w:rFonts w:ascii="Arial" w:cs="Arial" w:eastAsia="Arial" w:hAnsi="Arial"/>
          <w:sz w:val="13"/>
          <w:szCs w:val="13"/>
          <w:u w:val="single" w:color="auto"/>
          <w:color w:val="auto"/>
        </w:rPr>
        <w:t>Delegation of Duties</w:t>
      </w:r>
      <w:r>
        <w:rPr>
          <w:rFonts w:ascii="Arial" w:cs="Arial" w:eastAsia="Arial" w:hAnsi="Arial"/>
          <w:sz w:val="13"/>
          <w:szCs w:val="13"/>
          <w:color w:val="auto"/>
        </w:rPr>
        <w: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The Administrative Agent may perform any and all of its duties and exercise its rights and powers hereunder or under any other Loan Document by or through any one or more sub-agents appointed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301625</wp:posOffset>
            </wp:positionV>
            <wp:extent cx="7290435" cy="190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64" w:name="page165"/>
    <w:bookmarkEnd w:id="164"/>
    <w:p>
      <w:pPr>
        <w:ind w:right="80"/>
        <w:spacing w:after="0" w:line="264" w:lineRule="auto"/>
        <w:rPr>
          <w:sz w:val="20"/>
          <w:szCs w:val="20"/>
          <w:color w:val="auto"/>
        </w:rPr>
      </w:pPr>
      <w:r>
        <w:rPr>
          <w:rFonts w:ascii="Arial" w:cs="Arial" w:eastAsia="Arial" w:hAnsi="Arial"/>
          <w:sz w:val="13"/>
          <w:szCs w:val="13"/>
          <w:color w:val="auto"/>
        </w:rPr>
        <w:t>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10.06 </w:t>
      </w:r>
      <w:r>
        <w:rPr>
          <w:rFonts w:ascii="Arial" w:cs="Arial" w:eastAsia="Arial" w:hAnsi="Arial"/>
          <w:sz w:val="13"/>
          <w:szCs w:val="13"/>
          <w:u w:val="single" w:color="auto"/>
          <w:color w:val="auto"/>
        </w:rPr>
        <w:t>Resignation of Administrative Agent</w:t>
      </w:r>
      <w:r>
        <w:rPr>
          <w:rFonts w:ascii="Arial" w:cs="Arial" w:eastAsia="Arial" w:hAnsi="Arial"/>
          <w:sz w:val="13"/>
          <w:szCs w:val="13"/>
          <w:color w:val="auto"/>
        </w:rPr>
        <w:t>.</w:t>
      </w:r>
    </w:p>
    <w:p>
      <w:pPr>
        <w:spacing w:after="0" w:line="86" w:lineRule="exact"/>
        <w:rPr>
          <w:sz w:val="20"/>
          <w:szCs w:val="20"/>
          <w:color w:val="auto"/>
        </w:rPr>
      </w:pPr>
    </w:p>
    <w:p>
      <w:pPr>
        <w:ind w:firstLine="161"/>
        <w:spacing w:after="0" w:line="277" w:lineRule="auto"/>
        <w:rPr>
          <w:sz w:val="20"/>
          <w:szCs w:val="20"/>
          <w:color w:val="auto"/>
        </w:rPr>
      </w:pPr>
      <w:r>
        <w:rPr>
          <w:rFonts w:ascii="Arial" w:cs="Arial" w:eastAsia="Arial" w:hAnsi="Arial"/>
          <w:sz w:val="12"/>
          <w:szCs w:val="12"/>
          <w:color w:val="auto"/>
        </w:rPr>
        <w:t xml:space="preserve">The Administrative Agent may at any time give notice of its resignation to the Lenders, the L/C Issuer and the Company. Upon receipt of any such notice of resignation, the Required Lenders shall have the right, with the consent of Company so long as no Default exists (such consent of the Company not to be unreasonably withheld or delayed),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then the retiring Administrative Agent may on behalf of the Lenders and the L/C Issuer, appoint a successor Administrative Agent meeting the qualifications set forth above;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if the Administrative Agent shall notify the Company and the Lenders that no qualifying Person has accepted such appointment, then such resignation shall nonetheless become effective in accordance with such notice and (a) the retiring Administrative Agent shall be discharged from its duties and obligations hereunder and under the other Loan Documents (except that in the case of any collateral security held by the Administrative Agent on behalf of the Lenders or the L/C Issuer under any of the Loan Documents, the retiring Administrative Agent shall continue to hold such collateral security until such time as a successor Administrative Agent is appointed) and (b) all payments, communications and determinations provided to be made by, to or through the Administrative Agent shall instead be made by or to each Lender and the L/C Issuer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Administrative Agent, and the retiring Administrative Agent shall be discharged from all of its duties and obligations hereunder or under the other Loan Documents (if not already discharged therefrom as provided above in this Section). The fees payable by the Company to a successor Administrative Agent shall be the same as those payable to its predecessor unless otherwise agreed between the Company and such successor. After the retiring Administrative Agent’s resignation hereunder and under the other Loan Documents, the provisions of this Article, </w:t>
      </w:r>
      <w:r>
        <w:rPr>
          <w:rFonts w:ascii="Arial" w:cs="Arial" w:eastAsia="Arial" w:hAnsi="Arial"/>
          <w:sz w:val="12"/>
          <w:szCs w:val="12"/>
          <w:u w:val="single" w:color="auto"/>
          <w:color w:val="auto"/>
        </w:rPr>
        <w:t>Section 11.04</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11.05</w:t>
      </w:r>
      <w:r>
        <w:rPr>
          <w:rFonts w:ascii="Arial" w:cs="Arial" w:eastAsia="Arial" w:hAnsi="Arial"/>
          <w:sz w:val="12"/>
          <w:szCs w:val="12"/>
          <w:color w:val="auto"/>
        </w:rPr>
        <w:t xml:space="preserve">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51" w:lineRule="exact"/>
        <w:rPr>
          <w:sz w:val="20"/>
          <w:szCs w:val="20"/>
          <w:color w:val="auto"/>
        </w:rPr>
      </w:pPr>
    </w:p>
    <w:p>
      <w:pPr>
        <w:ind w:right="40" w:firstLine="157"/>
        <w:spacing w:after="0" w:line="258" w:lineRule="auto"/>
        <w:rPr>
          <w:sz w:val="20"/>
          <w:szCs w:val="20"/>
          <w:color w:val="auto"/>
        </w:rPr>
      </w:pPr>
      <w:r>
        <w:rPr>
          <w:rFonts w:ascii="Arial" w:cs="Arial" w:eastAsia="Arial" w:hAnsi="Arial"/>
          <w:sz w:val="13"/>
          <w:szCs w:val="13"/>
          <w:color w:val="auto"/>
        </w:rPr>
        <w:t>Any resignation by Bank of America as Administrative Agent pursuant to this Section shall also constitute its resignation as L/C Issuer and Swing Line Lender. Upon the acceptance of a successor’s appointment as Administrative Agent hereunder, (i) such successor shall succeed to and become vested with all of the rights, powers, privileges and duties of the retiring L/C Issuer and Swing Line Lender, (ii) the retiring L/C Issuer and Swing Line Lender shall be discharged from all of their respective duties and obligations hereunder or under the other Loan Documents, and (iii) the successor L/C Issuer shall issue letters of credit in substitution for the Letters of Credit, if any, outstanding at the time of such succession or make other arrangements satisfactory to the retiring L/C Issuer to effectively assume the obligations of the retiring L/C Issuer with respect to such Letters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278765</wp:posOffset>
            </wp:positionV>
            <wp:extent cx="7290435" cy="190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65" w:name="page166"/>
    <w:bookmarkEnd w:id="165"/>
    <w:p>
      <w:pPr>
        <w:spacing w:after="0"/>
        <w:rPr>
          <w:sz w:val="20"/>
          <w:szCs w:val="20"/>
          <w:color w:val="auto"/>
        </w:rPr>
      </w:pPr>
      <w:r>
        <w:rPr>
          <w:rFonts w:ascii="Arial" w:cs="Arial" w:eastAsia="Arial" w:hAnsi="Arial"/>
          <w:sz w:val="13"/>
          <w:szCs w:val="13"/>
          <w:color w:val="auto"/>
        </w:rPr>
        <w:t xml:space="preserve">10.07 </w:t>
      </w:r>
      <w:r>
        <w:rPr>
          <w:rFonts w:ascii="Arial" w:cs="Arial" w:eastAsia="Arial" w:hAnsi="Arial"/>
          <w:sz w:val="13"/>
          <w:szCs w:val="13"/>
          <w:u w:val="single" w:color="auto"/>
          <w:color w:val="auto"/>
        </w:rPr>
        <w:t>Non-Reliance on Administrative Agent and Other Lenders</w:t>
      </w:r>
      <w:r>
        <w:rPr>
          <w:rFonts w:ascii="Arial" w:cs="Arial" w:eastAsia="Arial" w:hAnsi="Arial"/>
          <w:sz w:val="13"/>
          <w:szCs w:val="13"/>
          <w:color w:val="auto"/>
        </w:rPr>
        <w:t>.</w:t>
      </w:r>
    </w:p>
    <w:p>
      <w:pPr>
        <w:spacing w:after="0" w:line="86" w:lineRule="exact"/>
        <w:rPr>
          <w:sz w:val="20"/>
          <w:szCs w:val="20"/>
          <w:color w:val="auto"/>
        </w:rPr>
      </w:pPr>
    </w:p>
    <w:p>
      <w:pPr>
        <w:ind w:right="40" w:firstLine="164"/>
        <w:spacing w:after="0" w:line="289" w:lineRule="auto"/>
        <w:rPr>
          <w:sz w:val="20"/>
          <w:szCs w:val="20"/>
          <w:color w:val="auto"/>
        </w:rPr>
      </w:pPr>
      <w:r>
        <w:rPr>
          <w:rFonts w:ascii="Arial" w:cs="Arial" w:eastAsia="Arial" w:hAnsi="Arial"/>
          <w:sz w:val="12"/>
          <w:szCs w:val="12"/>
          <w:color w:val="auto"/>
        </w:rPr>
        <w:t>Each Lender and the L/C Issuer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the L/C Issuer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10.08 </w:t>
      </w:r>
      <w:r>
        <w:rPr>
          <w:rFonts w:ascii="Arial" w:cs="Arial" w:eastAsia="Arial" w:hAnsi="Arial"/>
          <w:sz w:val="13"/>
          <w:szCs w:val="13"/>
          <w:u w:val="single" w:color="auto"/>
          <w:color w:val="auto"/>
        </w:rPr>
        <w:t>No Other Duties; Etc</w:t>
      </w:r>
      <w:r>
        <w:rPr>
          <w:rFonts w:ascii="Arial" w:cs="Arial" w:eastAsia="Arial" w:hAnsi="Arial"/>
          <w:sz w:val="13"/>
          <w:szCs w:val="13"/>
          <w:color w:val="auto"/>
        </w:rPr>
        <w:t>.</w:t>
      </w:r>
    </w:p>
    <w:p>
      <w:pPr>
        <w:spacing w:after="0" w:line="86" w:lineRule="exact"/>
        <w:rPr>
          <w:sz w:val="20"/>
          <w:szCs w:val="20"/>
          <w:color w:val="auto"/>
        </w:rPr>
      </w:pPr>
    </w:p>
    <w:p>
      <w:pPr>
        <w:ind w:right="100" w:firstLine="157"/>
        <w:spacing w:after="0" w:line="276" w:lineRule="auto"/>
        <w:rPr>
          <w:sz w:val="20"/>
          <w:szCs w:val="20"/>
          <w:color w:val="auto"/>
        </w:rPr>
      </w:pPr>
      <w:r>
        <w:rPr>
          <w:rFonts w:ascii="Arial" w:cs="Arial" w:eastAsia="Arial" w:hAnsi="Arial"/>
          <w:sz w:val="13"/>
          <w:szCs w:val="13"/>
          <w:color w:val="auto"/>
        </w:rPr>
        <w:t>Anything herein to the contrary notwithstanding, none of the bookrunners, arrangers, syndication agents, documentation agents or co-agents shall have any powers, duties or responsibilities under this Agreement or any of the other Loan Documents, except in its capacity, as applicable, as the Administrative Agent, a Lender or the L/C Issuer hereunder.</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10.09 </w:t>
      </w:r>
      <w:r>
        <w:rPr>
          <w:rFonts w:ascii="Arial" w:cs="Arial" w:eastAsia="Arial" w:hAnsi="Arial"/>
          <w:sz w:val="13"/>
          <w:szCs w:val="13"/>
          <w:u w:val="single" w:color="auto"/>
          <w:color w:val="auto"/>
        </w:rPr>
        <w:t>Administrative Agent May File Proofs of Claim</w:t>
      </w:r>
      <w:r>
        <w:rPr>
          <w:rFonts w:ascii="Arial" w:cs="Arial" w:eastAsia="Arial" w:hAnsi="Arial"/>
          <w:sz w:val="13"/>
          <w:szCs w:val="13"/>
          <w:color w:val="auto"/>
        </w:rPr>
        <w:t>.</w:t>
      </w:r>
    </w:p>
    <w:p>
      <w:pPr>
        <w:spacing w:after="0" w:line="86"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color w:val="auto"/>
        </w:rPr>
        <w:t>In case of the pendency of any proceeding under any 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any Borrower) shall be entitled and empowered, by intervention in such proceeding or otherwise:</w:t>
      </w:r>
    </w:p>
    <w:p>
      <w:pPr>
        <w:spacing w:after="0" w:line="57" w:lineRule="exact"/>
        <w:rPr>
          <w:sz w:val="20"/>
          <w:szCs w:val="20"/>
          <w:color w:val="auto"/>
        </w:rPr>
      </w:pPr>
    </w:p>
    <w:p>
      <w:pPr>
        <w:ind w:left="220" w:right="80" w:firstLine="172"/>
        <w:spacing w:after="0" w:line="260" w:lineRule="auto"/>
        <w:tabs>
          <w:tab w:leader="none" w:pos="562" w:val="left"/>
        </w:tabs>
        <w:numPr>
          <w:ilvl w:val="0"/>
          <w:numId w:val="149"/>
        </w:numPr>
        <w:rPr>
          <w:rFonts w:ascii="Arial" w:cs="Arial" w:eastAsia="Arial" w:hAnsi="Arial"/>
          <w:sz w:val="13"/>
          <w:szCs w:val="13"/>
          <w:color w:val="auto"/>
        </w:rPr>
      </w:pPr>
      <w:r>
        <w:rPr>
          <w:rFonts w:ascii="Arial" w:cs="Arial" w:eastAsia="Arial" w:hAnsi="Arial"/>
          <w:sz w:val="13"/>
          <w:szCs w:val="13"/>
          <w:color w:val="auto"/>
        </w:rPr>
        <w:t xml:space="preserve">to file and prove a claim for the whole amount of the principal and interest owing and unpaid in respect of the Loans, L/C Obligations and all other Obligations arising under the Loan Documents that are owing and unpaid and to file such other documents as may be necessary or advisable in order to have the claims of the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w:t>
      </w:r>
      <w:r>
        <w:rPr>
          <w:rFonts w:ascii="Arial" w:cs="Arial" w:eastAsia="Arial" w:hAnsi="Arial"/>
          <w:sz w:val="13"/>
          <w:szCs w:val="13"/>
          <w:u w:val="single" w:color="auto"/>
          <w:color w:val="auto"/>
        </w:rPr>
        <w:t>Sections 2.03(i)</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(j)</w:t>
      </w:r>
      <w:r>
        <w:rPr>
          <w:rFonts w:ascii="Arial" w:cs="Arial" w:eastAsia="Arial" w:hAnsi="Arial"/>
          <w:sz w:val="13"/>
          <w:szCs w:val="13"/>
          <w:color w:val="auto"/>
        </w:rPr>
        <w:t xml:space="preserve">, </w:t>
      </w:r>
      <w:r>
        <w:rPr>
          <w:rFonts w:ascii="Arial" w:cs="Arial" w:eastAsia="Arial" w:hAnsi="Arial"/>
          <w:sz w:val="13"/>
          <w:szCs w:val="13"/>
          <w:u w:val="single" w:color="auto"/>
          <w:color w:val="auto"/>
        </w:rPr>
        <w:t>2.09</w:t>
      </w:r>
      <w:r>
        <w:rPr>
          <w:rFonts w:ascii="Arial" w:cs="Arial" w:eastAsia="Arial" w:hAnsi="Arial"/>
          <w:sz w:val="13"/>
          <w:szCs w:val="13"/>
          <w:color w:val="auto"/>
        </w:rPr>
        <w:t xml:space="preserve">, </w:t>
      </w:r>
      <w:r>
        <w:rPr>
          <w:rFonts w:ascii="Arial" w:cs="Arial" w:eastAsia="Arial" w:hAnsi="Arial"/>
          <w:sz w:val="13"/>
          <w:szCs w:val="13"/>
          <w:u w:val="single" w:color="auto"/>
          <w:color w:val="auto"/>
        </w:rPr>
        <w:t>11.04</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11.05</w:t>
      </w:r>
      <w:r>
        <w:rPr>
          <w:rFonts w:ascii="Arial" w:cs="Arial" w:eastAsia="Arial" w:hAnsi="Arial"/>
          <w:sz w:val="13"/>
          <w:szCs w:val="13"/>
          <w:color w:val="auto"/>
        </w:rPr>
        <w:t>) allowed in such judicial proceeding; and</w:t>
      </w:r>
    </w:p>
    <w:p>
      <w:pPr>
        <w:spacing w:after="0" w:line="59" w:lineRule="exact"/>
        <w:rPr>
          <w:rFonts w:ascii="Arial" w:cs="Arial" w:eastAsia="Arial" w:hAnsi="Arial"/>
          <w:sz w:val="13"/>
          <w:szCs w:val="13"/>
          <w:color w:val="auto"/>
        </w:rPr>
      </w:pPr>
    </w:p>
    <w:p>
      <w:pPr>
        <w:ind w:left="580" w:hanging="188"/>
        <w:spacing w:after="0"/>
        <w:tabs>
          <w:tab w:leader="none" w:pos="580" w:val="left"/>
        </w:tabs>
        <w:numPr>
          <w:ilvl w:val="0"/>
          <w:numId w:val="149"/>
        </w:numPr>
        <w:rPr>
          <w:rFonts w:ascii="Arial" w:cs="Arial" w:eastAsia="Arial" w:hAnsi="Arial"/>
          <w:sz w:val="13"/>
          <w:szCs w:val="13"/>
          <w:color w:val="auto"/>
        </w:rPr>
      </w:pPr>
      <w:r>
        <w:rPr>
          <w:rFonts w:ascii="Arial" w:cs="Arial" w:eastAsia="Arial" w:hAnsi="Arial"/>
          <w:sz w:val="13"/>
          <w:szCs w:val="13"/>
          <w:color w:val="auto"/>
        </w:rPr>
        <w:t>to collect and receive any monies or other property payable or deliverable on any such claims and to distribute the same;</w:t>
      </w:r>
    </w:p>
    <w:p>
      <w:pPr>
        <w:spacing w:after="0" w:line="86" w:lineRule="exact"/>
        <w:rPr>
          <w:sz w:val="20"/>
          <w:szCs w:val="20"/>
          <w:color w:val="auto"/>
        </w:rPr>
      </w:pPr>
    </w:p>
    <w:p>
      <w:pPr>
        <w:ind w:right="240"/>
        <w:spacing w:after="0" w:line="334" w:lineRule="auto"/>
        <w:rPr>
          <w:sz w:val="20"/>
          <w:szCs w:val="20"/>
          <w:color w:val="auto"/>
        </w:rPr>
      </w:pPr>
      <w:r>
        <w:rPr>
          <w:rFonts w:ascii="Arial" w:cs="Arial" w:eastAsia="Arial" w:hAnsi="Arial"/>
          <w:sz w:val="11"/>
          <w:szCs w:val="11"/>
          <w:color w:val="auto"/>
        </w:rPr>
        <w:t xml:space="preserve">and any custodian, receiver, assignee, trustee, liquidator, sequestrator or other similar official in any such judicial proceeding is hereby authorized by each Lender and the L/C Issuer to make such payments to the Administrative Agent and, if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1"/>
          <w:szCs w:val="11"/>
          <w:u w:val="single" w:color="auto"/>
          <w:color w:val="auto"/>
        </w:rPr>
        <w:t>Sections 2.09, 11.04</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11.05</w:t>
      </w:r>
      <w:r>
        <w:rPr>
          <w:rFonts w:ascii="Arial" w:cs="Arial" w:eastAsia="Arial" w:hAnsi="Arial"/>
          <w:sz w:val="11"/>
          <w:szCs w:val="11"/>
          <w:color w:val="auto"/>
        </w:rPr>
        <w:t>.</w:t>
      </w:r>
    </w:p>
    <w:p>
      <w:pPr>
        <w:spacing w:after="0" w:line="22" w:lineRule="exact"/>
        <w:rPr>
          <w:sz w:val="20"/>
          <w:szCs w:val="20"/>
          <w:color w:val="auto"/>
        </w:rPr>
      </w:pPr>
    </w:p>
    <w:p>
      <w:pPr>
        <w:ind w:right="360" w:firstLine="164"/>
        <w:spacing w:after="0" w:line="264" w:lineRule="auto"/>
        <w:rPr>
          <w:sz w:val="20"/>
          <w:szCs w:val="20"/>
          <w:color w:val="auto"/>
        </w:rPr>
      </w:pPr>
      <w:r>
        <w:rPr>
          <w:rFonts w:ascii="Arial" w:cs="Arial" w:eastAsia="Arial" w:hAnsi="Arial"/>
          <w:sz w:val="13"/>
          <w:szCs w:val="13"/>
          <w:color w:val="auto"/>
        </w:rPr>
        <w:t>Nothing contained herein shall be deemed to authorize the Administrative Agent to authorize or consent to or accept or adopt on behalf of any Lender or the L/C Issuer any plan of reorganization, arrangement, adjustment or composition affecting the Obligations or the rights of any Lender or the L/C Issuer to authorize the Administrative Agent to vote in respect of the claim of any Lender or the L/C Issuer in any such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275590</wp:posOffset>
            </wp:positionV>
            <wp:extent cx="7290435" cy="190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66" w:name="page167"/>
    <w:bookmarkEnd w:id="166"/>
    <w:p>
      <w:pPr>
        <w:spacing w:after="0"/>
        <w:rPr>
          <w:sz w:val="20"/>
          <w:szCs w:val="20"/>
          <w:color w:val="auto"/>
        </w:rPr>
      </w:pPr>
      <w:r>
        <w:rPr>
          <w:rFonts w:ascii="Arial" w:cs="Arial" w:eastAsia="Arial" w:hAnsi="Arial"/>
          <w:sz w:val="13"/>
          <w:szCs w:val="13"/>
          <w:color w:val="auto"/>
        </w:rPr>
        <w:t xml:space="preserve">10.10 </w:t>
      </w:r>
      <w:r>
        <w:rPr>
          <w:rFonts w:ascii="Arial" w:cs="Arial" w:eastAsia="Arial" w:hAnsi="Arial"/>
          <w:sz w:val="13"/>
          <w:szCs w:val="13"/>
          <w:u w:val="single" w:color="auto"/>
          <w:color w:val="auto"/>
        </w:rPr>
        <w:t>Guaranty Matters</w:t>
      </w:r>
      <w:r>
        <w:rPr>
          <w:rFonts w:ascii="Arial" w:cs="Arial" w:eastAsia="Arial" w:hAnsi="Arial"/>
          <w:sz w:val="13"/>
          <w:szCs w:val="13"/>
          <w:color w:val="auto"/>
        </w:rPr>
        <w:t>.</w:t>
      </w:r>
    </w:p>
    <w:p>
      <w:pPr>
        <w:spacing w:after="0" w:line="86" w:lineRule="exact"/>
        <w:rPr>
          <w:sz w:val="20"/>
          <w:szCs w:val="20"/>
          <w:color w:val="auto"/>
        </w:rPr>
      </w:pPr>
    </w:p>
    <w:p>
      <w:pPr>
        <w:ind w:right="220" w:firstLine="161"/>
        <w:spacing w:after="0" w:line="264" w:lineRule="auto"/>
        <w:rPr>
          <w:sz w:val="20"/>
          <w:szCs w:val="20"/>
          <w:color w:val="auto"/>
        </w:rPr>
      </w:pPr>
      <w:r>
        <w:rPr>
          <w:rFonts w:ascii="Arial" w:cs="Arial" w:eastAsia="Arial" w:hAnsi="Arial"/>
          <w:sz w:val="13"/>
          <w:szCs w:val="13"/>
          <w:color w:val="auto"/>
        </w:rPr>
        <w:t xml:space="preserve">The Lenders and the L/C Issuer irrevocably authorize the Administrative Agent, at its option and in its discretion to release any Guarantor from its obligations under the Guaranty if such Person ceases to be a Subsidiary as a result of a transaction permitted hereunder. Upon request by the Administrative Agent at any time, the Required Lenders will confirm in writing the Administrative Agent’s authority or to release any Guarantor from its obligations under the Guaranty, pursuant to this </w:t>
      </w:r>
      <w:r>
        <w:rPr>
          <w:rFonts w:ascii="Arial" w:cs="Arial" w:eastAsia="Arial" w:hAnsi="Arial"/>
          <w:sz w:val="13"/>
          <w:szCs w:val="13"/>
          <w:u w:val="single" w:color="auto"/>
          <w:color w:val="auto"/>
        </w:rPr>
        <w:t>Section 10.10</w:t>
      </w:r>
      <w:r>
        <w:rPr>
          <w:rFonts w:ascii="Arial" w:cs="Arial" w:eastAsia="Arial" w:hAnsi="Arial"/>
          <w:sz w:val="13"/>
          <w:szCs w:val="13"/>
          <w:color w:val="auto"/>
        </w:rPr>
        <w: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ARTICLE XI</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MISCELLANEOUS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11.01 </w:t>
      </w:r>
      <w:r>
        <w:rPr>
          <w:rFonts w:ascii="Arial" w:cs="Arial" w:eastAsia="Arial" w:hAnsi="Arial"/>
          <w:sz w:val="13"/>
          <w:szCs w:val="13"/>
          <w:u w:val="single" w:color="auto"/>
          <w:color w:val="auto"/>
        </w:rPr>
        <w:t>Amendments, Etc</w:t>
      </w:r>
      <w:r>
        <w:rPr>
          <w:rFonts w:ascii="Arial" w:cs="Arial" w:eastAsia="Arial" w:hAnsi="Arial"/>
          <w:sz w:val="13"/>
          <w:szCs w:val="13"/>
          <w:color w:val="auto"/>
        </w:rPr>
        <w:t>.</w:t>
      </w:r>
    </w:p>
    <w:p>
      <w:pPr>
        <w:spacing w:after="0" w:line="86" w:lineRule="exact"/>
        <w:rPr>
          <w:sz w:val="20"/>
          <w:szCs w:val="20"/>
          <w:color w:val="auto"/>
        </w:rPr>
      </w:pPr>
    </w:p>
    <w:p>
      <w:pPr>
        <w:ind w:right="160" w:firstLine="164"/>
        <w:spacing w:after="0" w:line="264" w:lineRule="auto"/>
        <w:rPr>
          <w:sz w:val="20"/>
          <w:szCs w:val="20"/>
          <w:color w:val="auto"/>
        </w:rPr>
      </w:pPr>
      <w:r>
        <w:rPr>
          <w:rFonts w:ascii="Arial" w:cs="Arial" w:eastAsia="Arial" w:hAnsi="Arial"/>
          <w:sz w:val="13"/>
          <w:szCs w:val="13"/>
          <w:color w:val="auto"/>
        </w:rPr>
        <w:t xml:space="preserve">No amendment or waiver of any provision of this Agreement or any other Loan Document, and no consent to any departure by the Borrowers or any other Loan Party therefrom, shall be effective unless in writing signed by the Required Lenders and the Loan Parties and acknowledged by the Administrative Agent, and each such waiver or consent shall be effective only in the specific instance and for the specific purpose for which given;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no such amendment, waiver or consent shall:</w:t>
      </w:r>
    </w:p>
    <w:p>
      <w:pPr>
        <w:spacing w:after="0" w:line="57" w:lineRule="exact"/>
        <w:rPr>
          <w:sz w:val="20"/>
          <w:szCs w:val="20"/>
          <w:color w:val="auto"/>
        </w:rPr>
      </w:pPr>
    </w:p>
    <w:p>
      <w:pPr>
        <w:ind w:left="220" w:firstLine="172"/>
        <w:spacing w:after="0" w:line="320" w:lineRule="auto"/>
        <w:tabs>
          <w:tab w:leader="none" w:pos="562" w:val="left"/>
        </w:tabs>
        <w:numPr>
          <w:ilvl w:val="0"/>
          <w:numId w:val="150"/>
        </w:numPr>
        <w:rPr>
          <w:rFonts w:ascii="Arial" w:cs="Arial" w:eastAsia="Arial" w:hAnsi="Arial"/>
          <w:sz w:val="12"/>
          <w:szCs w:val="12"/>
          <w:color w:val="auto"/>
        </w:rPr>
      </w:pPr>
      <w:r>
        <w:rPr>
          <w:rFonts w:ascii="Arial" w:cs="Arial" w:eastAsia="Arial" w:hAnsi="Arial"/>
          <w:sz w:val="12"/>
          <w:szCs w:val="12"/>
          <w:color w:val="auto"/>
        </w:rPr>
        <w:t xml:space="preserve">extend or increase the Commitment of any Lender (or reinstate any Commitment terminated pursuant to </w:t>
      </w:r>
      <w:r>
        <w:rPr>
          <w:rFonts w:ascii="Arial" w:cs="Arial" w:eastAsia="Arial" w:hAnsi="Arial"/>
          <w:sz w:val="12"/>
          <w:szCs w:val="12"/>
          <w:u w:val="single" w:color="auto"/>
          <w:color w:val="auto"/>
        </w:rPr>
        <w:t>Section 9.02</w:t>
      </w:r>
      <w:r>
        <w:rPr>
          <w:rFonts w:ascii="Arial" w:cs="Arial" w:eastAsia="Arial" w:hAnsi="Arial"/>
          <w:sz w:val="12"/>
          <w:szCs w:val="12"/>
          <w:color w:val="auto"/>
        </w:rPr>
        <w:t xml:space="preserve">) without the written consent of such Lender (it being understood and agreed that a waiver of any condition precedent set forth in </w:t>
      </w:r>
      <w:r>
        <w:rPr>
          <w:rFonts w:ascii="Arial" w:cs="Arial" w:eastAsia="Arial" w:hAnsi="Arial"/>
          <w:sz w:val="12"/>
          <w:szCs w:val="12"/>
          <w:u w:val="single" w:color="auto"/>
          <w:color w:val="auto"/>
        </w:rPr>
        <w:t>Section 5.02</w:t>
      </w:r>
      <w:r>
        <w:rPr>
          <w:rFonts w:ascii="Arial" w:cs="Arial" w:eastAsia="Arial" w:hAnsi="Arial"/>
          <w:sz w:val="12"/>
          <w:szCs w:val="12"/>
          <w:color w:val="auto"/>
        </w:rPr>
        <w:t xml:space="preserve"> or of any Default or a mandatory reduction in Commitments is not considered an extension or increase in Commitments of any Lender);</w:t>
      </w:r>
    </w:p>
    <w:p>
      <w:pPr>
        <w:spacing w:after="0" w:line="25" w:lineRule="exact"/>
        <w:rPr>
          <w:rFonts w:ascii="Arial" w:cs="Arial" w:eastAsia="Arial" w:hAnsi="Arial"/>
          <w:sz w:val="12"/>
          <w:szCs w:val="12"/>
          <w:color w:val="auto"/>
        </w:rPr>
      </w:pPr>
    </w:p>
    <w:p>
      <w:pPr>
        <w:ind w:left="220" w:right="60" w:firstLine="172"/>
        <w:spacing w:after="0" w:line="320" w:lineRule="auto"/>
        <w:tabs>
          <w:tab w:leader="none" w:pos="569" w:val="left"/>
        </w:tabs>
        <w:numPr>
          <w:ilvl w:val="0"/>
          <w:numId w:val="150"/>
        </w:numPr>
        <w:rPr>
          <w:rFonts w:ascii="Arial" w:cs="Arial" w:eastAsia="Arial" w:hAnsi="Arial"/>
          <w:sz w:val="12"/>
          <w:szCs w:val="12"/>
          <w:color w:val="auto"/>
        </w:rPr>
      </w:pPr>
      <w:r>
        <w:rPr>
          <w:rFonts w:ascii="Arial" w:cs="Arial" w:eastAsia="Arial" w:hAnsi="Arial"/>
          <w:sz w:val="12"/>
          <w:szCs w:val="12"/>
          <w:color w:val="auto"/>
        </w:rPr>
        <w:t>postpone any date fixed by this Agreement or any other Loan Document for any payment of principal (excluding mandatory prepayments), interest, fees or other amounts due to the Lenders (or any of them) or any scheduled or mandatory reduction of the Aggregate Revolving Commitments hereunder or under any other Loan Document without the written consent of each Lender directly affected thereby;</w:t>
      </w:r>
    </w:p>
    <w:p>
      <w:pPr>
        <w:spacing w:after="0" w:line="25" w:lineRule="exact"/>
        <w:rPr>
          <w:rFonts w:ascii="Arial" w:cs="Arial" w:eastAsia="Arial" w:hAnsi="Arial"/>
          <w:sz w:val="12"/>
          <w:szCs w:val="12"/>
          <w:color w:val="auto"/>
        </w:rPr>
      </w:pPr>
    </w:p>
    <w:p>
      <w:pPr>
        <w:jc w:val="both"/>
        <w:ind w:left="220" w:right="60" w:firstLine="172"/>
        <w:spacing w:after="0" w:line="264" w:lineRule="auto"/>
        <w:tabs>
          <w:tab w:leader="none" w:pos="562" w:val="left"/>
        </w:tabs>
        <w:numPr>
          <w:ilvl w:val="0"/>
          <w:numId w:val="150"/>
        </w:numPr>
        <w:rPr>
          <w:rFonts w:ascii="Arial" w:cs="Arial" w:eastAsia="Arial" w:hAnsi="Arial"/>
          <w:sz w:val="13"/>
          <w:szCs w:val="13"/>
          <w:color w:val="auto"/>
        </w:rPr>
      </w:pPr>
      <w:r>
        <w:rPr>
          <w:rFonts w:ascii="Arial" w:cs="Arial" w:eastAsia="Arial" w:hAnsi="Arial"/>
          <w:sz w:val="13"/>
          <w:szCs w:val="13"/>
          <w:color w:val="auto"/>
        </w:rPr>
        <w:t xml:space="preserve">reduce the principal of, or the rate of interest specified herein on, any Loan or L/C Borrowing, or any fees or other amounts payable hereunder or under any other Loan Document without the written consent of each Lender directly affected thereby;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only the consent of the Required Lenders shall be necessary to amend the definition of “Default Rate” or to waive any obligation of any Borrowers to pay interest or Letter of Credit Fees at the Default Rate;</w:t>
      </w:r>
    </w:p>
    <w:p>
      <w:pPr>
        <w:spacing w:after="0" w:line="57" w:lineRule="exact"/>
        <w:rPr>
          <w:rFonts w:ascii="Arial" w:cs="Arial" w:eastAsia="Arial" w:hAnsi="Arial"/>
          <w:sz w:val="13"/>
          <w:szCs w:val="13"/>
          <w:color w:val="auto"/>
        </w:rPr>
      </w:pPr>
    </w:p>
    <w:p>
      <w:pPr>
        <w:ind w:left="580" w:hanging="188"/>
        <w:spacing w:after="0"/>
        <w:tabs>
          <w:tab w:leader="none" w:pos="580" w:val="left"/>
        </w:tabs>
        <w:numPr>
          <w:ilvl w:val="0"/>
          <w:numId w:val="150"/>
        </w:numPr>
        <w:rPr>
          <w:rFonts w:ascii="Arial" w:cs="Arial" w:eastAsia="Arial" w:hAnsi="Arial"/>
          <w:sz w:val="13"/>
          <w:szCs w:val="13"/>
          <w:color w:val="auto"/>
        </w:rPr>
      </w:pPr>
      <w:r>
        <w:rPr>
          <w:rFonts w:ascii="Arial" w:cs="Arial" w:eastAsia="Arial" w:hAnsi="Arial"/>
          <w:sz w:val="13"/>
          <w:szCs w:val="13"/>
          <w:color w:val="auto"/>
        </w:rPr>
        <w:t xml:space="preserve">change </w:t>
      </w:r>
      <w:r>
        <w:rPr>
          <w:rFonts w:ascii="Arial" w:cs="Arial" w:eastAsia="Arial" w:hAnsi="Arial"/>
          <w:sz w:val="13"/>
          <w:szCs w:val="13"/>
          <w:u w:val="single" w:color="auto"/>
          <w:color w:val="auto"/>
        </w:rPr>
        <w:t>Section 2.13</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9.03</w:t>
      </w:r>
      <w:r>
        <w:rPr>
          <w:rFonts w:ascii="Arial" w:cs="Arial" w:eastAsia="Arial" w:hAnsi="Arial"/>
          <w:sz w:val="13"/>
          <w:szCs w:val="13"/>
          <w:color w:val="auto"/>
        </w:rPr>
        <w:t xml:space="preserve"> in a manner that would alter the pro rata sharing of payments required thereby without the written consent of each Lender directly affected thereby;</w:t>
      </w:r>
    </w:p>
    <w:p>
      <w:pPr>
        <w:spacing w:after="0" w:line="86" w:lineRule="exact"/>
        <w:rPr>
          <w:rFonts w:ascii="Arial" w:cs="Arial" w:eastAsia="Arial" w:hAnsi="Arial"/>
          <w:sz w:val="13"/>
          <w:szCs w:val="13"/>
          <w:color w:val="auto"/>
        </w:rPr>
      </w:pPr>
    </w:p>
    <w:p>
      <w:pPr>
        <w:ind w:left="560" w:hanging="168"/>
        <w:spacing w:after="0"/>
        <w:tabs>
          <w:tab w:leader="none" w:pos="560" w:val="left"/>
        </w:tabs>
        <w:numPr>
          <w:ilvl w:val="0"/>
          <w:numId w:val="150"/>
        </w:numPr>
        <w:rPr>
          <w:rFonts w:ascii="Arial" w:cs="Arial" w:eastAsia="Arial" w:hAnsi="Arial"/>
          <w:sz w:val="13"/>
          <w:szCs w:val="13"/>
          <w:color w:val="auto"/>
        </w:rPr>
      </w:pPr>
      <w:r>
        <w:rPr>
          <w:rFonts w:ascii="Arial" w:cs="Arial" w:eastAsia="Arial" w:hAnsi="Arial"/>
          <w:sz w:val="13"/>
          <w:szCs w:val="13"/>
          <w:color w:val="auto"/>
        </w:rPr>
        <w:t xml:space="preserve">amend </w:t>
      </w:r>
      <w:r>
        <w:rPr>
          <w:rFonts w:ascii="Arial" w:cs="Arial" w:eastAsia="Arial" w:hAnsi="Arial"/>
          <w:sz w:val="13"/>
          <w:szCs w:val="13"/>
          <w:u w:val="single" w:color="auto"/>
          <w:color w:val="auto"/>
        </w:rPr>
        <w:t>Section 1.07</w:t>
      </w:r>
      <w:r>
        <w:rPr>
          <w:rFonts w:ascii="Arial" w:cs="Arial" w:eastAsia="Arial" w:hAnsi="Arial"/>
          <w:sz w:val="13"/>
          <w:szCs w:val="13"/>
          <w:color w:val="auto"/>
        </w:rPr>
        <w:t xml:space="preserve"> or the definition of “Alternative Currency” without the written consent of each Lender;</w:t>
      </w:r>
    </w:p>
    <w:p>
      <w:pPr>
        <w:spacing w:after="0" w:line="86" w:lineRule="exact"/>
        <w:rPr>
          <w:rFonts w:ascii="Arial" w:cs="Arial" w:eastAsia="Arial" w:hAnsi="Arial"/>
          <w:sz w:val="13"/>
          <w:szCs w:val="13"/>
          <w:color w:val="auto"/>
        </w:rPr>
      </w:pPr>
    </w:p>
    <w:p>
      <w:pPr>
        <w:ind w:left="220" w:right="80" w:firstLine="172"/>
        <w:spacing w:after="0" w:line="276" w:lineRule="auto"/>
        <w:tabs>
          <w:tab w:leader="none" w:pos="547" w:val="left"/>
        </w:tabs>
        <w:numPr>
          <w:ilvl w:val="0"/>
          <w:numId w:val="150"/>
        </w:numPr>
        <w:rPr>
          <w:rFonts w:ascii="Arial" w:cs="Arial" w:eastAsia="Arial" w:hAnsi="Arial"/>
          <w:sz w:val="13"/>
          <w:szCs w:val="13"/>
          <w:color w:val="auto"/>
        </w:rPr>
      </w:pPr>
      <w:r>
        <w:rPr>
          <w:rFonts w:ascii="Arial" w:cs="Arial" w:eastAsia="Arial" w:hAnsi="Arial"/>
          <w:sz w:val="13"/>
          <w:szCs w:val="13"/>
          <w:color w:val="auto"/>
        </w:rPr>
        <w:t>change any provision of this Section or the definition of “Required Lenders” or any other provision hereof specifying the number or percentage of Lenders required to amend, waive or otherwise modify any rights hereunder or make any determination or grant any consent hereunder without the written consent of each Lender directly affected thereby;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67" w:name="page168"/>
    <w:bookmarkEnd w:id="167"/>
    <w:p>
      <w:pPr>
        <w:ind w:left="220" w:right="160" w:firstLine="172"/>
        <w:spacing w:after="0" w:line="276" w:lineRule="auto"/>
        <w:tabs>
          <w:tab w:leader="none" w:pos="569" w:val="left"/>
        </w:tabs>
        <w:numPr>
          <w:ilvl w:val="0"/>
          <w:numId w:val="151"/>
        </w:numPr>
        <w:rPr>
          <w:rFonts w:ascii="Arial" w:cs="Arial" w:eastAsia="Arial" w:hAnsi="Arial"/>
          <w:sz w:val="13"/>
          <w:szCs w:val="13"/>
          <w:color w:val="auto"/>
        </w:rPr>
      </w:pPr>
      <w:r>
        <w:rPr>
          <w:rFonts w:ascii="Arial" w:cs="Arial" w:eastAsia="Arial" w:hAnsi="Arial"/>
          <w:sz w:val="13"/>
          <w:szCs w:val="13"/>
          <w:color w:val="auto"/>
        </w:rPr>
        <w:t xml:space="preserve">release the Company or, except in connection with a merger or consolidation permitted under </w:t>
      </w:r>
      <w:r>
        <w:rPr>
          <w:rFonts w:ascii="Arial" w:cs="Arial" w:eastAsia="Arial" w:hAnsi="Arial"/>
          <w:sz w:val="13"/>
          <w:szCs w:val="13"/>
          <w:u w:val="single" w:color="auto"/>
          <w:color w:val="auto"/>
        </w:rPr>
        <w:t>Section 8.04</w:t>
      </w:r>
      <w:r>
        <w:rPr>
          <w:rFonts w:ascii="Arial" w:cs="Arial" w:eastAsia="Arial" w:hAnsi="Arial"/>
          <w:sz w:val="13"/>
          <w:szCs w:val="13"/>
          <w:color w:val="auto"/>
        </w:rPr>
        <w:t xml:space="preserve"> or a Disposition permitted under </w:t>
      </w:r>
      <w:r>
        <w:rPr>
          <w:rFonts w:ascii="Arial" w:cs="Arial" w:eastAsia="Arial" w:hAnsi="Arial"/>
          <w:sz w:val="13"/>
          <w:szCs w:val="13"/>
          <w:u w:val="single" w:color="auto"/>
          <w:color w:val="auto"/>
        </w:rPr>
        <w:t>Section 8.05</w:t>
      </w:r>
      <w:r>
        <w:rPr>
          <w:rFonts w:ascii="Arial" w:cs="Arial" w:eastAsia="Arial" w:hAnsi="Arial"/>
          <w:sz w:val="13"/>
          <w:szCs w:val="13"/>
          <w:color w:val="auto"/>
        </w:rPr>
        <w:t>, any other Borrower or all or substantially all of the Guarantors, from its or their obligations under the Loan Documents without the written consent of each Lender directly affected thereby;</w:t>
      </w:r>
    </w:p>
    <w:p>
      <w:pPr>
        <w:spacing w:after="0" w:line="49" w:lineRule="exact"/>
        <w:rPr>
          <w:sz w:val="20"/>
          <w:szCs w:val="20"/>
          <w:color w:val="auto"/>
        </w:rPr>
      </w:pPr>
    </w:p>
    <w:p>
      <w:pPr>
        <w:ind w:right="40"/>
        <w:spacing w:after="0" w:line="282" w:lineRule="auto"/>
        <w:rPr>
          <w:sz w:val="20"/>
          <w:szCs w:val="20"/>
          <w:color w:val="auto"/>
        </w:rPr>
      </w:pPr>
      <w:r>
        <w:rPr>
          <w:rFonts w:ascii="Arial" w:cs="Arial" w:eastAsia="Arial" w:hAnsi="Arial"/>
          <w:sz w:val="12"/>
          <w:szCs w:val="12"/>
          <w:color w:val="auto"/>
        </w:rPr>
        <w:t xml:space="preserve">and, </w:t>
      </w:r>
      <w:r>
        <w:rPr>
          <w:rFonts w:ascii="Arial" w:cs="Arial" w:eastAsia="Arial" w:hAnsi="Arial"/>
          <w:sz w:val="12"/>
          <w:szCs w:val="12"/>
          <w:u w:val="single" w:color="auto"/>
          <w:color w:val="auto"/>
        </w:rPr>
        <w:t>provided further</w:t>
      </w:r>
      <w:r>
        <w:rPr>
          <w:rFonts w:ascii="Arial" w:cs="Arial" w:eastAsia="Arial" w:hAnsi="Arial"/>
          <w:sz w:val="12"/>
          <w:szCs w:val="12"/>
          <w:color w:val="auto"/>
        </w:rPr>
        <w:t>, that (i) no amendment, waiver or consent shall, unless in writing and signed by the L/C Issuer in addition to the Lenders required above, affect the rights or duties of the L/C Issuer under this Agreement or any Issuer Documents relating to any Letter of Credit issued or to be issued by it; (ii) no amendment, waiver or consent shall, unless in writing and signed by the Swing Line Lender in addition to the Lenders required above, affect the rights or duties of the Swing Line Lender under this Agreement; (iii) no amendment, waiver or consent shall, unless in writing and signed by the Administrative Agent in addition to the Lenders required above, affect the rights or duties of the Administrative Agent under this Agreement or any other Loan Document; and (iv) the Fee Letter may be amended, or rights or privileges thereunder waived, in a writing executed only by the parties thereto. Notwithstanding anything to the contrary herein, no Defaulting Lender shall have any right to approve or disapprove any amendment, waiver or consent hereunder, except that the Commitment of such Lender may not be increased or extended without the consent of such Lender.</w:t>
      </w:r>
    </w:p>
    <w:p>
      <w:pPr>
        <w:spacing w:after="0" w:line="49" w:lineRule="exact"/>
        <w:rPr>
          <w:sz w:val="20"/>
          <w:szCs w:val="20"/>
          <w:color w:val="auto"/>
        </w:rPr>
      </w:pPr>
    </w:p>
    <w:p>
      <w:pPr>
        <w:ind w:right="180"/>
        <w:spacing w:after="0" w:line="296" w:lineRule="auto"/>
        <w:rPr>
          <w:sz w:val="20"/>
          <w:szCs w:val="20"/>
          <w:color w:val="auto"/>
        </w:rPr>
      </w:pPr>
      <w:r>
        <w:rPr>
          <w:rFonts w:ascii="Arial" w:cs="Arial" w:eastAsia="Arial" w:hAnsi="Arial"/>
          <w:sz w:val="12"/>
          <w:szCs w:val="12"/>
          <w:color w:val="auto"/>
        </w:rPr>
        <w:t>Notwithstanding the fact that the consent of all the Lenders is required in certain circumstances as set forth above, (x) each Lender is entitled to vote as such Lender sees fit on any bankruptcy reorganization plan that affects the Loans, and each Lender acknowledges that the provisions of Section 1126(c) of the Bankruptcy Code supersedes the unanimous consent provisions set forth herein and (y) the Required Lenders shall determine whether or not to allow a Loan Party to use cash collateral in the context of a bankruptcy or insolvency proceeding and such determination shall be binding on all of the Lenders.</w:t>
      </w:r>
    </w:p>
    <w:p>
      <w:pPr>
        <w:spacing w:after="0" w:line="11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11.02 </w:t>
      </w:r>
      <w:r>
        <w:rPr>
          <w:rFonts w:ascii="Arial" w:cs="Arial" w:eastAsia="Arial" w:hAnsi="Arial"/>
          <w:sz w:val="13"/>
          <w:szCs w:val="13"/>
          <w:u w:val="single" w:color="auto"/>
          <w:color w:val="auto"/>
        </w:rPr>
        <w:t>Notices; Effectiveness; Electronic Communications</w:t>
      </w:r>
      <w:r>
        <w:rPr>
          <w:rFonts w:ascii="Arial" w:cs="Arial" w:eastAsia="Arial" w:hAnsi="Arial"/>
          <w:sz w:val="13"/>
          <w:szCs w:val="13"/>
          <w:color w:val="auto"/>
        </w:rPr>
        <w:t>.</w:t>
      </w:r>
    </w:p>
    <w:p>
      <w:pPr>
        <w:spacing w:after="0" w:line="86" w:lineRule="exact"/>
        <w:rPr>
          <w:sz w:val="20"/>
          <w:szCs w:val="20"/>
          <w:color w:val="auto"/>
        </w:rPr>
      </w:pPr>
    </w:p>
    <w:p>
      <w:pPr>
        <w:ind w:right="200" w:firstLine="162"/>
        <w:spacing w:after="0" w:line="264" w:lineRule="auto"/>
        <w:tabs>
          <w:tab w:leader="none" w:pos="342" w:val="left"/>
        </w:tabs>
        <w:numPr>
          <w:ilvl w:val="0"/>
          <w:numId w:val="152"/>
        </w:numPr>
        <w:rPr>
          <w:rFonts w:ascii="Arial" w:cs="Arial" w:eastAsia="Arial" w:hAnsi="Arial"/>
          <w:sz w:val="13"/>
          <w:szCs w:val="13"/>
          <w:color w:val="auto"/>
        </w:rPr>
      </w:pPr>
      <w:r>
        <w:rPr>
          <w:rFonts w:ascii="Arial" w:cs="Arial" w:eastAsia="Arial" w:hAnsi="Arial"/>
          <w:sz w:val="13"/>
          <w:szCs w:val="13"/>
          <w:u w:val="single" w:color="auto"/>
          <w:color w:val="auto"/>
        </w:rPr>
        <w:t>Notices Generally</w:t>
      </w:r>
      <w:r>
        <w:rPr>
          <w:rFonts w:ascii="Arial" w:cs="Arial" w:eastAsia="Arial" w:hAnsi="Arial"/>
          <w:sz w:val="13"/>
          <w:szCs w:val="13"/>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spacing w:after="0" w:line="57" w:lineRule="exact"/>
        <w:rPr>
          <w:rFonts w:ascii="Arial" w:cs="Arial" w:eastAsia="Arial" w:hAnsi="Arial"/>
          <w:sz w:val="13"/>
          <w:szCs w:val="13"/>
          <w:color w:val="auto"/>
        </w:rPr>
      </w:pPr>
    </w:p>
    <w:p>
      <w:pPr>
        <w:ind w:left="220" w:right="720" w:firstLine="172"/>
        <w:spacing w:after="0" w:line="276" w:lineRule="auto"/>
        <w:tabs>
          <w:tab w:leader="none" w:pos="540" w:val="left"/>
        </w:tabs>
        <w:numPr>
          <w:ilvl w:val="1"/>
          <w:numId w:val="152"/>
        </w:numPr>
        <w:rPr>
          <w:rFonts w:ascii="Arial" w:cs="Arial" w:eastAsia="Arial" w:hAnsi="Arial"/>
          <w:sz w:val="13"/>
          <w:szCs w:val="13"/>
          <w:color w:val="auto"/>
        </w:rPr>
      </w:pPr>
      <w:r>
        <w:rPr>
          <w:rFonts w:ascii="Arial" w:cs="Arial" w:eastAsia="Arial" w:hAnsi="Arial"/>
          <w:sz w:val="13"/>
          <w:szCs w:val="13"/>
          <w:color w:val="auto"/>
        </w:rPr>
        <w:t xml:space="preserve">if to a Loan Party, the Administrative Agent, the L/C Issuer or the Swing Line Lender, to the address, telecopier number, electronic mail address or telephone number specified for such Person on </w:t>
      </w:r>
      <w:r>
        <w:rPr>
          <w:rFonts w:ascii="Arial" w:cs="Arial" w:eastAsia="Arial" w:hAnsi="Arial"/>
          <w:sz w:val="13"/>
          <w:szCs w:val="13"/>
          <w:u w:val="single" w:color="auto"/>
          <w:color w:val="auto"/>
        </w:rPr>
        <w:t>Schedule 11.02</w:t>
      </w:r>
      <w:r>
        <w:rPr>
          <w:rFonts w:ascii="Arial" w:cs="Arial" w:eastAsia="Arial" w:hAnsi="Arial"/>
          <w:sz w:val="13"/>
          <w:szCs w:val="13"/>
          <w:color w:val="auto"/>
        </w:rPr>
        <w:t>; and</w:t>
      </w:r>
    </w:p>
    <w:p>
      <w:pPr>
        <w:spacing w:after="0" w:line="49" w:lineRule="exact"/>
        <w:rPr>
          <w:rFonts w:ascii="Arial" w:cs="Arial" w:eastAsia="Arial" w:hAnsi="Arial"/>
          <w:sz w:val="13"/>
          <w:szCs w:val="13"/>
          <w:color w:val="auto"/>
        </w:rPr>
      </w:pPr>
    </w:p>
    <w:p>
      <w:pPr>
        <w:ind w:left="580" w:hanging="188"/>
        <w:spacing w:after="0"/>
        <w:tabs>
          <w:tab w:leader="none" w:pos="580" w:val="left"/>
        </w:tabs>
        <w:numPr>
          <w:ilvl w:val="1"/>
          <w:numId w:val="152"/>
        </w:numPr>
        <w:rPr>
          <w:rFonts w:ascii="Arial" w:cs="Arial" w:eastAsia="Arial" w:hAnsi="Arial"/>
          <w:sz w:val="13"/>
          <w:szCs w:val="13"/>
          <w:color w:val="auto"/>
        </w:rPr>
      </w:pPr>
      <w:r>
        <w:rPr>
          <w:rFonts w:ascii="Arial" w:cs="Arial" w:eastAsia="Arial" w:hAnsi="Arial"/>
          <w:sz w:val="13"/>
          <w:szCs w:val="13"/>
          <w:color w:val="auto"/>
        </w:rPr>
        <w:t>if to any other Lender, to the address, telecopier number, electronic mail address or telephone number specified in its Administrative Questionnaire.</w:t>
      </w:r>
    </w:p>
    <w:p>
      <w:pPr>
        <w:spacing w:after="0" w:line="86"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color w:val="auto"/>
        </w:rPr>
        <w:t>Notices sent by hand or overnight courier service, or mailed by certified or registered mail, shall be deemed to have been given when received; notices sent by telecopier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subsection (b) below, shall be effective as provided in such subsection (b).</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(b) </w:t>
      </w:r>
      <w:r>
        <w:rPr>
          <w:rFonts w:ascii="Arial" w:cs="Arial" w:eastAsia="Arial" w:hAnsi="Arial"/>
          <w:sz w:val="13"/>
          <w:szCs w:val="13"/>
          <w:u w:val="single" w:color="auto"/>
          <w:color w:val="auto"/>
        </w:rPr>
        <w:t>Electronic Communications</w:t>
      </w:r>
      <w:r>
        <w:rPr>
          <w:rFonts w:ascii="Arial" w:cs="Arial" w:eastAsia="Arial" w:hAnsi="Arial"/>
          <w:sz w:val="13"/>
          <w:szCs w:val="13"/>
          <w:color w:val="auto"/>
        </w:rPr>
        <w:t>. Notices and other communications to the Lenders and the L/C Issuer hereunder may be delivered or furnished by electronic communication (including e-mail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68" w:name="page169"/>
    <w:bookmarkEnd w:id="168"/>
    <w:p>
      <w:pPr>
        <w:spacing w:after="0" w:line="260" w:lineRule="auto"/>
        <w:rPr>
          <w:sz w:val="20"/>
          <w:szCs w:val="20"/>
          <w:color w:val="auto"/>
        </w:rPr>
      </w:pPr>
      <w:r>
        <w:rPr>
          <w:rFonts w:ascii="Arial" w:cs="Arial" w:eastAsia="Arial" w:hAnsi="Arial"/>
          <w:sz w:val="13"/>
          <w:szCs w:val="13"/>
          <w:color w:val="auto"/>
        </w:rPr>
        <w:t xml:space="preserve">Internet or intranet websites) pursuant to procedures approved by the Administrative Agent,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foregoing shall not apply to notices to any Lender or the L/C Issuer pursuant to </w:t>
      </w:r>
      <w:r>
        <w:rPr>
          <w:rFonts w:ascii="Arial" w:cs="Arial" w:eastAsia="Arial" w:hAnsi="Arial"/>
          <w:sz w:val="13"/>
          <w:szCs w:val="13"/>
          <w:u w:val="single" w:color="auto"/>
          <w:color w:val="auto"/>
        </w:rPr>
        <w:t>Article II</w:t>
      </w:r>
      <w:r>
        <w:rPr>
          <w:rFonts w:ascii="Arial" w:cs="Arial" w:eastAsia="Arial" w:hAnsi="Arial"/>
          <w:sz w:val="13"/>
          <w:szCs w:val="13"/>
          <w:color w:val="auto"/>
        </w:rPr>
        <w:t xml:space="preserve"> if such Lender or the L/C Issuer, as applicable, has notified the Administrative Agent that it is incapable of receiving notices under such Article by electronic communication. The Administrative Agent or the Company (on behalf of itself and the other Loan Parties) may, in its discretion, agree to accept notices and other communications to it hereunder by electronic communications pursuant to procedures approved by it,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approval of such procedures may be limited to particular notices or communications.</w:t>
      </w:r>
    </w:p>
    <w:p>
      <w:pPr>
        <w:spacing w:after="0" w:line="60" w:lineRule="exact"/>
        <w:rPr>
          <w:sz w:val="20"/>
          <w:szCs w:val="20"/>
          <w:color w:val="auto"/>
        </w:rPr>
      </w:pPr>
    </w:p>
    <w:p>
      <w:pPr>
        <w:ind w:right="20" w:firstLine="164"/>
        <w:spacing w:after="0" w:line="258" w:lineRule="auto"/>
        <w:rPr>
          <w:sz w:val="20"/>
          <w:szCs w:val="20"/>
          <w:color w:val="auto"/>
        </w:rPr>
      </w:pPr>
      <w:r>
        <w:rPr>
          <w:rFonts w:ascii="Arial" w:cs="Arial" w:eastAsia="Arial" w:hAnsi="Arial"/>
          <w:sz w:val="13"/>
          <w:szCs w:val="13"/>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61" w:lineRule="exact"/>
        <w:rPr>
          <w:sz w:val="20"/>
          <w:szCs w:val="20"/>
          <w:color w:val="auto"/>
        </w:rPr>
      </w:pPr>
    </w:p>
    <w:p>
      <w:pPr>
        <w:ind w:right="60" w:firstLine="162"/>
        <w:spacing w:after="0" w:line="280" w:lineRule="auto"/>
        <w:tabs>
          <w:tab w:leader="none" w:pos="342" w:val="left"/>
        </w:tabs>
        <w:numPr>
          <w:ilvl w:val="0"/>
          <w:numId w:val="153"/>
        </w:numPr>
        <w:rPr>
          <w:rFonts w:ascii="Arial" w:cs="Arial" w:eastAsia="Arial" w:hAnsi="Arial"/>
          <w:sz w:val="12"/>
          <w:szCs w:val="12"/>
          <w:color w:val="auto"/>
        </w:rPr>
      </w:pPr>
      <w:r>
        <w:rPr>
          <w:rFonts w:ascii="Arial" w:cs="Arial" w:eastAsia="Arial" w:hAnsi="Arial"/>
          <w:sz w:val="12"/>
          <w:szCs w:val="12"/>
          <w:u w:val="single" w:color="auto"/>
          <w:color w:val="auto"/>
        </w:rPr>
        <w:t>The Platform</w:t>
      </w:r>
      <w:r>
        <w:rPr>
          <w:rFonts w:ascii="Arial" w:cs="Arial" w:eastAsia="Arial" w:hAnsi="Arial"/>
          <w:sz w:val="12"/>
          <w:szCs w:val="12"/>
          <w:color w:val="auto"/>
        </w:rPr>
        <w:t>. THE PLATFORM IS PROVIDED “AS IS” AND “AS AVAILABLE.” THE AGENT PARTIES (AS DEFINED BELOW) DO NOT WARRANT THE ACCURACY OR COMPLETENESS OF THE COMPANY MATERIALS OR THE ADEQUACY OF THE PLATFORM, AND EXPRESSLY DISCLAIM LIABILITY FOR ERRORS IN OR OMISSIONS FROM THE COMPANY MATERIALS. NO WARRANTY OF ANY KIND, EXPRESS, IMPLIED OR STATUTORY, INCLUDING ANY WARRANTY OF MERCHANTABILITY, FITNESS FOR A PARTICULAR PURPOSE, NON-INFRINGEMENT OF THIRD PARTY RIGHTS OR FREEDOM FROM VIRUSES OR OTHER CODE DEFECTS, IS MADE BY ANY AGENT PARTY IN CONNECTION WITH THE COMPANY MATERIALS OR THE PLATFORM. In no event shall the Administrative Agent or any of its Related Parties (collectively, the “</w:t>
      </w:r>
      <w:r>
        <w:rPr>
          <w:rFonts w:ascii="Arial" w:cs="Arial" w:eastAsia="Arial" w:hAnsi="Arial"/>
          <w:sz w:val="12"/>
          <w:szCs w:val="12"/>
          <w:u w:val="single" w:color="auto"/>
          <w:color w:val="auto"/>
        </w:rPr>
        <w:t>Agent Parties</w:t>
      </w:r>
      <w:r>
        <w:rPr>
          <w:rFonts w:ascii="Arial" w:cs="Arial" w:eastAsia="Arial" w:hAnsi="Arial"/>
          <w:sz w:val="12"/>
          <w:szCs w:val="12"/>
          <w:color w:val="auto"/>
        </w:rPr>
        <w:t xml:space="preserve">”) have any liability to any Borrower, any Lender, the L/C Issuer or any other Person for losses, claims, damages, liabilities or expenses of any kind (whether in tort, contract or otherwise) arising out of any Borrower’s or the Administrative Agent’s transmission of Company Materials through the Internet, except to the extent that such losses, claims, damages, liabilities or expenses are determined to have resulted from the gross negligence or willful misconduct of such Agent Party;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in no event shall any Agent Party have any liability to any Borrower, any Lender, the L/C Issuer or any other Person for indirect, special, incidental, consequential or punitive damages (as opposed to direct or actual damages).</w:t>
      </w:r>
    </w:p>
    <w:p>
      <w:pPr>
        <w:spacing w:after="0" w:line="48" w:lineRule="exact"/>
        <w:rPr>
          <w:rFonts w:ascii="Arial" w:cs="Arial" w:eastAsia="Arial" w:hAnsi="Arial"/>
          <w:sz w:val="12"/>
          <w:szCs w:val="12"/>
          <w:color w:val="auto"/>
        </w:rPr>
      </w:pPr>
    </w:p>
    <w:p>
      <w:pPr>
        <w:ind w:firstLine="162"/>
        <w:spacing w:after="0" w:line="322" w:lineRule="auto"/>
        <w:tabs>
          <w:tab w:leader="none" w:pos="349" w:val="left"/>
        </w:tabs>
        <w:numPr>
          <w:ilvl w:val="0"/>
          <w:numId w:val="153"/>
        </w:numPr>
        <w:rPr>
          <w:rFonts w:ascii="Arial" w:cs="Arial" w:eastAsia="Arial" w:hAnsi="Arial"/>
          <w:sz w:val="11"/>
          <w:szCs w:val="11"/>
          <w:color w:val="auto"/>
        </w:rPr>
      </w:pPr>
      <w:r>
        <w:rPr>
          <w:rFonts w:ascii="Arial" w:cs="Arial" w:eastAsia="Arial" w:hAnsi="Arial"/>
          <w:sz w:val="11"/>
          <w:szCs w:val="11"/>
          <w:u w:val="single" w:color="auto"/>
          <w:color w:val="auto"/>
        </w:rPr>
        <w:t>Change of Address, Etc</w:t>
      </w:r>
      <w:r>
        <w:rPr>
          <w:rFonts w:ascii="Arial" w:cs="Arial" w:eastAsia="Arial" w:hAnsi="Arial"/>
          <w:sz w:val="11"/>
          <w:szCs w:val="11"/>
          <w:color w:val="auto"/>
        </w:rPr>
        <w:t>. Each of the Loan Parties, the Administrative Agent, the L/C Issuer and the Swing Line Lender may change its address, telecopier or telephone number for notices and other communications hereunder by notice to the other parties hereto. Each other Lender may change its address, telecopier or telephone number for notices and other communications hereunder by notice to the Company, the Administrative Agent, the L/C Issuer and the Swing Line Lender. In addition, each Lender agrees to notify the Administrative Agent from time to time to ensure that the Administrative Agent has on record (i) an effective address, contact name, telephone number, telecopier number and electronic mail address to which notices and other communications may be sent and (ii) accurate wire instructions for such Lender.</w:t>
      </w:r>
    </w:p>
    <w:p>
      <w:pPr>
        <w:spacing w:after="0" w:line="28" w:lineRule="exact"/>
        <w:rPr>
          <w:rFonts w:ascii="Arial" w:cs="Arial" w:eastAsia="Arial" w:hAnsi="Arial"/>
          <w:sz w:val="11"/>
          <w:szCs w:val="11"/>
          <w:color w:val="auto"/>
        </w:rPr>
      </w:pPr>
    </w:p>
    <w:p>
      <w:pPr>
        <w:ind w:right="80" w:firstLine="162"/>
        <w:spacing w:after="0" w:line="264" w:lineRule="auto"/>
        <w:tabs>
          <w:tab w:leader="none" w:pos="342" w:val="left"/>
        </w:tabs>
        <w:numPr>
          <w:ilvl w:val="0"/>
          <w:numId w:val="153"/>
        </w:numPr>
        <w:rPr>
          <w:rFonts w:ascii="Arial" w:cs="Arial" w:eastAsia="Arial" w:hAnsi="Arial"/>
          <w:sz w:val="13"/>
          <w:szCs w:val="13"/>
          <w:color w:val="auto"/>
        </w:rPr>
      </w:pPr>
      <w:r>
        <w:rPr>
          <w:rFonts w:ascii="Arial" w:cs="Arial" w:eastAsia="Arial" w:hAnsi="Arial"/>
          <w:sz w:val="13"/>
          <w:szCs w:val="13"/>
          <w:u w:val="single" w:color="auto"/>
          <w:color w:val="auto"/>
        </w:rPr>
        <w:t>Reliance by Administrative Agent, L/C Issuer and Lenders</w:t>
      </w:r>
      <w:r>
        <w:rPr>
          <w:rFonts w:ascii="Arial" w:cs="Arial" w:eastAsia="Arial" w:hAnsi="Arial"/>
          <w:sz w:val="13"/>
          <w:szCs w:val="13"/>
          <w:color w:val="auto"/>
        </w:rPr>
        <w:t>. The Administrative Agent, the L/C Issuer and the Lenders shall be entitled to rely and act upon any notices (including telephonic Loan Notices and Swing Line Loan Notices) purportedly given by or on behalf of any Loan Party even if (i) such notices were not made in a manner specified herein, were incomplete or were not preceded or followed by any other form of notice specified herein, or (ii) the terms thereof, as understood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275590</wp:posOffset>
            </wp:positionV>
            <wp:extent cx="7290435" cy="190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69" w:name="page170"/>
    <w:bookmarkEnd w:id="169"/>
    <w:p>
      <w:pPr>
        <w:spacing w:after="0" w:line="260" w:lineRule="auto"/>
        <w:rPr>
          <w:sz w:val="20"/>
          <w:szCs w:val="20"/>
          <w:color w:val="auto"/>
        </w:rPr>
      </w:pPr>
      <w:r>
        <w:rPr>
          <w:rFonts w:ascii="Arial" w:cs="Arial" w:eastAsia="Arial" w:hAnsi="Arial"/>
          <w:sz w:val="13"/>
          <w:szCs w:val="13"/>
          <w:color w:val="auto"/>
        </w:rPr>
        <w:t>recipient, varied from any confirmation thereof. The Loan Parties shall indemnify the Administrative Agent, the L/C Issuer, each Lender and the Related Parties of each of them from all losses, costs, expenses and liabilities resulting from the reliance by such Person on each notice purportedly given by or on behalf of a Loan Party, other than such losses, costs, expenses and liabilities resulting from such Person’s gross negligence or willful misconduct.. All telephonic notices to and other telephonic communications with the Administrative Agent may be recorded by the Administrative Agent, and each of the parties hereto hereby consents to such recording.</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11.03 </w:t>
      </w:r>
      <w:r>
        <w:rPr>
          <w:rFonts w:ascii="Arial" w:cs="Arial" w:eastAsia="Arial" w:hAnsi="Arial"/>
          <w:sz w:val="13"/>
          <w:szCs w:val="13"/>
          <w:u w:val="single" w:color="auto"/>
          <w:color w:val="auto"/>
        </w:rPr>
        <w:t>No Waiver; Cumulative Remedies</w:t>
      </w:r>
      <w:r>
        <w:rPr>
          <w:rFonts w:ascii="Arial" w:cs="Arial" w:eastAsia="Arial" w:hAnsi="Arial"/>
          <w:sz w:val="13"/>
          <w:szCs w:val="13"/>
          <w:color w:val="auto"/>
        </w:rPr>
        <w:t>.</w:t>
      </w:r>
    </w:p>
    <w:p>
      <w:pPr>
        <w:spacing w:after="0" w:line="86"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color w:val="auto"/>
        </w:rPr>
        <w:t>No failure by any Lender or the Administrative Agent to exercise, and no delay by any such Person in exercising,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11.04 </w:t>
      </w:r>
      <w:r>
        <w:rPr>
          <w:rFonts w:ascii="Arial" w:cs="Arial" w:eastAsia="Arial" w:hAnsi="Arial"/>
          <w:sz w:val="13"/>
          <w:szCs w:val="13"/>
          <w:u w:val="single" w:color="auto"/>
          <w:color w:val="auto"/>
        </w:rPr>
        <w:t>Expenses</w:t>
      </w:r>
      <w:r>
        <w:rPr>
          <w:rFonts w:ascii="Arial" w:cs="Arial" w:eastAsia="Arial" w:hAnsi="Arial"/>
          <w:sz w:val="13"/>
          <w:szCs w:val="13"/>
          <w:color w:val="auto"/>
        </w:rPr>
        <w:t>.</w:t>
      </w:r>
    </w:p>
    <w:p>
      <w:pPr>
        <w:spacing w:after="0" w:line="86" w:lineRule="exact"/>
        <w:rPr>
          <w:sz w:val="20"/>
          <w:szCs w:val="20"/>
          <w:color w:val="auto"/>
        </w:rPr>
      </w:pPr>
    </w:p>
    <w:p>
      <w:pPr>
        <w:ind w:firstLine="162"/>
        <w:spacing w:after="0" w:line="255" w:lineRule="auto"/>
        <w:tabs>
          <w:tab w:leader="none" w:pos="342" w:val="left"/>
        </w:tabs>
        <w:numPr>
          <w:ilvl w:val="0"/>
          <w:numId w:val="154"/>
        </w:numPr>
        <w:rPr>
          <w:rFonts w:ascii="Arial" w:cs="Arial" w:eastAsia="Arial" w:hAnsi="Arial"/>
          <w:sz w:val="13"/>
          <w:szCs w:val="13"/>
          <w:color w:val="auto"/>
        </w:rPr>
      </w:pPr>
      <w:r>
        <w:rPr>
          <w:rFonts w:ascii="Arial" w:cs="Arial" w:eastAsia="Arial" w:hAnsi="Arial"/>
          <w:sz w:val="13"/>
          <w:szCs w:val="13"/>
          <w:u w:val="single" w:color="auto"/>
          <w:color w:val="auto"/>
        </w:rPr>
        <w:t>Costs and Expenses</w:t>
      </w:r>
      <w:r>
        <w:rPr>
          <w:rFonts w:ascii="Arial" w:cs="Arial" w:eastAsia="Arial" w:hAnsi="Arial"/>
          <w:sz w:val="13"/>
          <w:szCs w:val="13"/>
          <w:color w:val="auto"/>
        </w:rPr>
        <w:t>. The Loan Parties shall pay (i) all reasonable out-of-pocket expenses incurred by the Administrative Agent and its Affiliates (including the reasonable fees, charges and disbursements of counsel for the Administrative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the L/C Issuer in connection with the issuance, amendment, renewal or extension of any Letter of Credit or any demand for payment thereunder and (iii) all out-of-pocket expenses incurred by the Administrative Agent, any Lender or the L/C Issuer (including the fees, charges and disbursements of any counsel for the Administrative Agent, any Lender or the L/C Issuer), and shall pay all fees and time charges for attorneys who may be employees of the Administrative Agent, any Lender or the L/C Issuer, in connection with the enforcement or protection of its rights (A) in connection with this Agreement and the other Loan Documents, including its rights under this Section, or (B) in connection with the Loans made or Letters of Credit issued hereunder, including all such out-of-pocket expenses incurred during any workout, restructuring or negotiations in respect of such Loans or Letters of Credit.</w:t>
      </w:r>
    </w:p>
    <w:p>
      <w:pPr>
        <w:spacing w:after="0" w:line="66" w:lineRule="exact"/>
        <w:rPr>
          <w:rFonts w:ascii="Arial" w:cs="Arial" w:eastAsia="Arial" w:hAnsi="Arial"/>
          <w:sz w:val="13"/>
          <w:szCs w:val="13"/>
          <w:color w:val="auto"/>
        </w:rPr>
      </w:pPr>
    </w:p>
    <w:p>
      <w:pPr>
        <w:ind w:right="60" w:firstLine="162"/>
        <w:spacing w:after="0" w:line="257" w:lineRule="auto"/>
        <w:tabs>
          <w:tab w:leader="none" w:pos="349" w:val="left"/>
        </w:tabs>
        <w:numPr>
          <w:ilvl w:val="0"/>
          <w:numId w:val="154"/>
        </w:numPr>
        <w:rPr>
          <w:rFonts w:ascii="Arial" w:cs="Arial" w:eastAsia="Arial" w:hAnsi="Arial"/>
          <w:sz w:val="13"/>
          <w:szCs w:val="13"/>
          <w:color w:val="auto"/>
        </w:rPr>
      </w:pPr>
      <w:r>
        <w:rPr>
          <w:rFonts w:ascii="Arial" w:cs="Arial" w:eastAsia="Arial" w:hAnsi="Arial"/>
          <w:sz w:val="13"/>
          <w:szCs w:val="13"/>
          <w:u w:val="single" w:color="auto"/>
          <w:color w:val="auto"/>
        </w:rPr>
        <w:t>Reimbursement by Lenders</w:t>
      </w:r>
      <w:r>
        <w:rPr>
          <w:rFonts w:ascii="Arial" w:cs="Arial" w:eastAsia="Arial" w:hAnsi="Arial"/>
          <w:sz w:val="13"/>
          <w:szCs w:val="13"/>
          <w:color w:val="auto"/>
        </w:rPr>
        <w:t xml:space="preserve">. To the extent that the Loan Parties for any reason fail to indefeasibly pay any amount required under subsection (a) of this Section to be paid by them to the Administrative Agent (or any sub-agent thereof), the L/C Issuer or any Related Party of any of the foregoing, each Lender severally agrees to pay to the Administrative Agent (or any such sub-agent), the L/C Issuer or such Related Party, as the case may be, such Lender’s Pro Rata Share (determined as of the time that the applicable unreimbursed expense or indemnity payment is sought) of such unpaid amount,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unreimbursed expense or indemnified loss, claim, damage, liability or related expense, as the case may be, was incurred by or asserted against the Administrative Agent (or any such sub-agent) or the L/C Issuer in its capacity as such, or against any Related Party of any of the foregoing acting for the Administrative Agent (or any such sub-agent) or L/C Issuer in connection with such capacity. The obligations of the Lenders under this subsection (b) are subject to the provisions of </w:t>
      </w:r>
      <w:r>
        <w:rPr>
          <w:rFonts w:ascii="Arial" w:cs="Arial" w:eastAsia="Arial" w:hAnsi="Arial"/>
          <w:sz w:val="13"/>
          <w:szCs w:val="13"/>
          <w:u w:val="single" w:color="auto"/>
          <w:color w:val="auto"/>
        </w:rPr>
        <w:t>Section 2.12(e)</w:t>
      </w:r>
      <w:r>
        <w:rPr>
          <w:rFonts w:ascii="Arial" w:cs="Arial" w:eastAsia="Arial" w:hAnsi="Arial"/>
          <w:sz w:val="13"/>
          <w:szCs w:val="13"/>
          <w:color w:val="auto"/>
        </w:rPr>
        <w:t>.</w:t>
      </w:r>
    </w:p>
    <w:p>
      <w:pPr>
        <w:spacing w:after="0" w:line="61" w:lineRule="exact"/>
        <w:rPr>
          <w:rFonts w:ascii="Arial" w:cs="Arial" w:eastAsia="Arial" w:hAnsi="Arial"/>
          <w:sz w:val="13"/>
          <w:szCs w:val="13"/>
          <w:color w:val="auto"/>
        </w:rPr>
      </w:pPr>
    </w:p>
    <w:p>
      <w:pPr>
        <w:ind w:left="340" w:hanging="178"/>
        <w:spacing w:after="0"/>
        <w:tabs>
          <w:tab w:leader="none" w:pos="340" w:val="left"/>
        </w:tabs>
        <w:numPr>
          <w:ilvl w:val="0"/>
          <w:numId w:val="154"/>
        </w:numPr>
        <w:rPr>
          <w:rFonts w:ascii="Arial" w:cs="Arial" w:eastAsia="Arial" w:hAnsi="Arial"/>
          <w:sz w:val="13"/>
          <w:szCs w:val="13"/>
          <w:color w:val="auto"/>
        </w:rPr>
      </w:pPr>
      <w:r>
        <w:rPr>
          <w:rFonts w:ascii="Arial" w:cs="Arial" w:eastAsia="Arial" w:hAnsi="Arial"/>
          <w:sz w:val="13"/>
          <w:szCs w:val="13"/>
          <w:u w:val="single" w:color="auto"/>
          <w:color w:val="auto"/>
        </w:rPr>
        <w:t>Payments</w:t>
      </w:r>
      <w:r>
        <w:rPr>
          <w:rFonts w:ascii="Arial" w:cs="Arial" w:eastAsia="Arial" w:hAnsi="Arial"/>
          <w:sz w:val="13"/>
          <w:szCs w:val="13"/>
          <w:color w:val="auto"/>
        </w:rPr>
        <w:t>. All amounts due under this Section shall be payable not later than ten Business Days after demand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70" w:name="page171"/>
    <w:bookmarkEnd w:id="170"/>
    <w:p>
      <w:pPr>
        <w:ind w:right="80" w:firstLine="162"/>
        <w:spacing w:after="0" w:line="276" w:lineRule="auto"/>
        <w:tabs>
          <w:tab w:leader="none" w:pos="349" w:val="left"/>
        </w:tabs>
        <w:numPr>
          <w:ilvl w:val="0"/>
          <w:numId w:val="155"/>
        </w:numPr>
        <w:rPr>
          <w:rFonts w:ascii="Arial" w:cs="Arial" w:eastAsia="Arial" w:hAnsi="Arial"/>
          <w:sz w:val="13"/>
          <w:szCs w:val="13"/>
          <w:color w:val="auto"/>
        </w:rPr>
      </w:pPr>
      <w:r>
        <w:rPr>
          <w:rFonts w:ascii="Arial" w:cs="Arial" w:eastAsia="Arial" w:hAnsi="Arial"/>
          <w:sz w:val="13"/>
          <w:szCs w:val="13"/>
          <w:u w:val="single" w:color="auto"/>
          <w:color w:val="auto"/>
        </w:rPr>
        <w:t>Survival</w:t>
      </w:r>
      <w:r>
        <w:rPr>
          <w:rFonts w:ascii="Arial" w:cs="Arial" w:eastAsia="Arial" w:hAnsi="Arial"/>
          <w:sz w:val="13"/>
          <w:szCs w:val="13"/>
          <w:color w:val="auto"/>
        </w:rPr>
        <w:t>. The agreements in this Section shall survive the resignation of the Administrative Agent, the L/C Issuer and the Swing Line Lender, the replacement of any Lender, the termination of the Commitments and the repayment, satisfaction or discharge of all the other Obligations.</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11.05 </w:t>
      </w:r>
      <w:r>
        <w:rPr>
          <w:rFonts w:ascii="Arial" w:cs="Arial" w:eastAsia="Arial" w:hAnsi="Arial"/>
          <w:sz w:val="13"/>
          <w:szCs w:val="13"/>
          <w:u w:val="single" w:color="auto"/>
          <w:color w:val="auto"/>
        </w:rPr>
        <w:t>Indemnification; Damage Waiver</w:t>
      </w:r>
      <w:r>
        <w:rPr>
          <w:rFonts w:ascii="Arial" w:cs="Arial" w:eastAsia="Arial" w:hAnsi="Arial"/>
          <w:sz w:val="13"/>
          <w:szCs w:val="13"/>
          <w:color w:val="auto"/>
        </w:rPr>
        <w:t>.</w:t>
      </w:r>
    </w:p>
    <w:p>
      <w:pPr>
        <w:spacing w:after="0" w:line="86" w:lineRule="exact"/>
        <w:rPr>
          <w:sz w:val="20"/>
          <w:szCs w:val="20"/>
          <w:color w:val="auto"/>
        </w:rPr>
      </w:pPr>
    </w:p>
    <w:p>
      <w:pPr>
        <w:ind w:firstLine="162"/>
        <w:spacing w:after="0" w:line="278" w:lineRule="auto"/>
        <w:tabs>
          <w:tab w:leader="none" w:pos="342" w:val="left"/>
        </w:tabs>
        <w:numPr>
          <w:ilvl w:val="0"/>
          <w:numId w:val="156"/>
        </w:numPr>
        <w:rPr>
          <w:rFonts w:ascii="Arial" w:cs="Arial" w:eastAsia="Arial" w:hAnsi="Arial"/>
          <w:sz w:val="12"/>
          <w:szCs w:val="12"/>
          <w:color w:val="auto"/>
        </w:rPr>
      </w:pPr>
      <w:r>
        <w:rPr>
          <w:rFonts w:ascii="Arial" w:cs="Arial" w:eastAsia="Arial" w:hAnsi="Arial"/>
          <w:sz w:val="12"/>
          <w:szCs w:val="12"/>
          <w:u w:val="single" w:color="auto"/>
          <w:color w:val="auto"/>
        </w:rPr>
        <w:t>Indemnity</w:t>
      </w:r>
      <w:r>
        <w:rPr>
          <w:rFonts w:ascii="Arial" w:cs="Arial" w:eastAsia="Arial" w:hAnsi="Arial"/>
          <w:sz w:val="12"/>
          <w:szCs w:val="12"/>
          <w:color w:val="auto"/>
        </w:rPr>
        <w:t>. The Loan Parties shall indemnify the Administrative Agent (and any sub-agent thereof), each Lender and the L/C Issuer, and each Related Party of any of the foregoing Persons (each such Person being called an “</w:t>
      </w:r>
      <w:r>
        <w:rPr>
          <w:rFonts w:ascii="Arial" w:cs="Arial" w:eastAsia="Arial" w:hAnsi="Arial"/>
          <w:sz w:val="12"/>
          <w:szCs w:val="12"/>
          <w:u w:val="single" w:color="auto"/>
          <w:color w:val="auto"/>
        </w:rPr>
        <w:t>Indemnitee</w:t>
      </w:r>
      <w:r>
        <w:rPr>
          <w:rFonts w:ascii="Arial" w:cs="Arial" w:eastAsia="Arial" w:hAnsi="Arial"/>
          <w:sz w:val="12"/>
          <w:szCs w:val="12"/>
          <w:color w:val="auto"/>
        </w:rPr>
        <w:t xml:space="preserve">”) against, and hold each Indemnitee harmless from, any and all losses, claims, damages, liabilities and related expenses (including Attorney Costs), incurred by any Indemnitee or asserted against any Indemnitee by any third party or by any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(ii) any Loan or Letter of Credit or the use or proposed use of the proceeds therefrom (including any refusal by the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 Loan Party or any of its Subsidiaries, or any Environmental Liability related in any way to a Loan Party or any of its Subsidiaries, or (iv) any actual or prospective claim, litigation, investigation or proceeding relating to any of the foregoing, whether based on contract, tort or any other theory, whether brought by a third party or by any Loan Party, and regardless of whether any Indemnitee is a party thereto;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indemnity shall not, as to any Indemnitee, be available to the extent that such losses, claims, damages, liabilities or related expenses are determined to have resulted from the gross negligence or willful misconduct of such Indemnitee, if such Loan Party has obtained a final and nonappealable judgment in its favor on such claim as determined by a court of competent jurisdiction.</w:t>
      </w:r>
    </w:p>
    <w:p>
      <w:pPr>
        <w:spacing w:after="0" w:line="50" w:lineRule="exact"/>
        <w:rPr>
          <w:rFonts w:ascii="Arial" w:cs="Arial" w:eastAsia="Arial" w:hAnsi="Arial"/>
          <w:sz w:val="12"/>
          <w:szCs w:val="12"/>
          <w:color w:val="auto"/>
        </w:rPr>
      </w:pPr>
    </w:p>
    <w:p>
      <w:pPr>
        <w:ind w:right="40" w:firstLine="162"/>
        <w:spacing w:after="0" w:line="257" w:lineRule="auto"/>
        <w:tabs>
          <w:tab w:leader="none" w:pos="349" w:val="left"/>
        </w:tabs>
        <w:numPr>
          <w:ilvl w:val="0"/>
          <w:numId w:val="156"/>
        </w:numPr>
        <w:rPr>
          <w:rFonts w:ascii="Arial" w:cs="Arial" w:eastAsia="Arial" w:hAnsi="Arial"/>
          <w:sz w:val="13"/>
          <w:szCs w:val="13"/>
          <w:color w:val="auto"/>
        </w:rPr>
      </w:pPr>
      <w:r>
        <w:rPr>
          <w:rFonts w:ascii="Arial" w:cs="Arial" w:eastAsia="Arial" w:hAnsi="Arial"/>
          <w:sz w:val="13"/>
          <w:szCs w:val="13"/>
          <w:u w:val="single" w:color="auto"/>
          <w:color w:val="auto"/>
        </w:rPr>
        <w:t>Reimbursement by Lenders</w:t>
      </w:r>
      <w:r>
        <w:rPr>
          <w:rFonts w:ascii="Arial" w:cs="Arial" w:eastAsia="Arial" w:hAnsi="Arial"/>
          <w:sz w:val="13"/>
          <w:szCs w:val="13"/>
          <w:color w:val="auto"/>
        </w:rPr>
        <w:t xml:space="preserve">. To the extent that the Loan Parties for any reason fail to indefeasibly pay any amount required under this Section to be paid by them to the Administrative Agent (or any sub-agent thereof), the L/C Issuer or any Related Party of any of the foregoing, each Lender severally agrees to pay to the Administrative Agent (or any such sub-agent), the L/C Issuer or such Related Party, as the case may be, such Lender’s Pro Rata Share (determined as of the time that the applicable unreimbursed expense or indemnity payment is sought) of such unpaid amount,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unreimbursed expense or indemnified loss, claim, damage, liability or related expense, as the case may be, was incurred by or asserted against the Administrative Agent (or any such sub-agent) or the L/C Issuer in its capacity as such, or against any Related Party of any of the foregoing acting for the Administrative Agent (or any such sub-agent) or L/C Issuer in connection with such capacity. The obligations of the Lenders under this subsection (b) are subject to the provisions of </w:t>
      </w:r>
      <w:r>
        <w:rPr>
          <w:rFonts w:ascii="Arial" w:cs="Arial" w:eastAsia="Arial" w:hAnsi="Arial"/>
          <w:sz w:val="13"/>
          <w:szCs w:val="13"/>
          <w:u w:val="single" w:color="auto"/>
          <w:color w:val="auto"/>
        </w:rPr>
        <w:t>Section 2.12(e)</w:t>
      </w:r>
      <w:r>
        <w:rPr>
          <w:rFonts w:ascii="Arial" w:cs="Arial" w:eastAsia="Arial" w:hAnsi="Arial"/>
          <w:sz w:val="13"/>
          <w:szCs w:val="13"/>
          <w:color w:val="auto"/>
        </w:rPr>
        <w:t>.</w:t>
      </w:r>
    </w:p>
    <w:p>
      <w:pPr>
        <w:spacing w:after="0" w:line="61" w:lineRule="exact"/>
        <w:rPr>
          <w:rFonts w:ascii="Arial" w:cs="Arial" w:eastAsia="Arial" w:hAnsi="Arial"/>
          <w:sz w:val="13"/>
          <w:szCs w:val="13"/>
          <w:color w:val="auto"/>
        </w:rPr>
      </w:pPr>
    </w:p>
    <w:p>
      <w:pPr>
        <w:ind w:firstLine="162"/>
        <w:spacing w:after="0" w:line="258" w:lineRule="auto"/>
        <w:tabs>
          <w:tab w:leader="none" w:pos="342" w:val="left"/>
        </w:tabs>
        <w:numPr>
          <w:ilvl w:val="0"/>
          <w:numId w:val="156"/>
        </w:numPr>
        <w:rPr>
          <w:rFonts w:ascii="Arial" w:cs="Arial" w:eastAsia="Arial" w:hAnsi="Arial"/>
          <w:sz w:val="13"/>
          <w:szCs w:val="13"/>
          <w:color w:val="auto"/>
        </w:rPr>
      </w:pPr>
      <w:r>
        <w:rPr>
          <w:rFonts w:ascii="Arial" w:cs="Arial" w:eastAsia="Arial" w:hAnsi="Arial"/>
          <w:sz w:val="13"/>
          <w:szCs w:val="13"/>
          <w:u w:val="single" w:color="auto"/>
          <w:color w:val="auto"/>
        </w:rPr>
        <w:t>Waiver of Consequential Damages, Etc.</w:t>
      </w:r>
      <w:r>
        <w:rPr>
          <w:rFonts w:ascii="Arial" w:cs="Arial" w:eastAsia="Arial" w:hAnsi="Arial"/>
          <w:sz w:val="13"/>
          <w:szCs w:val="13"/>
          <w:color w:val="auto"/>
        </w:rPr>
        <w:t xml:space="preserve"> To the fullest extent permitted by applicable law, no Loan Party shall assert, and each Loan Party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subsection (b)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278765</wp:posOffset>
            </wp:positionV>
            <wp:extent cx="7290435" cy="190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71" w:name="page172"/>
    <w:bookmarkEnd w:id="171"/>
    <w:p>
      <w:pPr>
        <w:spacing w:after="0"/>
        <w:rPr>
          <w:sz w:val="20"/>
          <w:szCs w:val="20"/>
          <w:color w:val="auto"/>
        </w:rPr>
      </w:pPr>
      <w:r>
        <w:rPr>
          <w:rFonts w:ascii="Arial" w:cs="Arial" w:eastAsia="Arial" w:hAnsi="Arial"/>
          <w:sz w:val="12"/>
          <w:szCs w:val="12"/>
          <w:color w:val="auto"/>
        </w:rPr>
        <w:t>Agreement or the other Loan Documents or the transactions contemplated hereby or thereby other than for direct or actual damages resulting from the gross negligence or willful misconduct of such Indemnitee.</w:t>
      </w:r>
    </w:p>
    <w:p>
      <w:pPr>
        <w:spacing w:after="0" w:line="98" w:lineRule="exact"/>
        <w:rPr>
          <w:sz w:val="20"/>
          <w:szCs w:val="20"/>
          <w:color w:val="auto"/>
        </w:rPr>
      </w:pPr>
    </w:p>
    <w:p>
      <w:pPr>
        <w:ind w:left="340" w:hanging="178"/>
        <w:spacing w:after="0"/>
        <w:tabs>
          <w:tab w:leader="none" w:pos="340" w:val="left"/>
        </w:tabs>
        <w:numPr>
          <w:ilvl w:val="0"/>
          <w:numId w:val="157"/>
        </w:numPr>
        <w:rPr>
          <w:rFonts w:ascii="Arial" w:cs="Arial" w:eastAsia="Arial" w:hAnsi="Arial"/>
          <w:sz w:val="13"/>
          <w:szCs w:val="13"/>
          <w:color w:val="auto"/>
        </w:rPr>
      </w:pPr>
      <w:r>
        <w:rPr>
          <w:rFonts w:ascii="Arial" w:cs="Arial" w:eastAsia="Arial" w:hAnsi="Arial"/>
          <w:sz w:val="13"/>
          <w:szCs w:val="13"/>
          <w:u w:val="single" w:color="auto"/>
          <w:color w:val="auto"/>
        </w:rPr>
        <w:t>Payments</w:t>
      </w:r>
      <w:r>
        <w:rPr>
          <w:rFonts w:ascii="Arial" w:cs="Arial" w:eastAsia="Arial" w:hAnsi="Arial"/>
          <w:sz w:val="13"/>
          <w:szCs w:val="13"/>
          <w:color w:val="auto"/>
        </w:rPr>
        <w:t>. All amounts due under this Section shall be payable not later than ten Business Days after demand therefor.</w:t>
      </w:r>
    </w:p>
    <w:p>
      <w:pPr>
        <w:spacing w:after="0" w:line="86" w:lineRule="exact"/>
        <w:rPr>
          <w:rFonts w:ascii="Arial" w:cs="Arial" w:eastAsia="Arial" w:hAnsi="Arial"/>
          <w:sz w:val="13"/>
          <w:szCs w:val="13"/>
          <w:color w:val="auto"/>
        </w:rPr>
      </w:pPr>
    </w:p>
    <w:p>
      <w:pPr>
        <w:ind w:right="100" w:firstLine="162"/>
        <w:spacing w:after="0" w:line="276" w:lineRule="auto"/>
        <w:tabs>
          <w:tab w:leader="none" w:pos="342" w:val="left"/>
        </w:tabs>
        <w:numPr>
          <w:ilvl w:val="0"/>
          <w:numId w:val="157"/>
        </w:numPr>
        <w:rPr>
          <w:rFonts w:ascii="Arial" w:cs="Arial" w:eastAsia="Arial" w:hAnsi="Arial"/>
          <w:sz w:val="13"/>
          <w:szCs w:val="13"/>
          <w:color w:val="auto"/>
        </w:rPr>
      </w:pPr>
      <w:r>
        <w:rPr>
          <w:rFonts w:ascii="Arial" w:cs="Arial" w:eastAsia="Arial" w:hAnsi="Arial"/>
          <w:sz w:val="13"/>
          <w:szCs w:val="13"/>
          <w:u w:val="single" w:color="auto"/>
          <w:color w:val="auto"/>
        </w:rPr>
        <w:t>Survival</w:t>
      </w:r>
      <w:r>
        <w:rPr>
          <w:rFonts w:ascii="Arial" w:cs="Arial" w:eastAsia="Arial" w:hAnsi="Arial"/>
          <w:sz w:val="13"/>
          <w:szCs w:val="13"/>
          <w:color w:val="auto"/>
        </w:rPr>
        <w:t>. The agreements in this Section shall survive the resignation of the Administrative Agent, the L/C Issuer and the Swing Line Lender, the replacement of any Lender, the termination of the Commitments and the repayment, satisfaction or discharge of all the other Obligations.</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11.06 </w:t>
      </w:r>
      <w:r>
        <w:rPr>
          <w:rFonts w:ascii="Arial" w:cs="Arial" w:eastAsia="Arial" w:hAnsi="Arial"/>
          <w:sz w:val="13"/>
          <w:szCs w:val="13"/>
          <w:u w:val="single" w:color="auto"/>
          <w:color w:val="auto"/>
        </w:rPr>
        <w:t>Payments Set Aside</w:t>
      </w:r>
      <w:r>
        <w:rPr>
          <w:rFonts w:ascii="Arial" w:cs="Arial" w:eastAsia="Arial" w:hAnsi="Arial"/>
          <w:sz w:val="13"/>
          <w:szCs w:val="13"/>
          <w:color w:val="auto"/>
        </w:rPr>
        <w:t>.</w:t>
      </w:r>
    </w:p>
    <w:p>
      <w:pPr>
        <w:spacing w:after="0" w:line="86" w:lineRule="exact"/>
        <w:rPr>
          <w:sz w:val="20"/>
          <w:szCs w:val="20"/>
          <w:color w:val="auto"/>
        </w:rPr>
      </w:pPr>
    </w:p>
    <w:p>
      <w:pPr>
        <w:ind w:right="20" w:firstLine="161"/>
        <w:spacing w:after="0" w:line="282" w:lineRule="auto"/>
        <w:rPr>
          <w:sz w:val="20"/>
          <w:szCs w:val="20"/>
          <w:color w:val="auto"/>
        </w:rPr>
      </w:pPr>
      <w:r>
        <w:rPr>
          <w:rFonts w:ascii="Arial" w:cs="Arial" w:eastAsia="Arial" w:hAnsi="Arial"/>
          <w:sz w:val="12"/>
          <w:szCs w:val="12"/>
          <w:color w:val="auto"/>
        </w:rPr>
        <w:t>To the extent that any payment by or on behalf of any Loan Party is made to the Administrative Agent or 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of any amount so recovered from or repaid by the Administrative Agent, plus interest thereon from the date of such demand to the date such payment is made at a rate per annum equal to the applicable Overnight Rate from time to time in effect, in the applicable currency of such recovery or payment.</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11.07 </w:t>
      </w:r>
      <w:r>
        <w:rPr>
          <w:rFonts w:ascii="Arial" w:cs="Arial" w:eastAsia="Arial" w:hAnsi="Arial"/>
          <w:sz w:val="13"/>
          <w:szCs w:val="13"/>
          <w:u w:val="single" w:color="auto"/>
          <w:color w:val="auto"/>
        </w:rPr>
        <w:t>Successors and Assigns.</w:t>
      </w:r>
    </w:p>
    <w:p>
      <w:pPr>
        <w:spacing w:after="0" w:line="86" w:lineRule="exact"/>
        <w:rPr>
          <w:sz w:val="20"/>
          <w:szCs w:val="20"/>
          <w:color w:val="auto"/>
        </w:rPr>
      </w:pPr>
    </w:p>
    <w:p>
      <w:pPr>
        <w:ind w:firstLine="162"/>
        <w:spacing w:after="0" w:line="256" w:lineRule="auto"/>
        <w:tabs>
          <w:tab w:leader="none" w:pos="340" w:val="left"/>
        </w:tabs>
        <w:numPr>
          <w:ilvl w:val="0"/>
          <w:numId w:val="158"/>
        </w:numPr>
        <w:rPr>
          <w:rFonts w:ascii="Arial" w:cs="Arial" w:eastAsia="Arial" w:hAnsi="Arial"/>
          <w:sz w:val="13"/>
          <w:szCs w:val="13"/>
          <w:color w:val="auto"/>
        </w:rPr>
      </w:pPr>
      <w:r>
        <w:rPr>
          <w:rFonts w:ascii="Arial" w:cs="Arial" w:eastAsia="Arial" w:hAnsi="Arial"/>
          <w:sz w:val="13"/>
          <w:szCs w:val="13"/>
          <w:color w:val="auto"/>
        </w:rPr>
        <w:t>The provisions of this Agreement and the other Loan Documents shall be binding upon and inure to the benefit of the parties hereto and thereto and their respective successors and assigns permitted hereby, except that the Company may not assign or otherwise transfer any of its rights or obligations hereunder or thereunder without the prior written consent of each Lender and no Lender may assign or otherwise transfer any of its rights or obligations hereunder except (i) to an assignee in accordance with the provisions of subsection (b) of this Section, (ii) by way of participation in accordance with the provisions of subsection (d) of this Section or (iii) by way of pledge or assignment of a security interest subject to the restrictions of subsection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the L/C Issuer and the Lenders) any legal or equitable right, remedy or claim under or by reason of this Agreement.</w:t>
      </w:r>
    </w:p>
    <w:p>
      <w:pPr>
        <w:spacing w:after="0" w:line="63" w:lineRule="exact"/>
        <w:rPr>
          <w:rFonts w:ascii="Arial" w:cs="Arial" w:eastAsia="Arial" w:hAnsi="Arial"/>
          <w:sz w:val="13"/>
          <w:szCs w:val="13"/>
          <w:color w:val="auto"/>
        </w:rPr>
      </w:pPr>
    </w:p>
    <w:p>
      <w:pPr>
        <w:ind w:right="20" w:firstLine="162"/>
        <w:spacing w:after="0" w:line="371" w:lineRule="auto"/>
        <w:tabs>
          <w:tab w:leader="none" w:pos="342" w:val="left"/>
        </w:tabs>
        <w:numPr>
          <w:ilvl w:val="0"/>
          <w:numId w:val="158"/>
        </w:numPr>
        <w:rPr>
          <w:rFonts w:ascii="Arial" w:cs="Arial" w:eastAsia="Arial" w:hAnsi="Arial"/>
          <w:sz w:val="11"/>
          <w:szCs w:val="11"/>
          <w:color w:val="auto"/>
        </w:rPr>
      </w:pPr>
      <w:r>
        <w:rPr>
          <w:rFonts w:ascii="Arial" w:cs="Arial" w:eastAsia="Arial" w:hAnsi="Arial"/>
          <w:sz w:val="11"/>
          <w:szCs w:val="11"/>
          <w:color w:val="auto"/>
        </w:rPr>
        <w:t xml:space="preserve">Any Lender may at any time assign to one or more assignees all or a portion of its rights and obligations under this Agreement and the other Loan Documents (including all or a portion of its Commitment and the Loans (including for purposes of this subsection (b), participations in L/C Obligations and in Swing Line Loans) at the time owing to it);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any such assignment shall be subject to the following conditions:</w:t>
      </w:r>
    </w:p>
    <w:p>
      <w:pPr>
        <w:spacing w:after="0" w:line="2" w:lineRule="exact"/>
        <w:rPr>
          <w:rFonts w:ascii="Arial" w:cs="Arial" w:eastAsia="Arial" w:hAnsi="Arial"/>
          <w:sz w:val="11"/>
          <w:szCs w:val="11"/>
          <w:color w:val="auto"/>
        </w:rPr>
      </w:pPr>
    </w:p>
    <w:p>
      <w:pPr>
        <w:ind w:left="540" w:hanging="148"/>
        <w:spacing w:after="0"/>
        <w:tabs>
          <w:tab w:leader="none" w:pos="540" w:val="left"/>
        </w:tabs>
        <w:numPr>
          <w:ilvl w:val="1"/>
          <w:numId w:val="158"/>
        </w:numPr>
        <w:rPr>
          <w:rFonts w:ascii="Arial" w:cs="Arial" w:eastAsia="Arial" w:hAnsi="Arial"/>
          <w:sz w:val="13"/>
          <w:szCs w:val="13"/>
          <w:color w:val="auto"/>
        </w:rPr>
      </w:pPr>
      <w:r>
        <w:rPr>
          <w:rFonts w:ascii="Arial" w:cs="Arial" w:eastAsia="Arial" w:hAnsi="Arial"/>
          <w:sz w:val="13"/>
          <w:szCs w:val="13"/>
          <w:u w:val="single" w:color="auto"/>
          <w:color w:val="auto"/>
        </w:rPr>
        <w:t>Minimum Amounts</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72" w:name="page173"/>
    <w:bookmarkEnd w:id="172"/>
    <w:p>
      <w:pPr>
        <w:ind w:left="-172" w:right="60" w:firstLine="335"/>
        <w:spacing w:after="0" w:line="276" w:lineRule="auto"/>
        <w:tabs>
          <w:tab w:leader="none" w:pos="370" w:val="left"/>
        </w:tabs>
        <w:numPr>
          <w:ilvl w:val="2"/>
          <w:numId w:val="159"/>
        </w:numPr>
        <w:rPr>
          <w:rFonts w:ascii="Arial" w:cs="Arial" w:eastAsia="Arial" w:hAnsi="Arial"/>
          <w:sz w:val="13"/>
          <w:szCs w:val="13"/>
          <w:color w:val="auto"/>
        </w:rPr>
      </w:pPr>
      <w:r>
        <w:rPr>
          <w:rFonts w:ascii="Arial" w:cs="Arial" w:eastAsia="Arial" w:hAnsi="Arial"/>
          <w:sz w:val="13"/>
          <w:szCs w:val="13"/>
          <w:color w:val="auto"/>
        </w:rPr>
        <w:t>in the case of an assignment of the entire remaining amount of the assigning Lender’s Commitment and the related Loans at the time owing to it or in the case of an assignment to a Lender, an Affiliate of a Lender or an Approved Fund, no minimum amount need be assigned; and</w:t>
      </w:r>
    </w:p>
    <w:p>
      <w:pPr>
        <w:spacing w:after="0" w:line="49" w:lineRule="exact"/>
        <w:rPr>
          <w:rFonts w:ascii="Arial" w:cs="Arial" w:eastAsia="Arial" w:hAnsi="Arial"/>
          <w:sz w:val="13"/>
          <w:szCs w:val="13"/>
          <w:color w:val="auto"/>
        </w:rPr>
      </w:pPr>
    </w:p>
    <w:p>
      <w:pPr>
        <w:ind w:left="-172" w:firstLine="335"/>
        <w:spacing w:after="0" w:line="257" w:lineRule="auto"/>
        <w:tabs>
          <w:tab w:leader="none" w:pos="363" w:val="left"/>
        </w:tabs>
        <w:numPr>
          <w:ilvl w:val="2"/>
          <w:numId w:val="159"/>
        </w:numPr>
        <w:rPr>
          <w:rFonts w:ascii="Arial" w:cs="Arial" w:eastAsia="Arial" w:hAnsi="Arial"/>
          <w:sz w:val="13"/>
          <w:szCs w:val="13"/>
          <w:color w:val="auto"/>
        </w:rPr>
      </w:pPr>
      <w:r>
        <w:rPr>
          <w:rFonts w:ascii="Arial" w:cs="Arial" w:eastAsia="Arial" w:hAnsi="Arial"/>
          <w:sz w:val="13"/>
          <w:szCs w:val="13"/>
          <w:color w:val="auto"/>
        </w:rPr>
        <w:t xml:space="preserve">in any case not described in subsection (b)(i)(A)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Company otherwise consents (each such consent not to be unreasonably withheld or delayed);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concurrent assignments to members of an Assignee Group and concurrent assignments from members of an Assignee Group to a single assignee (or to an assignee and members of its Assignee Group) will be treated as a single assignment for purposes of determining whether such minimum amount has been met.</w:t>
      </w:r>
    </w:p>
    <w:p>
      <w:pPr>
        <w:spacing w:after="0" w:line="61" w:lineRule="exact"/>
        <w:rPr>
          <w:rFonts w:ascii="Arial" w:cs="Arial" w:eastAsia="Arial" w:hAnsi="Arial"/>
          <w:sz w:val="13"/>
          <w:szCs w:val="13"/>
          <w:color w:val="auto"/>
        </w:rPr>
      </w:pPr>
    </w:p>
    <w:p>
      <w:pPr>
        <w:ind w:left="-172" w:right="60" w:firstLine="172"/>
        <w:spacing w:after="0" w:line="276" w:lineRule="auto"/>
        <w:tabs>
          <w:tab w:leader="none" w:pos="185" w:val="left"/>
        </w:tabs>
        <w:numPr>
          <w:ilvl w:val="0"/>
          <w:numId w:val="160"/>
        </w:numPr>
        <w:rPr>
          <w:rFonts w:ascii="Arial" w:cs="Arial" w:eastAsia="Arial" w:hAnsi="Arial"/>
          <w:sz w:val="13"/>
          <w:szCs w:val="13"/>
          <w:color w:val="auto"/>
        </w:rPr>
      </w:pPr>
      <w:r>
        <w:rPr>
          <w:rFonts w:ascii="Arial" w:cs="Arial" w:eastAsia="Arial" w:hAnsi="Arial"/>
          <w:sz w:val="13"/>
          <w:szCs w:val="13"/>
          <w:u w:val="single" w:color="auto"/>
          <w:color w:val="auto"/>
        </w:rPr>
        <w:t>Proportionate Amounts</w:t>
      </w:r>
      <w:r>
        <w:rPr>
          <w:rFonts w:ascii="Arial" w:cs="Arial" w:eastAsia="Arial" w:hAnsi="Arial"/>
          <w:sz w:val="13"/>
          <w:szCs w:val="13"/>
          <w:color w:val="auto"/>
        </w:rPr>
        <w:t>. Each partial assignment shall be made as an assignment of a proportionate part of all the assigning Lender’s Loans and Commitments, and rights and obligations with respect thereto, assigned, except that this clause (ii) shall not apply to the Swing Line Lender’s rights and obligations in respect of Swing Line Loans;</w:t>
      </w:r>
    </w:p>
    <w:p>
      <w:pPr>
        <w:spacing w:after="0" w:line="49" w:lineRule="exact"/>
        <w:rPr>
          <w:rFonts w:ascii="Arial" w:cs="Arial" w:eastAsia="Arial" w:hAnsi="Arial"/>
          <w:sz w:val="13"/>
          <w:szCs w:val="13"/>
          <w:color w:val="auto"/>
        </w:rPr>
      </w:pPr>
    </w:p>
    <w:p>
      <w:pPr>
        <w:ind w:left="228" w:hanging="228"/>
        <w:spacing w:after="0"/>
        <w:tabs>
          <w:tab w:leader="none" w:pos="228" w:val="left"/>
        </w:tabs>
        <w:numPr>
          <w:ilvl w:val="0"/>
          <w:numId w:val="160"/>
        </w:numPr>
        <w:rPr>
          <w:rFonts w:ascii="Arial" w:cs="Arial" w:eastAsia="Arial" w:hAnsi="Arial"/>
          <w:sz w:val="13"/>
          <w:szCs w:val="13"/>
          <w:color w:val="auto"/>
        </w:rPr>
      </w:pPr>
      <w:r>
        <w:rPr>
          <w:rFonts w:ascii="Arial" w:cs="Arial" w:eastAsia="Arial" w:hAnsi="Arial"/>
          <w:sz w:val="13"/>
          <w:szCs w:val="13"/>
          <w:u w:val="single" w:color="auto"/>
          <w:color w:val="auto"/>
        </w:rPr>
        <w:t>Required Consents</w:t>
      </w:r>
      <w:r>
        <w:rPr>
          <w:rFonts w:ascii="Arial" w:cs="Arial" w:eastAsia="Arial" w:hAnsi="Arial"/>
          <w:sz w:val="13"/>
          <w:szCs w:val="13"/>
          <w:color w:val="auto"/>
        </w:rPr>
        <w:t>. No consent shall be required for any assignment except to the extent required by subsection (b)(i)(B) of this Section and, in addition:</w:t>
      </w:r>
    </w:p>
    <w:p>
      <w:pPr>
        <w:spacing w:after="0" w:line="86" w:lineRule="exact"/>
        <w:rPr>
          <w:rFonts w:ascii="Arial" w:cs="Arial" w:eastAsia="Arial" w:hAnsi="Arial"/>
          <w:sz w:val="13"/>
          <w:szCs w:val="13"/>
          <w:color w:val="auto"/>
        </w:rPr>
      </w:pPr>
    </w:p>
    <w:p>
      <w:pPr>
        <w:ind w:left="448" w:hanging="219"/>
        <w:spacing w:after="0"/>
        <w:tabs>
          <w:tab w:leader="none" w:pos="448" w:val="left"/>
        </w:tabs>
        <w:numPr>
          <w:ilvl w:val="3"/>
          <w:numId w:val="160"/>
        </w:numPr>
        <w:rPr>
          <w:rFonts w:ascii="Arial" w:cs="Arial" w:eastAsia="Arial" w:hAnsi="Arial"/>
          <w:sz w:val="11"/>
          <w:szCs w:val="11"/>
          <w:color w:val="auto"/>
        </w:rPr>
      </w:pPr>
      <w:r>
        <w:rPr>
          <w:rFonts w:ascii="Arial" w:cs="Arial" w:eastAsia="Arial" w:hAnsi="Arial"/>
          <w:sz w:val="11"/>
          <w:szCs w:val="11"/>
          <w:color w:val="auto"/>
        </w:rPr>
        <w:t>the consent of the Company (such consent not to be unreasonably withheld or delayed) shall be required unless (1) an Event of Default has occurred and is continuing at the time of such assignment or</w:t>
      </w:r>
    </w:p>
    <w:p>
      <w:pPr>
        <w:spacing w:after="0" w:line="38" w:lineRule="exact"/>
        <w:rPr>
          <w:rFonts w:ascii="Arial" w:cs="Arial" w:eastAsia="Arial" w:hAnsi="Arial"/>
          <w:sz w:val="11"/>
          <w:szCs w:val="11"/>
          <w:color w:val="auto"/>
        </w:rPr>
      </w:pPr>
    </w:p>
    <w:p>
      <w:pPr>
        <w:ind w:left="248" w:hanging="183"/>
        <w:spacing w:after="0"/>
        <w:tabs>
          <w:tab w:leader="none" w:pos="248" w:val="left"/>
        </w:tabs>
        <w:numPr>
          <w:ilvl w:val="1"/>
          <w:numId w:val="160"/>
        </w:numPr>
        <w:rPr>
          <w:rFonts w:ascii="Arial" w:cs="Arial" w:eastAsia="Arial" w:hAnsi="Arial"/>
          <w:sz w:val="13"/>
          <w:szCs w:val="13"/>
          <w:color w:val="auto"/>
        </w:rPr>
      </w:pPr>
      <w:r>
        <w:rPr>
          <w:rFonts w:ascii="Arial" w:cs="Arial" w:eastAsia="Arial" w:hAnsi="Arial"/>
          <w:sz w:val="13"/>
          <w:szCs w:val="13"/>
          <w:color w:val="auto"/>
        </w:rPr>
        <w:t>such assignment is to a Lender, an Affiliate of a Lender or an Approved Fund;</w:t>
      </w:r>
    </w:p>
    <w:p>
      <w:pPr>
        <w:spacing w:after="0" w:line="78" w:lineRule="exact"/>
        <w:rPr>
          <w:rFonts w:ascii="Arial" w:cs="Arial" w:eastAsia="Arial" w:hAnsi="Arial"/>
          <w:sz w:val="13"/>
          <w:szCs w:val="13"/>
          <w:color w:val="auto"/>
        </w:rPr>
      </w:pPr>
    </w:p>
    <w:p>
      <w:pPr>
        <w:ind w:left="68" w:right="120" w:firstLine="161"/>
        <w:spacing w:after="0" w:line="320" w:lineRule="auto"/>
        <w:tabs>
          <w:tab w:leader="none" w:pos="440" w:val="left"/>
        </w:tabs>
        <w:numPr>
          <w:ilvl w:val="3"/>
          <w:numId w:val="161"/>
        </w:numPr>
        <w:rPr>
          <w:rFonts w:ascii="Arial" w:cs="Arial" w:eastAsia="Arial" w:hAnsi="Arial"/>
          <w:sz w:val="12"/>
          <w:szCs w:val="12"/>
          <w:color w:val="auto"/>
        </w:rPr>
      </w:pPr>
      <w:r>
        <w:rPr>
          <w:rFonts w:ascii="Arial" w:cs="Arial" w:eastAsia="Arial" w:hAnsi="Arial"/>
          <w:sz w:val="12"/>
          <w:szCs w:val="12"/>
          <w:color w:val="auto"/>
        </w:rPr>
        <w:t>the consent of the Administrative Agent (such consent not to be unreasonably withheld or delayed) shall be required for assignments in respect of any Revolving Commitment if such assignment is to a Person that is not a Lender with a Commitment in respect of the Commitment subject to such assignment, an Affiliate of such Lender or an Approved Fund with respect to such Lender; and</w:t>
      </w:r>
    </w:p>
    <w:p>
      <w:pPr>
        <w:spacing w:after="0" w:line="25" w:lineRule="exact"/>
        <w:rPr>
          <w:rFonts w:ascii="Arial" w:cs="Arial" w:eastAsia="Arial" w:hAnsi="Arial"/>
          <w:sz w:val="12"/>
          <w:szCs w:val="12"/>
          <w:color w:val="auto"/>
        </w:rPr>
      </w:pPr>
    </w:p>
    <w:p>
      <w:pPr>
        <w:ind w:left="68" w:right="100" w:firstLine="161"/>
        <w:spacing w:after="0" w:line="276" w:lineRule="auto"/>
        <w:tabs>
          <w:tab w:leader="none" w:pos="440" w:val="left"/>
        </w:tabs>
        <w:numPr>
          <w:ilvl w:val="3"/>
          <w:numId w:val="161"/>
        </w:numPr>
        <w:rPr>
          <w:rFonts w:ascii="Arial" w:cs="Arial" w:eastAsia="Arial" w:hAnsi="Arial"/>
          <w:sz w:val="13"/>
          <w:szCs w:val="13"/>
          <w:color w:val="auto"/>
        </w:rPr>
      </w:pPr>
      <w:r>
        <w:rPr>
          <w:rFonts w:ascii="Arial" w:cs="Arial" w:eastAsia="Arial" w:hAnsi="Arial"/>
          <w:sz w:val="13"/>
          <w:szCs w:val="13"/>
          <w:color w:val="auto"/>
        </w:rPr>
        <w:t>the consent of the L/C Issuer (such consent not to be unreasonably withheld or delayed) shall be required for any assignment that increases the obligation of the assignee to participate in exposure under one or more Letters of Credit (whether or not then outstanding); and</w:t>
      </w:r>
    </w:p>
    <w:p>
      <w:pPr>
        <w:spacing w:after="0" w:line="49" w:lineRule="exact"/>
        <w:rPr>
          <w:rFonts w:ascii="Arial" w:cs="Arial" w:eastAsia="Arial" w:hAnsi="Arial"/>
          <w:sz w:val="13"/>
          <w:szCs w:val="13"/>
          <w:color w:val="auto"/>
        </w:rPr>
      </w:pPr>
    </w:p>
    <w:p>
      <w:pPr>
        <w:ind w:left="448" w:hanging="219"/>
        <w:spacing w:after="0"/>
        <w:tabs>
          <w:tab w:leader="none" w:pos="448" w:val="left"/>
        </w:tabs>
        <w:numPr>
          <w:ilvl w:val="3"/>
          <w:numId w:val="161"/>
        </w:numPr>
        <w:rPr>
          <w:rFonts w:ascii="Arial" w:cs="Arial" w:eastAsia="Arial" w:hAnsi="Arial"/>
          <w:sz w:val="12"/>
          <w:szCs w:val="12"/>
          <w:color w:val="auto"/>
        </w:rPr>
      </w:pPr>
      <w:r>
        <w:rPr>
          <w:rFonts w:ascii="Arial" w:cs="Arial" w:eastAsia="Arial" w:hAnsi="Arial"/>
          <w:sz w:val="12"/>
          <w:szCs w:val="12"/>
          <w:color w:val="auto"/>
        </w:rPr>
        <w:t>the consent of the Swing Line Lender (such consent not to be unreasonably withheld or delayed) shall be required for any assignment in respect of Revolving Loans and Revolving Commitments.</w:t>
      </w:r>
    </w:p>
    <w:p>
      <w:pPr>
        <w:spacing w:after="0" w:line="97" w:lineRule="exact"/>
        <w:rPr>
          <w:rFonts w:ascii="Arial" w:cs="Arial" w:eastAsia="Arial" w:hAnsi="Arial"/>
          <w:sz w:val="12"/>
          <w:szCs w:val="12"/>
          <w:color w:val="auto"/>
        </w:rPr>
      </w:pPr>
    </w:p>
    <w:p>
      <w:pPr>
        <w:ind w:left="-172" w:right="300" w:firstLine="172"/>
        <w:spacing w:after="0" w:line="276" w:lineRule="auto"/>
        <w:tabs>
          <w:tab w:leader="none" w:pos="214" w:val="left"/>
        </w:tabs>
        <w:numPr>
          <w:ilvl w:val="0"/>
          <w:numId w:val="162"/>
        </w:numPr>
        <w:rPr>
          <w:rFonts w:ascii="Arial" w:cs="Arial" w:eastAsia="Arial" w:hAnsi="Arial"/>
          <w:sz w:val="13"/>
          <w:szCs w:val="13"/>
          <w:color w:val="auto"/>
        </w:rPr>
      </w:pPr>
      <w:r>
        <w:rPr>
          <w:rFonts w:ascii="Arial" w:cs="Arial" w:eastAsia="Arial" w:hAnsi="Arial"/>
          <w:sz w:val="13"/>
          <w:szCs w:val="13"/>
          <w:u w:val="single" w:color="auto"/>
          <w:color w:val="auto"/>
        </w:rPr>
        <w:t>Assignment and Assumption</w:t>
      </w:r>
      <w:r>
        <w:rPr>
          <w:rFonts w:ascii="Arial" w:cs="Arial" w:eastAsia="Arial" w:hAnsi="Arial"/>
          <w:sz w:val="13"/>
          <w:szCs w:val="13"/>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Administrative Agent may, in its sole discretion, elect to waive such processing and recordation fee in the case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-252095</wp:posOffset>
            </wp:positionH>
            <wp:positionV relativeFrom="paragraph">
              <wp:posOffset>271145</wp:posOffset>
            </wp:positionV>
            <wp:extent cx="7290435" cy="190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68"/>
          </w:cols>
          <w:pgMar w:left="612" w:top="721" w:right="219" w:bottom="1440" w:gutter="0" w:footer="0" w:header="0"/>
        </w:sectPr>
      </w:pPr>
    </w:p>
    <w:bookmarkStart w:id="173" w:name="page174"/>
    <w:bookmarkEnd w:id="173"/>
    <w:p>
      <w:pPr>
        <w:ind w:left="220"/>
        <w:spacing w:after="0"/>
        <w:rPr>
          <w:sz w:val="20"/>
          <w:szCs w:val="20"/>
          <w:color w:val="auto"/>
        </w:rPr>
      </w:pPr>
      <w:r>
        <w:rPr>
          <w:rFonts w:ascii="Arial" w:cs="Arial" w:eastAsia="Arial" w:hAnsi="Arial"/>
          <w:sz w:val="13"/>
          <w:szCs w:val="13"/>
          <w:color w:val="auto"/>
        </w:rPr>
        <w:t>assignment. The assignee, if it shall not be a Lender, shall deliver to the Administrative Agent an Administrative Questionnaire.</w:t>
      </w:r>
    </w:p>
    <w:p>
      <w:pPr>
        <w:spacing w:after="0" w:line="86" w:lineRule="exact"/>
        <w:rPr>
          <w:sz w:val="20"/>
          <w:szCs w:val="20"/>
          <w:color w:val="auto"/>
        </w:rPr>
      </w:pPr>
    </w:p>
    <w:p>
      <w:pPr>
        <w:ind w:left="580" w:hanging="188"/>
        <w:spacing w:after="0"/>
        <w:tabs>
          <w:tab w:leader="none" w:pos="580" w:val="left"/>
        </w:tabs>
        <w:numPr>
          <w:ilvl w:val="0"/>
          <w:numId w:val="163"/>
        </w:numPr>
        <w:rPr>
          <w:rFonts w:ascii="Arial" w:cs="Arial" w:eastAsia="Arial" w:hAnsi="Arial"/>
          <w:sz w:val="13"/>
          <w:szCs w:val="13"/>
          <w:color w:val="auto"/>
        </w:rPr>
      </w:pPr>
      <w:r>
        <w:rPr>
          <w:rFonts w:ascii="Arial" w:cs="Arial" w:eastAsia="Arial" w:hAnsi="Arial"/>
          <w:sz w:val="13"/>
          <w:szCs w:val="13"/>
          <w:u w:val="single" w:color="auto"/>
          <w:color w:val="auto"/>
        </w:rPr>
        <w:t>No Assignment to Company</w:t>
      </w:r>
      <w:r>
        <w:rPr>
          <w:rFonts w:ascii="Arial" w:cs="Arial" w:eastAsia="Arial" w:hAnsi="Arial"/>
          <w:sz w:val="13"/>
          <w:szCs w:val="13"/>
          <w:color w:val="auto"/>
        </w:rPr>
        <w:t>. No such assignment shall be made to the Company or any of the Company’s Affiliates or Subsidiaries.</w:t>
      </w:r>
    </w:p>
    <w:p>
      <w:pPr>
        <w:spacing w:after="0" w:line="86" w:lineRule="exact"/>
        <w:rPr>
          <w:rFonts w:ascii="Arial" w:cs="Arial" w:eastAsia="Arial" w:hAnsi="Arial"/>
          <w:sz w:val="13"/>
          <w:szCs w:val="13"/>
          <w:color w:val="auto"/>
        </w:rPr>
      </w:pPr>
    </w:p>
    <w:p>
      <w:pPr>
        <w:ind w:left="620" w:hanging="228"/>
        <w:spacing w:after="0"/>
        <w:tabs>
          <w:tab w:leader="none" w:pos="620" w:val="left"/>
        </w:tabs>
        <w:numPr>
          <w:ilvl w:val="0"/>
          <w:numId w:val="163"/>
        </w:numPr>
        <w:rPr>
          <w:rFonts w:ascii="Arial" w:cs="Arial" w:eastAsia="Arial" w:hAnsi="Arial"/>
          <w:sz w:val="13"/>
          <w:szCs w:val="13"/>
          <w:color w:val="auto"/>
        </w:rPr>
      </w:pPr>
      <w:r>
        <w:rPr>
          <w:rFonts w:ascii="Arial" w:cs="Arial" w:eastAsia="Arial" w:hAnsi="Arial"/>
          <w:sz w:val="13"/>
          <w:szCs w:val="13"/>
          <w:u w:val="single" w:color="auto"/>
          <w:color w:val="auto"/>
        </w:rPr>
        <w:t>No Assignment to Natural Persons</w:t>
      </w:r>
      <w:r>
        <w:rPr>
          <w:rFonts w:ascii="Arial" w:cs="Arial" w:eastAsia="Arial" w:hAnsi="Arial"/>
          <w:sz w:val="13"/>
          <w:szCs w:val="13"/>
          <w:color w:val="auto"/>
        </w:rPr>
        <w:t>. No such assignment shall be made to a natural person.</w:t>
      </w:r>
    </w:p>
    <w:p>
      <w:pPr>
        <w:spacing w:after="0" w:line="86" w:lineRule="exact"/>
        <w:rPr>
          <w:rFonts w:ascii="Arial" w:cs="Arial" w:eastAsia="Arial" w:hAnsi="Arial"/>
          <w:sz w:val="13"/>
          <w:szCs w:val="13"/>
          <w:color w:val="auto"/>
        </w:rPr>
      </w:pPr>
    </w:p>
    <w:p>
      <w:pPr>
        <w:ind w:left="220" w:firstLine="172"/>
        <w:spacing w:after="0" w:line="320" w:lineRule="auto"/>
        <w:tabs>
          <w:tab w:leader="none" w:pos="642" w:val="left"/>
        </w:tabs>
        <w:numPr>
          <w:ilvl w:val="0"/>
          <w:numId w:val="163"/>
        </w:numPr>
        <w:rPr>
          <w:rFonts w:ascii="Arial" w:cs="Arial" w:eastAsia="Arial" w:hAnsi="Arial"/>
          <w:sz w:val="12"/>
          <w:szCs w:val="12"/>
          <w:color w:val="auto"/>
        </w:rPr>
      </w:pPr>
      <w:r>
        <w:rPr>
          <w:rFonts w:ascii="Arial" w:cs="Arial" w:eastAsia="Arial" w:hAnsi="Arial"/>
          <w:sz w:val="12"/>
          <w:szCs w:val="12"/>
          <w:u w:val="single" w:color="auto"/>
          <w:color w:val="auto"/>
        </w:rPr>
        <w:t>No Assignment Resulting in Additional Indemnified Taxes</w:t>
      </w:r>
      <w:r>
        <w:rPr>
          <w:rFonts w:ascii="Arial" w:cs="Arial" w:eastAsia="Arial" w:hAnsi="Arial"/>
          <w:sz w:val="12"/>
          <w:szCs w:val="12"/>
          <w:color w:val="auto"/>
        </w:rPr>
        <w:t xml:space="preserve">. No such assignment shall be made to any Person that, through its Lending Offices, is not capable of lending the applicable Alternative Currencies to the relevant Borrowers without the imposition of any additional Taxes for which the Loan Parties are required to indemnify the Administrative Agent and the Lenders pursuant to </w:t>
      </w:r>
      <w:r>
        <w:rPr>
          <w:rFonts w:ascii="Arial" w:cs="Arial" w:eastAsia="Arial" w:hAnsi="Arial"/>
          <w:sz w:val="12"/>
          <w:szCs w:val="12"/>
          <w:u w:val="single" w:color="auto"/>
          <w:color w:val="auto"/>
        </w:rPr>
        <w:t>Section 3.01</w:t>
      </w:r>
      <w:r>
        <w:rPr>
          <w:rFonts w:ascii="Arial" w:cs="Arial" w:eastAsia="Arial" w:hAnsi="Arial"/>
          <w:sz w:val="12"/>
          <w:szCs w:val="12"/>
          <w:color w:val="auto"/>
        </w:rPr>
        <w:t>.</w:t>
      </w:r>
    </w:p>
    <w:p>
      <w:pPr>
        <w:spacing w:after="0" w:line="25" w:lineRule="exact"/>
        <w:rPr>
          <w:sz w:val="20"/>
          <w:szCs w:val="20"/>
          <w:color w:val="auto"/>
        </w:rPr>
      </w:pPr>
    </w:p>
    <w:p>
      <w:pPr>
        <w:ind w:right="40"/>
        <w:spacing w:after="0" w:line="256" w:lineRule="auto"/>
        <w:rPr>
          <w:sz w:val="20"/>
          <w:szCs w:val="20"/>
          <w:color w:val="auto"/>
        </w:rPr>
      </w:pPr>
      <w:r>
        <w:rPr>
          <w:rFonts w:ascii="Arial" w:cs="Arial" w:eastAsia="Arial" w:hAnsi="Arial"/>
          <w:sz w:val="13"/>
          <w:szCs w:val="13"/>
          <w:color w:val="auto"/>
        </w:rPr>
        <w:t xml:space="preserve">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3"/>
          <w:szCs w:val="13"/>
          <w:u w:val="single" w:color="auto"/>
          <w:color w:val="auto"/>
        </w:rPr>
        <w:t>Sections 3.01</w:t>
      </w:r>
      <w:r>
        <w:rPr>
          <w:rFonts w:ascii="Arial" w:cs="Arial" w:eastAsia="Arial" w:hAnsi="Arial"/>
          <w:sz w:val="13"/>
          <w:szCs w:val="13"/>
          <w:color w:val="auto"/>
        </w:rPr>
        <w:t xml:space="preserve">, </w:t>
      </w:r>
      <w:r>
        <w:rPr>
          <w:rFonts w:ascii="Arial" w:cs="Arial" w:eastAsia="Arial" w:hAnsi="Arial"/>
          <w:sz w:val="13"/>
          <w:szCs w:val="13"/>
          <w:u w:val="single" w:color="auto"/>
          <w:color w:val="auto"/>
        </w:rPr>
        <w:t>3.04</w:t>
      </w:r>
      <w:r>
        <w:rPr>
          <w:rFonts w:ascii="Arial" w:cs="Arial" w:eastAsia="Arial" w:hAnsi="Arial"/>
          <w:sz w:val="13"/>
          <w:szCs w:val="13"/>
          <w:color w:val="auto"/>
        </w:rPr>
        <w:t xml:space="preserve">, </w:t>
      </w:r>
      <w:r>
        <w:rPr>
          <w:rFonts w:ascii="Arial" w:cs="Arial" w:eastAsia="Arial" w:hAnsi="Arial"/>
          <w:sz w:val="13"/>
          <w:szCs w:val="13"/>
          <w:u w:val="single" w:color="auto"/>
          <w:color w:val="auto"/>
        </w:rPr>
        <w:t>3.05</w:t>
      </w:r>
      <w:r>
        <w:rPr>
          <w:rFonts w:ascii="Arial" w:cs="Arial" w:eastAsia="Arial" w:hAnsi="Arial"/>
          <w:sz w:val="13"/>
          <w:szCs w:val="13"/>
          <w:color w:val="auto"/>
        </w:rPr>
        <w:t xml:space="preserve">, </w:t>
      </w:r>
      <w:r>
        <w:rPr>
          <w:rFonts w:ascii="Arial" w:cs="Arial" w:eastAsia="Arial" w:hAnsi="Arial"/>
          <w:sz w:val="13"/>
          <w:szCs w:val="13"/>
          <w:u w:val="single" w:color="auto"/>
          <w:color w:val="auto"/>
        </w:rPr>
        <w:t>11.04</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11.05</w:t>
      </w:r>
      <w:r>
        <w:rPr>
          <w:rFonts w:ascii="Arial" w:cs="Arial" w:eastAsia="Arial" w:hAnsi="Arial"/>
          <w:sz w:val="13"/>
          <w:szCs w:val="13"/>
          <w:color w:val="auto"/>
        </w:rPr>
        <w:t xml:space="preserve"> with respect to facts and circumstances occurring prior to the effective date of such assignment). Upon request, each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63" w:lineRule="exact"/>
        <w:rPr>
          <w:sz w:val="20"/>
          <w:szCs w:val="20"/>
          <w:color w:val="auto"/>
        </w:rPr>
      </w:pPr>
    </w:p>
    <w:p>
      <w:pPr>
        <w:ind w:right="20" w:firstLine="162"/>
        <w:spacing w:after="0" w:line="258" w:lineRule="auto"/>
        <w:tabs>
          <w:tab w:leader="none" w:pos="340" w:val="left"/>
        </w:tabs>
        <w:numPr>
          <w:ilvl w:val="0"/>
          <w:numId w:val="164"/>
        </w:numPr>
        <w:rPr>
          <w:rFonts w:ascii="Arial" w:cs="Arial" w:eastAsia="Arial" w:hAnsi="Arial"/>
          <w:sz w:val="13"/>
          <w:szCs w:val="13"/>
          <w:color w:val="auto"/>
        </w:rPr>
      </w:pPr>
      <w:r>
        <w:rPr>
          <w:rFonts w:ascii="Arial" w:cs="Arial" w:eastAsia="Arial" w:hAnsi="Arial"/>
          <w:sz w:val="13"/>
          <w:szCs w:val="13"/>
          <w:color w:val="auto"/>
        </w:rPr>
        <w:t>The Administrative Agent, acting solely for this purpose as an agent of the Borrowers, shall maintain at the Administrative Agent’s Office a copy of each Assignment and Assumption delivered to it and a register for the recordation of the names and addresses of the Lenders, and the Commitments of, and principal amounts of the Loans and L/C Obligations owing to, each Lender pursuant to the terms hereof from time to time (the “</w:t>
      </w:r>
      <w:r>
        <w:rPr>
          <w:rFonts w:ascii="Arial" w:cs="Arial" w:eastAsia="Arial" w:hAnsi="Arial"/>
          <w:sz w:val="13"/>
          <w:szCs w:val="13"/>
          <w:u w:val="single" w:color="auto"/>
          <w:color w:val="auto"/>
        </w:rPr>
        <w:t>Register</w:t>
      </w:r>
      <w:r>
        <w:rPr>
          <w:rFonts w:ascii="Arial" w:cs="Arial" w:eastAsia="Arial" w:hAnsi="Arial"/>
          <w:sz w:val="13"/>
          <w:szCs w:val="13"/>
          <w:color w:val="auto"/>
        </w:rPr>
        <w:t>”). The entries in the Register shall be conclusive, and the Borrowers, the Administrative Agent and the Lenders may treat each Person whose name is recorded in the Register pursuant to the terms hereof as a Lender hereunder for all purposes of this Agreement, notwithstanding notice to the contrary. The Register shall be available for inspection by the Borrowers and any Lender at any reasonable time and from time to time upon reasonable prior notice.</w:t>
      </w:r>
    </w:p>
    <w:p>
      <w:pPr>
        <w:spacing w:after="0" w:line="61" w:lineRule="exact"/>
        <w:rPr>
          <w:rFonts w:ascii="Arial" w:cs="Arial" w:eastAsia="Arial" w:hAnsi="Arial"/>
          <w:sz w:val="13"/>
          <w:szCs w:val="13"/>
          <w:color w:val="auto"/>
        </w:rPr>
      </w:pPr>
    </w:p>
    <w:p>
      <w:pPr>
        <w:ind w:right="20" w:firstLine="162"/>
        <w:spacing w:after="0" w:line="282" w:lineRule="auto"/>
        <w:tabs>
          <w:tab w:leader="none" w:pos="342" w:val="left"/>
        </w:tabs>
        <w:numPr>
          <w:ilvl w:val="0"/>
          <w:numId w:val="164"/>
        </w:numPr>
        <w:rPr>
          <w:rFonts w:ascii="Arial" w:cs="Arial" w:eastAsia="Arial" w:hAnsi="Arial"/>
          <w:sz w:val="12"/>
          <w:szCs w:val="12"/>
          <w:color w:val="auto"/>
        </w:rPr>
      </w:pPr>
      <w:r>
        <w:rPr>
          <w:rFonts w:ascii="Arial" w:cs="Arial" w:eastAsia="Arial" w:hAnsi="Arial"/>
          <w:sz w:val="12"/>
          <w:szCs w:val="12"/>
          <w:color w:val="auto"/>
        </w:rPr>
        <w:t>Any Lender may at any time, without the consent of, or notice to, the Borrowers or the Administrative Agent, sell participations to any Person (other than a natural person or the Borrowers or any of the Borrowers’ Affiliates or Subsidiaries) (each, a “</w:t>
      </w:r>
      <w:r>
        <w:rPr>
          <w:rFonts w:ascii="Arial" w:cs="Arial" w:eastAsia="Arial" w:hAnsi="Arial"/>
          <w:sz w:val="12"/>
          <w:szCs w:val="12"/>
          <w:u w:val="single" w:color="auto"/>
          <w:color w:val="auto"/>
        </w:rPr>
        <w:t>Participant</w:t>
      </w:r>
      <w:r>
        <w:rPr>
          <w:rFonts w:ascii="Arial" w:cs="Arial" w:eastAsia="Arial" w:hAnsi="Arial"/>
          <w:sz w:val="12"/>
          <w:szCs w:val="12"/>
          <w:color w:val="auto"/>
        </w:rPr>
        <w:t xml:space="preserve">”) in all or a portion of such Lender’s rights and/or obligations under this Agreement (including all or a portion of its Commitment and/or the Loans (including such Lender’s participations in L/C Obligations and/or Swing Line Loans) owing to it);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agreement or instrument may provide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74" w:name="page175"/>
    <w:bookmarkEnd w:id="174"/>
    <w:p>
      <w:pPr>
        <w:ind w:right="20"/>
        <w:spacing w:after="0" w:line="260" w:lineRule="auto"/>
        <w:rPr>
          <w:sz w:val="20"/>
          <w:szCs w:val="20"/>
          <w:color w:val="auto"/>
        </w:rPr>
      </w:pPr>
      <w:r>
        <w:rPr>
          <w:rFonts w:ascii="Arial" w:cs="Arial" w:eastAsia="Arial" w:hAnsi="Arial"/>
          <w:sz w:val="13"/>
          <w:szCs w:val="13"/>
          <w:color w:val="auto"/>
        </w:rPr>
        <w:t xml:space="preserve">that such Lender will not, without the consent of the Participant, agree to any amendment, waiver or other modification described in clauses (a) through (g) of the first proviso to </w:t>
      </w:r>
      <w:r>
        <w:rPr>
          <w:rFonts w:ascii="Arial" w:cs="Arial" w:eastAsia="Arial" w:hAnsi="Arial"/>
          <w:sz w:val="13"/>
          <w:szCs w:val="13"/>
          <w:u w:val="single" w:color="auto"/>
          <w:color w:val="auto"/>
        </w:rPr>
        <w:t>Section 11.01</w:t>
      </w:r>
      <w:r>
        <w:rPr>
          <w:rFonts w:ascii="Arial" w:cs="Arial" w:eastAsia="Arial" w:hAnsi="Arial"/>
          <w:sz w:val="13"/>
          <w:szCs w:val="13"/>
          <w:color w:val="auto"/>
        </w:rPr>
        <w:t xml:space="preserve"> that directly affects such Participant. Subject to subsection (e) of this Section, the Borrowers agree that each Participant shall be entitled to the benefits of </w:t>
      </w:r>
      <w:r>
        <w:rPr>
          <w:rFonts w:ascii="Arial" w:cs="Arial" w:eastAsia="Arial" w:hAnsi="Arial"/>
          <w:sz w:val="13"/>
          <w:szCs w:val="13"/>
          <w:u w:val="single" w:color="auto"/>
          <w:color w:val="auto"/>
        </w:rPr>
        <w:t>Sections 3.01</w:t>
      </w:r>
      <w:r>
        <w:rPr>
          <w:rFonts w:ascii="Arial" w:cs="Arial" w:eastAsia="Arial" w:hAnsi="Arial"/>
          <w:sz w:val="13"/>
          <w:szCs w:val="13"/>
          <w:color w:val="auto"/>
        </w:rPr>
        <w:t xml:space="preserve">, </w:t>
      </w:r>
      <w:r>
        <w:rPr>
          <w:rFonts w:ascii="Arial" w:cs="Arial" w:eastAsia="Arial" w:hAnsi="Arial"/>
          <w:sz w:val="13"/>
          <w:szCs w:val="13"/>
          <w:u w:val="single" w:color="auto"/>
          <w:color w:val="auto"/>
        </w:rPr>
        <w:t>3.04</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3.05</w:t>
      </w:r>
      <w:r>
        <w:rPr>
          <w:rFonts w:ascii="Arial" w:cs="Arial" w:eastAsia="Arial" w:hAnsi="Arial"/>
          <w:sz w:val="13"/>
          <w:szCs w:val="13"/>
          <w:color w:val="auto"/>
        </w:rPr>
        <w:t xml:space="preserve"> to the same extent as if it were a Lender and had acquired its interest by assignment pursuant to subsection (b) of this Section. To the extent permitted by law, each Participant also shall be entitled to the benefits of </w:t>
      </w:r>
      <w:r>
        <w:rPr>
          <w:rFonts w:ascii="Arial" w:cs="Arial" w:eastAsia="Arial" w:hAnsi="Arial"/>
          <w:sz w:val="13"/>
          <w:szCs w:val="13"/>
          <w:u w:val="single" w:color="auto"/>
          <w:color w:val="auto"/>
        </w:rPr>
        <w:t>Section 11.09</w:t>
      </w:r>
      <w:r>
        <w:rPr>
          <w:rFonts w:ascii="Arial" w:cs="Arial" w:eastAsia="Arial" w:hAnsi="Arial"/>
          <w:sz w:val="13"/>
          <w:szCs w:val="13"/>
          <w:color w:val="auto"/>
        </w:rPr>
        <w:t xml:space="preserve"> as though it were a Lender,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such Participant agrees to be subject to </w:t>
      </w:r>
      <w:r>
        <w:rPr>
          <w:rFonts w:ascii="Arial" w:cs="Arial" w:eastAsia="Arial" w:hAnsi="Arial"/>
          <w:sz w:val="13"/>
          <w:szCs w:val="13"/>
          <w:u w:val="single" w:color="auto"/>
          <w:color w:val="auto"/>
        </w:rPr>
        <w:t>Section 2.13</w:t>
      </w:r>
      <w:r>
        <w:rPr>
          <w:rFonts w:ascii="Arial" w:cs="Arial" w:eastAsia="Arial" w:hAnsi="Arial"/>
          <w:sz w:val="13"/>
          <w:szCs w:val="13"/>
          <w:color w:val="auto"/>
        </w:rPr>
        <w:t xml:space="preserve"> as though it were a Lender.</w:t>
      </w:r>
    </w:p>
    <w:p>
      <w:pPr>
        <w:spacing w:after="0" w:line="60" w:lineRule="exact"/>
        <w:rPr>
          <w:sz w:val="20"/>
          <w:szCs w:val="20"/>
          <w:color w:val="auto"/>
        </w:rPr>
      </w:pPr>
    </w:p>
    <w:p>
      <w:pPr>
        <w:ind w:firstLine="162"/>
        <w:spacing w:after="0" w:line="305" w:lineRule="auto"/>
        <w:tabs>
          <w:tab w:leader="none" w:pos="335" w:val="left"/>
        </w:tabs>
        <w:numPr>
          <w:ilvl w:val="0"/>
          <w:numId w:val="165"/>
        </w:numPr>
        <w:rPr>
          <w:rFonts w:ascii="Arial" w:cs="Arial" w:eastAsia="Arial" w:hAnsi="Arial"/>
          <w:sz w:val="11"/>
          <w:szCs w:val="11"/>
          <w:color w:val="auto"/>
        </w:rPr>
      </w:pPr>
      <w:r>
        <w:rPr>
          <w:rFonts w:ascii="Arial" w:cs="Arial" w:eastAsia="Arial" w:hAnsi="Arial"/>
          <w:sz w:val="11"/>
          <w:szCs w:val="11"/>
          <w:color w:val="auto"/>
        </w:rPr>
        <w:t xml:space="preserve">A Participant shall not be entitled to receive any greater payment under </w:t>
      </w:r>
      <w:r>
        <w:rPr>
          <w:rFonts w:ascii="Arial" w:cs="Arial" w:eastAsia="Arial" w:hAnsi="Arial"/>
          <w:sz w:val="11"/>
          <w:szCs w:val="11"/>
          <w:u w:val="single" w:color="auto"/>
          <w:color w:val="auto"/>
        </w:rPr>
        <w:t>Section 3.01</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3.04</w:t>
      </w:r>
      <w:r>
        <w:rPr>
          <w:rFonts w:ascii="Arial" w:cs="Arial" w:eastAsia="Arial" w:hAnsi="Arial"/>
          <w:sz w:val="11"/>
          <w:szCs w:val="11"/>
          <w:color w:val="auto"/>
        </w:rPr>
        <w:t xml:space="preserve"> than the applicable Lender would have been entitled to receive with respect to the participation sold to such Participant, unless the sale of the participation to such Participant is made with the Company’s prior written consent. A Participant that would be a Foreign Lender if it were a Lender shall not be entitled to the benefits of</w:t>
      </w:r>
    </w:p>
    <w:p>
      <w:pPr>
        <w:spacing w:after="0"/>
        <w:rPr>
          <w:rFonts w:ascii="Arial" w:cs="Arial" w:eastAsia="Arial" w:hAnsi="Arial"/>
          <w:sz w:val="11"/>
          <w:szCs w:val="11"/>
          <w:color w:val="auto"/>
        </w:rPr>
      </w:pPr>
      <w:r>
        <w:rPr>
          <w:rFonts w:ascii="Arial" w:cs="Arial" w:eastAsia="Arial" w:hAnsi="Arial"/>
          <w:sz w:val="12"/>
          <w:szCs w:val="12"/>
          <w:u w:val="single" w:color="auto"/>
          <w:color w:val="auto"/>
        </w:rPr>
        <w:t>Section 3.01</w:t>
      </w:r>
      <w:r>
        <w:rPr>
          <w:rFonts w:ascii="Arial" w:cs="Arial" w:eastAsia="Arial" w:hAnsi="Arial"/>
          <w:sz w:val="12"/>
          <w:szCs w:val="12"/>
          <w:color w:val="auto"/>
        </w:rPr>
        <w:t xml:space="preserve"> unless the Company is notified of the participation sold to such Participant and such Participant agrees, for the benefit of the Borrowers, to comply with </w:t>
      </w:r>
      <w:r>
        <w:rPr>
          <w:rFonts w:ascii="Arial" w:cs="Arial" w:eastAsia="Arial" w:hAnsi="Arial"/>
          <w:sz w:val="12"/>
          <w:szCs w:val="12"/>
          <w:u w:val="single" w:color="auto"/>
          <w:color w:val="auto"/>
        </w:rPr>
        <w:t>Section 11.15</w:t>
      </w:r>
      <w:r>
        <w:rPr>
          <w:rFonts w:ascii="Arial" w:cs="Arial" w:eastAsia="Arial" w:hAnsi="Arial"/>
          <w:sz w:val="12"/>
          <w:szCs w:val="12"/>
          <w:color w:val="auto"/>
        </w:rPr>
        <w:t xml:space="preserve"> as though it were a Lender.</w:t>
      </w:r>
    </w:p>
    <w:p>
      <w:pPr>
        <w:spacing w:after="0" w:line="90" w:lineRule="exact"/>
        <w:rPr>
          <w:rFonts w:ascii="Arial" w:cs="Arial" w:eastAsia="Arial" w:hAnsi="Arial"/>
          <w:sz w:val="11"/>
          <w:szCs w:val="11"/>
          <w:color w:val="auto"/>
        </w:rPr>
      </w:pPr>
    </w:p>
    <w:p>
      <w:pPr>
        <w:jc w:val="both"/>
        <w:ind w:right="80" w:firstLine="162"/>
        <w:spacing w:after="0" w:line="264" w:lineRule="auto"/>
        <w:tabs>
          <w:tab w:leader="none" w:pos="320" w:val="left"/>
        </w:tabs>
        <w:numPr>
          <w:ilvl w:val="0"/>
          <w:numId w:val="165"/>
        </w:numPr>
        <w:rPr>
          <w:rFonts w:ascii="Arial" w:cs="Arial" w:eastAsia="Arial" w:hAnsi="Arial"/>
          <w:sz w:val="13"/>
          <w:szCs w:val="13"/>
          <w:color w:val="auto"/>
        </w:rPr>
      </w:pPr>
      <w:r>
        <w:rPr>
          <w:rFonts w:ascii="Arial" w:cs="Arial" w:eastAsia="Arial" w:hAnsi="Arial"/>
          <w:sz w:val="13"/>
          <w:szCs w:val="13"/>
          <w:color w:val="auto"/>
        </w:rPr>
        <w:t xml:space="preserve">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 such pledge or assignment shall release such Lender from any of its obligations hereunder or substitute any such pledgee or assignee for such Lender as a party hereto.</w:t>
      </w:r>
    </w:p>
    <w:p>
      <w:pPr>
        <w:spacing w:after="0" w:line="57" w:lineRule="exact"/>
        <w:rPr>
          <w:rFonts w:ascii="Arial" w:cs="Arial" w:eastAsia="Arial" w:hAnsi="Arial"/>
          <w:sz w:val="13"/>
          <w:szCs w:val="13"/>
          <w:color w:val="auto"/>
        </w:rPr>
      </w:pPr>
    </w:p>
    <w:p>
      <w:pPr>
        <w:ind w:right="140" w:firstLine="162"/>
        <w:spacing w:after="0" w:line="260" w:lineRule="auto"/>
        <w:tabs>
          <w:tab w:leader="none" w:pos="347" w:val="left"/>
        </w:tabs>
        <w:numPr>
          <w:ilvl w:val="0"/>
          <w:numId w:val="165"/>
        </w:numPr>
        <w:rPr>
          <w:rFonts w:ascii="Arial" w:cs="Arial" w:eastAsia="Arial" w:hAnsi="Arial"/>
          <w:sz w:val="13"/>
          <w:szCs w:val="13"/>
          <w:color w:val="auto"/>
        </w:rPr>
      </w:pPr>
      <w:r>
        <w:rPr>
          <w:rFonts w:ascii="Arial" w:cs="Arial" w:eastAsia="Arial" w:hAnsi="Arial"/>
          <w:sz w:val="13"/>
          <w:szCs w:val="13"/>
          <w:color w:val="auto"/>
        </w:rPr>
        <w:t>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59" w:lineRule="exact"/>
        <w:rPr>
          <w:rFonts w:ascii="Arial" w:cs="Arial" w:eastAsia="Arial" w:hAnsi="Arial"/>
          <w:sz w:val="13"/>
          <w:szCs w:val="13"/>
          <w:color w:val="auto"/>
        </w:rPr>
      </w:pPr>
    </w:p>
    <w:p>
      <w:pPr>
        <w:ind w:right="40" w:firstLine="162"/>
        <w:spacing w:after="0" w:line="278" w:lineRule="auto"/>
        <w:tabs>
          <w:tab w:leader="none" w:pos="349" w:val="left"/>
        </w:tabs>
        <w:numPr>
          <w:ilvl w:val="0"/>
          <w:numId w:val="165"/>
        </w:numPr>
        <w:rPr>
          <w:rFonts w:ascii="Arial" w:cs="Arial" w:eastAsia="Arial" w:hAnsi="Arial"/>
          <w:sz w:val="12"/>
          <w:szCs w:val="12"/>
          <w:color w:val="auto"/>
        </w:rPr>
      </w:pPr>
      <w:r>
        <w:rPr>
          <w:rFonts w:ascii="Arial" w:cs="Arial" w:eastAsia="Arial" w:hAnsi="Arial"/>
          <w:sz w:val="12"/>
          <w:szCs w:val="12"/>
          <w:color w:val="auto"/>
        </w:rPr>
        <w:t xml:space="preserve">Notwithstanding anything to the contrary contained herein, if at any time Bank of America assigns all of its Commitment and Loans pursuant to subsection (b) above, Bank of America may, (i) upon thirty days’ notice to the Company and the Lenders, resign as L/C Issuer and/or (ii) upon thirty days’ notice to the Company, resign as Swing Line Lender. In the event of any such resignation as L/C Issuer or Swing Line Lender, the Company shall be entitled to appoint from among the Lenders a successor L/C Issuer or Swing Line Lender hereunder;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no failure by the Company to appoint any such successor shall affect the resignation of Bank of America as L/C Issuer or Swing Line Lender, as the case may be. If Bank of America resigns as L/C Issuer, it shall retain all the rights and obligations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Arial" w:cs="Arial" w:eastAsia="Arial" w:hAnsi="Arial"/>
          <w:sz w:val="12"/>
          <w:szCs w:val="12"/>
          <w:u w:val="single" w:color="auto"/>
          <w:color w:val="auto"/>
        </w:rPr>
        <w:t>Section 2.03(c)</w:t>
      </w:r>
      <w:r>
        <w:rPr>
          <w:rFonts w:ascii="Arial" w:cs="Arial" w:eastAsia="Arial" w:hAnsi="Arial"/>
          <w:sz w:val="12"/>
          <w:szCs w:val="12"/>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Arial" w:cs="Arial" w:eastAsia="Arial" w:hAnsi="Arial"/>
          <w:sz w:val="12"/>
          <w:szCs w:val="12"/>
          <w:u w:val="single" w:color="auto"/>
          <w:color w:val="auto"/>
        </w:rPr>
        <w:t>Section 2.04(c)</w:t>
      </w:r>
      <w:r>
        <w:rPr>
          <w:rFonts w:ascii="Arial" w:cs="Arial" w:eastAsia="Arial" w:hAnsi="Arial"/>
          <w:sz w:val="12"/>
          <w:szCs w:val="12"/>
          <w:color w:val="auto"/>
        </w:rPr>
        <w:t>. Upon the appointment of a successor L/C Issuer and/or Swing Line Lender, (1) such successor shall succeed to and become vested with all of the rights, powers, privileges and duties of the retiring L/C Issuer or Swing Line Lender, as the case may be, and (2)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273050</wp:posOffset>
            </wp:positionV>
            <wp:extent cx="7290435" cy="190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75" w:name="page176"/>
    <w:bookmarkEnd w:id="175"/>
    <w:p>
      <w:pPr>
        <w:ind w:left="1"/>
        <w:spacing w:after="0"/>
        <w:rPr>
          <w:sz w:val="20"/>
          <w:szCs w:val="20"/>
          <w:color w:val="auto"/>
        </w:rPr>
      </w:pPr>
      <w:r>
        <w:rPr>
          <w:rFonts w:ascii="Arial" w:cs="Arial" w:eastAsia="Arial" w:hAnsi="Arial"/>
          <w:sz w:val="13"/>
          <w:szCs w:val="13"/>
          <w:color w:val="auto"/>
        </w:rPr>
        <w:t xml:space="preserve">11.08 </w:t>
      </w:r>
      <w:r>
        <w:rPr>
          <w:rFonts w:ascii="Arial" w:cs="Arial" w:eastAsia="Arial" w:hAnsi="Arial"/>
          <w:sz w:val="13"/>
          <w:szCs w:val="13"/>
          <w:u w:val="single" w:color="auto"/>
          <w:color w:val="auto"/>
        </w:rPr>
        <w:t>Confidentiality</w:t>
      </w:r>
      <w:r>
        <w:rPr>
          <w:rFonts w:ascii="Arial" w:cs="Arial" w:eastAsia="Arial" w:hAnsi="Arial"/>
          <w:sz w:val="13"/>
          <w:szCs w:val="13"/>
          <w:color w:val="auto"/>
        </w:rPr>
        <w:t>.</w:t>
      </w:r>
    </w:p>
    <w:p>
      <w:pPr>
        <w:spacing w:after="0" w:line="86" w:lineRule="exact"/>
        <w:rPr>
          <w:sz w:val="20"/>
          <w:szCs w:val="20"/>
          <w:color w:val="auto"/>
        </w:rPr>
      </w:pPr>
    </w:p>
    <w:p>
      <w:pPr>
        <w:ind w:left="1" w:firstLine="164"/>
        <w:spacing w:after="0" w:line="304" w:lineRule="auto"/>
        <w:rPr>
          <w:sz w:val="20"/>
          <w:szCs w:val="20"/>
          <w:color w:val="auto"/>
        </w:rPr>
      </w:pPr>
      <w:r>
        <w:rPr>
          <w:rFonts w:ascii="Arial" w:cs="Arial" w:eastAsia="Arial" w:hAnsi="Arial"/>
          <w:sz w:val="11"/>
          <w:szCs w:val="11"/>
          <w:color w:val="auto"/>
        </w:rPr>
        <w:t xml:space="preserve">Each of the Administrative Agent, the Lenders and the L/C Issuer agrees to maintain the confidentiality of the Information (as defined below), except that Information may be disclosed (a) to its Affiliates and to its and its Affiliates’ respective partners, directors, officers, employees, agents, advisors and representatives and to any direct or indirect contractual counterparty (or such contractual counterparty’s professional advisor) under any Swap Contract relating to Loans outstanding under this Agreement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(including any self-regulatory authority, such as the National Association of Insurance Commissioners), (c) to the extent required by applicable laws or regulations or by any subpoena or similar legal process,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Administrative Agent or such Lender, as applicable, will, to the extent practical, use reasonable efforts to notify the Company prior to such disclosure,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or derivative transaction relating to a Loan Party and its obligations, (g) with the consent of the Company or (h) to the extent such Information (x) becomes publicly available other than as a result of a breach of this Section or (y) becomes available to the Administrative Agent, any Lender, the L/C Issuer or any of their respective Affiliates on a nonconfidential basis from a source other than the Loan Parties. For purposes of this Section, “</w:t>
      </w:r>
      <w:r>
        <w:rPr>
          <w:rFonts w:ascii="Arial" w:cs="Arial" w:eastAsia="Arial" w:hAnsi="Arial"/>
          <w:sz w:val="11"/>
          <w:szCs w:val="11"/>
          <w:u w:val="single" w:color="auto"/>
          <w:color w:val="auto"/>
        </w:rPr>
        <w:t>Information</w:t>
      </w:r>
      <w:r>
        <w:rPr>
          <w:rFonts w:ascii="Arial" w:cs="Arial" w:eastAsia="Arial" w:hAnsi="Arial"/>
          <w:sz w:val="11"/>
          <w:szCs w:val="11"/>
          <w:color w:val="auto"/>
        </w:rPr>
        <w:t xml:space="preserve">” means all information received from the Company or any Subsidiary relating to any of their respective businesses, other than any such information that is available to the Administrative Agent, any Lender or the L/C Issuer on a nonconfidential basis prior to disclosure by the Company or any Subsidiary;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in the case of information received from the Company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Each of the Administrative Agent, the Lenders and the L/C Issuer acknowledges that (a) the Information may include material non-public information concerning the Company or a Subsidiary, as the case may be,</w:t>
      </w:r>
    </w:p>
    <w:p>
      <w:pPr>
        <w:spacing w:after="0" w:line="27" w:lineRule="exact"/>
        <w:rPr>
          <w:sz w:val="20"/>
          <w:szCs w:val="20"/>
          <w:color w:val="auto"/>
        </w:rPr>
      </w:pPr>
    </w:p>
    <w:p>
      <w:pPr>
        <w:ind w:left="1" w:right="200" w:hanging="1"/>
        <w:spacing w:after="0" w:line="264" w:lineRule="auto"/>
        <w:tabs>
          <w:tab w:leader="none" w:pos="187" w:val="left"/>
        </w:tabs>
        <w:numPr>
          <w:ilvl w:val="0"/>
          <w:numId w:val="166"/>
        </w:numPr>
        <w:rPr>
          <w:rFonts w:ascii="Arial" w:cs="Arial" w:eastAsia="Arial" w:hAnsi="Arial"/>
          <w:sz w:val="13"/>
          <w:szCs w:val="13"/>
          <w:color w:val="auto"/>
        </w:rPr>
      </w:pPr>
      <w:r>
        <w:rPr>
          <w:rFonts w:ascii="Arial" w:cs="Arial" w:eastAsia="Arial" w:hAnsi="Arial"/>
          <w:sz w:val="13"/>
          <w:szCs w:val="13"/>
          <w:color w:val="auto"/>
        </w:rPr>
        <w:t>it has developed compliance procedures regarding the use of material non-public information and (c) it will handle such material non-public information in accordance with applicable Law, including Federal and state securities Laws.</w:t>
      </w:r>
    </w:p>
    <w:p>
      <w:pPr>
        <w:spacing w:after="0" w:line="135"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11.09 </w:t>
      </w:r>
      <w:r>
        <w:rPr>
          <w:rFonts w:ascii="Arial" w:cs="Arial" w:eastAsia="Arial" w:hAnsi="Arial"/>
          <w:sz w:val="13"/>
          <w:szCs w:val="13"/>
          <w:u w:val="single" w:color="auto"/>
          <w:color w:val="auto"/>
        </w:rPr>
        <w:t>Set-off</w:t>
      </w:r>
      <w:r>
        <w:rPr>
          <w:rFonts w:ascii="Arial" w:cs="Arial" w:eastAsia="Arial" w:hAnsi="Arial"/>
          <w:sz w:val="13"/>
          <w:szCs w:val="13"/>
          <w:color w:val="auto"/>
        </w:rPr>
        <w:t>.</w:t>
      </w:r>
    </w:p>
    <w:p>
      <w:pPr>
        <w:spacing w:after="0" w:line="86" w:lineRule="exact"/>
        <w:rPr>
          <w:sz w:val="20"/>
          <w:szCs w:val="20"/>
          <w:color w:val="auto"/>
        </w:rPr>
      </w:pPr>
    </w:p>
    <w:p>
      <w:pPr>
        <w:ind w:left="1" w:firstLine="164"/>
        <w:spacing w:after="0" w:line="258" w:lineRule="auto"/>
        <w:rPr>
          <w:sz w:val="20"/>
          <w:szCs w:val="20"/>
          <w:color w:val="auto"/>
        </w:rPr>
      </w:pPr>
      <w:r>
        <w:rPr>
          <w:rFonts w:ascii="Arial" w:cs="Arial" w:eastAsia="Arial" w:hAnsi="Arial"/>
          <w:sz w:val="13"/>
          <w:szCs w:val="13"/>
          <w:color w:val="auto"/>
        </w:rPr>
        <w:t>In addition to any rights and remedies of the Lenders provided by law, upon the occurrence and during the continuance of any Event of Default, each Lender and any Affiliate of any Lender is authorized at any time and from time to time, without prior notice to the Company or any other Loan Party, any such notice being waived by the Company (on its own behalf and on behalf of each Loan Party) to the fullest extent permitted by law, to set off and apply any and all deposits (general or special, time or demand, provisional or final) at any time held by, and other indebtedness at any time owing by, such Lender to or for the credit or the account of the respective Loan Parties against any and all Obligations owing to such Lender hereunder or under any other Loan Document, now or hereafter existing, irrespective of whether or not the Administrative Agent or such Lender shall have made demand under this Agreement 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278765</wp:posOffset>
            </wp:positionV>
            <wp:extent cx="7290435" cy="190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1" w:right="239" w:bottom="1440" w:gutter="0" w:footer="0" w:header="0"/>
        </w:sectPr>
      </w:pPr>
    </w:p>
    <w:bookmarkStart w:id="176" w:name="page177"/>
    <w:bookmarkEnd w:id="176"/>
    <w:p>
      <w:pPr>
        <w:ind w:right="20"/>
        <w:spacing w:after="0" w:line="371" w:lineRule="auto"/>
        <w:rPr>
          <w:sz w:val="20"/>
          <w:szCs w:val="20"/>
          <w:color w:val="auto"/>
        </w:rPr>
      </w:pPr>
      <w:r>
        <w:rPr>
          <w:rFonts w:ascii="Arial" w:cs="Arial" w:eastAsia="Arial" w:hAnsi="Arial"/>
          <w:sz w:val="11"/>
          <w:szCs w:val="11"/>
          <w:color w:val="auto"/>
        </w:rPr>
        <w:t xml:space="preserve">other Loan Document and although such Obligations may be contingent or unmatured or denominated in a currency different from that of the applicable deposit or indebtedness. Each Lender agrees promptly to notify the Company and the Administrative Agent after any such set-off and application made by such Lender;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the failure to give such notice shall not affect the validity of such set-off and application.</w:t>
      </w:r>
    </w:p>
    <w:p>
      <w:pPr>
        <w:spacing w:after="0" w:line="8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11.10 </w:t>
      </w:r>
      <w:r>
        <w:rPr>
          <w:rFonts w:ascii="Arial" w:cs="Arial" w:eastAsia="Arial" w:hAnsi="Arial"/>
          <w:sz w:val="13"/>
          <w:szCs w:val="13"/>
          <w:u w:val="single" w:color="auto"/>
          <w:color w:val="auto"/>
        </w:rPr>
        <w:t>Interest Rate Limitation.</w:t>
      </w:r>
    </w:p>
    <w:p>
      <w:pPr>
        <w:spacing w:after="0" w:line="86" w:lineRule="exact"/>
        <w:rPr>
          <w:sz w:val="20"/>
          <w:szCs w:val="20"/>
          <w:color w:val="auto"/>
        </w:rPr>
      </w:pPr>
    </w:p>
    <w:p>
      <w:pPr>
        <w:ind w:firstLine="164"/>
        <w:spacing w:after="0" w:line="285" w:lineRule="auto"/>
        <w:rPr>
          <w:sz w:val="20"/>
          <w:szCs w:val="20"/>
          <w:color w:val="auto"/>
        </w:rPr>
      </w:pPr>
      <w:r>
        <w:rPr>
          <w:rFonts w:ascii="Arial" w:cs="Arial" w:eastAsia="Arial" w:hAnsi="Arial"/>
          <w:sz w:val="12"/>
          <w:szCs w:val="12"/>
          <w:color w:val="auto"/>
        </w:rPr>
        <w:t>Notwithstanding anything to the contrary contained in any Loan Document, the interest paid or agreed to be paid under the Loan Documents shall not exceed the maximum rate of non-usurious interest permitted by applicable Law (the “</w:t>
      </w:r>
      <w:r>
        <w:rPr>
          <w:rFonts w:ascii="Arial" w:cs="Arial" w:eastAsia="Arial" w:hAnsi="Arial"/>
          <w:sz w:val="12"/>
          <w:szCs w:val="12"/>
          <w:u w:val="single" w:color="auto"/>
          <w:color w:val="auto"/>
        </w:rPr>
        <w:t>Maximum Rate</w:t>
      </w:r>
      <w:r>
        <w:rPr>
          <w:rFonts w:ascii="Arial" w:cs="Arial" w:eastAsia="Arial" w:hAnsi="Arial"/>
          <w:sz w:val="12"/>
          <w:szCs w:val="12"/>
          <w:color w:val="auto"/>
        </w:rPr>
        <w:t>”). If the Administrative Agent or any Lender shall receive interest in an amount that exceeds the Maximum Rate, the excess interest shall be applied to the principal of the Loans or, if it exceeds such unpaid principal, refunded to the Borrowers.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11.11 </w:t>
      </w:r>
      <w:r>
        <w:rPr>
          <w:rFonts w:ascii="Arial" w:cs="Arial" w:eastAsia="Arial" w:hAnsi="Arial"/>
          <w:sz w:val="13"/>
          <w:szCs w:val="13"/>
          <w:u w:val="single" w:color="auto"/>
          <w:color w:val="auto"/>
        </w:rPr>
        <w:t>Counterparts</w:t>
      </w:r>
      <w:r>
        <w:rPr>
          <w:rFonts w:ascii="Arial" w:cs="Arial" w:eastAsia="Arial" w:hAnsi="Arial"/>
          <w:sz w:val="13"/>
          <w:szCs w:val="13"/>
          <w:color w:val="auto"/>
        </w:rPr>
        <w: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This Agreement may be executed in one or more counterparts, each of which shall be deemed an original, but all of which together shall constitute one and the same instrument.</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11.12 </w:t>
      </w:r>
      <w:r>
        <w:rPr>
          <w:rFonts w:ascii="Arial" w:cs="Arial" w:eastAsia="Arial" w:hAnsi="Arial"/>
          <w:sz w:val="13"/>
          <w:szCs w:val="13"/>
          <w:u w:val="single" w:color="auto"/>
          <w:color w:val="auto"/>
        </w:rPr>
        <w:t>Integration</w:t>
      </w:r>
      <w:r>
        <w:rPr>
          <w:rFonts w:ascii="Arial" w:cs="Arial" w:eastAsia="Arial" w:hAnsi="Arial"/>
          <w:sz w:val="13"/>
          <w:szCs w:val="13"/>
          <w:color w:val="auto"/>
        </w:rPr>
        <w:t>.</w:t>
      </w:r>
    </w:p>
    <w:p>
      <w:pPr>
        <w:spacing w:after="0" w:line="86" w:lineRule="exact"/>
        <w:rPr>
          <w:sz w:val="20"/>
          <w:szCs w:val="20"/>
          <w:color w:val="auto"/>
        </w:rPr>
      </w:pPr>
    </w:p>
    <w:p>
      <w:pPr>
        <w:ind w:firstLine="161"/>
        <w:spacing w:after="0" w:line="289" w:lineRule="auto"/>
        <w:rPr>
          <w:sz w:val="20"/>
          <w:szCs w:val="20"/>
          <w:color w:val="auto"/>
        </w:rPr>
      </w:pPr>
      <w:r>
        <w:rPr>
          <w:rFonts w:ascii="Arial" w:cs="Arial" w:eastAsia="Arial" w:hAnsi="Arial"/>
          <w:sz w:val="12"/>
          <w:szCs w:val="12"/>
          <w:color w:val="auto"/>
        </w:rPr>
        <w:t xml:space="preserve">This Agreement, together with the other Loan Documents, comprises the complete and integrated agreement of the parties on the subject matter hereof and thereof and supersedes all prior agreements, written or oral, on such subject matter. In the event of any conflict between the provisions of this Agreement and those of any other Loan Document, the provisions of this Agreement shall control;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inclusion of supplemental rights or remedies in favor of the Administrative Agent or the Lenders in any other Loan Document shall not be deemed a conflict with this Agreement. Each Loan Document was drafted with the joint participation of the respective parties thereto and shall be construed neither against nor in favor of any party, but rather in accordance with the fair meaning thereof.</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11.13 </w:t>
      </w:r>
      <w:r>
        <w:rPr>
          <w:rFonts w:ascii="Arial" w:cs="Arial" w:eastAsia="Arial" w:hAnsi="Arial"/>
          <w:sz w:val="13"/>
          <w:szCs w:val="13"/>
          <w:u w:val="single" w:color="auto"/>
          <w:color w:val="auto"/>
        </w:rPr>
        <w:t>Survival of Representations and Warranties</w:t>
      </w:r>
      <w:r>
        <w:rPr>
          <w:rFonts w:ascii="Arial" w:cs="Arial" w:eastAsia="Arial" w:hAnsi="Arial"/>
          <w:sz w:val="13"/>
          <w:szCs w:val="13"/>
          <w:color w:val="auto"/>
        </w:rPr>
        <w:t>.</w:t>
      </w:r>
    </w:p>
    <w:p>
      <w:pPr>
        <w:spacing w:after="0" w:line="86" w:lineRule="exact"/>
        <w:rPr>
          <w:sz w:val="20"/>
          <w:szCs w:val="20"/>
          <w:color w:val="auto"/>
        </w:rPr>
      </w:pPr>
    </w:p>
    <w:p>
      <w:pPr>
        <w:ind w:right="40" w:firstLine="157"/>
        <w:spacing w:after="0" w:line="260" w:lineRule="auto"/>
        <w:rPr>
          <w:sz w:val="20"/>
          <w:szCs w:val="20"/>
          <w:color w:val="auto"/>
        </w:rPr>
      </w:pPr>
      <w:r>
        <w:rPr>
          <w:rFonts w:ascii="Arial" w:cs="Arial" w:eastAsia="Arial" w:hAnsi="Arial"/>
          <w:sz w:val="13"/>
          <w:szCs w:val="13"/>
          <w:color w:val="auto"/>
        </w:rPr>
        <w:t>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11.14 </w:t>
      </w:r>
      <w:r>
        <w:rPr>
          <w:rFonts w:ascii="Arial" w:cs="Arial" w:eastAsia="Arial" w:hAnsi="Arial"/>
          <w:sz w:val="13"/>
          <w:szCs w:val="13"/>
          <w:u w:val="single" w:color="auto"/>
          <w:color w:val="auto"/>
        </w:rPr>
        <w:t>Severability</w:t>
      </w:r>
      <w:r>
        <w:rPr>
          <w:rFonts w:ascii="Arial" w:cs="Arial" w:eastAsia="Arial" w:hAnsi="Arial"/>
          <w:sz w:val="13"/>
          <w:szCs w:val="13"/>
          <w:color w:val="auto"/>
        </w:rPr>
        <w:t>.</w:t>
      </w:r>
    </w:p>
    <w:p>
      <w:pPr>
        <w:spacing w:after="0" w:line="86" w:lineRule="exact"/>
        <w:rPr>
          <w:sz w:val="20"/>
          <w:szCs w:val="20"/>
          <w:color w:val="auto"/>
        </w:rPr>
      </w:pPr>
    </w:p>
    <w:p>
      <w:pPr>
        <w:ind w:right="80" w:firstLine="164"/>
        <w:spacing w:after="0" w:line="276" w:lineRule="auto"/>
        <w:rPr>
          <w:sz w:val="20"/>
          <w:szCs w:val="20"/>
          <w:color w:val="auto"/>
        </w:rPr>
      </w:pPr>
      <w:r>
        <w:rPr>
          <w:rFonts w:ascii="Arial" w:cs="Arial" w:eastAsia="Arial" w:hAnsi="Arial"/>
          <w:sz w:val="13"/>
          <w:szCs w:val="13"/>
          <w:color w:val="auto"/>
        </w:rPr>
        <w:t>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77" w:name="page178"/>
    <w:bookmarkEnd w:id="177"/>
    <w:p>
      <w:pPr>
        <w:ind w:right="580"/>
        <w:spacing w:after="0" w:line="276" w:lineRule="auto"/>
        <w:rPr>
          <w:sz w:val="20"/>
          <w:szCs w:val="20"/>
          <w:color w:val="auto"/>
        </w:rPr>
      </w:pPr>
      <w:r>
        <w:rPr>
          <w:rFonts w:ascii="Arial" w:cs="Arial" w:eastAsia="Arial" w:hAnsi="Arial"/>
          <w:sz w:val="13"/>
          <w:szCs w:val="13"/>
          <w:color w:val="auto"/>
        </w:rPr>
        <w:t>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11.15 </w:t>
      </w:r>
      <w:r>
        <w:rPr>
          <w:rFonts w:ascii="Arial" w:cs="Arial" w:eastAsia="Arial" w:hAnsi="Arial"/>
          <w:sz w:val="13"/>
          <w:szCs w:val="13"/>
          <w:u w:val="single" w:color="auto"/>
          <w:color w:val="auto"/>
        </w:rPr>
        <w:t>Tax Forms</w:t>
      </w:r>
      <w:r>
        <w:rPr>
          <w:rFonts w:ascii="Arial" w:cs="Arial" w:eastAsia="Arial" w:hAnsi="Arial"/>
          <w:sz w:val="13"/>
          <w:szCs w:val="13"/>
          <w:color w:val="auto"/>
        </w:rPr>
        <w:t>.</w:t>
      </w:r>
    </w:p>
    <w:p>
      <w:pPr>
        <w:spacing w:after="0" w:line="86" w:lineRule="exact"/>
        <w:rPr>
          <w:sz w:val="20"/>
          <w:szCs w:val="20"/>
          <w:color w:val="auto"/>
        </w:rPr>
      </w:pPr>
    </w:p>
    <w:p>
      <w:pPr>
        <w:ind w:left="220" w:firstLine="172"/>
        <w:spacing w:after="0" w:line="278" w:lineRule="auto"/>
        <w:tabs>
          <w:tab w:leader="none" w:pos="562" w:val="left"/>
        </w:tabs>
        <w:numPr>
          <w:ilvl w:val="0"/>
          <w:numId w:val="167"/>
        </w:numPr>
        <w:rPr>
          <w:rFonts w:ascii="Arial" w:cs="Arial" w:eastAsia="Arial" w:hAnsi="Arial"/>
          <w:sz w:val="12"/>
          <w:szCs w:val="12"/>
          <w:color w:val="auto"/>
        </w:rPr>
      </w:pPr>
      <w:r>
        <w:rPr>
          <w:rFonts w:ascii="Arial" w:cs="Arial" w:eastAsia="Arial" w:hAnsi="Arial"/>
          <w:sz w:val="12"/>
          <w:szCs w:val="12"/>
          <w:color w:val="auto"/>
        </w:rPr>
        <w:t>(i) Each Lender that is not a “United States person” within the meaning of Section 7701(a)(30) of the Internal Revenue Code (a “</w:t>
      </w:r>
      <w:r>
        <w:rPr>
          <w:rFonts w:ascii="Arial" w:cs="Arial" w:eastAsia="Arial" w:hAnsi="Arial"/>
          <w:sz w:val="12"/>
          <w:szCs w:val="12"/>
          <w:u w:val="single" w:color="auto"/>
          <w:color w:val="auto"/>
        </w:rPr>
        <w:t>Foreign Lender</w:t>
      </w:r>
      <w:r>
        <w:rPr>
          <w:rFonts w:ascii="Arial" w:cs="Arial" w:eastAsia="Arial" w:hAnsi="Arial"/>
          <w:sz w:val="12"/>
          <w:szCs w:val="12"/>
          <w:color w:val="auto"/>
        </w:rPr>
        <w:t>”) shall deliver to the Administrative Agent, prior to receipt of any payment subject to withholding under the Internal Revenue Code (or upon accepting an assignment of an interest herein), two duly signed completed copies of either IRS Form W-8BEN or any successor thereto (relating to such Foreign Lender and entitling it to an exemption from, or reduction of, withholding tax on all payments to be made to such Foreign Lender by the Borrowers pursuant to this Agreement) or IRS Form W-8ECI or any successor thereto (relating to all payments to be made to such Foreign Lender by the Borrowers pursuant to this Agreement) or such other evidence satisfactory to the Company and the Administrative Agent that such Foreign Lender is entitled to an exemption from, or reduction of, U.S. withholding tax, including any exemption pursuant to Section 881(c) of the Internal Revenue Code. Thereafter and from time to time, each such Foreign Lender shall (A) promptly submit to the Administrative Agent such additional duly completed and signed copies of one of such forms (or such successor forms as shall be adopted from time to time by the relevant United States taxing authorities) as may then be available under then current United States laws and regulations to avoid, or such evidence as is satisfactory to the Company and the Administrative Agent of any available exemption from or reduction of, United States withholding taxes in respect of all payments to be made to such Foreign Lender by the Borrowers pursuant to this Agreement, (B) promptly notify the Administrative Agent of any change in circumstances which would modify or render invalid any claimed exemption or reduction, and (C) take such steps as shall not be materially disadvantageous to it, in the reasonable judgment of such Lender, and as may be reasonably necessary (including the re-designation of its Lending Office) to avoid any requirement of applicable Laws that the Borrowers make any deduction or withholding for taxes from amounts payable to such Foreign Lender.</w:t>
      </w:r>
    </w:p>
    <w:p>
      <w:pPr>
        <w:spacing w:after="0" w:line="50" w:lineRule="exact"/>
        <w:rPr>
          <w:sz w:val="20"/>
          <w:szCs w:val="20"/>
          <w:color w:val="auto"/>
        </w:rPr>
      </w:pPr>
    </w:p>
    <w:p>
      <w:pPr>
        <w:ind w:left="220" w:right="20" w:firstLine="172"/>
        <w:spacing w:after="0" w:line="312" w:lineRule="auto"/>
        <w:tabs>
          <w:tab w:leader="none" w:pos="576" w:val="left"/>
        </w:tabs>
        <w:numPr>
          <w:ilvl w:val="0"/>
          <w:numId w:val="168"/>
        </w:numPr>
        <w:rPr>
          <w:rFonts w:ascii="Arial" w:cs="Arial" w:eastAsia="Arial" w:hAnsi="Arial"/>
          <w:sz w:val="11"/>
          <w:szCs w:val="11"/>
          <w:color w:val="auto"/>
        </w:rPr>
      </w:pPr>
      <w:r>
        <w:rPr>
          <w:rFonts w:ascii="Arial" w:cs="Arial" w:eastAsia="Arial" w:hAnsi="Arial"/>
          <w:sz w:val="11"/>
          <w:szCs w:val="11"/>
          <w:color w:val="auto"/>
        </w:rPr>
        <w:t>Each Foreign Lender, to the extent it does not act or ceases to act for its own account with respect to any portion of any sums paid or payable to such Lender under any of the Loan Documents (for example, in the case of a typical participation by such Lender), shall deliver to the Administrative Agent on the date when such Foreign Lender ceases to act for its own account with respect to any portion of any such sums paid or payable, and at such other times as may be necessary in the determination of the Administrative Agent (in the reasonable exercise of its discretion), (A) two duly signed completed copies of the forms or statements required to be provided by such Lender as set forth above, to establish the portion of any such sums paid or payable with respect to which such Lender acts for its own account that is not subject to U.S. withholding tax, and (B) two duly signed completed copies of IRS Form W-8IMY (or any successor thereto), together with any information such Lender chooses to transmit with such form, and any other certificate or statement of exemption required under the Internal Revenue Code, to establish that such Lender is not acting for its own account with respect to a portion of any such sums payable to such Lender.</w:t>
      </w:r>
    </w:p>
    <w:p>
      <w:pPr>
        <w:spacing w:after="0" w:line="35" w:lineRule="exact"/>
        <w:rPr>
          <w:rFonts w:ascii="Arial" w:cs="Arial" w:eastAsia="Arial" w:hAnsi="Arial"/>
          <w:sz w:val="11"/>
          <w:szCs w:val="11"/>
          <w:color w:val="auto"/>
        </w:rPr>
      </w:pPr>
    </w:p>
    <w:p>
      <w:pPr>
        <w:ind w:left="220" w:right="20" w:firstLine="172"/>
        <w:spacing w:after="0" w:line="276" w:lineRule="auto"/>
        <w:tabs>
          <w:tab w:leader="none" w:pos="613" w:val="left"/>
        </w:tabs>
        <w:numPr>
          <w:ilvl w:val="0"/>
          <w:numId w:val="168"/>
        </w:numPr>
        <w:rPr>
          <w:rFonts w:ascii="Arial" w:cs="Arial" w:eastAsia="Arial" w:hAnsi="Arial"/>
          <w:sz w:val="13"/>
          <w:szCs w:val="13"/>
          <w:color w:val="auto"/>
        </w:rPr>
      </w:pPr>
      <w:r>
        <w:rPr>
          <w:rFonts w:ascii="Arial" w:cs="Arial" w:eastAsia="Arial" w:hAnsi="Arial"/>
          <w:sz w:val="13"/>
          <w:szCs w:val="13"/>
          <w:color w:val="auto"/>
        </w:rPr>
        <w:t xml:space="preserve">The Borrowers shall not be required to pay any additional amount to any Foreign Lender under </w:t>
      </w:r>
      <w:r>
        <w:rPr>
          <w:rFonts w:ascii="Arial" w:cs="Arial" w:eastAsia="Arial" w:hAnsi="Arial"/>
          <w:sz w:val="13"/>
          <w:szCs w:val="13"/>
          <w:u w:val="single" w:color="auto"/>
          <w:color w:val="auto"/>
        </w:rPr>
        <w:t>Section 3.01</w:t>
      </w:r>
      <w:r>
        <w:rPr>
          <w:rFonts w:ascii="Arial" w:cs="Arial" w:eastAsia="Arial" w:hAnsi="Arial"/>
          <w:sz w:val="13"/>
          <w:szCs w:val="13"/>
          <w:color w:val="auto"/>
        </w:rPr>
        <w:t xml:space="preserve"> (A) with respect to any Taxes required to be deducted or withheld on the basis of the information, certificates or statements of exemption such Lender transmits with an IRS Form W-8IMY pursuant to this </w:t>
      </w:r>
      <w:r>
        <w:rPr>
          <w:rFonts w:ascii="Arial" w:cs="Arial" w:eastAsia="Arial" w:hAnsi="Arial"/>
          <w:sz w:val="13"/>
          <w:szCs w:val="13"/>
          <w:u w:val="single" w:color="auto"/>
          <w:color w:val="auto"/>
        </w:rPr>
        <w:t>Section 11.15(a)</w:t>
      </w:r>
      <w:r>
        <w:rPr>
          <w:rFonts w:ascii="Arial" w:cs="Arial" w:eastAsia="Arial" w:hAnsi="Arial"/>
          <w:sz w:val="13"/>
          <w:szCs w:val="13"/>
          <w:color w:val="auto"/>
        </w:rPr>
        <w:t xml:space="preserve"> or (B) if such Lender shall have failed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78" w:name="page179"/>
    <w:bookmarkEnd w:id="178"/>
    <w:p>
      <w:pPr>
        <w:ind w:left="220"/>
        <w:spacing w:after="0" w:line="255" w:lineRule="auto"/>
        <w:rPr>
          <w:sz w:val="20"/>
          <w:szCs w:val="20"/>
          <w:color w:val="auto"/>
        </w:rPr>
      </w:pPr>
      <w:r>
        <w:rPr>
          <w:rFonts w:ascii="Arial" w:cs="Arial" w:eastAsia="Arial" w:hAnsi="Arial"/>
          <w:sz w:val="13"/>
          <w:szCs w:val="13"/>
          <w:color w:val="auto"/>
        </w:rPr>
        <w:t xml:space="preserve">satisfy the foregoing provisions of this </w:t>
      </w:r>
      <w:r>
        <w:rPr>
          <w:rFonts w:ascii="Arial" w:cs="Arial" w:eastAsia="Arial" w:hAnsi="Arial"/>
          <w:sz w:val="13"/>
          <w:szCs w:val="13"/>
          <w:u w:val="single" w:color="auto"/>
          <w:color w:val="auto"/>
        </w:rPr>
        <w:t>Section 11.15(a)</w:t>
      </w:r>
      <w:r>
        <w:rPr>
          <w:rFonts w:ascii="Arial" w:cs="Arial" w:eastAsia="Arial" w:hAnsi="Arial"/>
          <w:sz w:val="13"/>
          <w:szCs w:val="13"/>
          <w:color w:val="auto"/>
        </w:rPr>
        <w:t xml:space="preserv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such Lender shall have satisfied the requirement of this </w:t>
      </w:r>
      <w:r>
        <w:rPr>
          <w:rFonts w:ascii="Arial" w:cs="Arial" w:eastAsia="Arial" w:hAnsi="Arial"/>
          <w:sz w:val="13"/>
          <w:szCs w:val="13"/>
          <w:u w:val="single" w:color="auto"/>
          <w:color w:val="auto"/>
        </w:rPr>
        <w:t>Section 11.15(a)</w:t>
      </w:r>
      <w:r>
        <w:rPr>
          <w:rFonts w:ascii="Arial" w:cs="Arial" w:eastAsia="Arial" w:hAnsi="Arial"/>
          <w:sz w:val="13"/>
          <w:szCs w:val="13"/>
          <w:color w:val="auto"/>
        </w:rPr>
        <w:t xml:space="preserve"> on the date such Lender became a Lender or ceased to act for its own account with respect to any payment under any of the Loan Documents, nothing in this </w:t>
      </w:r>
      <w:r>
        <w:rPr>
          <w:rFonts w:ascii="Arial" w:cs="Arial" w:eastAsia="Arial" w:hAnsi="Arial"/>
          <w:sz w:val="13"/>
          <w:szCs w:val="13"/>
          <w:u w:val="single" w:color="auto"/>
          <w:color w:val="auto"/>
        </w:rPr>
        <w:t>Section 11.15(a)</w:t>
      </w:r>
      <w:r>
        <w:rPr>
          <w:rFonts w:ascii="Arial" w:cs="Arial" w:eastAsia="Arial" w:hAnsi="Arial"/>
          <w:sz w:val="13"/>
          <w:szCs w:val="13"/>
          <w:color w:val="auto"/>
        </w:rPr>
        <w:t xml:space="preserve"> shall relieve any Borrower of its obligation to pay any amounts pursuant to </w:t>
      </w:r>
      <w:r>
        <w:rPr>
          <w:rFonts w:ascii="Arial" w:cs="Arial" w:eastAsia="Arial" w:hAnsi="Arial"/>
          <w:sz w:val="13"/>
          <w:szCs w:val="13"/>
          <w:u w:val="single" w:color="auto"/>
          <w:color w:val="auto"/>
        </w:rPr>
        <w:t>Section 3.01</w:t>
      </w:r>
      <w:r>
        <w:rPr>
          <w:rFonts w:ascii="Arial" w:cs="Arial" w:eastAsia="Arial" w:hAnsi="Arial"/>
          <w:sz w:val="13"/>
          <w:szCs w:val="13"/>
          <w:color w:val="auto"/>
        </w:rPr>
        <w:t xml:space="preserve"> in the event that, as a result of any change in any applicable law, treaty or governmental rule, regulation or order, or any change in the interpretation, administration or application thereof, such Lender is no longer properly entitled to deliver forms, certificates or other evidence at a subsequent date establishing the fact that such Lender or other Person for the account of which such Lender receives any sums payable under any of the Loan Documents is not subject to withholding or is subject to withholding at a reduced rate; and </w:t>
      </w:r>
      <w:r>
        <w:rPr>
          <w:rFonts w:ascii="Arial" w:cs="Arial" w:eastAsia="Arial" w:hAnsi="Arial"/>
          <w:sz w:val="13"/>
          <w:szCs w:val="13"/>
          <w:u w:val="single" w:color="auto"/>
          <w:color w:val="auto"/>
        </w:rPr>
        <w:t>provided further</w:t>
      </w:r>
      <w:r>
        <w:rPr>
          <w:rFonts w:ascii="Arial" w:cs="Arial" w:eastAsia="Arial" w:hAnsi="Arial"/>
          <w:sz w:val="13"/>
          <w:szCs w:val="13"/>
          <w:color w:val="auto"/>
        </w:rPr>
        <w:t xml:space="preserve"> that if the L/C Issuer shall issue, amend or extend any Letter of Credit from a branch or other office in any jurisdiction at the request of (or with the consent of ) a Borrower and the L/C Issuer shall not be lawfully able or entitled to satisfy the requirements of this </w:t>
      </w:r>
      <w:r>
        <w:rPr>
          <w:rFonts w:ascii="Arial" w:cs="Arial" w:eastAsia="Arial" w:hAnsi="Arial"/>
          <w:sz w:val="13"/>
          <w:szCs w:val="13"/>
          <w:u w:val="single" w:color="auto"/>
          <w:color w:val="auto"/>
        </w:rPr>
        <w:t>Section 11.15(a)</w:t>
      </w:r>
      <w:r>
        <w:rPr>
          <w:rFonts w:ascii="Arial" w:cs="Arial" w:eastAsia="Arial" w:hAnsi="Arial"/>
          <w:sz w:val="13"/>
          <w:szCs w:val="13"/>
          <w:color w:val="auto"/>
        </w:rPr>
        <w:t xml:space="preserve"> at the time of issuance, amendment or extension of any Letter of Credit by reason of the selection of such branch or office in such jurisdiction, nothing in this </w:t>
      </w:r>
      <w:r>
        <w:rPr>
          <w:rFonts w:ascii="Arial" w:cs="Arial" w:eastAsia="Arial" w:hAnsi="Arial"/>
          <w:sz w:val="13"/>
          <w:szCs w:val="13"/>
          <w:u w:val="single" w:color="auto"/>
          <w:color w:val="auto"/>
        </w:rPr>
        <w:t>Section 11.15(a)</w:t>
      </w:r>
      <w:r>
        <w:rPr>
          <w:rFonts w:ascii="Arial" w:cs="Arial" w:eastAsia="Arial" w:hAnsi="Arial"/>
          <w:sz w:val="13"/>
          <w:szCs w:val="13"/>
          <w:color w:val="auto"/>
        </w:rPr>
        <w:t xml:space="preserve"> shall relieve such Borrower of its obligation to pay any amounts pursuant to </w:t>
      </w:r>
      <w:r>
        <w:rPr>
          <w:rFonts w:ascii="Arial" w:cs="Arial" w:eastAsia="Arial" w:hAnsi="Arial"/>
          <w:sz w:val="13"/>
          <w:szCs w:val="13"/>
          <w:u w:val="single" w:color="auto"/>
          <w:color w:val="auto"/>
        </w:rPr>
        <w:t>Section 3.01</w:t>
      </w:r>
      <w:r>
        <w:rPr>
          <w:rFonts w:ascii="Arial" w:cs="Arial" w:eastAsia="Arial" w:hAnsi="Arial"/>
          <w:sz w:val="13"/>
          <w:szCs w:val="13"/>
          <w:color w:val="auto"/>
        </w:rPr>
        <w:t xml:space="preserve"> owing to the L/C Issuer.</w:t>
      </w:r>
    </w:p>
    <w:p>
      <w:pPr>
        <w:spacing w:after="0" w:line="66" w:lineRule="exact"/>
        <w:rPr>
          <w:sz w:val="20"/>
          <w:szCs w:val="20"/>
          <w:color w:val="auto"/>
        </w:rPr>
      </w:pPr>
    </w:p>
    <w:p>
      <w:pPr>
        <w:ind w:left="220" w:right="20" w:firstLine="172"/>
        <w:spacing w:after="0" w:line="276" w:lineRule="auto"/>
        <w:tabs>
          <w:tab w:leader="none" w:pos="606" w:val="left"/>
        </w:tabs>
        <w:numPr>
          <w:ilvl w:val="0"/>
          <w:numId w:val="169"/>
        </w:numPr>
        <w:rPr>
          <w:rFonts w:ascii="Arial" w:cs="Arial" w:eastAsia="Arial" w:hAnsi="Arial"/>
          <w:sz w:val="13"/>
          <w:szCs w:val="13"/>
          <w:color w:val="auto"/>
        </w:rPr>
      </w:pPr>
      <w:r>
        <w:rPr>
          <w:rFonts w:ascii="Arial" w:cs="Arial" w:eastAsia="Arial" w:hAnsi="Arial"/>
          <w:sz w:val="13"/>
          <w:szCs w:val="13"/>
          <w:color w:val="auto"/>
        </w:rPr>
        <w:t xml:space="preserve">The Administrative Agent may, without reduction, withhold any Taxes required to be deducted and withheld from any payment under any of the Loan Documents with respect to which the Borrowers are not required to pay additional amounts under this </w:t>
      </w:r>
      <w:r>
        <w:rPr>
          <w:rFonts w:ascii="Arial" w:cs="Arial" w:eastAsia="Arial" w:hAnsi="Arial"/>
          <w:sz w:val="13"/>
          <w:szCs w:val="13"/>
          <w:u w:val="single" w:color="auto"/>
          <w:color w:val="auto"/>
        </w:rPr>
        <w:t>Section 11.15(a)</w:t>
      </w:r>
      <w:r>
        <w:rPr>
          <w:rFonts w:ascii="Arial" w:cs="Arial" w:eastAsia="Arial" w:hAnsi="Arial"/>
          <w:sz w:val="13"/>
          <w:szCs w:val="13"/>
          <w:color w:val="auto"/>
        </w:rPr>
        <w:t>.</w:t>
      </w:r>
    </w:p>
    <w:p>
      <w:pPr>
        <w:spacing w:after="0" w:line="49" w:lineRule="exact"/>
        <w:rPr>
          <w:sz w:val="20"/>
          <w:szCs w:val="20"/>
          <w:color w:val="auto"/>
        </w:rPr>
      </w:pPr>
    </w:p>
    <w:p>
      <w:pPr>
        <w:ind w:left="220" w:right="80" w:firstLine="172"/>
        <w:spacing w:after="0" w:line="264" w:lineRule="auto"/>
        <w:tabs>
          <w:tab w:leader="none" w:pos="569" w:val="left"/>
        </w:tabs>
        <w:numPr>
          <w:ilvl w:val="0"/>
          <w:numId w:val="170"/>
        </w:numPr>
        <w:rPr>
          <w:rFonts w:ascii="Arial" w:cs="Arial" w:eastAsia="Arial" w:hAnsi="Arial"/>
          <w:sz w:val="13"/>
          <w:szCs w:val="13"/>
          <w:color w:val="auto"/>
        </w:rPr>
      </w:pPr>
      <w:r>
        <w:rPr>
          <w:rFonts w:ascii="Arial" w:cs="Arial" w:eastAsia="Arial" w:hAnsi="Arial"/>
          <w:sz w:val="13"/>
          <w:szCs w:val="13"/>
          <w:color w:val="auto"/>
        </w:rPr>
        <w:t>Upon the request of the Administrative Agent, each Lender that is a “United States person” within the meaning of Section 7701(a)(30) of the Internal Revenue Code shall deliver to the Administrative Agent two duly signed completed copies of IRS Form W-9. If such Lender fails to deliver such forms, then the Administrative Agent may withhold from any interest payment to such Lender an amount equivalent to the applicable back-up withholding tax imposed by the Internal Revenue Code, without reduction.</w:t>
      </w:r>
    </w:p>
    <w:p>
      <w:pPr>
        <w:spacing w:after="0" w:line="57" w:lineRule="exact"/>
        <w:rPr>
          <w:rFonts w:ascii="Arial" w:cs="Arial" w:eastAsia="Arial" w:hAnsi="Arial"/>
          <w:sz w:val="13"/>
          <w:szCs w:val="13"/>
          <w:color w:val="auto"/>
        </w:rPr>
      </w:pPr>
    </w:p>
    <w:p>
      <w:pPr>
        <w:ind w:left="220" w:firstLine="172"/>
        <w:spacing w:after="0" w:line="260" w:lineRule="auto"/>
        <w:tabs>
          <w:tab w:leader="none" w:pos="562" w:val="left"/>
        </w:tabs>
        <w:numPr>
          <w:ilvl w:val="0"/>
          <w:numId w:val="170"/>
        </w:numPr>
        <w:rPr>
          <w:rFonts w:ascii="Arial" w:cs="Arial" w:eastAsia="Arial" w:hAnsi="Arial"/>
          <w:sz w:val="13"/>
          <w:szCs w:val="13"/>
          <w:color w:val="auto"/>
        </w:rPr>
      </w:pPr>
      <w:r>
        <w:rPr>
          <w:rFonts w:ascii="Arial" w:cs="Arial" w:eastAsia="Arial" w:hAnsi="Arial"/>
          <w:sz w:val="13"/>
          <w:szCs w:val="13"/>
          <w:color w:val="auto"/>
        </w:rPr>
        <w:t>If any Governmental Authority asserts that the Administrative Agent did not properly withhold or backup withhold, as the case may be, any tax or other amount from payments made to or for the account of any Lender, such Lender shall indemnify the Administrative Agent therefor, including all penalties and interest, any taxes imposed by any jurisdiction on the amounts payable to the Administrative Agent under this Section, and costs and expenses (including Attorney Costs) of the Administrative Agent. The obligation of the Lenders under this Section shall survive the termination of the Aggregate Revolving Commitments and the repayment of all other Obligations hereunder and the resignation of the Administrative Agent.</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11.16 </w:t>
      </w:r>
      <w:r>
        <w:rPr>
          <w:rFonts w:ascii="Arial" w:cs="Arial" w:eastAsia="Arial" w:hAnsi="Arial"/>
          <w:sz w:val="13"/>
          <w:szCs w:val="13"/>
          <w:u w:val="single" w:color="auto"/>
          <w:color w:val="auto"/>
        </w:rPr>
        <w:t>Replacement of Lenders</w:t>
      </w:r>
      <w:r>
        <w:rPr>
          <w:rFonts w:ascii="Arial" w:cs="Arial" w:eastAsia="Arial" w:hAnsi="Arial"/>
          <w:sz w:val="13"/>
          <w:szCs w:val="13"/>
          <w:color w:val="auto"/>
        </w:rPr>
        <w:t>.</w:t>
      </w:r>
    </w:p>
    <w:p>
      <w:pPr>
        <w:spacing w:after="0" w:line="86" w:lineRule="exact"/>
        <w:rPr>
          <w:sz w:val="20"/>
          <w:szCs w:val="20"/>
          <w:color w:val="auto"/>
        </w:rPr>
      </w:pPr>
    </w:p>
    <w:p>
      <w:pPr>
        <w:ind w:right="80" w:firstLine="164"/>
        <w:spacing w:after="0" w:line="257" w:lineRule="auto"/>
        <w:rPr>
          <w:sz w:val="20"/>
          <w:szCs w:val="20"/>
          <w:color w:val="auto"/>
        </w:rPr>
      </w:pPr>
      <w:r>
        <w:rPr>
          <w:rFonts w:ascii="Arial" w:cs="Arial" w:eastAsia="Arial" w:hAnsi="Arial"/>
          <w:sz w:val="13"/>
          <w:szCs w:val="13"/>
          <w:color w:val="auto"/>
        </w:rPr>
        <w:t xml:space="preserve">If (a) any Lender requests compensation under </w:t>
      </w:r>
      <w:r>
        <w:rPr>
          <w:rFonts w:ascii="Arial" w:cs="Arial" w:eastAsia="Arial" w:hAnsi="Arial"/>
          <w:sz w:val="13"/>
          <w:szCs w:val="13"/>
          <w:u w:val="single" w:color="auto"/>
          <w:color w:val="auto"/>
        </w:rPr>
        <w:t>Section 3.04</w:t>
      </w:r>
      <w:r>
        <w:rPr>
          <w:rFonts w:ascii="Arial" w:cs="Arial" w:eastAsia="Arial" w:hAnsi="Arial"/>
          <w:sz w:val="13"/>
          <w:szCs w:val="13"/>
          <w:color w:val="auto"/>
        </w:rPr>
        <w:t xml:space="preserve">, (b) any Borrower is required to pay any additional amount to any Lender or any Governmental Authority for the account of any Lender pursuant to </w:t>
      </w:r>
      <w:r>
        <w:rPr>
          <w:rFonts w:ascii="Arial" w:cs="Arial" w:eastAsia="Arial" w:hAnsi="Arial"/>
          <w:sz w:val="13"/>
          <w:szCs w:val="13"/>
          <w:u w:val="single" w:color="auto"/>
          <w:color w:val="auto"/>
        </w:rPr>
        <w:t>Section 3.01</w:t>
      </w:r>
      <w:r>
        <w:rPr>
          <w:rFonts w:ascii="Arial" w:cs="Arial" w:eastAsia="Arial" w:hAnsi="Arial"/>
          <w:sz w:val="13"/>
          <w:szCs w:val="13"/>
          <w:color w:val="auto"/>
        </w:rPr>
        <w:t>, (c) a Lender (a “</w:t>
      </w:r>
      <w:r>
        <w:rPr>
          <w:rFonts w:ascii="Arial" w:cs="Arial" w:eastAsia="Arial" w:hAnsi="Arial"/>
          <w:sz w:val="13"/>
          <w:szCs w:val="13"/>
          <w:u w:val="single" w:color="auto"/>
          <w:color w:val="auto"/>
        </w:rPr>
        <w:t>Non-Consenting Lender</w:t>
      </w:r>
      <w:r>
        <w:rPr>
          <w:rFonts w:ascii="Arial" w:cs="Arial" w:eastAsia="Arial" w:hAnsi="Arial"/>
          <w:sz w:val="13"/>
          <w:szCs w:val="13"/>
          <w:color w:val="auto"/>
        </w:rPr>
        <w:t xml:space="preserve">”) does not consent to a proposed change, waiver, discharge or termination with respect to any Loan Document that has been approved by the Required Lenders as provided in </w:t>
      </w:r>
      <w:r>
        <w:rPr>
          <w:rFonts w:ascii="Arial" w:cs="Arial" w:eastAsia="Arial" w:hAnsi="Arial"/>
          <w:sz w:val="13"/>
          <w:szCs w:val="13"/>
          <w:u w:val="single" w:color="auto"/>
          <w:color w:val="auto"/>
        </w:rPr>
        <w:t>Section 11.01</w:t>
      </w:r>
      <w:r>
        <w:rPr>
          <w:rFonts w:ascii="Arial" w:cs="Arial" w:eastAsia="Arial" w:hAnsi="Arial"/>
          <w:sz w:val="13"/>
          <w:szCs w:val="13"/>
          <w:color w:val="auto"/>
        </w:rPr>
        <w:t xml:space="preserve"> but requires unanimous consent of all Lenders or all Lenders directly affected thereby (as applicable) and, or (d) any Lender is a Defaulting Lender, then the Company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3"/>
          <w:szCs w:val="13"/>
          <w:u w:val="single" w:color="auto"/>
          <w:color w:val="auto"/>
        </w:rPr>
        <w:t>Section 11.07</w:t>
      </w:r>
      <w:r>
        <w:rPr>
          <w:rFonts w:ascii="Arial" w:cs="Arial" w:eastAsia="Arial" w:hAnsi="Arial"/>
          <w:sz w:val="13"/>
          <w:szCs w:val="13"/>
          <w:color w:val="auto"/>
        </w:rPr>
        <w:t xml:space="preserve">), all of its interests, rights and obligations under this Agreement and the related Loan Documents to an assignee that shall assume such obligations (which assignee may be another Lender, if a Lender accepts such assignment),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278765</wp:posOffset>
            </wp:positionV>
            <wp:extent cx="7290435" cy="190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79" w:name="page180"/>
    <w:bookmarkEnd w:id="179"/>
    <w:p>
      <w:pPr>
        <w:ind w:left="540" w:hanging="148"/>
        <w:spacing w:after="0"/>
        <w:tabs>
          <w:tab w:leader="none" w:pos="540" w:val="left"/>
        </w:tabs>
        <w:numPr>
          <w:ilvl w:val="0"/>
          <w:numId w:val="171"/>
        </w:numPr>
        <w:rPr>
          <w:rFonts w:ascii="Arial" w:cs="Arial" w:eastAsia="Arial" w:hAnsi="Arial"/>
          <w:sz w:val="13"/>
          <w:szCs w:val="13"/>
          <w:color w:val="auto"/>
        </w:rPr>
      </w:pPr>
      <w:r>
        <w:rPr>
          <w:rFonts w:ascii="Arial" w:cs="Arial" w:eastAsia="Arial" w:hAnsi="Arial"/>
          <w:sz w:val="13"/>
          <w:szCs w:val="13"/>
          <w:color w:val="auto"/>
        </w:rPr>
        <w:t xml:space="preserve">the Company shall have paid to the Administrative Agent the assignment fee specified in </w:t>
      </w:r>
      <w:r>
        <w:rPr>
          <w:rFonts w:ascii="Arial" w:cs="Arial" w:eastAsia="Arial" w:hAnsi="Arial"/>
          <w:sz w:val="13"/>
          <w:szCs w:val="13"/>
          <w:u w:val="single" w:color="auto"/>
          <w:color w:val="auto"/>
        </w:rPr>
        <w:t>Section 11.07(b)</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220" w:right="100" w:firstLine="172"/>
        <w:spacing w:after="0" w:line="264" w:lineRule="auto"/>
        <w:tabs>
          <w:tab w:leader="none" w:pos="576" w:val="left"/>
        </w:tabs>
        <w:numPr>
          <w:ilvl w:val="0"/>
          <w:numId w:val="171"/>
        </w:numPr>
        <w:rPr>
          <w:rFonts w:ascii="Arial" w:cs="Arial" w:eastAsia="Arial" w:hAnsi="Arial"/>
          <w:sz w:val="13"/>
          <w:szCs w:val="13"/>
          <w:color w:val="auto"/>
        </w:rPr>
      </w:pPr>
      <w:r>
        <w:rPr>
          <w:rFonts w:ascii="Arial" w:cs="Arial" w:eastAsia="Arial" w:hAnsi="Arial"/>
          <w:sz w:val="13"/>
          <w:szCs w:val="13"/>
          <w:color w:val="auto"/>
        </w:rPr>
        <w:t xml:space="preserve">such Lender shall have received payment of an amount equal to the outstanding principal of its Loans and L/C Advances, accrued interest thereon, accrued fees and all other amounts payable to it hereunder and under the other Loan Documents (including any amounts under </w:t>
      </w:r>
      <w:r>
        <w:rPr>
          <w:rFonts w:ascii="Arial" w:cs="Arial" w:eastAsia="Arial" w:hAnsi="Arial"/>
          <w:sz w:val="13"/>
          <w:szCs w:val="13"/>
          <w:u w:val="single" w:color="auto"/>
          <w:color w:val="auto"/>
        </w:rPr>
        <w:t>Section 3.05</w:t>
      </w:r>
      <w:r>
        <w:rPr>
          <w:rFonts w:ascii="Arial" w:cs="Arial" w:eastAsia="Arial" w:hAnsi="Arial"/>
          <w:sz w:val="13"/>
          <w:szCs w:val="13"/>
          <w:color w:val="auto"/>
        </w:rPr>
        <w:t>) from the assignee (to the extent of such outstanding principal and accrued interest and fees) or the applicable Borrower(s) (in the case of all other amounts);</w:t>
      </w:r>
    </w:p>
    <w:p>
      <w:pPr>
        <w:spacing w:after="0" w:line="57" w:lineRule="exact"/>
        <w:rPr>
          <w:rFonts w:ascii="Arial" w:cs="Arial" w:eastAsia="Arial" w:hAnsi="Arial"/>
          <w:sz w:val="13"/>
          <w:szCs w:val="13"/>
          <w:color w:val="auto"/>
        </w:rPr>
      </w:pPr>
    </w:p>
    <w:p>
      <w:pPr>
        <w:ind w:left="220" w:right="160" w:firstLine="172"/>
        <w:spacing w:after="0" w:line="276" w:lineRule="auto"/>
        <w:tabs>
          <w:tab w:leader="none" w:pos="613" w:val="left"/>
        </w:tabs>
        <w:numPr>
          <w:ilvl w:val="0"/>
          <w:numId w:val="171"/>
        </w:numPr>
        <w:rPr>
          <w:rFonts w:ascii="Arial" w:cs="Arial" w:eastAsia="Arial" w:hAnsi="Arial"/>
          <w:sz w:val="13"/>
          <w:szCs w:val="13"/>
          <w:color w:val="auto"/>
        </w:rPr>
      </w:pPr>
      <w:r>
        <w:rPr>
          <w:rFonts w:ascii="Arial" w:cs="Arial" w:eastAsia="Arial" w:hAnsi="Arial"/>
          <w:sz w:val="13"/>
          <w:szCs w:val="13"/>
          <w:color w:val="auto"/>
        </w:rPr>
        <w:t xml:space="preserve">in the case of any such assignment resulting from a claim for compensation under </w:t>
      </w:r>
      <w:r>
        <w:rPr>
          <w:rFonts w:ascii="Arial" w:cs="Arial" w:eastAsia="Arial" w:hAnsi="Arial"/>
          <w:sz w:val="13"/>
          <w:szCs w:val="13"/>
          <w:u w:val="single" w:color="auto"/>
          <w:color w:val="auto"/>
        </w:rPr>
        <w:t>Section 3.04</w:t>
      </w:r>
      <w:r>
        <w:rPr>
          <w:rFonts w:ascii="Arial" w:cs="Arial" w:eastAsia="Arial" w:hAnsi="Arial"/>
          <w:sz w:val="13"/>
          <w:szCs w:val="13"/>
          <w:color w:val="auto"/>
        </w:rPr>
        <w:t xml:space="preserve"> or payments required to be made pursuant to </w:t>
      </w:r>
      <w:r>
        <w:rPr>
          <w:rFonts w:ascii="Arial" w:cs="Arial" w:eastAsia="Arial" w:hAnsi="Arial"/>
          <w:sz w:val="13"/>
          <w:szCs w:val="13"/>
          <w:u w:val="single" w:color="auto"/>
          <w:color w:val="auto"/>
        </w:rPr>
        <w:t>Section 3.01</w:t>
      </w:r>
      <w:r>
        <w:rPr>
          <w:rFonts w:ascii="Arial" w:cs="Arial" w:eastAsia="Arial" w:hAnsi="Arial"/>
          <w:sz w:val="13"/>
          <w:szCs w:val="13"/>
          <w:color w:val="auto"/>
        </w:rPr>
        <w:t>, such assignment will result in a reduction in such compensation or payments thereafter;</w:t>
      </w:r>
    </w:p>
    <w:p>
      <w:pPr>
        <w:spacing w:after="0" w:line="49" w:lineRule="exact"/>
        <w:rPr>
          <w:rFonts w:ascii="Arial" w:cs="Arial" w:eastAsia="Arial" w:hAnsi="Arial"/>
          <w:sz w:val="13"/>
          <w:szCs w:val="13"/>
          <w:color w:val="auto"/>
        </w:rPr>
      </w:pPr>
    </w:p>
    <w:p>
      <w:pPr>
        <w:ind w:left="620" w:hanging="228"/>
        <w:spacing w:after="0"/>
        <w:tabs>
          <w:tab w:leader="none" w:pos="620" w:val="left"/>
        </w:tabs>
        <w:numPr>
          <w:ilvl w:val="0"/>
          <w:numId w:val="171"/>
        </w:numPr>
        <w:rPr>
          <w:rFonts w:ascii="Arial" w:cs="Arial" w:eastAsia="Arial" w:hAnsi="Arial"/>
          <w:sz w:val="13"/>
          <w:szCs w:val="13"/>
          <w:color w:val="auto"/>
        </w:rPr>
      </w:pPr>
      <w:r>
        <w:rPr>
          <w:rFonts w:ascii="Arial" w:cs="Arial" w:eastAsia="Arial" w:hAnsi="Arial"/>
          <w:sz w:val="13"/>
          <w:szCs w:val="13"/>
          <w:color w:val="auto"/>
        </w:rPr>
        <w:t>such assignment does not conflict with applicable Laws; and</w:t>
      </w:r>
    </w:p>
    <w:p>
      <w:pPr>
        <w:spacing w:after="0" w:line="86" w:lineRule="exact"/>
        <w:rPr>
          <w:rFonts w:ascii="Arial" w:cs="Arial" w:eastAsia="Arial" w:hAnsi="Arial"/>
          <w:sz w:val="13"/>
          <w:szCs w:val="13"/>
          <w:color w:val="auto"/>
        </w:rPr>
      </w:pPr>
    </w:p>
    <w:p>
      <w:pPr>
        <w:ind w:left="220" w:firstLine="172"/>
        <w:spacing w:after="0" w:line="289" w:lineRule="auto"/>
        <w:tabs>
          <w:tab w:leader="none" w:pos="569" w:val="left"/>
        </w:tabs>
        <w:numPr>
          <w:ilvl w:val="0"/>
          <w:numId w:val="171"/>
        </w:numPr>
        <w:rPr>
          <w:rFonts w:ascii="Arial" w:cs="Arial" w:eastAsia="Arial" w:hAnsi="Arial"/>
          <w:sz w:val="12"/>
          <w:szCs w:val="12"/>
          <w:color w:val="auto"/>
        </w:rPr>
      </w:pPr>
      <w:r>
        <w:rPr>
          <w:rFonts w:ascii="Arial" w:cs="Arial" w:eastAsia="Arial" w:hAnsi="Arial"/>
          <w:sz w:val="12"/>
          <w:szCs w:val="12"/>
          <w:color w:val="auto"/>
        </w:rPr>
        <w:t xml:space="preserve">in the case of any such assignment resulting from a Non-Consenting Lender’s failure to consent to a proposed change, waiver, discharge or termination with respect to any Loan Document, the applicable replacement bank, financial institution or Fund consents to the proposed change, waiver, discharge or termination;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failure by such Non-Consenting Lender to execute and deliver an Assignment and Assumption shall not impair the validity of the removal of such Non-Consenting Lender and the mandatory assignment of such Non-Consenting Lender’s Commitments and outstanding Loans and participations in L/C Obligations and Swing Line Loans pursuant to this </w:t>
      </w:r>
      <w:r>
        <w:rPr>
          <w:rFonts w:ascii="Arial" w:cs="Arial" w:eastAsia="Arial" w:hAnsi="Arial"/>
          <w:sz w:val="12"/>
          <w:szCs w:val="12"/>
          <w:u w:val="single" w:color="auto"/>
          <w:color w:val="auto"/>
        </w:rPr>
        <w:t>Section 11.16</w:t>
      </w:r>
      <w:r>
        <w:rPr>
          <w:rFonts w:ascii="Arial" w:cs="Arial" w:eastAsia="Arial" w:hAnsi="Arial"/>
          <w:sz w:val="12"/>
          <w:szCs w:val="12"/>
          <w:color w:val="auto"/>
        </w:rPr>
        <w:t xml:space="preserve"> shall nevertheless be effective without the execution by such Non-Consenting Lender of an Assignment and Assumption.</w:t>
      </w:r>
    </w:p>
    <w:p>
      <w:pPr>
        <w:spacing w:after="0" w:line="43" w:lineRule="exact"/>
        <w:rPr>
          <w:sz w:val="20"/>
          <w:szCs w:val="20"/>
          <w:color w:val="auto"/>
        </w:rPr>
      </w:pPr>
    </w:p>
    <w:p>
      <w:pPr>
        <w:ind w:right="200" w:firstLine="157"/>
        <w:spacing w:after="0" w:line="276" w:lineRule="auto"/>
        <w:rPr>
          <w:sz w:val="20"/>
          <w:szCs w:val="20"/>
          <w:color w:val="auto"/>
        </w:rPr>
      </w:pPr>
      <w:r>
        <w:rPr>
          <w:rFonts w:ascii="Arial" w:cs="Arial" w:eastAsia="Arial" w:hAnsi="Arial"/>
          <w:sz w:val="13"/>
          <w:szCs w:val="13"/>
          <w:color w:val="auto"/>
        </w:rPr>
        <w:t>A Lender shall not be required to make any such assignment or delegation if, prior thereto, as a result of a waiver by such Lender or otherwise, the circumstances entitling the Company to require such assignment and delegation cease to apply.</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11.17 </w:t>
      </w:r>
      <w:r>
        <w:rPr>
          <w:rFonts w:ascii="Arial" w:cs="Arial" w:eastAsia="Arial" w:hAnsi="Arial"/>
          <w:sz w:val="13"/>
          <w:szCs w:val="13"/>
          <w:u w:val="single" w:color="auto"/>
          <w:color w:val="auto"/>
        </w:rPr>
        <w:t>Governing Law</w:t>
      </w:r>
      <w:r>
        <w:rPr>
          <w:rFonts w:ascii="Arial" w:cs="Arial" w:eastAsia="Arial" w:hAnsi="Arial"/>
          <w:sz w:val="13"/>
          <w:szCs w:val="13"/>
          <w:color w:val="auto"/>
        </w:rPr>
        <w:t>.</w:t>
      </w:r>
    </w:p>
    <w:p>
      <w:pPr>
        <w:spacing w:after="0" w:line="86" w:lineRule="exact"/>
        <w:rPr>
          <w:sz w:val="20"/>
          <w:szCs w:val="20"/>
          <w:color w:val="auto"/>
        </w:rPr>
      </w:pPr>
    </w:p>
    <w:p>
      <w:pPr>
        <w:ind w:right="320" w:firstLine="162"/>
        <w:spacing w:after="0" w:line="320" w:lineRule="auto"/>
        <w:tabs>
          <w:tab w:leader="none" w:pos="340" w:val="left"/>
        </w:tabs>
        <w:numPr>
          <w:ilvl w:val="0"/>
          <w:numId w:val="172"/>
        </w:numPr>
        <w:rPr>
          <w:rFonts w:ascii="Arial" w:cs="Arial" w:eastAsia="Arial" w:hAnsi="Arial"/>
          <w:sz w:val="12"/>
          <w:szCs w:val="12"/>
          <w:color w:val="auto"/>
        </w:rPr>
      </w:pPr>
      <w:r>
        <w:rPr>
          <w:rFonts w:ascii="Arial" w:cs="Arial" w:eastAsia="Arial" w:hAnsi="Arial"/>
          <w:sz w:val="12"/>
          <w:szCs w:val="12"/>
          <w:color w:val="auto"/>
        </w:rPr>
        <w:t xml:space="preserve">THIS AGREEMENT SHALL BE GOVERNED BY, AND CONSTRUED IN ACCORDANCE WITH, THE LAW OF THE STATE OF ILLINOIS APPLICABLE TO AGREEMENTS MADE AND TO BE PERFORMED ENTIRELY WITHIN SUCH STATE;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ADMINISTRATIVE AGENT AND EACH LENDER SHALL RETAIN ALL RIGHTS ARISING UNDER FEDERAL LAW.</w:t>
      </w:r>
    </w:p>
    <w:p>
      <w:pPr>
        <w:spacing w:after="0" w:line="25" w:lineRule="exact"/>
        <w:rPr>
          <w:rFonts w:ascii="Arial" w:cs="Arial" w:eastAsia="Arial" w:hAnsi="Arial"/>
          <w:sz w:val="12"/>
          <w:szCs w:val="12"/>
          <w:color w:val="auto"/>
        </w:rPr>
      </w:pPr>
    </w:p>
    <w:p>
      <w:pPr>
        <w:ind w:left="340" w:hanging="178"/>
        <w:spacing w:after="0"/>
        <w:tabs>
          <w:tab w:leader="none" w:pos="340" w:val="left"/>
        </w:tabs>
        <w:numPr>
          <w:ilvl w:val="0"/>
          <w:numId w:val="172"/>
        </w:numPr>
        <w:rPr>
          <w:rFonts w:ascii="Arial" w:cs="Arial" w:eastAsia="Arial" w:hAnsi="Arial"/>
          <w:sz w:val="13"/>
          <w:szCs w:val="13"/>
          <w:color w:val="auto"/>
        </w:rPr>
      </w:pPr>
      <w:r>
        <w:rPr>
          <w:rFonts w:ascii="Arial" w:cs="Arial" w:eastAsia="Arial" w:hAnsi="Arial"/>
          <w:sz w:val="13"/>
          <w:szCs w:val="13"/>
          <w:color w:val="auto"/>
        </w:rPr>
        <w:t>ANY LEGAL ACTION OR PROCEEDING WITH RESPECT TO THIS AGREEMENT OR ANY OTHER LOAN DOCUMENT MAY BE BROUGHT IN THE COURTS OF THE STATE OF ILLINOIS</w:t>
      </w:r>
    </w:p>
    <w:p>
      <w:pPr>
        <w:spacing w:after="0" w:line="15" w:lineRule="exact"/>
        <w:rPr>
          <w:rFonts w:ascii="Arial" w:cs="Arial" w:eastAsia="Arial" w:hAnsi="Arial"/>
          <w:sz w:val="13"/>
          <w:szCs w:val="13"/>
          <w:color w:val="auto"/>
        </w:rPr>
      </w:pPr>
    </w:p>
    <w:p>
      <w:pPr>
        <w:ind w:right="40"/>
        <w:spacing w:after="0" w:line="281" w:lineRule="auto"/>
        <w:rPr>
          <w:rFonts w:ascii="Arial" w:cs="Arial" w:eastAsia="Arial" w:hAnsi="Arial"/>
          <w:sz w:val="13"/>
          <w:szCs w:val="13"/>
          <w:color w:val="auto"/>
        </w:rPr>
      </w:pPr>
      <w:r>
        <w:rPr>
          <w:rFonts w:ascii="Arial" w:cs="Arial" w:eastAsia="Arial" w:hAnsi="Arial"/>
          <w:sz w:val="12"/>
          <w:szCs w:val="12"/>
          <w:color w:val="auto"/>
        </w:rPr>
        <w:t xml:space="preserve">SITTING IN CHICAGO, ILLINOIS OR OF THE UNITED STATES FOR THE NORTHERN DISTRICT OF ILLINOIS (EASTERN DIVISION), AND BY EXECUTION AND DELIVERY OF THIS AGREEMENT, EACH PARTY HERETO CONSENTS, FOR ITSELF AND IN RESPECT OF ITS PROPERTY, TO THE NON-EXCLUSIVE JURISDICTION OF THOSE COURTS. EACH PARTY HERETO IRREVOCABLY WAIVES ANY OBJECTION, INCLUDING ANY OBJECTION TO THE LAYING OF VENUE OR BASED ON THE GROUNDS OF </w:t>
      </w:r>
      <w:r>
        <w:rPr>
          <w:rFonts w:ascii="Arial" w:cs="Arial" w:eastAsia="Arial" w:hAnsi="Arial"/>
          <w:sz w:val="12"/>
          <w:szCs w:val="12"/>
          <w:i w:val="1"/>
          <w:iCs w:val="1"/>
          <w:color w:val="auto"/>
        </w:rPr>
        <w:t>FORUM NON CONVENIENS</w:t>
      </w:r>
      <w:r>
        <w:rPr>
          <w:rFonts w:ascii="Arial" w:cs="Arial" w:eastAsia="Arial" w:hAnsi="Arial"/>
          <w:sz w:val="12"/>
          <w:szCs w:val="12"/>
          <w:color w:val="auto"/>
        </w:rPr>
        <w:t>, WHICH IT MAY NOW OR HEREAFTER HAVE TO THE BRINGING OF ANY ACTION OR PROCEEDING IN SUCH JURISDICTION IN RESPECT OF ANY LOAN DOCUMENT OR OTHER DOCUMENT RELATED THERETO. EACH PARTY HERETO WAIVES PERSONAL SERVICE OF ANY SUMMONS, COMPLAINT OR OTHER PROCESS, WHICH MAY BE MADE BY ANY OTHER MEANS PERMITTED BY THE LAW OF SUCH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80" w:name="page181"/>
    <w:bookmarkEnd w:id="180"/>
    <w:p>
      <w:pPr>
        <w:ind w:left="1"/>
        <w:spacing w:after="0"/>
        <w:rPr>
          <w:sz w:val="20"/>
          <w:szCs w:val="20"/>
          <w:color w:val="auto"/>
        </w:rPr>
      </w:pPr>
      <w:r>
        <w:rPr>
          <w:rFonts w:ascii="Arial" w:cs="Arial" w:eastAsia="Arial" w:hAnsi="Arial"/>
          <w:sz w:val="13"/>
          <w:szCs w:val="13"/>
          <w:color w:val="auto"/>
        </w:rPr>
        <w:t xml:space="preserve">11.18 </w:t>
      </w:r>
      <w:r>
        <w:rPr>
          <w:rFonts w:ascii="Arial" w:cs="Arial" w:eastAsia="Arial" w:hAnsi="Arial"/>
          <w:sz w:val="13"/>
          <w:szCs w:val="13"/>
          <w:u w:val="single" w:color="auto"/>
          <w:color w:val="auto"/>
        </w:rPr>
        <w:t>Waiver of Right to Trial by Jury</w:t>
      </w:r>
      <w:r>
        <w:rPr>
          <w:rFonts w:ascii="Arial" w:cs="Arial" w:eastAsia="Arial" w:hAnsi="Arial"/>
          <w:sz w:val="13"/>
          <w:szCs w:val="13"/>
          <w:color w:val="auto"/>
        </w:rPr>
        <w:t>.</w:t>
      </w:r>
    </w:p>
    <w:p>
      <w:pPr>
        <w:spacing w:after="0" w:line="86" w:lineRule="exact"/>
        <w:rPr>
          <w:sz w:val="20"/>
          <w:szCs w:val="20"/>
          <w:color w:val="auto"/>
        </w:rPr>
      </w:pPr>
    </w:p>
    <w:p>
      <w:pPr>
        <w:ind w:left="1" w:right="60" w:firstLine="328"/>
        <w:spacing w:after="0" w:line="276" w:lineRule="auto"/>
        <w:rPr>
          <w:sz w:val="20"/>
          <w:szCs w:val="20"/>
          <w:color w:val="auto"/>
        </w:rPr>
      </w:pPr>
      <w:r>
        <w:rPr>
          <w:rFonts w:ascii="Arial" w:cs="Arial" w:eastAsia="Arial" w:hAnsi="Arial"/>
          <w:sz w:val="12"/>
          <w:szCs w:val="12"/>
          <w:color w:val="auto"/>
        </w:rPr>
        <w:t>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w:t>
      </w:r>
    </w:p>
    <w:p>
      <w:pPr>
        <w:spacing w:after="0" w:line="2" w:lineRule="exact"/>
        <w:rPr>
          <w:sz w:val="20"/>
          <w:szCs w:val="20"/>
          <w:color w:val="auto"/>
        </w:rPr>
      </w:pPr>
    </w:p>
    <w:p>
      <w:pPr>
        <w:ind w:left="1" w:right="400" w:hanging="1"/>
        <w:spacing w:after="0" w:line="264" w:lineRule="auto"/>
        <w:tabs>
          <w:tab w:leader="none" w:pos="202" w:val="left"/>
        </w:tabs>
        <w:numPr>
          <w:ilvl w:val="0"/>
          <w:numId w:val="173"/>
        </w:numPr>
        <w:rPr>
          <w:rFonts w:ascii="Arial" w:cs="Arial" w:eastAsia="Arial" w:hAnsi="Arial"/>
          <w:sz w:val="13"/>
          <w:szCs w:val="13"/>
          <w:color w:val="auto"/>
        </w:rPr>
      </w:pPr>
      <w:r>
        <w:rPr>
          <w:rFonts w:ascii="Arial" w:cs="Arial" w:eastAsia="Arial" w:hAnsi="Arial"/>
          <w:sz w:val="13"/>
          <w:szCs w:val="13"/>
          <w:color w:val="auto"/>
        </w:rPr>
        <w:t>ACKNOWLEDGES THAT IT AND THE OTHER PARTIES HERETO HAVE BEEN INDUCED TO ENTER INTO THIS AGREEMENT AND THE OTHER LOAN DOCUMENTS BY, AMONG OTHER THINGS, THE MUTUAL WAIVERS AND CERTIFICATIONS IN THIS SECTION.</w:t>
      </w:r>
    </w:p>
    <w:p>
      <w:pPr>
        <w:spacing w:after="0" w:line="131"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11.19 </w:t>
      </w:r>
      <w:r>
        <w:rPr>
          <w:rFonts w:ascii="Arial" w:cs="Arial" w:eastAsia="Arial" w:hAnsi="Arial"/>
          <w:sz w:val="13"/>
          <w:szCs w:val="13"/>
          <w:u w:val="single" w:color="auto"/>
          <w:color w:val="auto"/>
        </w:rPr>
        <w:t>USA PATRIOT Act Notice</w:t>
      </w:r>
      <w:r>
        <w:rPr>
          <w:rFonts w:ascii="Arial" w:cs="Arial" w:eastAsia="Arial" w:hAnsi="Arial"/>
          <w:sz w:val="13"/>
          <w:szCs w:val="13"/>
          <w:b w:val="1"/>
          <w:bCs w:val="1"/>
          <w:color w:val="auto"/>
        </w:rPr>
        <w:t>.</w:t>
      </w:r>
    </w:p>
    <w:p>
      <w:pPr>
        <w:spacing w:after="0" w:line="90" w:lineRule="exact"/>
        <w:rPr>
          <w:sz w:val="20"/>
          <w:szCs w:val="20"/>
          <w:color w:val="auto"/>
        </w:rPr>
      </w:pPr>
    </w:p>
    <w:p>
      <w:pPr>
        <w:ind w:left="1" w:right="60" w:firstLine="328"/>
        <w:spacing w:after="0" w:line="296" w:lineRule="auto"/>
        <w:rPr>
          <w:sz w:val="20"/>
          <w:szCs w:val="20"/>
          <w:color w:val="auto"/>
        </w:rPr>
      </w:pPr>
      <w:r>
        <w:rPr>
          <w:rFonts w:ascii="Arial" w:cs="Arial" w:eastAsia="Arial" w:hAnsi="Arial"/>
          <w:sz w:val="12"/>
          <w:szCs w:val="12"/>
          <w:color w:val="auto"/>
        </w:rPr>
        <w:t>Each Lender that is subject to the Act (as hereinafter defined) and the Administrative Agent (for itself and not on behalf of any Lender) hereby notifies the Borrowers that pursuant to the requirements of the USA PATRIOT Act (Title III of Pub. L. 107-56 (signed into law October 26, 2001)) (the “Act”), it is required to obtain, verify and record information that identifies the Borrowers, which information includes the name and address of each Borrower and other information that will allow such Lender or the Administrative Agent, as applicable, to identify such Borrower in accordance with the Act.</w:t>
      </w:r>
    </w:p>
    <w:p>
      <w:pPr>
        <w:spacing w:after="0" w:line="119"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11.20 </w:t>
      </w:r>
      <w:r>
        <w:rPr>
          <w:rFonts w:ascii="Arial" w:cs="Arial" w:eastAsia="Arial" w:hAnsi="Arial"/>
          <w:sz w:val="13"/>
          <w:szCs w:val="13"/>
          <w:u w:val="single" w:color="auto"/>
          <w:color w:val="auto"/>
        </w:rPr>
        <w:t>Judgment Currency</w:t>
      </w:r>
      <w:r>
        <w:rPr>
          <w:rFonts w:ascii="Arial" w:cs="Arial" w:eastAsia="Arial" w:hAnsi="Arial"/>
          <w:sz w:val="13"/>
          <w:szCs w:val="13"/>
          <w:color w:val="auto"/>
        </w:rPr>
        <w:t>.</w:t>
      </w:r>
    </w:p>
    <w:p>
      <w:pPr>
        <w:spacing w:after="0" w:line="86" w:lineRule="exact"/>
        <w:rPr>
          <w:sz w:val="20"/>
          <w:szCs w:val="20"/>
          <w:color w:val="auto"/>
        </w:rPr>
      </w:pPr>
    </w:p>
    <w:p>
      <w:pPr>
        <w:ind w:left="1" w:right="20" w:firstLine="328"/>
        <w:spacing w:after="0" w:line="279" w:lineRule="auto"/>
        <w:rPr>
          <w:sz w:val="20"/>
          <w:szCs w:val="20"/>
          <w:color w:val="auto"/>
        </w:rPr>
      </w:pPr>
      <w:r>
        <w:rPr>
          <w:rFonts w:ascii="Arial" w:cs="Arial" w:eastAsia="Arial" w:hAnsi="Arial"/>
          <w:sz w:val="12"/>
          <w:szCs w:val="12"/>
          <w:color w:val="auto"/>
        </w:rPr>
        <w:t>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Borrowers in respect of any such sum due from them to the Administrative Agent or the Lenders hereunder or under the other Loan Documents shall, notwithstanding any judgment in a currency (the “</w:t>
      </w:r>
      <w:r>
        <w:rPr>
          <w:rFonts w:ascii="Arial" w:cs="Arial" w:eastAsia="Arial" w:hAnsi="Arial"/>
          <w:sz w:val="12"/>
          <w:szCs w:val="12"/>
          <w:u w:val="single" w:color="auto"/>
          <w:color w:val="auto"/>
        </w:rPr>
        <w:t>Judgment Currency</w:t>
      </w:r>
      <w:r>
        <w:rPr>
          <w:rFonts w:ascii="Arial" w:cs="Arial" w:eastAsia="Arial" w:hAnsi="Arial"/>
          <w:sz w:val="12"/>
          <w:szCs w:val="12"/>
          <w:color w:val="auto"/>
        </w:rPr>
        <w:t>”) other than that in which such sum is denominated in accordance with the applicable provisions of this Agreement (the “</w:t>
      </w:r>
      <w:r>
        <w:rPr>
          <w:rFonts w:ascii="Arial" w:cs="Arial" w:eastAsia="Arial" w:hAnsi="Arial"/>
          <w:sz w:val="12"/>
          <w:szCs w:val="12"/>
          <w:u w:val="single" w:color="auto"/>
          <w:color w:val="auto"/>
        </w:rPr>
        <w:t>Agreement Currency</w:t>
      </w:r>
      <w:r>
        <w:rPr>
          <w:rFonts w:ascii="Arial" w:cs="Arial" w:eastAsia="Arial" w:hAnsi="Arial"/>
          <w:sz w:val="12"/>
          <w:szCs w:val="12"/>
          <w:color w:val="auto"/>
        </w:rPr>
        <w:t>”), be discharged only to the extent that on the Business Day following receipt by the Administrative Agent of any sum adjudged to be so due in the Judgment Currency, the Administrative Agent may in accordance with normal banking procedures purchase the Agreement Currency with the Judgment Currency. If the amount of the Agreement Currency so purchased is less than the sum originally due to the Administrative Agent from the Borrowers in the Agreement Currency, the Borrowers agree, as a separate obligation and notwithstanding any such judgment, to indemnify the Administrative Agent or the Person to whom such obligation was owing against such loss. If the amount of the Agreement Currency so purchased is greater than the sum originally due to the Administrative Agent in such currency, the Administrative Agent agrees to return the amount of any excess to the Borrowers (or to any other Person who may be entitled thereto under applicable law).</w:t>
      </w:r>
    </w:p>
    <w:p>
      <w:pPr>
        <w:spacing w:after="0" w:line="129"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11.21 </w:t>
      </w:r>
      <w:r>
        <w:rPr>
          <w:rFonts w:ascii="Arial" w:cs="Arial" w:eastAsia="Arial" w:hAnsi="Arial"/>
          <w:sz w:val="13"/>
          <w:szCs w:val="13"/>
          <w:u w:val="single" w:color="auto"/>
          <w:color w:val="auto"/>
        </w:rPr>
        <w:t>Concerning Joint and Several Liability of the Borrowers</w:t>
      </w:r>
      <w:r>
        <w:rPr>
          <w:rFonts w:ascii="Arial" w:cs="Arial" w:eastAsia="Arial" w:hAnsi="Arial"/>
          <w:sz w:val="13"/>
          <w:szCs w:val="13"/>
          <w:color w:val="auto"/>
        </w:rPr>
        <w:t>.</w:t>
      </w:r>
    </w:p>
    <w:p>
      <w:pPr>
        <w:spacing w:after="0" w:line="86" w:lineRule="exact"/>
        <w:rPr>
          <w:sz w:val="20"/>
          <w:szCs w:val="20"/>
          <w:color w:val="auto"/>
        </w:rPr>
      </w:pPr>
    </w:p>
    <w:p>
      <w:pPr>
        <w:ind w:left="1" w:firstLine="326"/>
        <w:spacing w:after="0" w:line="276" w:lineRule="auto"/>
        <w:tabs>
          <w:tab w:leader="none" w:pos="507" w:val="left"/>
        </w:tabs>
        <w:numPr>
          <w:ilvl w:val="0"/>
          <w:numId w:val="174"/>
        </w:numPr>
        <w:rPr>
          <w:rFonts w:ascii="Arial" w:cs="Arial" w:eastAsia="Arial" w:hAnsi="Arial"/>
          <w:sz w:val="13"/>
          <w:szCs w:val="13"/>
          <w:color w:val="auto"/>
        </w:rPr>
      </w:pPr>
      <w:r>
        <w:rPr>
          <w:rFonts w:ascii="Arial" w:cs="Arial" w:eastAsia="Arial" w:hAnsi="Arial"/>
          <w:sz w:val="13"/>
          <w:szCs w:val="13"/>
          <w:color w:val="auto"/>
        </w:rPr>
        <w:t>Each of the Borrowers is accepting joint and several liability hereunder in consideration of the financial accommodation to be provided by the Lenders under this Agreement, for the mutual benefit, directly and indirectly, of each of the Borrowers and in consideration of the undertakings of each of the Borrowers to accept joint and several liability for the obligations of each of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271145</wp:posOffset>
            </wp:positionV>
            <wp:extent cx="7290435" cy="190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81" w:name="page182"/>
    <w:bookmarkEnd w:id="181"/>
    <w:p>
      <w:pPr>
        <w:jc w:val="both"/>
        <w:ind w:left="-326" w:firstLine="326"/>
        <w:spacing w:after="0" w:line="264" w:lineRule="auto"/>
        <w:tabs>
          <w:tab w:leader="none" w:pos="187" w:val="left"/>
        </w:tabs>
        <w:numPr>
          <w:ilvl w:val="0"/>
          <w:numId w:val="175"/>
        </w:numPr>
        <w:rPr>
          <w:rFonts w:ascii="Arial" w:cs="Arial" w:eastAsia="Arial" w:hAnsi="Arial"/>
          <w:sz w:val="13"/>
          <w:szCs w:val="13"/>
          <w:color w:val="auto"/>
        </w:rPr>
      </w:pPr>
      <w:r>
        <w:rPr>
          <w:rFonts w:ascii="Arial" w:cs="Arial" w:eastAsia="Arial" w:hAnsi="Arial"/>
          <w:sz w:val="13"/>
          <w:szCs w:val="13"/>
          <w:color w:val="auto"/>
        </w:rPr>
        <w:t>Each of the Borrowers jointly and severally hereby irrevocably and unconditionally accepts, not merely as a surety but also as a co-debtor, joint and several liability with the other Borrowers with respect to the payment and performance of all of the Obligations arising under this Agreement and the other Loan Documents, it being the intention of the parties hereto that all the Obligations shall be the joint and several obligations of each of the Borrowers without preferences or distinction among them.</w:t>
      </w:r>
    </w:p>
    <w:p>
      <w:pPr>
        <w:spacing w:after="0" w:line="57" w:lineRule="exact"/>
        <w:rPr>
          <w:rFonts w:ascii="Arial" w:cs="Arial" w:eastAsia="Arial" w:hAnsi="Arial"/>
          <w:sz w:val="13"/>
          <w:szCs w:val="13"/>
          <w:color w:val="auto"/>
        </w:rPr>
      </w:pPr>
    </w:p>
    <w:p>
      <w:pPr>
        <w:ind w:left="-326" w:right="80" w:firstLine="326"/>
        <w:spacing w:after="0" w:line="276" w:lineRule="auto"/>
        <w:tabs>
          <w:tab w:leader="none" w:pos="179" w:val="left"/>
        </w:tabs>
        <w:numPr>
          <w:ilvl w:val="0"/>
          <w:numId w:val="175"/>
        </w:numPr>
        <w:rPr>
          <w:rFonts w:ascii="Arial" w:cs="Arial" w:eastAsia="Arial" w:hAnsi="Arial"/>
          <w:sz w:val="13"/>
          <w:szCs w:val="13"/>
          <w:color w:val="auto"/>
        </w:rPr>
      </w:pPr>
      <w:r>
        <w:rPr>
          <w:rFonts w:ascii="Arial" w:cs="Arial" w:eastAsia="Arial" w:hAnsi="Arial"/>
          <w:sz w:val="13"/>
          <w:szCs w:val="13"/>
          <w:color w:val="auto"/>
        </w:rPr>
        <w:t>If and to the extent that a Borrower shall fail to make any payment with respect to any of the obligations hereunder as and when due or to perform any of such obligations in accordance with the terms thereof, then in each such event, the other Borrowers will make such payment with respect to, or perform, such obligation.</w:t>
      </w:r>
    </w:p>
    <w:p>
      <w:pPr>
        <w:spacing w:after="0" w:line="49" w:lineRule="exact"/>
        <w:rPr>
          <w:rFonts w:ascii="Arial" w:cs="Arial" w:eastAsia="Arial" w:hAnsi="Arial"/>
          <w:sz w:val="13"/>
          <w:szCs w:val="13"/>
          <w:color w:val="auto"/>
        </w:rPr>
      </w:pPr>
    </w:p>
    <w:p>
      <w:pPr>
        <w:ind w:left="-326" w:firstLine="326"/>
        <w:spacing w:after="0" w:line="276" w:lineRule="auto"/>
        <w:tabs>
          <w:tab w:leader="none" w:pos="184" w:val="left"/>
        </w:tabs>
        <w:numPr>
          <w:ilvl w:val="0"/>
          <w:numId w:val="175"/>
        </w:numPr>
        <w:rPr>
          <w:rFonts w:ascii="Arial" w:cs="Arial" w:eastAsia="Arial" w:hAnsi="Arial"/>
          <w:sz w:val="13"/>
          <w:szCs w:val="13"/>
          <w:color w:val="auto"/>
        </w:rPr>
      </w:pPr>
      <w:r>
        <w:rPr>
          <w:rFonts w:ascii="Arial" w:cs="Arial" w:eastAsia="Arial" w:hAnsi="Arial"/>
          <w:sz w:val="13"/>
          <w:szCs w:val="13"/>
          <w:color w:val="auto"/>
        </w:rPr>
        <w:t xml:space="preserve">The obligations of each Borrower under the provisions of this </w:t>
      </w:r>
      <w:r>
        <w:rPr>
          <w:rFonts w:ascii="Arial" w:cs="Arial" w:eastAsia="Arial" w:hAnsi="Arial"/>
          <w:sz w:val="13"/>
          <w:szCs w:val="13"/>
          <w:u w:val="single" w:color="auto"/>
          <w:color w:val="auto"/>
        </w:rPr>
        <w:t>Section 11.21</w:t>
      </w:r>
      <w:r>
        <w:rPr>
          <w:rFonts w:ascii="Arial" w:cs="Arial" w:eastAsia="Arial" w:hAnsi="Arial"/>
          <w:sz w:val="13"/>
          <w:szCs w:val="13"/>
          <w:color w:val="auto"/>
        </w:rPr>
        <w:t xml:space="preserve"> constitute full recourse obligations of such Borrower, enforceable against it to the full extent of its properties and assets, irrespective of the validity, regularity or enforceability of this Agreement or any other circumstances whatsoever.</w:t>
      </w:r>
    </w:p>
    <w:p>
      <w:pPr>
        <w:spacing w:after="0" w:line="49" w:lineRule="exact"/>
        <w:rPr>
          <w:rFonts w:ascii="Arial" w:cs="Arial" w:eastAsia="Arial" w:hAnsi="Arial"/>
          <w:sz w:val="13"/>
          <w:szCs w:val="13"/>
          <w:color w:val="auto"/>
        </w:rPr>
      </w:pPr>
    </w:p>
    <w:p>
      <w:pPr>
        <w:ind w:left="-326" w:right="40" w:firstLine="326"/>
        <w:spacing w:after="0" w:line="304" w:lineRule="auto"/>
        <w:tabs>
          <w:tab w:leader="none" w:pos="179" w:val="left"/>
        </w:tabs>
        <w:numPr>
          <w:ilvl w:val="0"/>
          <w:numId w:val="175"/>
        </w:numPr>
        <w:rPr>
          <w:rFonts w:ascii="Arial" w:cs="Arial" w:eastAsia="Arial" w:hAnsi="Arial"/>
          <w:sz w:val="11"/>
          <w:szCs w:val="11"/>
          <w:color w:val="auto"/>
        </w:rPr>
      </w:pPr>
      <w:r>
        <w:rPr>
          <w:rFonts w:ascii="Arial" w:cs="Arial" w:eastAsia="Arial" w:hAnsi="Arial"/>
          <w:sz w:val="11"/>
          <w:szCs w:val="11"/>
          <w:color w:val="auto"/>
        </w:rPr>
        <w:t xml:space="preserve">Except as otherwise expressly provided herein, each Borrower hereby waives notice of acceptance of its joint and several liability, notice of occurrence of any Default or Event of Default (except to the extent notice is expressly required to be given pursuant to the terms of this Agreement), or of any demand for any payment under this Agreement, notice of any action at any time taken or omitted by the Administrative Agent or the Lenders under or in respect of any of the Obligations hereunder, any requirement of diligence and, generally, all demands, notices and other formalities of every kind in connection with this Agreement. Each Borrower hereby assents to, and waives notice of, any extension or postponement of the time for the payment of any of the Obligations hereunder, the acceptance of any partial payment thereon, any waiver, consent or other action or acquiescence by the Lenders at any time or times in respect of any default by any Borrower in the performance or satisfaction of any term, covenant, condition or provision of this Agreement, any and all other indulgences whatsoever by the Lenders in respect of any of the Obligations hereunder, and the taking, addition, substitution or release, in whole or in part, at any time or times, of any security for any of such Obligations or the addition, substitution or release, in whole or in part, of any Borrower. Without limiting the generality of the foregoing, each Borrower assents to any other action or delay in acting or any failure to act on the part of the Administrative Agent or the Lenders, including, without limitation, any failure strictly or diligently to assert any right or to pursue any remedy or to comply fully with applicable laws or regulations thereunder which might, but for the provisions of this </w:t>
      </w:r>
      <w:r>
        <w:rPr>
          <w:rFonts w:ascii="Arial" w:cs="Arial" w:eastAsia="Arial" w:hAnsi="Arial"/>
          <w:sz w:val="11"/>
          <w:szCs w:val="11"/>
          <w:u w:val="single" w:color="auto"/>
          <w:color w:val="auto"/>
        </w:rPr>
        <w:t>Section 11.21</w:t>
      </w:r>
      <w:r>
        <w:rPr>
          <w:rFonts w:ascii="Arial" w:cs="Arial" w:eastAsia="Arial" w:hAnsi="Arial"/>
          <w:sz w:val="11"/>
          <w:szCs w:val="11"/>
          <w:color w:val="auto"/>
        </w:rPr>
        <w:t xml:space="preserve">, afford grounds for terminating, discharging or relieving such Borrower, in whole or in part, from any of its obligations under this </w:t>
      </w:r>
      <w:r>
        <w:rPr>
          <w:rFonts w:ascii="Arial" w:cs="Arial" w:eastAsia="Arial" w:hAnsi="Arial"/>
          <w:sz w:val="11"/>
          <w:szCs w:val="11"/>
          <w:u w:val="single" w:color="auto"/>
          <w:color w:val="auto"/>
        </w:rPr>
        <w:t>Section 11.21</w:t>
      </w:r>
      <w:r>
        <w:rPr>
          <w:rFonts w:ascii="Arial" w:cs="Arial" w:eastAsia="Arial" w:hAnsi="Arial"/>
          <w:sz w:val="11"/>
          <w:szCs w:val="11"/>
          <w:color w:val="auto"/>
        </w:rPr>
        <w:t xml:space="preserve">, it being the intention of each Borrower that, so long as any of the Obligations hereunder remain unsatisfied, the obligations of such Borrower under this </w:t>
      </w:r>
      <w:r>
        <w:rPr>
          <w:rFonts w:ascii="Arial" w:cs="Arial" w:eastAsia="Arial" w:hAnsi="Arial"/>
          <w:sz w:val="11"/>
          <w:szCs w:val="11"/>
          <w:u w:val="single" w:color="auto"/>
          <w:color w:val="auto"/>
        </w:rPr>
        <w:t>Section 11.21</w:t>
      </w:r>
      <w:r>
        <w:rPr>
          <w:rFonts w:ascii="Arial" w:cs="Arial" w:eastAsia="Arial" w:hAnsi="Arial"/>
          <w:sz w:val="11"/>
          <w:szCs w:val="11"/>
          <w:color w:val="auto"/>
        </w:rPr>
        <w:t xml:space="preserve"> shall not be discharged except by performance and then only to the extent of such performance. The obligations of each Borrower under this </w:t>
      </w:r>
      <w:r>
        <w:rPr>
          <w:rFonts w:ascii="Arial" w:cs="Arial" w:eastAsia="Arial" w:hAnsi="Arial"/>
          <w:sz w:val="11"/>
          <w:szCs w:val="11"/>
          <w:u w:val="single" w:color="auto"/>
          <w:color w:val="auto"/>
        </w:rPr>
        <w:t>Section 11.21</w:t>
      </w:r>
      <w:r>
        <w:rPr>
          <w:rFonts w:ascii="Arial" w:cs="Arial" w:eastAsia="Arial" w:hAnsi="Arial"/>
          <w:sz w:val="11"/>
          <w:szCs w:val="11"/>
          <w:color w:val="auto"/>
        </w:rPr>
        <w:t xml:space="preserve"> shall not be diminished or rendered unenforceable by any winding up, reorganization, arrangement, liquidation, reconstruction or similar proceeding with respect to any reconstruction or similar proceeding with respect to any Borrower or the Lenders. The joint and several liability of the Borrowers hereunder shall continue in full force and effect notwithstanding any absorption, merger, amalgamation or any other change whatsoever in the name, membership, constitution or place of formation of any Borrower or the Lenders.</w:t>
      </w:r>
    </w:p>
    <w:p>
      <w:pPr>
        <w:spacing w:after="0" w:line="40" w:lineRule="exact"/>
        <w:rPr>
          <w:rFonts w:ascii="Arial" w:cs="Arial" w:eastAsia="Arial" w:hAnsi="Arial"/>
          <w:sz w:val="11"/>
          <w:szCs w:val="11"/>
          <w:color w:val="auto"/>
        </w:rPr>
      </w:pPr>
    </w:p>
    <w:p>
      <w:pPr>
        <w:ind w:left="-326" w:right="100" w:firstLine="326"/>
        <w:spacing w:after="0" w:line="264" w:lineRule="auto"/>
        <w:tabs>
          <w:tab w:leader="none" w:pos="163" w:val="left"/>
        </w:tabs>
        <w:numPr>
          <w:ilvl w:val="0"/>
          <w:numId w:val="175"/>
        </w:numPr>
        <w:rPr>
          <w:rFonts w:ascii="Arial" w:cs="Arial" w:eastAsia="Arial" w:hAnsi="Arial"/>
          <w:sz w:val="13"/>
          <w:szCs w:val="13"/>
          <w:color w:val="auto"/>
        </w:rPr>
      </w:pPr>
      <w:r>
        <w:rPr>
          <w:rFonts w:ascii="Arial" w:cs="Arial" w:eastAsia="Arial" w:hAnsi="Arial"/>
          <w:sz w:val="13"/>
          <w:szCs w:val="13"/>
          <w:color w:val="auto"/>
        </w:rPr>
        <w:t xml:space="preserve">The provisions of this </w:t>
      </w:r>
      <w:r>
        <w:rPr>
          <w:rFonts w:ascii="Arial" w:cs="Arial" w:eastAsia="Arial" w:hAnsi="Arial"/>
          <w:sz w:val="13"/>
          <w:szCs w:val="13"/>
          <w:u w:val="single" w:color="auto"/>
          <w:color w:val="auto"/>
        </w:rPr>
        <w:t>Section 11.21</w:t>
      </w:r>
      <w:r>
        <w:rPr>
          <w:rFonts w:ascii="Arial" w:cs="Arial" w:eastAsia="Arial" w:hAnsi="Arial"/>
          <w:sz w:val="13"/>
          <w:szCs w:val="13"/>
          <w:color w:val="auto"/>
        </w:rPr>
        <w:t xml:space="preserve"> are made for the benefit of the Administrative Agent and the Lenders and their respective successors and assigns, and may be enforced by any such Person from time to time against any of the Borrowers as often as occasion therefore may arise and without requirement on the part of any Lender first to marshal any of its claims or to exercise any of its rights against any other Borrower or to exhaust any remedies available to it against any other Borrower or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275590</wp:posOffset>
            </wp:positionV>
            <wp:extent cx="7290435" cy="190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34"/>
          </w:cols>
          <w:pgMar w:left="546" w:top="720" w:right="219" w:bottom="1440" w:gutter="0" w:footer="0" w:header="0"/>
        </w:sectPr>
      </w:pPr>
    </w:p>
    <w:bookmarkStart w:id="182" w:name="page183"/>
    <w:bookmarkEnd w:id="182"/>
    <w:p>
      <w:pPr>
        <w:ind w:right="140"/>
        <w:spacing w:after="0" w:line="296" w:lineRule="auto"/>
        <w:rPr>
          <w:sz w:val="20"/>
          <w:szCs w:val="20"/>
          <w:color w:val="auto"/>
        </w:rPr>
      </w:pPr>
      <w:r>
        <w:rPr>
          <w:rFonts w:ascii="Arial" w:cs="Arial" w:eastAsia="Arial" w:hAnsi="Arial"/>
          <w:sz w:val="12"/>
          <w:szCs w:val="12"/>
          <w:color w:val="auto"/>
        </w:rPr>
        <w:t xml:space="preserve">resort to any other source or means of obtaining payment of any of the Obligations or to elect any other remedy. The provisions of this </w:t>
      </w:r>
      <w:r>
        <w:rPr>
          <w:rFonts w:ascii="Arial" w:cs="Arial" w:eastAsia="Arial" w:hAnsi="Arial"/>
          <w:sz w:val="12"/>
          <w:szCs w:val="12"/>
          <w:u w:val="single" w:color="auto"/>
          <w:color w:val="auto"/>
        </w:rPr>
        <w:t>Section 11.21</w:t>
      </w:r>
      <w:r>
        <w:rPr>
          <w:rFonts w:ascii="Arial" w:cs="Arial" w:eastAsia="Arial" w:hAnsi="Arial"/>
          <w:sz w:val="12"/>
          <w:szCs w:val="12"/>
          <w:color w:val="auto"/>
        </w:rPr>
        <w:t xml:space="preserve"> shall remain in effect until all the Obligations hereunder shall have been paid in full or otherwise fully satisfied. If at any time, any payment, or any part thereof, made in respect of any of the Obligations, is rescinded or must otherwise be restored or returned by the Lenders upon the insolvency, bankruptcy or reorganization of any of the Borrowers, or otherwise, the provisions of this </w:t>
      </w:r>
      <w:r>
        <w:rPr>
          <w:rFonts w:ascii="Arial" w:cs="Arial" w:eastAsia="Arial" w:hAnsi="Arial"/>
          <w:sz w:val="12"/>
          <w:szCs w:val="12"/>
          <w:u w:val="single" w:color="auto"/>
          <w:color w:val="auto"/>
        </w:rPr>
        <w:t>Section 11.21</w:t>
      </w:r>
      <w:r>
        <w:rPr>
          <w:rFonts w:ascii="Arial" w:cs="Arial" w:eastAsia="Arial" w:hAnsi="Arial"/>
          <w:sz w:val="12"/>
          <w:szCs w:val="12"/>
          <w:color w:val="auto"/>
        </w:rPr>
        <w:t xml:space="preserve"> will forthwith be reinstated and in effect as though such payment had not been made.</w:t>
      </w:r>
    </w:p>
    <w:p>
      <w:pPr>
        <w:spacing w:after="0" w:line="40" w:lineRule="exact"/>
        <w:rPr>
          <w:sz w:val="20"/>
          <w:szCs w:val="20"/>
          <w:color w:val="auto"/>
        </w:rPr>
      </w:pPr>
    </w:p>
    <w:p>
      <w:pPr>
        <w:ind w:firstLine="326"/>
        <w:spacing w:after="0" w:line="264" w:lineRule="auto"/>
        <w:tabs>
          <w:tab w:leader="none" w:pos="513" w:val="left"/>
        </w:tabs>
        <w:numPr>
          <w:ilvl w:val="0"/>
          <w:numId w:val="176"/>
        </w:numPr>
        <w:rPr>
          <w:rFonts w:ascii="Arial" w:cs="Arial" w:eastAsia="Arial" w:hAnsi="Arial"/>
          <w:sz w:val="13"/>
          <w:szCs w:val="13"/>
          <w:color w:val="auto"/>
        </w:rPr>
      </w:pPr>
      <w:r>
        <w:rPr>
          <w:rFonts w:ascii="Arial" w:cs="Arial" w:eastAsia="Arial" w:hAnsi="Arial"/>
          <w:sz w:val="13"/>
          <w:szCs w:val="13"/>
          <w:color w:val="auto"/>
        </w:rPr>
        <w:t>Notwithstanding any provision to the contrary contained herein or in any other of the Loan Documents or Swap Contracts or Treasury Management Agreements, the obligations of each Borrower hereunder shall be limited to an aggregate amount equal to the largest amount that would not render its obligations hereunder subject to avoidance under Section 548 of the Bankruptcy Code of the United States or any comparable provisions of any applicable Debtor Relief Law.</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11.22 </w:t>
      </w:r>
      <w:r>
        <w:rPr>
          <w:rFonts w:ascii="Arial" w:cs="Arial" w:eastAsia="Arial" w:hAnsi="Arial"/>
          <w:sz w:val="13"/>
          <w:szCs w:val="13"/>
          <w:u w:val="single" w:color="auto"/>
          <w:color w:val="auto"/>
        </w:rPr>
        <w:t>Subordination of Intercompany Debt</w:t>
      </w:r>
      <w:r>
        <w:rPr>
          <w:rFonts w:ascii="Arial" w:cs="Arial" w:eastAsia="Arial" w:hAnsi="Arial"/>
          <w:sz w:val="13"/>
          <w:szCs w:val="13"/>
          <w:color w:val="auto"/>
        </w:rPr>
        <w:t>.</w:t>
      </w:r>
    </w:p>
    <w:p>
      <w:pPr>
        <w:spacing w:after="0" w:line="86" w:lineRule="exact"/>
        <w:rPr>
          <w:sz w:val="20"/>
          <w:szCs w:val="20"/>
          <w:color w:val="auto"/>
        </w:rPr>
      </w:pPr>
    </w:p>
    <w:p>
      <w:pPr>
        <w:jc w:val="both"/>
        <w:ind w:firstLine="328"/>
        <w:spacing w:after="0" w:line="258" w:lineRule="auto"/>
        <w:rPr>
          <w:sz w:val="20"/>
          <w:szCs w:val="20"/>
          <w:color w:val="auto"/>
        </w:rPr>
      </w:pPr>
      <w:r>
        <w:rPr>
          <w:rFonts w:ascii="Arial" w:cs="Arial" w:eastAsia="Arial" w:hAnsi="Arial"/>
          <w:sz w:val="13"/>
          <w:szCs w:val="13"/>
          <w:color w:val="auto"/>
        </w:rPr>
        <w:t>Each Loan Party agrees that all intercompany Indebtedness among Loan Parties (the “</w:t>
      </w:r>
      <w:r>
        <w:rPr>
          <w:rFonts w:ascii="Arial" w:cs="Arial" w:eastAsia="Arial" w:hAnsi="Arial"/>
          <w:sz w:val="13"/>
          <w:szCs w:val="13"/>
          <w:u w:val="single" w:color="auto"/>
          <w:color w:val="auto"/>
        </w:rPr>
        <w:t>Intercompany Debt</w:t>
      </w:r>
      <w:r>
        <w:rPr>
          <w:rFonts w:ascii="Arial" w:cs="Arial" w:eastAsia="Arial" w:hAnsi="Arial"/>
          <w:sz w:val="13"/>
          <w:szCs w:val="13"/>
          <w:color w:val="auto"/>
        </w:rPr>
        <w:t xml:space="preserve">”) is subordinated in right of payment, to the prior payment in full of all Obligations. Notwithstanding any provision of this Agreement to the contrary, provided that no Event of Default has occurred and is continuing, Loan Parties may make and receive payments with respect to the Intercompany Debt to the extent otherwise permitted by this Agreement; provided, that in the event of and during the continuation of any Event of Default, no payment shall be made by or on behalf of any Loan Party on account of any Intercompany Debt. In the event that any Loan Party receives any payment of any Intercompany Debt at a time when such payment is prohibited by this </w:t>
      </w:r>
      <w:r>
        <w:rPr>
          <w:rFonts w:ascii="Arial" w:cs="Arial" w:eastAsia="Arial" w:hAnsi="Arial"/>
          <w:sz w:val="13"/>
          <w:szCs w:val="13"/>
          <w:u w:val="single" w:color="auto"/>
          <w:color w:val="auto"/>
        </w:rPr>
        <w:t>Section 11.22</w:t>
      </w:r>
      <w:r>
        <w:rPr>
          <w:rFonts w:ascii="Arial" w:cs="Arial" w:eastAsia="Arial" w:hAnsi="Arial"/>
          <w:sz w:val="13"/>
          <w:szCs w:val="13"/>
          <w:color w:val="auto"/>
        </w:rPr>
        <w:t xml:space="preserve"> hereof, such payment shall be held by such Loan Party, in trust for the benefit of, and shall be paid forthwith over and delivered, upon written request, to, the Administrative Agent</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11.23 </w:t>
      </w:r>
      <w:r>
        <w:rPr>
          <w:rFonts w:ascii="Arial" w:cs="Arial" w:eastAsia="Arial" w:hAnsi="Arial"/>
          <w:sz w:val="13"/>
          <w:szCs w:val="13"/>
          <w:u w:val="single" w:color="auto"/>
          <w:color w:val="auto"/>
        </w:rPr>
        <w:t>No Advisory or Fiduciary Responsibility</w:t>
      </w:r>
      <w:r>
        <w:rPr>
          <w:rFonts w:ascii="Arial" w:cs="Arial" w:eastAsia="Arial" w:hAnsi="Arial"/>
          <w:sz w:val="13"/>
          <w:szCs w:val="13"/>
          <w:color w:val="auto"/>
        </w:rPr>
        <w:t>.</w:t>
      </w:r>
    </w:p>
    <w:p>
      <w:pPr>
        <w:spacing w:after="0" w:line="86" w:lineRule="exact"/>
        <w:rPr>
          <w:sz w:val="20"/>
          <w:szCs w:val="20"/>
          <w:color w:val="auto"/>
        </w:rPr>
      </w:pPr>
    </w:p>
    <w:p>
      <w:pPr>
        <w:ind w:right="20" w:firstLine="328"/>
        <w:spacing w:after="0" w:line="278" w:lineRule="auto"/>
        <w:rPr>
          <w:sz w:val="20"/>
          <w:szCs w:val="20"/>
          <w:color w:val="auto"/>
        </w:rPr>
      </w:pPr>
      <w:r>
        <w:rPr>
          <w:rFonts w:ascii="Arial" w:cs="Arial" w:eastAsia="Arial" w:hAnsi="Arial"/>
          <w:sz w:val="12"/>
          <w:szCs w:val="12"/>
          <w:color w:val="auto"/>
        </w:rPr>
        <w:t>In connection with all aspects of each transaction contemplated hereby, the Loan Parties each acknowledge and agree that: (i) the credit facilities provided for hereunder and any related arranging or other services in connection therewith (including in connection with any amendment, waiver or other modification hereof or of any other Loan Document) are an arm’s-length commercial transaction between the Loan Parties and their respective Affiliates, on the one hand, and the Administrative Agent and BAS, on the other hand, and each of the Loan Parties is capable of evaluating and understanding and understands and accepts the terms, risks and conditions of the transactions contemplated hereby and by the other Loan Documents (including any amendment, waiver or other modification hereof or thereof); (ii) in connection with the process leading to such transaction, the Administrative Agent and BAS each is and has been acting solely as a principal and is not the financial advisor, agent or fiduciary, for the Loan Parties or any of their respective Affiliates, stockholders, creditors or employees or any other Person; (iii) neither the Administrative Agent nor BAS has assumed or will assume an advisory, agency or fiduciary responsibility in favor of any Loan Party with respect to any of the transactions contemplated hereby or the process leading thereto, including with respect to any amendment, waiver or other modification hereof or of any other Loan Document (irrespective of whether the Administrative Agent or BAS has advised or is currently advising any of the Loan Parties or any of their respective Affiliates on other matters) and neither the Administrative Agent nor BAS has any obligation to any of the Loan Parties or any of their respective Affiliates with respect to the transactions contemplated hereby except those obligations expressly set forth herein and in the other Loan Documents; (iv) the Administrative Agent and BAS and their respective Affiliates may be engaged in a broad range of transactions that involve interests that differ from those of the Loan Parties and their respective Affiliates, and neither the Administrative Agent nor BAS has any obligation to disclose any of such interests by virtue of any advisory, agency or fiduciary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271780</wp:posOffset>
            </wp:positionV>
            <wp:extent cx="7290435" cy="190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83" w:name="page184"/>
    <w:bookmarkEnd w:id="183"/>
    <w:p>
      <w:pPr>
        <w:spacing w:after="0" w:line="260" w:lineRule="auto"/>
        <w:rPr>
          <w:sz w:val="20"/>
          <w:szCs w:val="20"/>
          <w:color w:val="auto"/>
        </w:rPr>
      </w:pPr>
      <w:r>
        <w:rPr>
          <w:rFonts w:ascii="Arial" w:cs="Arial" w:eastAsia="Arial" w:hAnsi="Arial"/>
          <w:sz w:val="13"/>
          <w:szCs w:val="13"/>
          <w:color w:val="auto"/>
        </w:rPr>
        <w:t>relationship; and (v) the Administrative Agent and BAS have not provided and will not provide any legal, accounting, regulatory or tax advice with respect to any of the transactions contemplated hereby (including any amendment, waiver or other modification hereof or of any other Loan Document) and each Loan Party has consulted its own legal, accounting, regulatory and tax advisors to the extent it has deemed appropriate. Each Loan Party hereby waives and releases, to the fullest extent permitted by law, any claims that it may have against the Administrative Agent and BAS with respect to any breach or alleged breach of agency or fiduciary duty.</w:t>
      </w:r>
    </w:p>
    <w:p>
      <w:pPr>
        <w:spacing w:after="0" w:line="60"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0" w:right="279" w:bottom="1440" w:gutter="0" w:footer="0" w:header="0"/>
        </w:sectPr>
      </w:pPr>
    </w:p>
    <w:bookmarkStart w:id="184" w:name="page185"/>
    <w:bookmarkEnd w:id="184"/>
    <w:p>
      <w:pPr>
        <w:ind w:left="320"/>
        <w:spacing w:after="0"/>
        <w:rPr>
          <w:sz w:val="20"/>
          <w:szCs w:val="20"/>
          <w:color w:val="auto"/>
        </w:rPr>
      </w:pPr>
      <w:r>
        <w:rPr>
          <w:rFonts w:ascii="Arial" w:cs="Arial" w:eastAsia="Arial" w:hAnsi="Arial"/>
          <w:sz w:val="13"/>
          <w:szCs w:val="13"/>
          <w:color w:val="auto"/>
        </w:rPr>
        <w:t>IN WITNESS WHEREOF</w:t>
      </w:r>
      <w:r>
        <w:rPr>
          <w:rFonts w:ascii="Arial" w:cs="Arial" w:eastAsia="Arial" w:hAnsi="Arial"/>
          <w:sz w:val="13"/>
          <w:szCs w:val="13"/>
          <w:i w:val="1"/>
          <w:iCs w:val="1"/>
          <w:color w:val="auto"/>
        </w:rPr>
        <w:t>,</w:t>
      </w:r>
      <w:r>
        <w:rPr>
          <w:rFonts w:ascii="Arial" w:cs="Arial" w:eastAsia="Arial" w:hAnsi="Arial"/>
          <w:sz w:val="13"/>
          <w:szCs w:val="13"/>
          <w:color w:val="auto"/>
        </w:rPr>
        <w:t xml:space="preserve"> the parties hereto have caused this Agreement to be duly executed as of the date first above written.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100" w:type="dxa"/>
            <w:vAlign w:val="bottom"/>
          </w:tcPr>
          <w:p>
            <w:pPr>
              <w:spacing w:after="0"/>
              <w:rPr>
                <w:sz w:val="20"/>
                <w:szCs w:val="20"/>
                <w:color w:val="auto"/>
              </w:rPr>
            </w:pPr>
            <w:r>
              <w:rPr>
                <w:rFonts w:ascii="Arial" w:cs="Arial" w:eastAsia="Arial" w:hAnsi="Arial"/>
                <w:sz w:val="13"/>
                <w:szCs w:val="13"/>
                <w:color w:val="auto"/>
              </w:rPr>
              <w:t>BORROWERS:</w:t>
            </w:r>
          </w:p>
        </w:tc>
        <w:tc>
          <w:tcPr>
            <w:tcW w:w="7120" w:type="dxa"/>
            <w:vAlign w:val="bottom"/>
            <w:gridSpan w:val="2"/>
          </w:tcPr>
          <w:p>
            <w:pPr>
              <w:ind w:left="2180"/>
              <w:spacing w:after="0"/>
              <w:rPr>
                <w:sz w:val="20"/>
                <w:szCs w:val="20"/>
                <w:color w:val="auto"/>
              </w:rPr>
            </w:pPr>
            <w:r>
              <w:rPr>
                <w:rFonts w:ascii="Arial" w:cs="Arial" w:eastAsia="Arial" w:hAnsi="Arial"/>
                <w:sz w:val="13"/>
                <w:szCs w:val="13"/>
                <w:color w:val="auto"/>
              </w:rPr>
              <w:t>BRADY CORPORATION,</w:t>
            </w:r>
          </w:p>
        </w:tc>
        <w:tc>
          <w:tcPr>
            <w:tcW w:w="1240" w:type="dxa"/>
            <w:vAlign w:val="bottom"/>
          </w:tcPr>
          <w:p>
            <w:pPr>
              <w:spacing w:after="0"/>
              <w:rPr>
                <w:sz w:val="13"/>
                <w:szCs w:val="13"/>
                <w:color w:val="auto"/>
              </w:rPr>
            </w:pPr>
          </w:p>
        </w:tc>
      </w:tr>
      <w:tr>
        <w:trPr>
          <w:trHeight w:val="165"/>
        </w:trPr>
        <w:tc>
          <w:tcPr>
            <w:tcW w:w="3100" w:type="dxa"/>
            <w:vAlign w:val="bottom"/>
          </w:tcPr>
          <w:p>
            <w:pPr>
              <w:spacing w:after="0"/>
              <w:rPr>
                <w:sz w:val="14"/>
                <w:szCs w:val="14"/>
                <w:color w:val="auto"/>
              </w:rPr>
            </w:pPr>
          </w:p>
        </w:tc>
        <w:tc>
          <w:tcPr>
            <w:tcW w:w="7120" w:type="dxa"/>
            <w:vAlign w:val="bottom"/>
            <w:gridSpan w:val="2"/>
          </w:tcPr>
          <w:p>
            <w:pPr>
              <w:ind w:left="2180"/>
              <w:spacing w:after="0"/>
              <w:rPr>
                <w:sz w:val="20"/>
                <w:szCs w:val="20"/>
                <w:color w:val="auto"/>
              </w:rPr>
            </w:pPr>
            <w:r>
              <w:rPr>
                <w:rFonts w:ascii="Arial" w:cs="Arial" w:eastAsia="Arial" w:hAnsi="Arial"/>
                <w:sz w:val="13"/>
                <w:szCs w:val="13"/>
                <w:color w:val="auto"/>
              </w:rPr>
              <w:t>a Wisconsin corporation</w:t>
            </w:r>
          </w:p>
        </w:tc>
        <w:tc>
          <w:tcPr>
            <w:tcW w:w="1240" w:type="dxa"/>
            <w:vAlign w:val="bottom"/>
          </w:tcPr>
          <w:p>
            <w:pPr>
              <w:spacing w:after="0"/>
              <w:rPr>
                <w:sz w:val="14"/>
                <w:szCs w:val="14"/>
                <w:color w:val="auto"/>
              </w:rPr>
            </w:pPr>
          </w:p>
        </w:tc>
      </w:tr>
      <w:tr>
        <w:trPr>
          <w:trHeight w:val="315"/>
        </w:trPr>
        <w:tc>
          <w:tcPr>
            <w:tcW w:w="3100" w:type="dxa"/>
            <w:vAlign w:val="bottom"/>
          </w:tcPr>
          <w:p>
            <w:pPr>
              <w:spacing w:after="0"/>
              <w:rPr>
                <w:sz w:val="24"/>
                <w:szCs w:val="24"/>
                <w:color w:val="auto"/>
              </w:rPr>
            </w:pPr>
          </w:p>
        </w:tc>
        <w:tc>
          <w:tcPr>
            <w:tcW w:w="2540" w:type="dxa"/>
            <w:vAlign w:val="bottom"/>
          </w:tcPr>
          <w:p>
            <w:pPr>
              <w:ind w:left="2180"/>
              <w:spacing w:after="0"/>
              <w:rPr>
                <w:sz w:val="20"/>
                <w:szCs w:val="20"/>
                <w:color w:val="auto"/>
              </w:rPr>
            </w:pPr>
            <w:r>
              <w:rPr>
                <w:rFonts w:ascii="Arial" w:cs="Arial" w:eastAsia="Arial" w:hAnsi="Arial"/>
                <w:sz w:val="13"/>
                <w:szCs w:val="13"/>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BARBARA BOLENS</w:t>
            </w:r>
          </w:p>
        </w:tc>
        <w:tc>
          <w:tcPr>
            <w:tcW w:w="1240" w:type="dxa"/>
            <w:vAlign w:val="bottom"/>
          </w:tcPr>
          <w:p>
            <w:pPr>
              <w:spacing w:after="0"/>
              <w:rPr>
                <w:sz w:val="24"/>
                <w:szCs w:val="24"/>
                <w:color w:val="auto"/>
              </w:rPr>
            </w:pPr>
          </w:p>
        </w:tc>
      </w:tr>
      <w:tr>
        <w:trPr>
          <w:trHeight w:val="149"/>
        </w:trPr>
        <w:tc>
          <w:tcPr>
            <w:tcW w:w="3100" w:type="dxa"/>
            <w:vAlign w:val="bottom"/>
          </w:tcPr>
          <w:p>
            <w:pPr>
              <w:spacing w:after="0"/>
              <w:rPr>
                <w:sz w:val="12"/>
                <w:szCs w:val="12"/>
                <w:color w:val="auto"/>
              </w:rPr>
            </w:pPr>
          </w:p>
        </w:tc>
        <w:tc>
          <w:tcPr>
            <w:tcW w:w="7120" w:type="dxa"/>
            <w:vAlign w:val="bottom"/>
            <w:gridSpan w:val="2"/>
          </w:tcPr>
          <w:p>
            <w:pPr>
              <w:ind w:left="2180"/>
              <w:spacing w:after="0"/>
              <w:rPr>
                <w:sz w:val="20"/>
                <w:szCs w:val="20"/>
                <w:color w:val="auto"/>
              </w:rPr>
            </w:pPr>
            <w:r>
              <w:rPr>
                <w:rFonts w:ascii="Arial" w:cs="Arial" w:eastAsia="Arial" w:hAnsi="Arial"/>
                <w:sz w:val="13"/>
                <w:szCs w:val="13"/>
                <w:color w:val="auto"/>
              </w:rPr>
              <w:t>Name: Barbara Bolens</w:t>
            </w:r>
          </w:p>
        </w:tc>
        <w:tc>
          <w:tcPr>
            <w:tcW w:w="1240" w:type="dxa"/>
            <w:vAlign w:val="bottom"/>
          </w:tcPr>
          <w:p>
            <w:pPr>
              <w:spacing w:after="0"/>
              <w:rPr>
                <w:sz w:val="12"/>
                <w:szCs w:val="12"/>
                <w:color w:val="auto"/>
              </w:rPr>
            </w:pPr>
          </w:p>
        </w:tc>
      </w:tr>
      <w:tr>
        <w:trPr>
          <w:trHeight w:val="165"/>
        </w:trPr>
        <w:tc>
          <w:tcPr>
            <w:tcW w:w="3100" w:type="dxa"/>
            <w:vAlign w:val="bottom"/>
          </w:tcPr>
          <w:p>
            <w:pPr>
              <w:spacing w:after="0"/>
              <w:rPr>
                <w:sz w:val="14"/>
                <w:szCs w:val="14"/>
                <w:color w:val="auto"/>
              </w:rPr>
            </w:pPr>
          </w:p>
        </w:tc>
        <w:tc>
          <w:tcPr>
            <w:tcW w:w="7120" w:type="dxa"/>
            <w:vAlign w:val="bottom"/>
            <w:gridSpan w:val="2"/>
          </w:tcPr>
          <w:p>
            <w:pPr>
              <w:ind w:left="2180"/>
              <w:spacing w:after="0"/>
              <w:rPr>
                <w:sz w:val="20"/>
                <w:szCs w:val="20"/>
                <w:color w:val="auto"/>
              </w:rPr>
            </w:pPr>
            <w:r>
              <w:rPr>
                <w:rFonts w:ascii="Arial" w:cs="Arial" w:eastAsia="Arial" w:hAnsi="Arial"/>
                <w:sz w:val="13"/>
                <w:szCs w:val="13"/>
                <w:color w:val="auto"/>
              </w:rPr>
              <w:t>Title: VP &amp; Treasure</w:t>
            </w:r>
          </w:p>
        </w:tc>
        <w:tc>
          <w:tcPr>
            <w:tcW w:w="1240" w:type="dxa"/>
            <w:vAlign w:val="bottom"/>
          </w:tcPr>
          <w:p>
            <w:pPr>
              <w:spacing w:after="0"/>
              <w:rPr>
                <w:sz w:val="14"/>
                <w:szCs w:val="14"/>
                <w:color w:val="auto"/>
              </w:rPr>
            </w:pPr>
          </w:p>
        </w:tc>
      </w:tr>
      <w:tr>
        <w:trPr>
          <w:trHeight w:val="307"/>
        </w:trPr>
        <w:tc>
          <w:tcPr>
            <w:tcW w:w="3100" w:type="dxa"/>
            <w:vAlign w:val="bottom"/>
          </w:tcPr>
          <w:p>
            <w:pPr>
              <w:spacing w:after="0"/>
              <w:rPr>
                <w:sz w:val="24"/>
                <w:szCs w:val="24"/>
                <w:color w:val="auto"/>
              </w:rPr>
            </w:pPr>
          </w:p>
        </w:tc>
        <w:tc>
          <w:tcPr>
            <w:tcW w:w="7120" w:type="dxa"/>
            <w:vAlign w:val="bottom"/>
            <w:gridSpan w:val="2"/>
          </w:tcPr>
          <w:p>
            <w:pPr>
              <w:ind w:left="2180"/>
              <w:spacing w:after="0"/>
              <w:rPr>
                <w:sz w:val="20"/>
                <w:szCs w:val="20"/>
                <w:color w:val="auto"/>
              </w:rPr>
            </w:pPr>
            <w:r>
              <w:rPr>
                <w:rFonts w:ascii="Arial" w:cs="Arial" w:eastAsia="Arial" w:hAnsi="Arial"/>
                <w:sz w:val="13"/>
                <w:szCs w:val="13"/>
                <w:color w:val="auto"/>
              </w:rPr>
              <w:t>BRADY WORLDWIDE, INC.,</w:t>
            </w:r>
          </w:p>
        </w:tc>
        <w:tc>
          <w:tcPr>
            <w:tcW w:w="1240" w:type="dxa"/>
            <w:vAlign w:val="bottom"/>
          </w:tcPr>
          <w:p>
            <w:pPr>
              <w:spacing w:after="0"/>
              <w:rPr>
                <w:sz w:val="24"/>
                <w:szCs w:val="24"/>
                <w:color w:val="auto"/>
              </w:rPr>
            </w:pPr>
          </w:p>
        </w:tc>
      </w:tr>
      <w:tr>
        <w:trPr>
          <w:trHeight w:val="165"/>
        </w:trPr>
        <w:tc>
          <w:tcPr>
            <w:tcW w:w="3100" w:type="dxa"/>
            <w:vAlign w:val="bottom"/>
          </w:tcPr>
          <w:p>
            <w:pPr>
              <w:spacing w:after="0"/>
              <w:rPr>
                <w:sz w:val="14"/>
                <w:szCs w:val="14"/>
                <w:color w:val="auto"/>
              </w:rPr>
            </w:pPr>
          </w:p>
        </w:tc>
        <w:tc>
          <w:tcPr>
            <w:tcW w:w="7120" w:type="dxa"/>
            <w:vAlign w:val="bottom"/>
            <w:gridSpan w:val="2"/>
          </w:tcPr>
          <w:p>
            <w:pPr>
              <w:ind w:left="2180"/>
              <w:spacing w:after="0"/>
              <w:rPr>
                <w:sz w:val="20"/>
                <w:szCs w:val="20"/>
                <w:color w:val="auto"/>
              </w:rPr>
            </w:pPr>
            <w:r>
              <w:rPr>
                <w:rFonts w:ascii="Arial" w:cs="Arial" w:eastAsia="Arial" w:hAnsi="Arial"/>
                <w:sz w:val="13"/>
                <w:szCs w:val="13"/>
                <w:color w:val="auto"/>
              </w:rPr>
              <w:t>a Wisconsin corporation</w:t>
            </w:r>
          </w:p>
        </w:tc>
        <w:tc>
          <w:tcPr>
            <w:tcW w:w="1240" w:type="dxa"/>
            <w:vAlign w:val="bottom"/>
          </w:tcPr>
          <w:p>
            <w:pPr>
              <w:spacing w:after="0"/>
              <w:rPr>
                <w:sz w:val="14"/>
                <w:szCs w:val="14"/>
                <w:color w:val="auto"/>
              </w:rPr>
            </w:pPr>
          </w:p>
        </w:tc>
      </w:tr>
      <w:tr>
        <w:trPr>
          <w:trHeight w:val="315"/>
        </w:trPr>
        <w:tc>
          <w:tcPr>
            <w:tcW w:w="3100" w:type="dxa"/>
            <w:vAlign w:val="bottom"/>
          </w:tcPr>
          <w:p>
            <w:pPr>
              <w:spacing w:after="0"/>
              <w:rPr>
                <w:sz w:val="24"/>
                <w:szCs w:val="24"/>
                <w:color w:val="auto"/>
              </w:rPr>
            </w:pPr>
          </w:p>
        </w:tc>
        <w:tc>
          <w:tcPr>
            <w:tcW w:w="2540" w:type="dxa"/>
            <w:vAlign w:val="bottom"/>
          </w:tcPr>
          <w:p>
            <w:pPr>
              <w:ind w:left="2180"/>
              <w:spacing w:after="0"/>
              <w:rPr>
                <w:sz w:val="20"/>
                <w:szCs w:val="20"/>
                <w:color w:val="auto"/>
              </w:rPr>
            </w:pPr>
            <w:r>
              <w:rPr>
                <w:rFonts w:ascii="Arial" w:cs="Arial" w:eastAsia="Arial" w:hAnsi="Arial"/>
                <w:sz w:val="13"/>
                <w:szCs w:val="13"/>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BARBARA BOLENS</w:t>
            </w:r>
          </w:p>
        </w:tc>
        <w:tc>
          <w:tcPr>
            <w:tcW w:w="1240" w:type="dxa"/>
            <w:vAlign w:val="bottom"/>
          </w:tcPr>
          <w:p>
            <w:pPr>
              <w:spacing w:after="0"/>
              <w:rPr>
                <w:sz w:val="24"/>
                <w:szCs w:val="24"/>
                <w:color w:val="auto"/>
              </w:rPr>
            </w:pPr>
          </w:p>
        </w:tc>
      </w:tr>
      <w:tr>
        <w:trPr>
          <w:trHeight w:val="149"/>
        </w:trPr>
        <w:tc>
          <w:tcPr>
            <w:tcW w:w="3100" w:type="dxa"/>
            <w:vAlign w:val="bottom"/>
          </w:tcPr>
          <w:p>
            <w:pPr>
              <w:spacing w:after="0"/>
              <w:rPr>
                <w:sz w:val="12"/>
                <w:szCs w:val="12"/>
                <w:color w:val="auto"/>
              </w:rPr>
            </w:pPr>
          </w:p>
        </w:tc>
        <w:tc>
          <w:tcPr>
            <w:tcW w:w="7120" w:type="dxa"/>
            <w:vAlign w:val="bottom"/>
            <w:gridSpan w:val="2"/>
          </w:tcPr>
          <w:p>
            <w:pPr>
              <w:ind w:left="2180"/>
              <w:spacing w:after="0"/>
              <w:rPr>
                <w:sz w:val="20"/>
                <w:szCs w:val="20"/>
                <w:color w:val="auto"/>
              </w:rPr>
            </w:pPr>
            <w:r>
              <w:rPr>
                <w:rFonts w:ascii="Arial" w:cs="Arial" w:eastAsia="Arial" w:hAnsi="Arial"/>
                <w:sz w:val="13"/>
                <w:szCs w:val="13"/>
                <w:color w:val="auto"/>
              </w:rPr>
              <w:t>Name: Barbara Bolens</w:t>
            </w:r>
          </w:p>
        </w:tc>
        <w:tc>
          <w:tcPr>
            <w:tcW w:w="1240" w:type="dxa"/>
            <w:vAlign w:val="bottom"/>
          </w:tcPr>
          <w:p>
            <w:pPr>
              <w:spacing w:after="0"/>
              <w:rPr>
                <w:sz w:val="12"/>
                <w:szCs w:val="12"/>
                <w:color w:val="auto"/>
              </w:rPr>
            </w:pPr>
          </w:p>
        </w:tc>
      </w:tr>
      <w:tr>
        <w:trPr>
          <w:trHeight w:val="165"/>
        </w:trPr>
        <w:tc>
          <w:tcPr>
            <w:tcW w:w="3100" w:type="dxa"/>
            <w:vAlign w:val="bottom"/>
          </w:tcPr>
          <w:p>
            <w:pPr>
              <w:spacing w:after="0"/>
              <w:rPr>
                <w:sz w:val="14"/>
                <w:szCs w:val="14"/>
                <w:color w:val="auto"/>
              </w:rPr>
            </w:pPr>
          </w:p>
        </w:tc>
        <w:tc>
          <w:tcPr>
            <w:tcW w:w="7120" w:type="dxa"/>
            <w:vAlign w:val="bottom"/>
            <w:gridSpan w:val="2"/>
          </w:tcPr>
          <w:p>
            <w:pPr>
              <w:ind w:left="2180"/>
              <w:spacing w:after="0"/>
              <w:rPr>
                <w:sz w:val="20"/>
                <w:szCs w:val="20"/>
                <w:color w:val="auto"/>
              </w:rPr>
            </w:pPr>
            <w:r>
              <w:rPr>
                <w:rFonts w:ascii="Arial" w:cs="Arial" w:eastAsia="Arial" w:hAnsi="Arial"/>
                <w:sz w:val="13"/>
                <w:szCs w:val="13"/>
                <w:color w:val="auto"/>
              </w:rPr>
              <w:t>Title: Vice President</w:t>
            </w:r>
          </w:p>
        </w:tc>
        <w:tc>
          <w:tcPr>
            <w:tcW w:w="1240" w:type="dxa"/>
            <w:vAlign w:val="bottom"/>
          </w:tcPr>
          <w:p>
            <w:pPr>
              <w:spacing w:after="0"/>
              <w:rPr>
                <w:sz w:val="14"/>
                <w:szCs w:val="14"/>
                <w:color w:val="auto"/>
              </w:rPr>
            </w:pPr>
          </w:p>
        </w:tc>
      </w:tr>
      <w:tr>
        <w:trPr>
          <w:trHeight w:val="307"/>
        </w:trPr>
        <w:tc>
          <w:tcPr>
            <w:tcW w:w="3100" w:type="dxa"/>
            <w:vAlign w:val="bottom"/>
          </w:tcPr>
          <w:p>
            <w:pPr>
              <w:spacing w:after="0"/>
              <w:rPr>
                <w:sz w:val="24"/>
                <w:szCs w:val="24"/>
                <w:color w:val="auto"/>
              </w:rPr>
            </w:pPr>
          </w:p>
        </w:tc>
        <w:tc>
          <w:tcPr>
            <w:tcW w:w="7120" w:type="dxa"/>
            <w:vAlign w:val="bottom"/>
            <w:gridSpan w:val="2"/>
          </w:tcPr>
          <w:p>
            <w:pPr>
              <w:ind w:left="2180"/>
              <w:spacing w:after="0"/>
              <w:rPr>
                <w:sz w:val="20"/>
                <w:szCs w:val="20"/>
                <w:color w:val="auto"/>
              </w:rPr>
            </w:pPr>
            <w:r>
              <w:rPr>
                <w:rFonts w:ascii="Arial" w:cs="Arial" w:eastAsia="Arial" w:hAnsi="Arial"/>
                <w:sz w:val="13"/>
                <w:szCs w:val="13"/>
                <w:color w:val="auto"/>
              </w:rPr>
              <w:t>TRICOR DIRECT, INC.,</w:t>
            </w:r>
          </w:p>
        </w:tc>
        <w:tc>
          <w:tcPr>
            <w:tcW w:w="1240" w:type="dxa"/>
            <w:vAlign w:val="bottom"/>
          </w:tcPr>
          <w:p>
            <w:pPr>
              <w:spacing w:after="0"/>
              <w:rPr>
                <w:sz w:val="24"/>
                <w:szCs w:val="24"/>
                <w:color w:val="auto"/>
              </w:rPr>
            </w:pPr>
          </w:p>
        </w:tc>
      </w:tr>
      <w:tr>
        <w:trPr>
          <w:trHeight w:val="165"/>
        </w:trPr>
        <w:tc>
          <w:tcPr>
            <w:tcW w:w="3100" w:type="dxa"/>
            <w:vAlign w:val="bottom"/>
          </w:tcPr>
          <w:p>
            <w:pPr>
              <w:spacing w:after="0"/>
              <w:rPr>
                <w:sz w:val="14"/>
                <w:szCs w:val="14"/>
                <w:color w:val="auto"/>
              </w:rPr>
            </w:pPr>
          </w:p>
        </w:tc>
        <w:tc>
          <w:tcPr>
            <w:tcW w:w="7120" w:type="dxa"/>
            <w:vAlign w:val="bottom"/>
            <w:gridSpan w:val="2"/>
          </w:tcPr>
          <w:p>
            <w:pPr>
              <w:ind w:left="2180"/>
              <w:spacing w:after="0"/>
              <w:rPr>
                <w:sz w:val="20"/>
                <w:szCs w:val="20"/>
                <w:color w:val="auto"/>
              </w:rPr>
            </w:pPr>
            <w:r>
              <w:rPr>
                <w:rFonts w:ascii="Arial" w:cs="Arial" w:eastAsia="Arial" w:hAnsi="Arial"/>
                <w:sz w:val="13"/>
                <w:szCs w:val="13"/>
                <w:color w:val="auto"/>
              </w:rPr>
              <w:t>a Delaware corporation</w:t>
            </w:r>
          </w:p>
        </w:tc>
        <w:tc>
          <w:tcPr>
            <w:tcW w:w="1240" w:type="dxa"/>
            <w:vAlign w:val="bottom"/>
          </w:tcPr>
          <w:p>
            <w:pPr>
              <w:spacing w:after="0"/>
              <w:rPr>
                <w:sz w:val="14"/>
                <w:szCs w:val="14"/>
                <w:color w:val="auto"/>
              </w:rPr>
            </w:pPr>
          </w:p>
        </w:tc>
      </w:tr>
      <w:tr>
        <w:trPr>
          <w:trHeight w:val="315"/>
        </w:trPr>
        <w:tc>
          <w:tcPr>
            <w:tcW w:w="3100" w:type="dxa"/>
            <w:vAlign w:val="bottom"/>
          </w:tcPr>
          <w:p>
            <w:pPr>
              <w:spacing w:after="0"/>
              <w:rPr>
                <w:sz w:val="24"/>
                <w:szCs w:val="24"/>
                <w:color w:val="auto"/>
              </w:rPr>
            </w:pPr>
          </w:p>
        </w:tc>
        <w:tc>
          <w:tcPr>
            <w:tcW w:w="2540" w:type="dxa"/>
            <w:vAlign w:val="bottom"/>
          </w:tcPr>
          <w:p>
            <w:pPr>
              <w:ind w:left="2180"/>
              <w:spacing w:after="0"/>
              <w:rPr>
                <w:sz w:val="20"/>
                <w:szCs w:val="20"/>
                <w:color w:val="auto"/>
              </w:rPr>
            </w:pPr>
            <w:r>
              <w:rPr>
                <w:rFonts w:ascii="Arial" w:cs="Arial" w:eastAsia="Arial" w:hAnsi="Arial"/>
                <w:sz w:val="13"/>
                <w:szCs w:val="13"/>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BARBARA BOLENS</w:t>
            </w:r>
          </w:p>
        </w:tc>
        <w:tc>
          <w:tcPr>
            <w:tcW w:w="1240" w:type="dxa"/>
            <w:vAlign w:val="bottom"/>
          </w:tcPr>
          <w:p>
            <w:pPr>
              <w:spacing w:after="0"/>
              <w:rPr>
                <w:sz w:val="24"/>
                <w:szCs w:val="24"/>
                <w:color w:val="auto"/>
              </w:rPr>
            </w:pPr>
          </w:p>
        </w:tc>
      </w:tr>
      <w:tr>
        <w:trPr>
          <w:trHeight w:val="149"/>
        </w:trPr>
        <w:tc>
          <w:tcPr>
            <w:tcW w:w="3100" w:type="dxa"/>
            <w:vAlign w:val="bottom"/>
          </w:tcPr>
          <w:p>
            <w:pPr>
              <w:spacing w:after="0"/>
              <w:rPr>
                <w:sz w:val="12"/>
                <w:szCs w:val="12"/>
                <w:color w:val="auto"/>
              </w:rPr>
            </w:pPr>
          </w:p>
        </w:tc>
        <w:tc>
          <w:tcPr>
            <w:tcW w:w="7120" w:type="dxa"/>
            <w:vAlign w:val="bottom"/>
            <w:gridSpan w:val="2"/>
          </w:tcPr>
          <w:p>
            <w:pPr>
              <w:ind w:left="2180"/>
              <w:spacing w:after="0"/>
              <w:rPr>
                <w:sz w:val="20"/>
                <w:szCs w:val="20"/>
                <w:color w:val="auto"/>
              </w:rPr>
            </w:pPr>
            <w:r>
              <w:rPr>
                <w:rFonts w:ascii="Arial" w:cs="Arial" w:eastAsia="Arial" w:hAnsi="Arial"/>
                <w:sz w:val="13"/>
                <w:szCs w:val="13"/>
                <w:color w:val="auto"/>
              </w:rPr>
              <w:t>Name: Barbara Bolens</w:t>
            </w:r>
          </w:p>
        </w:tc>
        <w:tc>
          <w:tcPr>
            <w:tcW w:w="1240" w:type="dxa"/>
            <w:vAlign w:val="bottom"/>
          </w:tcPr>
          <w:p>
            <w:pPr>
              <w:spacing w:after="0"/>
              <w:rPr>
                <w:sz w:val="12"/>
                <w:szCs w:val="12"/>
                <w:color w:val="auto"/>
              </w:rPr>
            </w:pPr>
          </w:p>
        </w:tc>
      </w:tr>
      <w:tr>
        <w:trPr>
          <w:trHeight w:val="165"/>
        </w:trPr>
        <w:tc>
          <w:tcPr>
            <w:tcW w:w="3100" w:type="dxa"/>
            <w:vAlign w:val="bottom"/>
          </w:tcPr>
          <w:p>
            <w:pPr>
              <w:spacing w:after="0"/>
              <w:rPr>
                <w:sz w:val="14"/>
                <w:szCs w:val="14"/>
                <w:color w:val="auto"/>
              </w:rPr>
            </w:pPr>
          </w:p>
        </w:tc>
        <w:tc>
          <w:tcPr>
            <w:tcW w:w="7120" w:type="dxa"/>
            <w:vAlign w:val="bottom"/>
            <w:gridSpan w:val="2"/>
          </w:tcPr>
          <w:p>
            <w:pPr>
              <w:ind w:left="2180"/>
              <w:spacing w:after="0"/>
              <w:rPr>
                <w:sz w:val="20"/>
                <w:szCs w:val="20"/>
                <w:color w:val="auto"/>
              </w:rPr>
            </w:pPr>
            <w:r>
              <w:rPr>
                <w:rFonts w:ascii="Arial" w:cs="Arial" w:eastAsia="Arial" w:hAnsi="Arial"/>
                <w:sz w:val="13"/>
                <w:szCs w:val="13"/>
                <w:color w:val="auto"/>
              </w:rPr>
              <w:t>Title: Vice President</w:t>
            </w:r>
          </w:p>
        </w:tc>
        <w:tc>
          <w:tcPr>
            <w:tcW w:w="1240" w:type="dxa"/>
            <w:vAlign w:val="bottom"/>
          </w:tcPr>
          <w:p>
            <w:pPr>
              <w:spacing w:after="0"/>
              <w:rPr>
                <w:sz w:val="14"/>
                <w:szCs w:val="14"/>
                <w:color w:val="auto"/>
              </w:rPr>
            </w:pPr>
          </w:p>
        </w:tc>
      </w:tr>
      <w:tr>
        <w:trPr>
          <w:trHeight w:val="307"/>
        </w:trPr>
        <w:tc>
          <w:tcPr>
            <w:tcW w:w="3100" w:type="dxa"/>
            <w:vAlign w:val="bottom"/>
          </w:tcPr>
          <w:p>
            <w:pPr>
              <w:spacing w:after="0"/>
              <w:rPr>
                <w:sz w:val="20"/>
                <w:szCs w:val="20"/>
                <w:color w:val="auto"/>
              </w:rPr>
            </w:pPr>
            <w:r>
              <w:rPr>
                <w:rFonts w:ascii="Arial" w:cs="Arial" w:eastAsia="Arial" w:hAnsi="Arial"/>
                <w:sz w:val="13"/>
                <w:szCs w:val="13"/>
                <w:color w:val="auto"/>
              </w:rPr>
              <w:t>GUARANTORS:</w:t>
            </w:r>
          </w:p>
        </w:tc>
        <w:tc>
          <w:tcPr>
            <w:tcW w:w="7120" w:type="dxa"/>
            <w:vAlign w:val="bottom"/>
            <w:gridSpan w:val="2"/>
          </w:tcPr>
          <w:p>
            <w:pPr>
              <w:ind w:left="2180"/>
              <w:spacing w:after="0"/>
              <w:rPr>
                <w:sz w:val="20"/>
                <w:szCs w:val="20"/>
                <w:color w:val="auto"/>
              </w:rPr>
            </w:pPr>
            <w:r>
              <w:rPr>
                <w:rFonts w:ascii="Arial" w:cs="Arial" w:eastAsia="Arial" w:hAnsi="Arial"/>
                <w:sz w:val="13"/>
                <w:szCs w:val="13"/>
                <w:color w:val="auto"/>
              </w:rPr>
              <w:t>BRADY INTERNATIONAL CO.,</w:t>
            </w:r>
          </w:p>
        </w:tc>
        <w:tc>
          <w:tcPr>
            <w:tcW w:w="1240" w:type="dxa"/>
            <w:vAlign w:val="bottom"/>
          </w:tcPr>
          <w:p>
            <w:pPr>
              <w:spacing w:after="0"/>
              <w:rPr>
                <w:sz w:val="24"/>
                <w:szCs w:val="24"/>
                <w:color w:val="auto"/>
              </w:rPr>
            </w:pPr>
          </w:p>
        </w:tc>
      </w:tr>
      <w:tr>
        <w:trPr>
          <w:trHeight w:val="165"/>
        </w:trPr>
        <w:tc>
          <w:tcPr>
            <w:tcW w:w="3100" w:type="dxa"/>
            <w:vAlign w:val="bottom"/>
          </w:tcPr>
          <w:p>
            <w:pPr>
              <w:spacing w:after="0"/>
              <w:rPr>
                <w:sz w:val="14"/>
                <w:szCs w:val="14"/>
                <w:color w:val="auto"/>
              </w:rPr>
            </w:pPr>
          </w:p>
        </w:tc>
        <w:tc>
          <w:tcPr>
            <w:tcW w:w="7120" w:type="dxa"/>
            <w:vAlign w:val="bottom"/>
            <w:gridSpan w:val="2"/>
          </w:tcPr>
          <w:p>
            <w:pPr>
              <w:ind w:left="2180"/>
              <w:spacing w:after="0"/>
              <w:rPr>
                <w:sz w:val="20"/>
                <w:szCs w:val="20"/>
                <w:color w:val="auto"/>
              </w:rPr>
            </w:pPr>
            <w:r>
              <w:rPr>
                <w:rFonts w:ascii="Arial" w:cs="Arial" w:eastAsia="Arial" w:hAnsi="Arial"/>
                <w:sz w:val="13"/>
                <w:szCs w:val="13"/>
                <w:color w:val="auto"/>
              </w:rPr>
              <w:t>a Wisconsin corporation</w:t>
            </w:r>
          </w:p>
        </w:tc>
        <w:tc>
          <w:tcPr>
            <w:tcW w:w="1240" w:type="dxa"/>
            <w:vAlign w:val="bottom"/>
          </w:tcPr>
          <w:p>
            <w:pPr>
              <w:spacing w:after="0"/>
              <w:rPr>
                <w:sz w:val="14"/>
                <w:szCs w:val="14"/>
                <w:color w:val="auto"/>
              </w:rPr>
            </w:pPr>
          </w:p>
        </w:tc>
      </w:tr>
      <w:tr>
        <w:trPr>
          <w:trHeight w:val="315"/>
        </w:trPr>
        <w:tc>
          <w:tcPr>
            <w:tcW w:w="3100" w:type="dxa"/>
            <w:vAlign w:val="bottom"/>
          </w:tcPr>
          <w:p>
            <w:pPr>
              <w:spacing w:after="0"/>
              <w:rPr>
                <w:sz w:val="24"/>
                <w:szCs w:val="24"/>
                <w:color w:val="auto"/>
              </w:rPr>
            </w:pPr>
          </w:p>
        </w:tc>
        <w:tc>
          <w:tcPr>
            <w:tcW w:w="2540" w:type="dxa"/>
            <w:vAlign w:val="bottom"/>
          </w:tcPr>
          <w:p>
            <w:pPr>
              <w:ind w:left="2180"/>
              <w:spacing w:after="0"/>
              <w:rPr>
                <w:sz w:val="20"/>
                <w:szCs w:val="20"/>
                <w:color w:val="auto"/>
              </w:rPr>
            </w:pPr>
            <w:r>
              <w:rPr>
                <w:rFonts w:ascii="Arial" w:cs="Arial" w:eastAsia="Arial" w:hAnsi="Arial"/>
                <w:sz w:val="13"/>
                <w:szCs w:val="13"/>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BARBARA BOLENS</w:t>
            </w:r>
          </w:p>
        </w:tc>
        <w:tc>
          <w:tcPr>
            <w:tcW w:w="1240" w:type="dxa"/>
            <w:vAlign w:val="bottom"/>
          </w:tcPr>
          <w:p>
            <w:pPr>
              <w:spacing w:after="0"/>
              <w:rPr>
                <w:sz w:val="24"/>
                <w:szCs w:val="24"/>
                <w:color w:val="auto"/>
              </w:rPr>
            </w:pPr>
          </w:p>
        </w:tc>
      </w:tr>
      <w:tr>
        <w:trPr>
          <w:trHeight w:val="149"/>
        </w:trPr>
        <w:tc>
          <w:tcPr>
            <w:tcW w:w="3100" w:type="dxa"/>
            <w:vAlign w:val="bottom"/>
          </w:tcPr>
          <w:p>
            <w:pPr>
              <w:spacing w:after="0"/>
              <w:rPr>
                <w:sz w:val="12"/>
                <w:szCs w:val="12"/>
                <w:color w:val="auto"/>
              </w:rPr>
            </w:pPr>
          </w:p>
        </w:tc>
        <w:tc>
          <w:tcPr>
            <w:tcW w:w="7120" w:type="dxa"/>
            <w:vAlign w:val="bottom"/>
            <w:gridSpan w:val="2"/>
          </w:tcPr>
          <w:p>
            <w:pPr>
              <w:ind w:left="2180"/>
              <w:spacing w:after="0"/>
              <w:rPr>
                <w:sz w:val="20"/>
                <w:szCs w:val="20"/>
                <w:color w:val="auto"/>
              </w:rPr>
            </w:pPr>
            <w:r>
              <w:rPr>
                <w:rFonts w:ascii="Arial" w:cs="Arial" w:eastAsia="Arial" w:hAnsi="Arial"/>
                <w:sz w:val="13"/>
                <w:szCs w:val="13"/>
                <w:color w:val="auto"/>
              </w:rPr>
              <w:t>Name: Barbara Bolens</w:t>
            </w:r>
          </w:p>
        </w:tc>
        <w:tc>
          <w:tcPr>
            <w:tcW w:w="1240" w:type="dxa"/>
            <w:vAlign w:val="bottom"/>
          </w:tcPr>
          <w:p>
            <w:pPr>
              <w:spacing w:after="0"/>
              <w:rPr>
                <w:sz w:val="12"/>
                <w:szCs w:val="12"/>
                <w:color w:val="auto"/>
              </w:rPr>
            </w:pPr>
          </w:p>
        </w:tc>
      </w:tr>
      <w:tr>
        <w:trPr>
          <w:trHeight w:val="165"/>
        </w:trPr>
        <w:tc>
          <w:tcPr>
            <w:tcW w:w="3100" w:type="dxa"/>
            <w:vAlign w:val="bottom"/>
          </w:tcPr>
          <w:p>
            <w:pPr>
              <w:spacing w:after="0"/>
              <w:rPr>
                <w:sz w:val="14"/>
                <w:szCs w:val="14"/>
                <w:color w:val="auto"/>
              </w:rPr>
            </w:pPr>
          </w:p>
        </w:tc>
        <w:tc>
          <w:tcPr>
            <w:tcW w:w="7120" w:type="dxa"/>
            <w:vAlign w:val="bottom"/>
            <w:gridSpan w:val="2"/>
          </w:tcPr>
          <w:p>
            <w:pPr>
              <w:ind w:left="2180"/>
              <w:spacing w:after="0"/>
              <w:rPr>
                <w:sz w:val="20"/>
                <w:szCs w:val="20"/>
                <w:color w:val="auto"/>
              </w:rPr>
            </w:pPr>
            <w:r>
              <w:rPr>
                <w:rFonts w:ascii="Arial" w:cs="Arial" w:eastAsia="Arial" w:hAnsi="Arial"/>
                <w:sz w:val="13"/>
                <w:szCs w:val="13"/>
                <w:color w:val="auto"/>
              </w:rPr>
              <w:t>Title: Vice President</w:t>
            </w:r>
          </w:p>
        </w:tc>
        <w:tc>
          <w:tcPr>
            <w:tcW w:w="1240" w:type="dxa"/>
            <w:vAlign w:val="bottom"/>
          </w:tcPr>
          <w:p>
            <w:pPr>
              <w:spacing w:after="0"/>
              <w:rPr>
                <w:sz w:val="14"/>
                <w:szCs w:val="14"/>
                <w:color w:val="auto"/>
              </w:rPr>
            </w:pPr>
          </w:p>
        </w:tc>
      </w:tr>
      <w:tr>
        <w:trPr>
          <w:trHeight w:val="307"/>
        </w:trPr>
        <w:tc>
          <w:tcPr>
            <w:tcW w:w="3100" w:type="dxa"/>
            <w:vAlign w:val="bottom"/>
          </w:tcPr>
          <w:p>
            <w:pPr>
              <w:spacing w:after="0"/>
              <w:rPr>
                <w:sz w:val="24"/>
                <w:szCs w:val="24"/>
                <w:color w:val="auto"/>
              </w:rPr>
            </w:pPr>
          </w:p>
        </w:tc>
        <w:tc>
          <w:tcPr>
            <w:tcW w:w="7120" w:type="dxa"/>
            <w:vAlign w:val="bottom"/>
            <w:gridSpan w:val="2"/>
          </w:tcPr>
          <w:p>
            <w:pPr>
              <w:ind w:left="2180"/>
              <w:spacing w:after="0"/>
              <w:rPr>
                <w:sz w:val="20"/>
                <w:szCs w:val="20"/>
                <w:color w:val="auto"/>
              </w:rPr>
            </w:pPr>
            <w:r>
              <w:rPr>
                <w:rFonts w:ascii="Arial" w:cs="Arial" w:eastAsia="Arial" w:hAnsi="Arial"/>
                <w:sz w:val="13"/>
                <w:szCs w:val="13"/>
                <w:color w:val="auto"/>
              </w:rPr>
              <w:t>BRADY INVESTMENT CO.,</w:t>
            </w:r>
          </w:p>
        </w:tc>
        <w:tc>
          <w:tcPr>
            <w:tcW w:w="1240" w:type="dxa"/>
            <w:vAlign w:val="bottom"/>
          </w:tcPr>
          <w:p>
            <w:pPr>
              <w:spacing w:after="0"/>
              <w:rPr>
                <w:sz w:val="24"/>
                <w:szCs w:val="24"/>
                <w:color w:val="auto"/>
              </w:rPr>
            </w:pPr>
          </w:p>
        </w:tc>
      </w:tr>
      <w:tr>
        <w:trPr>
          <w:trHeight w:val="165"/>
        </w:trPr>
        <w:tc>
          <w:tcPr>
            <w:tcW w:w="3100" w:type="dxa"/>
            <w:vAlign w:val="bottom"/>
          </w:tcPr>
          <w:p>
            <w:pPr>
              <w:spacing w:after="0"/>
              <w:rPr>
                <w:sz w:val="14"/>
                <w:szCs w:val="14"/>
                <w:color w:val="auto"/>
              </w:rPr>
            </w:pPr>
          </w:p>
        </w:tc>
        <w:tc>
          <w:tcPr>
            <w:tcW w:w="7120" w:type="dxa"/>
            <w:vAlign w:val="bottom"/>
            <w:gridSpan w:val="2"/>
          </w:tcPr>
          <w:p>
            <w:pPr>
              <w:ind w:left="2180"/>
              <w:spacing w:after="0"/>
              <w:rPr>
                <w:sz w:val="20"/>
                <w:szCs w:val="20"/>
                <w:color w:val="auto"/>
              </w:rPr>
            </w:pPr>
            <w:r>
              <w:rPr>
                <w:rFonts w:ascii="Arial" w:cs="Arial" w:eastAsia="Arial" w:hAnsi="Arial"/>
                <w:sz w:val="13"/>
                <w:szCs w:val="13"/>
                <w:color w:val="auto"/>
              </w:rPr>
              <w:t>a Nevada corporation</w:t>
            </w:r>
          </w:p>
        </w:tc>
        <w:tc>
          <w:tcPr>
            <w:tcW w:w="1240" w:type="dxa"/>
            <w:vAlign w:val="bottom"/>
          </w:tcPr>
          <w:p>
            <w:pPr>
              <w:spacing w:after="0"/>
              <w:rPr>
                <w:sz w:val="14"/>
                <w:szCs w:val="14"/>
                <w:color w:val="auto"/>
              </w:rPr>
            </w:pPr>
          </w:p>
        </w:tc>
      </w:tr>
      <w:tr>
        <w:trPr>
          <w:trHeight w:val="315"/>
        </w:trPr>
        <w:tc>
          <w:tcPr>
            <w:tcW w:w="3100" w:type="dxa"/>
            <w:vAlign w:val="bottom"/>
          </w:tcPr>
          <w:p>
            <w:pPr>
              <w:spacing w:after="0"/>
              <w:rPr>
                <w:sz w:val="24"/>
                <w:szCs w:val="24"/>
                <w:color w:val="auto"/>
              </w:rPr>
            </w:pPr>
          </w:p>
        </w:tc>
        <w:tc>
          <w:tcPr>
            <w:tcW w:w="2540" w:type="dxa"/>
            <w:vAlign w:val="bottom"/>
          </w:tcPr>
          <w:p>
            <w:pPr>
              <w:ind w:left="2180"/>
              <w:spacing w:after="0"/>
              <w:rPr>
                <w:sz w:val="20"/>
                <w:szCs w:val="20"/>
                <w:color w:val="auto"/>
              </w:rPr>
            </w:pPr>
            <w:r>
              <w:rPr>
                <w:rFonts w:ascii="Arial" w:cs="Arial" w:eastAsia="Arial" w:hAnsi="Arial"/>
                <w:sz w:val="13"/>
                <w:szCs w:val="13"/>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BARBARA BOLENS</w:t>
            </w:r>
          </w:p>
        </w:tc>
        <w:tc>
          <w:tcPr>
            <w:tcW w:w="1240" w:type="dxa"/>
            <w:vAlign w:val="bottom"/>
          </w:tcPr>
          <w:p>
            <w:pPr>
              <w:spacing w:after="0"/>
              <w:rPr>
                <w:sz w:val="24"/>
                <w:szCs w:val="24"/>
                <w:color w:val="auto"/>
              </w:rPr>
            </w:pPr>
          </w:p>
        </w:tc>
      </w:tr>
      <w:tr>
        <w:trPr>
          <w:trHeight w:val="149"/>
        </w:trPr>
        <w:tc>
          <w:tcPr>
            <w:tcW w:w="3100" w:type="dxa"/>
            <w:vAlign w:val="bottom"/>
          </w:tcPr>
          <w:p>
            <w:pPr>
              <w:spacing w:after="0"/>
              <w:rPr>
                <w:sz w:val="12"/>
                <w:szCs w:val="12"/>
                <w:color w:val="auto"/>
              </w:rPr>
            </w:pPr>
          </w:p>
        </w:tc>
        <w:tc>
          <w:tcPr>
            <w:tcW w:w="7120" w:type="dxa"/>
            <w:vAlign w:val="bottom"/>
            <w:gridSpan w:val="2"/>
          </w:tcPr>
          <w:p>
            <w:pPr>
              <w:ind w:left="2180"/>
              <w:spacing w:after="0"/>
              <w:rPr>
                <w:sz w:val="20"/>
                <w:szCs w:val="20"/>
                <w:color w:val="auto"/>
              </w:rPr>
            </w:pPr>
            <w:r>
              <w:rPr>
                <w:rFonts w:ascii="Arial" w:cs="Arial" w:eastAsia="Arial" w:hAnsi="Arial"/>
                <w:sz w:val="13"/>
                <w:szCs w:val="13"/>
                <w:color w:val="auto"/>
              </w:rPr>
              <w:t>Name: Barbara Bolens</w:t>
            </w:r>
          </w:p>
        </w:tc>
        <w:tc>
          <w:tcPr>
            <w:tcW w:w="1240" w:type="dxa"/>
            <w:vAlign w:val="bottom"/>
          </w:tcPr>
          <w:p>
            <w:pPr>
              <w:spacing w:after="0"/>
              <w:rPr>
                <w:sz w:val="12"/>
                <w:szCs w:val="12"/>
                <w:color w:val="auto"/>
              </w:rPr>
            </w:pPr>
          </w:p>
        </w:tc>
      </w:tr>
      <w:tr>
        <w:trPr>
          <w:trHeight w:val="165"/>
        </w:trPr>
        <w:tc>
          <w:tcPr>
            <w:tcW w:w="3100" w:type="dxa"/>
            <w:vAlign w:val="bottom"/>
          </w:tcPr>
          <w:p>
            <w:pPr>
              <w:spacing w:after="0"/>
              <w:rPr>
                <w:sz w:val="14"/>
                <w:szCs w:val="14"/>
                <w:color w:val="auto"/>
              </w:rPr>
            </w:pPr>
          </w:p>
        </w:tc>
        <w:tc>
          <w:tcPr>
            <w:tcW w:w="7120" w:type="dxa"/>
            <w:vAlign w:val="bottom"/>
            <w:gridSpan w:val="2"/>
          </w:tcPr>
          <w:p>
            <w:pPr>
              <w:ind w:left="2180"/>
              <w:spacing w:after="0"/>
              <w:rPr>
                <w:sz w:val="20"/>
                <w:szCs w:val="20"/>
                <w:color w:val="auto"/>
              </w:rPr>
            </w:pPr>
            <w:r>
              <w:rPr>
                <w:rFonts w:ascii="Arial" w:cs="Arial" w:eastAsia="Arial" w:hAnsi="Arial"/>
                <w:sz w:val="13"/>
                <w:szCs w:val="13"/>
                <w:color w:val="auto"/>
              </w:rPr>
              <w:t>Title: Treasurer</w:t>
            </w:r>
          </w:p>
        </w:tc>
        <w:tc>
          <w:tcPr>
            <w:tcW w:w="1240" w:type="dxa"/>
            <w:vAlign w:val="bottom"/>
          </w:tcPr>
          <w:p>
            <w:pPr>
              <w:spacing w:after="0"/>
              <w:rPr>
                <w:sz w:val="14"/>
                <w:szCs w:val="14"/>
                <w:color w:val="auto"/>
              </w:rPr>
            </w:pPr>
          </w:p>
        </w:tc>
      </w:tr>
      <w:tr>
        <w:trPr>
          <w:trHeight w:val="307"/>
        </w:trPr>
        <w:tc>
          <w:tcPr>
            <w:tcW w:w="3100" w:type="dxa"/>
            <w:vAlign w:val="bottom"/>
          </w:tcPr>
          <w:p>
            <w:pPr>
              <w:spacing w:after="0"/>
              <w:rPr>
                <w:sz w:val="24"/>
                <w:szCs w:val="24"/>
                <w:color w:val="auto"/>
              </w:rPr>
            </w:pPr>
          </w:p>
        </w:tc>
        <w:tc>
          <w:tcPr>
            <w:tcW w:w="7120" w:type="dxa"/>
            <w:vAlign w:val="bottom"/>
            <w:gridSpan w:val="2"/>
          </w:tcPr>
          <w:p>
            <w:pPr>
              <w:ind w:left="2180"/>
              <w:spacing w:after="0"/>
              <w:rPr>
                <w:sz w:val="20"/>
                <w:szCs w:val="20"/>
                <w:color w:val="auto"/>
              </w:rPr>
            </w:pPr>
            <w:r>
              <w:rPr>
                <w:rFonts w:ascii="Arial" w:cs="Arial" w:eastAsia="Arial" w:hAnsi="Arial"/>
                <w:sz w:val="13"/>
                <w:szCs w:val="13"/>
                <w:color w:val="auto"/>
              </w:rPr>
              <w:t>WORLDMARK OF WISCONSIN, INC.,</w:t>
            </w:r>
          </w:p>
        </w:tc>
        <w:tc>
          <w:tcPr>
            <w:tcW w:w="1240" w:type="dxa"/>
            <w:vAlign w:val="bottom"/>
          </w:tcPr>
          <w:p>
            <w:pPr>
              <w:spacing w:after="0"/>
              <w:rPr>
                <w:sz w:val="24"/>
                <w:szCs w:val="24"/>
                <w:color w:val="auto"/>
              </w:rPr>
            </w:pPr>
          </w:p>
        </w:tc>
      </w:tr>
      <w:tr>
        <w:trPr>
          <w:trHeight w:val="165"/>
        </w:trPr>
        <w:tc>
          <w:tcPr>
            <w:tcW w:w="3100" w:type="dxa"/>
            <w:vAlign w:val="bottom"/>
          </w:tcPr>
          <w:p>
            <w:pPr>
              <w:spacing w:after="0"/>
              <w:rPr>
                <w:sz w:val="14"/>
                <w:szCs w:val="14"/>
                <w:color w:val="auto"/>
              </w:rPr>
            </w:pPr>
          </w:p>
        </w:tc>
        <w:tc>
          <w:tcPr>
            <w:tcW w:w="7120" w:type="dxa"/>
            <w:vAlign w:val="bottom"/>
            <w:gridSpan w:val="2"/>
          </w:tcPr>
          <w:p>
            <w:pPr>
              <w:ind w:left="2180"/>
              <w:spacing w:after="0"/>
              <w:rPr>
                <w:sz w:val="20"/>
                <w:szCs w:val="20"/>
                <w:color w:val="auto"/>
              </w:rPr>
            </w:pPr>
            <w:r>
              <w:rPr>
                <w:rFonts w:ascii="Arial" w:cs="Arial" w:eastAsia="Arial" w:hAnsi="Arial"/>
                <w:sz w:val="13"/>
                <w:szCs w:val="13"/>
                <w:color w:val="auto"/>
              </w:rPr>
              <w:t>a Delaware corporation</w:t>
            </w:r>
          </w:p>
        </w:tc>
        <w:tc>
          <w:tcPr>
            <w:tcW w:w="1240" w:type="dxa"/>
            <w:vAlign w:val="bottom"/>
          </w:tcPr>
          <w:p>
            <w:pPr>
              <w:spacing w:after="0"/>
              <w:rPr>
                <w:sz w:val="14"/>
                <w:szCs w:val="14"/>
                <w:color w:val="auto"/>
              </w:rPr>
            </w:pPr>
          </w:p>
        </w:tc>
      </w:tr>
      <w:tr>
        <w:trPr>
          <w:trHeight w:val="315"/>
        </w:trPr>
        <w:tc>
          <w:tcPr>
            <w:tcW w:w="3100" w:type="dxa"/>
            <w:vAlign w:val="bottom"/>
          </w:tcPr>
          <w:p>
            <w:pPr>
              <w:spacing w:after="0"/>
              <w:rPr>
                <w:sz w:val="24"/>
                <w:szCs w:val="24"/>
                <w:color w:val="auto"/>
              </w:rPr>
            </w:pPr>
          </w:p>
        </w:tc>
        <w:tc>
          <w:tcPr>
            <w:tcW w:w="2540" w:type="dxa"/>
            <w:vAlign w:val="bottom"/>
          </w:tcPr>
          <w:p>
            <w:pPr>
              <w:ind w:left="2180"/>
              <w:spacing w:after="0"/>
              <w:rPr>
                <w:sz w:val="20"/>
                <w:szCs w:val="20"/>
                <w:color w:val="auto"/>
              </w:rPr>
            </w:pPr>
            <w:r>
              <w:rPr>
                <w:rFonts w:ascii="Arial" w:cs="Arial" w:eastAsia="Arial" w:hAnsi="Arial"/>
                <w:sz w:val="13"/>
                <w:szCs w:val="13"/>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BARBARA BOLENS</w:t>
            </w:r>
          </w:p>
        </w:tc>
        <w:tc>
          <w:tcPr>
            <w:tcW w:w="1240" w:type="dxa"/>
            <w:vAlign w:val="bottom"/>
          </w:tcPr>
          <w:p>
            <w:pPr>
              <w:spacing w:after="0"/>
              <w:rPr>
                <w:sz w:val="24"/>
                <w:szCs w:val="24"/>
                <w:color w:val="auto"/>
              </w:rPr>
            </w:pPr>
          </w:p>
        </w:tc>
      </w:tr>
      <w:tr>
        <w:trPr>
          <w:trHeight w:val="149"/>
        </w:trPr>
        <w:tc>
          <w:tcPr>
            <w:tcW w:w="3100" w:type="dxa"/>
            <w:vAlign w:val="bottom"/>
          </w:tcPr>
          <w:p>
            <w:pPr>
              <w:spacing w:after="0"/>
              <w:rPr>
                <w:sz w:val="12"/>
                <w:szCs w:val="12"/>
                <w:color w:val="auto"/>
              </w:rPr>
            </w:pPr>
          </w:p>
        </w:tc>
        <w:tc>
          <w:tcPr>
            <w:tcW w:w="7120" w:type="dxa"/>
            <w:vAlign w:val="bottom"/>
            <w:gridSpan w:val="2"/>
          </w:tcPr>
          <w:p>
            <w:pPr>
              <w:ind w:left="2180"/>
              <w:spacing w:after="0"/>
              <w:rPr>
                <w:sz w:val="20"/>
                <w:szCs w:val="20"/>
                <w:color w:val="auto"/>
              </w:rPr>
            </w:pPr>
            <w:r>
              <w:rPr>
                <w:rFonts w:ascii="Arial" w:cs="Arial" w:eastAsia="Arial" w:hAnsi="Arial"/>
                <w:sz w:val="13"/>
                <w:szCs w:val="13"/>
                <w:color w:val="auto"/>
              </w:rPr>
              <w:t>Name: Barbara Bolens</w:t>
            </w:r>
          </w:p>
        </w:tc>
        <w:tc>
          <w:tcPr>
            <w:tcW w:w="1240" w:type="dxa"/>
            <w:vAlign w:val="bottom"/>
          </w:tcPr>
          <w:p>
            <w:pPr>
              <w:spacing w:after="0"/>
              <w:rPr>
                <w:sz w:val="12"/>
                <w:szCs w:val="12"/>
                <w:color w:val="auto"/>
              </w:rPr>
            </w:pPr>
          </w:p>
        </w:tc>
      </w:tr>
      <w:tr>
        <w:trPr>
          <w:trHeight w:val="165"/>
        </w:trPr>
        <w:tc>
          <w:tcPr>
            <w:tcW w:w="3100" w:type="dxa"/>
            <w:vAlign w:val="bottom"/>
          </w:tcPr>
          <w:p>
            <w:pPr>
              <w:spacing w:after="0"/>
              <w:rPr>
                <w:sz w:val="14"/>
                <w:szCs w:val="14"/>
                <w:color w:val="auto"/>
              </w:rPr>
            </w:pPr>
          </w:p>
        </w:tc>
        <w:tc>
          <w:tcPr>
            <w:tcW w:w="7120" w:type="dxa"/>
            <w:vAlign w:val="bottom"/>
            <w:gridSpan w:val="2"/>
          </w:tcPr>
          <w:p>
            <w:pPr>
              <w:ind w:left="2180"/>
              <w:spacing w:after="0"/>
              <w:rPr>
                <w:sz w:val="20"/>
                <w:szCs w:val="20"/>
                <w:color w:val="auto"/>
              </w:rPr>
            </w:pPr>
            <w:r>
              <w:rPr>
                <w:rFonts w:ascii="Arial" w:cs="Arial" w:eastAsia="Arial" w:hAnsi="Arial"/>
                <w:sz w:val="13"/>
                <w:szCs w:val="13"/>
                <w:color w:val="auto"/>
              </w:rPr>
              <w:t>Title: Vice President</w:t>
            </w:r>
          </w:p>
        </w:tc>
        <w:tc>
          <w:tcPr>
            <w:tcW w:w="1240" w:type="dxa"/>
            <w:vAlign w:val="bottom"/>
          </w:tcPr>
          <w:p>
            <w:pPr>
              <w:spacing w:after="0"/>
              <w:rPr>
                <w:sz w:val="14"/>
                <w:szCs w:val="14"/>
                <w:color w:val="auto"/>
              </w:rPr>
            </w:pPr>
          </w:p>
        </w:tc>
      </w:tr>
      <w:tr>
        <w:trPr>
          <w:trHeight w:val="458"/>
        </w:trPr>
        <w:tc>
          <w:tcPr>
            <w:tcW w:w="3100" w:type="dxa"/>
            <w:vAlign w:val="bottom"/>
            <w:tcBorders>
              <w:bottom w:val="single" w:sz="8" w:color="808080"/>
            </w:tcBorders>
          </w:tcPr>
          <w:p>
            <w:pPr>
              <w:spacing w:after="0"/>
              <w:rPr>
                <w:sz w:val="24"/>
                <w:szCs w:val="24"/>
                <w:color w:val="auto"/>
              </w:rPr>
            </w:pPr>
          </w:p>
        </w:tc>
        <w:tc>
          <w:tcPr>
            <w:tcW w:w="2540" w:type="dxa"/>
            <w:vAlign w:val="bottom"/>
            <w:tcBorders>
              <w:bottom w:val="single" w:sz="8" w:color="808080"/>
            </w:tcBorders>
          </w:tcPr>
          <w:p>
            <w:pPr>
              <w:spacing w:after="0"/>
              <w:rPr>
                <w:sz w:val="24"/>
                <w:szCs w:val="24"/>
                <w:color w:val="auto"/>
              </w:rPr>
            </w:pPr>
          </w:p>
        </w:tc>
        <w:tc>
          <w:tcPr>
            <w:tcW w:w="458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85" w:name="page186"/>
    <w:bookmarkEnd w:id="185"/>
    <w:p>
      <w:pPr>
        <w:ind w:left="4060"/>
        <w:spacing w:after="0"/>
        <w:rPr>
          <w:sz w:val="20"/>
          <w:szCs w:val="20"/>
          <w:color w:val="auto"/>
        </w:rPr>
      </w:pPr>
      <w:r>
        <w:rPr>
          <w:rFonts w:ascii="Arial" w:cs="Arial" w:eastAsia="Arial" w:hAnsi="Arial"/>
          <w:sz w:val="13"/>
          <w:szCs w:val="13"/>
          <w:color w:val="auto"/>
        </w:rPr>
        <w:t>EMED CO, INC.,</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a New York corporation</w:t>
      </w:r>
    </w:p>
    <w:p>
      <w:pPr>
        <w:spacing w:after="0" w:line="158" w:lineRule="exact"/>
        <w:rPr>
          <w:sz w:val="20"/>
          <w:szCs w:val="20"/>
          <w:color w:val="auto"/>
        </w:rPr>
      </w:pPr>
    </w:p>
    <w:p>
      <w:pPr>
        <w:ind w:left="4060"/>
        <w:spacing w:after="0"/>
        <w:tabs>
          <w:tab w:leader="none" w:pos="4400" w:val="left"/>
        </w:tabs>
        <w:rPr>
          <w:sz w:val="20"/>
          <w:szCs w:val="20"/>
          <w:color w:val="auto"/>
        </w:rPr>
      </w:pPr>
      <w:r>
        <w:rPr>
          <w:rFonts w:ascii="Arial" w:cs="Arial" w:eastAsia="Arial" w:hAnsi="Arial"/>
          <w:sz w:val="13"/>
          <w:szCs w:val="13"/>
          <w:color w:val="auto"/>
        </w:rPr>
        <w:t>By:</w:t>
        <w:tab/>
        <w:t>/s/ BARBARA BOLENS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10795</wp:posOffset>
            </wp:positionV>
            <wp:extent cx="2908300" cy="63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908300" cy="6350"/>
                    </a:xfrm>
                    <a:prstGeom prst="rect">
                      <a:avLst/>
                    </a:prstGeom>
                    <a:noFill/>
                  </pic:spPr>
                </pic:pic>
              </a:graphicData>
            </a:graphic>
          </wp:anchor>
        </w:drawing>
      </w:r>
    </w:p>
    <w:p>
      <w:pPr>
        <w:spacing w:after="0" w:line="7"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Name: Barbara Bolens</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Title: Vice President</w:t>
      </w:r>
    </w:p>
    <w:p>
      <w:pPr>
        <w:spacing w:after="0" w:line="158" w:lineRule="exact"/>
        <w:rPr>
          <w:sz w:val="20"/>
          <w:szCs w:val="20"/>
          <w:color w:val="auto"/>
        </w:rPr>
      </w:pPr>
    </w:p>
    <w:p>
      <w:pPr>
        <w:ind w:left="4060"/>
        <w:spacing w:after="0"/>
        <w:rPr>
          <w:sz w:val="20"/>
          <w:szCs w:val="20"/>
          <w:color w:val="auto"/>
        </w:rPr>
      </w:pPr>
      <w:r>
        <w:rPr>
          <w:rFonts w:ascii="Arial" w:cs="Arial" w:eastAsia="Arial" w:hAnsi="Arial"/>
          <w:sz w:val="12"/>
          <w:szCs w:val="12"/>
          <w:color w:val="auto"/>
        </w:rPr>
        <w:t>TRUMED TECHNOLOGIES, INC.,</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a Minnesota corporation</w:t>
      </w:r>
    </w:p>
    <w:p>
      <w:pPr>
        <w:spacing w:after="0" w:line="158" w:lineRule="exact"/>
        <w:rPr>
          <w:sz w:val="20"/>
          <w:szCs w:val="20"/>
          <w:color w:val="auto"/>
        </w:rPr>
      </w:pPr>
    </w:p>
    <w:p>
      <w:pPr>
        <w:ind w:left="4060"/>
        <w:spacing w:after="0"/>
        <w:tabs>
          <w:tab w:leader="none" w:pos="4400" w:val="left"/>
        </w:tabs>
        <w:rPr>
          <w:sz w:val="20"/>
          <w:szCs w:val="20"/>
          <w:color w:val="auto"/>
        </w:rPr>
      </w:pPr>
      <w:r>
        <w:rPr>
          <w:rFonts w:ascii="Arial" w:cs="Arial" w:eastAsia="Arial" w:hAnsi="Arial"/>
          <w:sz w:val="13"/>
          <w:szCs w:val="13"/>
          <w:color w:val="auto"/>
        </w:rPr>
        <w:t>By:</w:t>
        <w:tab/>
        <w:t>/s/ BARBARA BOLENS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10795</wp:posOffset>
            </wp:positionV>
            <wp:extent cx="2908300" cy="63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908300" cy="6350"/>
                    </a:xfrm>
                    <a:prstGeom prst="rect">
                      <a:avLst/>
                    </a:prstGeom>
                    <a:noFill/>
                  </pic:spPr>
                </pic:pic>
              </a:graphicData>
            </a:graphic>
          </wp:anchor>
        </w:drawing>
      </w:r>
    </w:p>
    <w:p>
      <w:pPr>
        <w:spacing w:after="0" w:line="7"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Name: Barbara Bolens</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Title: Vice President</w:t>
      </w:r>
    </w:p>
    <w:p>
      <w:pPr>
        <w:spacing w:after="0" w:line="158"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PERMAR SYSTEMS, INC.</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(d/b/a/ Electromark),</w:t>
      </w:r>
    </w:p>
    <w:p>
      <w:pPr>
        <w:spacing w:after="0" w:line="8"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a New York corporation</w:t>
      </w:r>
    </w:p>
    <w:p>
      <w:pPr>
        <w:spacing w:after="0" w:line="158" w:lineRule="exact"/>
        <w:rPr>
          <w:sz w:val="20"/>
          <w:szCs w:val="20"/>
          <w:color w:val="auto"/>
        </w:rPr>
      </w:pPr>
    </w:p>
    <w:p>
      <w:pPr>
        <w:ind w:left="4060"/>
        <w:spacing w:after="0"/>
        <w:tabs>
          <w:tab w:leader="none" w:pos="4400" w:val="left"/>
        </w:tabs>
        <w:rPr>
          <w:sz w:val="20"/>
          <w:szCs w:val="20"/>
          <w:color w:val="auto"/>
        </w:rPr>
      </w:pPr>
      <w:r>
        <w:rPr>
          <w:rFonts w:ascii="Arial" w:cs="Arial" w:eastAsia="Arial" w:hAnsi="Arial"/>
          <w:sz w:val="13"/>
          <w:szCs w:val="13"/>
          <w:color w:val="auto"/>
        </w:rPr>
        <w:t>By:</w:t>
        <w:tab/>
        <w:t>/s/ BARBARA BOLENS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10795</wp:posOffset>
            </wp:positionV>
            <wp:extent cx="2908300" cy="63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908300" cy="6350"/>
                    </a:xfrm>
                    <a:prstGeom prst="rect">
                      <a:avLst/>
                    </a:prstGeom>
                    <a:noFill/>
                  </pic:spPr>
                </pic:pic>
              </a:graphicData>
            </a:graphic>
          </wp:anchor>
        </w:drawing>
      </w:r>
    </w:p>
    <w:p>
      <w:pPr>
        <w:spacing w:after="0" w:line="7"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Name: Barbara Bolens</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Title: Vice President</w:t>
      </w:r>
    </w:p>
    <w:p>
      <w:pPr>
        <w:spacing w:after="0" w:line="158"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J. A. M. PLASTICS, INC.,</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a California corporation</w:t>
      </w:r>
    </w:p>
    <w:p>
      <w:pPr>
        <w:spacing w:after="0" w:line="158" w:lineRule="exact"/>
        <w:rPr>
          <w:sz w:val="20"/>
          <w:szCs w:val="20"/>
          <w:color w:val="auto"/>
        </w:rPr>
      </w:pPr>
    </w:p>
    <w:p>
      <w:pPr>
        <w:ind w:left="4060"/>
        <w:spacing w:after="0"/>
        <w:tabs>
          <w:tab w:leader="none" w:pos="4400" w:val="left"/>
        </w:tabs>
        <w:rPr>
          <w:sz w:val="20"/>
          <w:szCs w:val="20"/>
          <w:color w:val="auto"/>
        </w:rPr>
      </w:pPr>
      <w:r>
        <w:rPr>
          <w:rFonts w:ascii="Arial" w:cs="Arial" w:eastAsia="Arial" w:hAnsi="Arial"/>
          <w:sz w:val="13"/>
          <w:szCs w:val="13"/>
          <w:color w:val="auto"/>
        </w:rPr>
        <w:t>By:</w:t>
        <w:tab/>
        <w:t>/s/ BARBARA BOLENS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10795</wp:posOffset>
            </wp:positionV>
            <wp:extent cx="2908300" cy="63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908300" cy="6350"/>
                    </a:xfrm>
                    <a:prstGeom prst="rect">
                      <a:avLst/>
                    </a:prstGeom>
                    <a:noFill/>
                  </pic:spPr>
                </pic:pic>
              </a:graphicData>
            </a:graphic>
          </wp:anchor>
        </w:drawing>
      </w:r>
    </w:p>
    <w:p>
      <w:pPr>
        <w:spacing w:after="0" w:line="7"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Name: Barbara Bolens</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Title: Vice President</w:t>
      </w:r>
    </w:p>
    <w:p>
      <w:pPr>
        <w:spacing w:after="0" w:line="158"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AIO HOLDING, INC,</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(d/b/a Personnel Concepts),</w:t>
      </w:r>
    </w:p>
    <w:p>
      <w:pPr>
        <w:spacing w:after="0" w:line="8"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a Delaware corporation</w:t>
      </w:r>
    </w:p>
    <w:p>
      <w:pPr>
        <w:spacing w:after="0" w:line="158" w:lineRule="exact"/>
        <w:rPr>
          <w:sz w:val="20"/>
          <w:szCs w:val="20"/>
          <w:color w:val="auto"/>
        </w:rPr>
      </w:pPr>
    </w:p>
    <w:p>
      <w:pPr>
        <w:ind w:left="4060"/>
        <w:spacing w:after="0"/>
        <w:tabs>
          <w:tab w:leader="none" w:pos="4400" w:val="left"/>
        </w:tabs>
        <w:rPr>
          <w:sz w:val="20"/>
          <w:szCs w:val="20"/>
          <w:color w:val="auto"/>
        </w:rPr>
      </w:pPr>
      <w:r>
        <w:rPr>
          <w:rFonts w:ascii="Arial" w:cs="Arial" w:eastAsia="Arial" w:hAnsi="Arial"/>
          <w:sz w:val="13"/>
          <w:szCs w:val="13"/>
          <w:color w:val="auto"/>
        </w:rPr>
        <w:t>By:</w:t>
        <w:tab/>
        <w:t>/s/ BARBARA BOLENS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10795</wp:posOffset>
            </wp:positionV>
            <wp:extent cx="2908300" cy="63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908300" cy="6350"/>
                    </a:xfrm>
                    <a:prstGeom prst="rect">
                      <a:avLst/>
                    </a:prstGeom>
                    <a:noFill/>
                  </pic:spPr>
                </pic:pic>
              </a:graphicData>
            </a:graphic>
          </wp:anchor>
        </w:drawing>
      </w:r>
    </w:p>
    <w:p>
      <w:pPr>
        <w:spacing w:after="0" w:line="7"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Name: Barbara Bolens</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Title: Vice President</w:t>
      </w:r>
    </w:p>
    <w:p>
      <w:pPr>
        <w:spacing w:after="0" w:line="158"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STOPWARE, INC.</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a California corporation</w:t>
      </w:r>
    </w:p>
    <w:p>
      <w:pPr>
        <w:spacing w:after="0" w:line="158" w:lineRule="exact"/>
        <w:rPr>
          <w:sz w:val="20"/>
          <w:szCs w:val="20"/>
          <w:color w:val="auto"/>
        </w:rPr>
      </w:pPr>
    </w:p>
    <w:p>
      <w:pPr>
        <w:ind w:left="4060"/>
        <w:spacing w:after="0"/>
        <w:tabs>
          <w:tab w:leader="none" w:pos="4400" w:val="left"/>
        </w:tabs>
        <w:rPr>
          <w:sz w:val="20"/>
          <w:szCs w:val="20"/>
          <w:color w:val="auto"/>
        </w:rPr>
      </w:pPr>
      <w:r>
        <w:rPr>
          <w:rFonts w:ascii="Arial" w:cs="Arial" w:eastAsia="Arial" w:hAnsi="Arial"/>
          <w:sz w:val="13"/>
          <w:szCs w:val="13"/>
          <w:color w:val="auto"/>
        </w:rPr>
        <w:t>By:</w:t>
        <w:tab/>
        <w:t>/s/ BARBARA BOLENS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10795</wp:posOffset>
            </wp:positionV>
            <wp:extent cx="2908300" cy="63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908300" cy="6350"/>
                    </a:xfrm>
                    <a:prstGeom prst="rect">
                      <a:avLst/>
                    </a:prstGeom>
                    <a:noFill/>
                  </pic:spPr>
                </pic:pic>
              </a:graphicData>
            </a:graphic>
          </wp:anchor>
        </w:drawing>
      </w:r>
    </w:p>
    <w:p>
      <w:pPr>
        <w:spacing w:after="0" w:line="7"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Name: Barbara Bolens</w:t>
      </w:r>
    </w:p>
    <w:p>
      <w:pPr>
        <w:spacing w:after="0" w:line="15" w:lineRule="exact"/>
        <w:rPr>
          <w:sz w:val="20"/>
          <w:szCs w:val="20"/>
          <w:color w:val="auto"/>
        </w:rPr>
      </w:pPr>
    </w:p>
    <w:p>
      <w:pPr>
        <w:jc w:val="center"/>
        <w:ind w:right="-180"/>
        <w:spacing w:after="0"/>
        <w:rPr>
          <w:sz w:val="20"/>
          <w:szCs w:val="20"/>
          <w:color w:val="auto"/>
        </w:rPr>
      </w:pPr>
      <w:r>
        <w:rPr>
          <w:rFonts w:ascii="Arial" w:cs="Arial" w:eastAsia="Arial" w:hAnsi="Arial"/>
          <w:sz w:val="12"/>
          <w:szCs w:val="12"/>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297180</wp:posOffset>
            </wp:positionV>
            <wp:extent cx="7290435" cy="190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878" w:right="1440" w:bottom="1440" w:gutter="0" w:footer="0" w:header="0"/>
        </w:sectPr>
      </w:pPr>
    </w:p>
    <w:bookmarkStart w:id="186" w:name="page187"/>
    <w:bookmarkEnd w:id="186"/>
    <w:p>
      <w:pPr>
        <w:ind w:left="4060"/>
        <w:spacing w:after="0"/>
        <w:rPr>
          <w:sz w:val="20"/>
          <w:szCs w:val="20"/>
          <w:color w:val="auto"/>
        </w:rPr>
      </w:pPr>
      <w:r>
        <w:rPr>
          <w:rFonts w:ascii="Arial" w:cs="Arial" w:eastAsia="Arial" w:hAnsi="Arial"/>
          <w:sz w:val="13"/>
          <w:szCs w:val="13"/>
          <w:color w:val="auto"/>
        </w:rPr>
        <w:t>IDENTICARD SYSTEMS WORLDWIDE, INC.</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a Pennsylvania corporation</w:t>
      </w:r>
    </w:p>
    <w:p>
      <w:pPr>
        <w:spacing w:after="0" w:line="158" w:lineRule="exact"/>
        <w:rPr>
          <w:sz w:val="20"/>
          <w:szCs w:val="20"/>
          <w:color w:val="auto"/>
        </w:rPr>
      </w:pPr>
    </w:p>
    <w:p>
      <w:pPr>
        <w:ind w:left="4060"/>
        <w:spacing w:after="0"/>
        <w:tabs>
          <w:tab w:leader="none" w:pos="4400" w:val="left"/>
        </w:tabs>
        <w:rPr>
          <w:sz w:val="20"/>
          <w:szCs w:val="20"/>
          <w:color w:val="auto"/>
        </w:rPr>
      </w:pPr>
      <w:r>
        <w:rPr>
          <w:rFonts w:ascii="Arial" w:cs="Arial" w:eastAsia="Arial" w:hAnsi="Arial"/>
          <w:sz w:val="13"/>
          <w:szCs w:val="13"/>
          <w:color w:val="auto"/>
        </w:rPr>
        <w:t>By:</w:t>
        <w:tab/>
        <w:t>/s/ BARBARA BOLENS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10795</wp:posOffset>
            </wp:positionV>
            <wp:extent cx="2908300" cy="63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908300" cy="6350"/>
                    </a:xfrm>
                    <a:prstGeom prst="rect">
                      <a:avLst/>
                    </a:prstGeom>
                    <a:noFill/>
                  </pic:spPr>
                </pic:pic>
              </a:graphicData>
            </a:graphic>
          </wp:anchor>
        </w:drawing>
      </w:r>
    </w:p>
    <w:p>
      <w:pPr>
        <w:spacing w:after="0" w:line="7"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Name: Barbara Bolens</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Title: Vice President</w:t>
      </w:r>
    </w:p>
    <w:p>
      <w:pPr>
        <w:spacing w:after="0" w:line="158"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BRADY PEOPLE IDENTIFICATION LLC</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a Wisconsin limited liability company</w:t>
      </w:r>
    </w:p>
    <w:p>
      <w:pPr>
        <w:spacing w:after="0" w:line="158" w:lineRule="exact"/>
        <w:rPr>
          <w:sz w:val="20"/>
          <w:szCs w:val="20"/>
          <w:color w:val="auto"/>
        </w:rPr>
      </w:pPr>
    </w:p>
    <w:p>
      <w:pPr>
        <w:ind w:left="4060"/>
        <w:spacing w:after="0"/>
        <w:tabs>
          <w:tab w:leader="none" w:pos="4400" w:val="left"/>
        </w:tabs>
        <w:rPr>
          <w:sz w:val="20"/>
          <w:szCs w:val="20"/>
          <w:color w:val="auto"/>
        </w:rPr>
      </w:pPr>
      <w:r>
        <w:rPr>
          <w:rFonts w:ascii="Arial" w:cs="Arial" w:eastAsia="Arial" w:hAnsi="Arial"/>
          <w:sz w:val="13"/>
          <w:szCs w:val="13"/>
          <w:color w:val="auto"/>
        </w:rPr>
        <w:t>By:</w:t>
        <w:tab/>
        <w:t>/s/ BARBARA BOLENS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10795</wp:posOffset>
            </wp:positionV>
            <wp:extent cx="2908300" cy="63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908300" cy="6350"/>
                    </a:xfrm>
                    <a:prstGeom prst="rect">
                      <a:avLst/>
                    </a:prstGeom>
                    <a:noFill/>
                  </pic:spPr>
                </pic:pic>
              </a:graphicData>
            </a:graphic>
          </wp:anchor>
        </w:drawing>
      </w:r>
    </w:p>
    <w:p>
      <w:pPr>
        <w:spacing w:after="0" w:line="7"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Name: Barbara Bolens</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Title: Vice President</w:t>
      </w:r>
    </w:p>
    <w:p>
      <w:pPr>
        <w:spacing w:after="0" w:line="158" w:lineRule="exact"/>
        <w:rPr>
          <w:sz w:val="20"/>
          <w:szCs w:val="20"/>
          <w:color w:val="auto"/>
        </w:rPr>
      </w:pPr>
    </w:p>
    <w:p>
      <w:pPr>
        <w:ind w:left="4060"/>
        <w:spacing w:after="0"/>
        <w:rPr>
          <w:sz w:val="20"/>
          <w:szCs w:val="20"/>
          <w:color w:val="auto"/>
        </w:rPr>
      </w:pPr>
      <w:r>
        <w:rPr>
          <w:rFonts w:ascii="Arial" w:cs="Arial" w:eastAsia="Arial" w:hAnsi="Arial"/>
          <w:sz w:val="12"/>
          <w:szCs w:val="12"/>
          <w:color w:val="auto"/>
        </w:rPr>
        <w:t>COMPREHENSIVE IDENTIFICATION PRODUCTS, INC.</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a Massachusetts corporation</w:t>
      </w:r>
    </w:p>
    <w:p>
      <w:pPr>
        <w:spacing w:after="0" w:line="158" w:lineRule="exact"/>
        <w:rPr>
          <w:sz w:val="20"/>
          <w:szCs w:val="20"/>
          <w:color w:val="auto"/>
        </w:rPr>
      </w:pPr>
    </w:p>
    <w:p>
      <w:pPr>
        <w:ind w:left="4060"/>
        <w:spacing w:after="0"/>
        <w:tabs>
          <w:tab w:leader="none" w:pos="4400" w:val="left"/>
        </w:tabs>
        <w:rPr>
          <w:sz w:val="20"/>
          <w:szCs w:val="20"/>
          <w:color w:val="auto"/>
        </w:rPr>
      </w:pPr>
      <w:r>
        <w:rPr>
          <w:rFonts w:ascii="Arial" w:cs="Arial" w:eastAsia="Arial" w:hAnsi="Arial"/>
          <w:sz w:val="13"/>
          <w:szCs w:val="13"/>
          <w:color w:val="auto"/>
        </w:rPr>
        <w:t>By:</w:t>
        <w:tab/>
        <w:t>/s/ BARBARA BOLENS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10795</wp:posOffset>
            </wp:positionV>
            <wp:extent cx="2908300" cy="63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908300" cy="6350"/>
                    </a:xfrm>
                    <a:prstGeom prst="rect">
                      <a:avLst/>
                    </a:prstGeom>
                    <a:noFill/>
                  </pic:spPr>
                </pic:pic>
              </a:graphicData>
            </a:graphic>
          </wp:anchor>
        </w:drawing>
      </w:r>
    </w:p>
    <w:p>
      <w:pPr>
        <w:spacing w:after="0" w:line="7"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Name: Barbara Bolens</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Title: Vice President</w:t>
      </w:r>
    </w:p>
    <w:p>
      <w:pPr>
        <w:spacing w:after="0" w:line="158"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PV ACQUISITIONS LLC</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a Delaware limited liability company</w:t>
      </w:r>
    </w:p>
    <w:p>
      <w:pPr>
        <w:spacing w:after="0" w:line="158" w:lineRule="exact"/>
        <w:rPr>
          <w:sz w:val="20"/>
          <w:szCs w:val="20"/>
          <w:color w:val="auto"/>
        </w:rPr>
      </w:pPr>
    </w:p>
    <w:p>
      <w:pPr>
        <w:ind w:left="4060"/>
        <w:spacing w:after="0"/>
        <w:tabs>
          <w:tab w:leader="none" w:pos="4400" w:val="left"/>
        </w:tabs>
        <w:rPr>
          <w:sz w:val="20"/>
          <w:szCs w:val="20"/>
          <w:color w:val="auto"/>
        </w:rPr>
      </w:pPr>
      <w:r>
        <w:rPr>
          <w:rFonts w:ascii="Arial" w:cs="Arial" w:eastAsia="Arial" w:hAnsi="Arial"/>
          <w:sz w:val="13"/>
          <w:szCs w:val="13"/>
          <w:color w:val="auto"/>
        </w:rPr>
        <w:t>By:</w:t>
        <w:tab/>
        <w:t>/s/ BARBARA BOLENS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10795</wp:posOffset>
            </wp:positionV>
            <wp:extent cx="2908300" cy="63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908300" cy="6350"/>
                    </a:xfrm>
                    <a:prstGeom prst="rect">
                      <a:avLst/>
                    </a:prstGeom>
                    <a:noFill/>
                  </pic:spPr>
                </pic:pic>
              </a:graphicData>
            </a:graphic>
          </wp:anchor>
        </w:drawing>
      </w:r>
    </w:p>
    <w:p>
      <w:pPr>
        <w:spacing w:after="0" w:line="7"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Name: Barbara Bolens</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Title: Vice President</w:t>
      </w:r>
    </w:p>
    <w:p>
      <w:pPr>
        <w:spacing w:after="0" w:line="158"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BRADY MEXICO HOLDING LLC</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a Delaware limited liability company</w:t>
      </w:r>
    </w:p>
    <w:p>
      <w:pPr>
        <w:spacing w:after="0" w:line="158" w:lineRule="exact"/>
        <w:rPr>
          <w:sz w:val="20"/>
          <w:szCs w:val="20"/>
          <w:color w:val="auto"/>
        </w:rPr>
      </w:pPr>
    </w:p>
    <w:p>
      <w:pPr>
        <w:ind w:left="4060"/>
        <w:spacing w:after="0"/>
        <w:tabs>
          <w:tab w:leader="none" w:pos="4400" w:val="left"/>
        </w:tabs>
        <w:rPr>
          <w:sz w:val="20"/>
          <w:szCs w:val="20"/>
          <w:color w:val="auto"/>
        </w:rPr>
      </w:pPr>
      <w:r>
        <w:rPr>
          <w:rFonts w:ascii="Arial" w:cs="Arial" w:eastAsia="Arial" w:hAnsi="Arial"/>
          <w:sz w:val="13"/>
          <w:szCs w:val="13"/>
          <w:color w:val="auto"/>
        </w:rPr>
        <w:t>By:</w:t>
        <w:tab/>
        <w:t>/s/ BARBARA BOLENS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10795</wp:posOffset>
            </wp:positionV>
            <wp:extent cx="2908300" cy="63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908300" cy="6350"/>
                    </a:xfrm>
                    <a:prstGeom prst="rect">
                      <a:avLst/>
                    </a:prstGeom>
                    <a:noFill/>
                  </pic:spPr>
                </pic:pic>
              </a:graphicData>
            </a:graphic>
          </wp:anchor>
        </w:drawing>
      </w:r>
    </w:p>
    <w:p>
      <w:pPr>
        <w:spacing w:after="0" w:line="7"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Name: Barbara Bolens</w:t>
      </w:r>
    </w:p>
    <w:p>
      <w:pPr>
        <w:spacing w:after="0" w:line="15" w:lineRule="exact"/>
        <w:rPr>
          <w:sz w:val="20"/>
          <w:szCs w:val="20"/>
          <w:color w:val="auto"/>
        </w:rPr>
      </w:pPr>
    </w:p>
    <w:p>
      <w:pPr>
        <w:jc w:val="center"/>
        <w:ind w:right="-180"/>
        <w:spacing w:after="0"/>
        <w:rPr>
          <w:sz w:val="20"/>
          <w:szCs w:val="20"/>
          <w:color w:val="auto"/>
        </w:rPr>
      </w:pPr>
      <w:r>
        <w:rPr>
          <w:rFonts w:ascii="Arial" w:cs="Arial" w:eastAsia="Arial" w:hAnsi="Arial"/>
          <w:sz w:val="12"/>
          <w:szCs w:val="12"/>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297180</wp:posOffset>
            </wp:positionV>
            <wp:extent cx="7290435" cy="190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878" w:right="1440" w:bottom="144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157"/>
        </w:trPr>
        <w:tc>
          <w:tcPr>
            <w:tcW w:w="3440" w:type="dxa"/>
            <w:vAlign w:val="bottom"/>
          </w:tcPr>
          <w:p>
            <w:pPr>
              <w:spacing w:after="0"/>
              <w:rPr>
                <w:sz w:val="20"/>
                <w:szCs w:val="20"/>
                <w:color w:val="auto"/>
              </w:rPr>
            </w:pPr>
            <w:r>
              <w:rPr>
                <w:rFonts w:ascii="Arial" w:cs="Arial" w:eastAsia="Arial" w:hAnsi="Arial"/>
                <w:sz w:val="13"/>
                <w:szCs w:val="13"/>
                <w:color w:val="auto"/>
              </w:rPr>
              <w:t>ADMINISTRATIVE AGENT:</w:t>
            </w:r>
          </w:p>
        </w:tc>
        <w:tc>
          <w:tcPr>
            <w:tcW w:w="6780" w:type="dxa"/>
            <w:vAlign w:val="bottom"/>
            <w:gridSpan w:val="2"/>
          </w:tcPr>
          <w:p>
            <w:pPr>
              <w:ind w:left="1840"/>
              <w:spacing w:after="0"/>
              <w:rPr>
                <w:sz w:val="20"/>
                <w:szCs w:val="20"/>
                <w:color w:val="auto"/>
              </w:rPr>
            </w:pPr>
            <w:r>
              <w:rPr>
                <w:rFonts w:ascii="Arial" w:cs="Arial" w:eastAsia="Arial" w:hAnsi="Arial"/>
                <w:sz w:val="13"/>
                <w:szCs w:val="13"/>
                <w:color w:val="auto"/>
              </w:rPr>
              <w:t>BANK OF AMERICA, N.A.,</w:t>
            </w:r>
          </w:p>
        </w:tc>
      </w:tr>
      <w:tr>
        <w:trPr>
          <w:trHeight w:val="165"/>
        </w:trPr>
        <w:tc>
          <w:tcPr>
            <w:tcW w:w="3440" w:type="dxa"/>
            <w:vAlign w:val="bottom"/>
          </w:tcPr>
          <w:p>
            <w:pPr>
              <w:spacing w:after="0"/>
              <w:rPr>
                <w:sz w:val="14"/>
                <w:szCs w:val="14"/>
                <w:color w:val="auto"/>
              </w:rPr>
            </w:pPr>
          </w:p>
        </w:tc>
        <w:tc>
          <w:tcPr>
            <w:tcW w:w="6780" w:type="dxa"/>
            <w:vAlign w:val="bottom"/>
            <w:gridSpan w:val="2"/>
          </w:tcPr>
          <w:p>
            <w:pPr>
              <w:ind w:left="1840"/>
              <w:spacing w:after="0"/>
              <w:rPr>
                <w:sz w:val="20"/>
                <w:szCs w:val="20"/>
                <w:color w:val="auto"/>
              </w:rPr>
            </w:pPr>
            <w:r>
              <w:rPr>
                <w:rFonts w:ascii="Arial" w:cs="Arial" w:eastAsia="Arial" w:hAnsi="Arial"/>
                <w:sz w:val="13"/>
                <w:szCs w:val="13"/>
                <w:color w:val="auto"/>
              </w:rPr>
              <w:t>as Administrative Agent</w:t>
            </w:r>
          </w:p>
        </w:tc>
      </w:tr>
      <w:tr>
        <w:trPr>
          <w:trHeight w:val="315"/>
        </w:trPr>
        <w:tc>
          <w:tcPr>
            <w:tcW w:w="3440" w:type="dxa"/>
            <w:vAlign w:val="bottom"/>
          </w:tcPr>
          <w:p>
            <w:pPr>
              <w:spacing w:after="0"/>
              <w:rPr>
                <w:sz w:val="24"/>
                <w:szCs w:val="24"/>
                <w:color w:val="auto"/>
              </w:rPr>
            </w:pPr>
          </w:p>
        </w:tc>
        <w:tc>
          <w:tcPr>
            <w:tcW w:w="6780" w:type="dxa"/>
            <w:vAlign w:val="bottom"/>
            <w:gridSpan w:val="2"/>
          </w:tcPr>
          <w:p>
            <w:pPr>
              <w:ind w:left="1840"/>
              <w:spacing w:after="0"/>
              <w:rPr>
                <w:sz w:val="20"/>
                <w:szCs w:val="20"/>
                <w:color w:val="auto"/>
              </w:rPr>
            </w:pPr>
            <w:r>
              <w:rPr>
                <w:rFonts w:ascii="Arial" w:cs="Arial" w:eastAsia="Arial" w:hAnsi="Arial"/>
                <w:sz w:val="13"/>
                <w:szCs w:val="13"/>
                <w:color w:val="auto"/>
              </w:rPr>
              <w:t>By:   /s/ DAVID A. JOHANSON</w:t>
            </w:r>
          </w:p>
        </w:tc>
      </w:tr>
      <w:tr>
        <w:trPr>
          <w:trHeight w:val="20"/>
        </w:trPr>
        <w:tc>
          <w:tcPr>
            <w:tcW w:w="3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580" w:type="dxa"/>
            <w:vAlign w:val="bottom"/>
            <w:shd w:val="clear" w:color="auto" w:fill="000000"/>
          </w:tcPr>
          <w:p>
            <w:pPr>
              <w:spacing w:after="0" w:line="20" w:lineRule="exact"/>
              <w:rPr>
                <w:sz w:val="1"/>
                <w:szCs w:val="1"/>
                <w:color w:val="auto"/>
              </w:rPr>
            </w:pPr>
          </w:p>
        </w:tc>
      </w:tr>
      <w:tr>
        <w:trPr>
          <w:trHeight w:val="149"/>
        </w:trPr>
        <w:tc>
          <w:tcPr>
            <w:tcW w:w="3440" w:type="dxa"/>
            <w:vAlign w:val="bottom"/>
          </w:tcPr>
          <w:p>
            <w:pPr>
              <w:spacing w:after="0"/>
              <w:rPr>
                <w:sz w:val="12"/>
                <w:szCs w:val="12"/>
                <w:color w:val="auto"/>
              </w:rPr>
            </w:pPr>
          </w:p>
        </w:tc>
        <w:tc>
          <w:tcPr>
            <w:tcW w:w="6780" w:type="dxa"/>
            <w:vAlign w:val="bottom"/>
            <w:gridSpan w:val="2"/>
          </w:tcPr>
          <w:p>
            <w:pPr>
              <w:ind w:left="1840"/>
              <w:spacing w:after="0"/>
              <w:rPr>
                <w:sz w:val="20"/>
                <w:szCs w:val="20"/>
                <w:color w:val="auto"/>
              </w:rPr>
            </w:pPr>
            <w:r>
              <w:rPr>
                <w:rFonts w:ascii="Arial" w:cs="Arial" w:eastAsia="Arial" w:hAnsi="Arial"/>
                <w:sz w:val="13"/>
                <w:szCs w:val="13"/>
                <w:color w:val="auto"/>
              </w:rPr>
              <w:t>Name: David A. Johanson</w:t>
            </w:r>
          </w:p>
        </w:tc>
      </w:tr>
      <w:tr>
        <w:trPr>
          <w:trHeight w:val="165"/>
        </w:trPr>
        <w:tc>
          <w:tcPr>
            <w:tcW w:w="3440" w:type="dxa"/>
            <w:vAlign w:val="bottom"/>
          </w:tcPr>
          <w:p>
            <w:pPr>
              <w:spacing w:after="0"/>
              <w:rPr>
                <w:sz w:val="14"/>
                <w:szCs w:val="14"/>
                <w:color w:val="auto"/>
              </w:rPr>
            </w:pPr>
          </w:p>
        </w:tc>
        <w:tc>
          <w:tcPr>
            <w:tcW w:w="6780" w:type="dxa"/>
            <w:vAlign w:val="bottom"/>
            <w:gridSpan w:val="2"/>
          </w:tcPr>
          <w:p>
            <w:pPr>
              <w:ind w:left="1840"/>
              <w:spacing w:after="0"/>
              <w:rPr>
                <w:sz w:val="20"/>
                <w:szCs w:val="20"/>
                <w:color w:val="auto"/>
              </w:rPr>
            </w:pPr>
            <w:r>
              <w:rPr>
                <w:rFonts w:ascii="Arial" w:cs="Arial" w:eastAsia="Arial" w:hAnsi="Arial"/>
                <w:sz w:val="13"/>
                <w:szCs w:val="13"/>
                <w:color w:val="auto"/>
              </w:rPr>
              <w:t>Title:  Vice President</w:t>
            </w:r>
          </w:p>
        </w:tc>
      </w:tr>
      <w:tr>
        <w:trPr>
          <w:trHeight w:val="307"/>
        </w:trPr>
        <w:tc>
          <w:tcPr>
            <w:tcW w:w="3440" w:type="dxa"/>
            <w:vAlign w:val="bottom"/>
          </w:tcPr>
          <w:p>
            <w:pPr>
              <w:spacing w:after="0"/>
              <w:rPr>
                <w:sz w:val="20"/>
                <w:szCs w:val="20"/>
                <w:color w:val="auto"/>
              </w:rPr>
            </w:pPr>
            <w:r>
              <w:rPr>
                <w:rFonts w:ascii="Arial" w:cs="Arial" w:eastAsia="Arial" w:hAnsi="Arial"/>
                <w:sz w:val="13"/>
                <w:szCs w:val="13"/>
                <w:color w:val="auto"/>
              </w:rPr>
              <w:t>LENDERS:</w:t>
            </w:r>
          </w:p>
        </w:tc>
        <w:tc>
          <w:tcPr>
            <w:tcW w:w="6780" w:type="dxa"/>
            <w:vAlign w:val="bottom"/>
            <w:gridSpan w:val="2"/>
          </w:tcPr>
          <w:p>
            <w:pPr>
              <w:ind w:left="1840"/>
              <w:spacing w:after="0"/>
              <w:rPr>
                <w:sz w:val="20"/>
                <w:szCs w:val="20"/>
                <w:color w:val="auto"/>
              </w:rPr>
            </w:pPr>
            <w:r>
              <w:rPr>
                <w:rFonts w:ascii="Arial" w:cs="Arial" w:eastAsia="Arial" w:hAnsi="Arial"/>
                <w:sz w:val="13"/>
                <w:szCs w:val="13"/>
                <w:color w:val="auto"/>
              </w:rPr>
              <w:t>BANK OF AMERICA, N.A.,</w:t>
            </w:r>
          </w:p>
        </w:tc>
      </w:tr>
      <w:tr>
        <w:trPr>
          <w:trHeight w:val="165"/>
        </w:trPr>
        <w:tc>
          <w:tcPr>
            <w:tcW w:w="3440" w:type="dxa"/>
            <w:vAlign w:val="bottom"/>
          </w:tcPr>
          <w:p>
            <w:pPr>
              <w:spacing w:after="0"/>
              <w:rPr>
                <w:sz w:val="14"/>
                <w:szCs w:val="14"/>
                <w:color w:val="auto"/>
              </w:rPr>
            </w:pPr>
          </w:p>
        </w:tc>
        <w:tc>
          <w:tcPr>
            <w:tcW w:w="6780" w:type="dxa"/>
            <w:vAlign w:val="bottom"/>
            <w:gridSpan w:val="2"/>
          </w:tcPr>
          <w:p>
            <w:pPr>
              <w:ind w:left="1840"/>
              <w:spacing w:after="0"/>
              <w:rPr>
                <w:sz w:val="20"/>
                <w:szCs w:val="20"/>
                <w:color w:val="auto"/>
              </w:rPr>
            </w:pPr>
            <w:r>
              <w:rPr>
                <w:rFonts w:ascii="Arial" w:cs="Arial" w:eastAsia="Arial" w:hAnsi="Arial"/>
                <w:sz w:val="13"/>
                <w:szCs w:val="13"/>
                <w:color w:val="auto"/>
              </w:rPr>
              <w:t>as a Lender, L/C Issuer and Swing Line Lender</w:t>
            </w:r>
          </w:p>
        </w:tc>
      </w:tr>
      <w:tr>
        <w:trPr>
          <w:trHeight w:val="315"/>
        </w:trPr>
        <w:tc>
          <w:tcPr>
            <w:tcW w:w="3440" w:type="dxa"/>
            <w:vAlign w:val="bottom"/>
          </w:tcPr>
          <w:p>
            <w:pPr>
              <w:spacing w:after="0"/>
              <w:rPr>
                <w:sz w:val="24"/>
                <w:szCs w:val="24"/>
                <w:color w:val="auto"/>
              </w:rPr>
            </w:pPr>
          </w:p>
        </w:tc>
        <w:tc>
          <w:tcPr>
            <w:tcW w:w="6780" w:type="dxa"/>
            <w:vAlign w:val="bottom"/>
            <w:gridSpan w:val="2"/>
          </w:tcPr>
          <w:p>
            <w:pPr>
              <w:ind w:left="1840"/>
              <w:spacing w:after="0"/>
              <w:rPr>
                <w:sz w:val="20"/>
                <w:szCs w:val="20"/>
                <w:color w:val="auto"/>
              </w:rPr>
            </w:pPr>
            <w:r>
              <w:rPr>
                <w:rFonts w:ascii="Arial" w:cs="Arial" w:eastAsia="Arial" w:hAnsi="Arial"/>
                <w:sz w:val="13"/>
                <w:szCs w:val="13"/>
                <w:color w:val="auto"/>
              </w:rPr>
              <w:t>By:   /s/ MARK R. MOTUELLE</w:t>
            </w:r>
          </w:p>
        </w:tc>
      </w:tr>
      <w:tr>
        <w:trPr>
          <w:trHeight w:val="20"/>
        </w:trPr>
        <w:tc>
          <w:tcPr>
            <w:tcW w:w="3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580" w:type="dxa"/>
            <w:vAlign w:val="bottom"/>
            <w:shd w:val="clear" w:color="auto" w:fill="000000"/>
          </w:tcPr>
          <w:p>
            <w:pPr>
              <w:spacing w:after="0" w:line="20" w:lineRule="exact"/>
              <w:rPr>
                <w:sz w:val="1"/>
                <w:szCs w:val="1"/>
                <w:color w:val="auto"/>
              </w:rPr>
            </w:pPr>
          </w:p>
        </w:tc>
      </w:tr>
      <w:tr>
        <w:trPr>
          <w:trHeight w:val="149"/>
        </w:trPr>
        <w:tc>
          <w:tcPr>
            <w:tcW w:w="3440" w:type="dxa"/>
            <w:vAlign w:val="bottom"/>
          </w:tcPr>
          <w:p>
            <w:pPr>
              <w:spacing w:after="0"/>
              <w:rPr>
                <w:sz w:val="12"/>
                <w:szCs w:val="12"/>
                <w:color w:val="auto"/>
              </w:rPr>
            </w:pPr>
          </w:p>
        </w:tc>
        <w:tc>
          <w:tcPr>
            <w:tcW w:w="6780" w:type="dxa"/>
            <w:vAlign w:val="bottom"/>
            <w:gridSpan w:val="2"/>
          </w:tcPr>
          <w:p>
            <w:pPr>
              <w:ind w:left="1840"/>
              <w:spacing w:after="0"/>
              <w:rPr>
                <w:sz w:val="20"/>
                <w:szCs w:val="20"/>
                <w:color w:val="auto"/>
              </w:rPr>
            </w:pPr>
            <w:r>
              <w:rPr>
                <w:rFonts w:ascii="Arial" w:cs="Arial" w:eastAsia="Arial" w:hAnsi="Arial"/>
                <w:sz w:val="13"/>
                <w:szCs w:val="13"/>
                <w:color w:val="auto"/>
              </w:rPr>
              <w:t>Name: Mark R. Motuelle</w:t>
            </w:r>
          </w:p>
        </w:tc>
      </w:tr>
      <w:tr>
        <w:trPr>
          <w:trHeight w:val="165"/>
        </w:trPr>
        <w:tc>
          <w:tcPr>
            <w:tcW w:w="3440" w:type="dxa"/>
            <w:vAlign w:val="bottom"/>
          </w:tcPr>
          <w:p>
            <w:pPr>
              <w:spacing w:after="0"/>
              <w:rPr>
                <w:sz w:val="14"/>
                <w:szCs w:val="14"/>
                <w:color w:val="auto"/>
              </w:rPr>
            </w:pPr>
          </w:p>
        </w:tc>
        <w:tc>
          <w:tcPr>
            <w:tcW w:w="6780" w:type="dxa"/>
            <w:vAlign w:val="bottom"/>
            <w:gridSpan w:val="2"/>
          </w:tcPr>
          <w:p>
            <w:pPr>
              <w:ind w:left="1840"/>
              <w:spacing w:after="0"/>
              <w:rPr>
                <w:sz w:val="20"/>
                <w:szCs w:val="20"/>
                <w:color w:val="auto"/>
              </w:rPr>
            </w:pPr>
            <w:r>
              <w:rPr>
                <w:rFonts w:ascii="Arial" w:cs="Arial" w:eastAsia="Arial" w:hAnsi="Arial"/>
                <w:sz w:val="13"/>
                <w:szCs w:val="13"/>
                <w:color w:val="auto"/>
              </w:rPr>
              <w:t>Title:  Senior Vice President</w:t>
            </w:r>
          </w:p>
        </w:tc>
      </w:tr>
      <w:tr>
        <w:trPr>
          <w:trHeight w:val="307"/>
        </w:trPr>
        <w:tc>
          <w:tcPr>
            <w:tcW w:w="3440" w:type="dxa"/>
            <w:vAlign w:val="bottom"/>
          </w:tcPr>
          <w:p>
            <w:pPr>
              <w:spacing w:after="0"/>
              <w:rPr>
                <w:sz w:val="24"/>
                <w:szCs w:val="24"/>
                <w:color w:val="auto"/>
              </w:rPr>
            </w:pPr>
          </w:p>
        </w:tc>
        <w:tc>
          <w:tcPr>
            <w:tcW w:w="6780" w:type="dxa"/>
            <w:vAlign w:val="bottom"/>
            <w:gridSpan w:val="2"/>
          </w:tcPr>
          <w:p>
            <w:pPr>
              <w:ind w:left="1840"/>
              <w:spacing w:after="0"/>
              <w:rPr>
                <w:sz w:val="20"/>
                <w:szCs w:val="20"/>
                <w:color w:val="auto"/>
              </w:rPr>
            </w:pPr>
            <w:r>
              <w:rPr>
                <w:rFonts w:ascii="Arial" w:cs="Arial" w:eastAsia="Arial" w:hAnsi="Arial"/>
                <w:sz w:val="13"/>
                <w:szCs w:val="13"/>
                <w:color w:val="auto"/>
              </w:rPr>
              <w:t>HARRIS N.A.,</w:t>
            </w:r>
          </w:p>
        </w:tc>
      </w:tr>
      <w:tr>
        <w:trPr>
          <w:trHeight w:val="165"/>
        </w:trPr>
        <w:tc>
          <w:tcPr>
            <w:tcW w:w="3440" w:type="dxa"/>
            <w:vAlign w:val="bottom"/>
          </w:tcPr>
          <w:p>
            <w:pPr>
              <w:spacing w:after="0"/>
              <w:rPr>
                <w:sz w:val="14"/>
                <w:szCs w:val="14"/>
                <w:color w:val="auto"/>
              </w:rPr>
            </w:pPr>
          </w:p>
        </w:tc>
        <w:tc>
          <w:tcPr>
            <w:tcW w:w="6780" w:type="dxa"/>
            <w:vAlign w:val="bottom"/>
            <w:gridSpan w:val="2"/>
          </w:tcPr>
          <w:p>
            <w:pPr>
              <w:ind w:left="1840"/>
              <w:spacing w:after="0"/>
              <w:rPr>
                <w:sz w:val="20"/>
                <w:szCs w:val="20"/>
                <w:color w:val="auto"/>
              </w:rPr>
            </w:pPr>
            <w:r>
              <w:rPr>
                <w:rFonts w:ascii="Arial" w:cs="Arial" w:eastAsia="Arial" w:hAnsi="Arial"/>
                <w:sz w:val="13"/>
                <w:szCs w:val="13"/>
                <w:color w:val="auto"/>
              </w:rPr>
              <w:t>as a Lender</w:t>
            </w:r>
          </w:p>
        </w:tc>
      </w:tr>
      <w:tr>
        <w:trPr>
          <w:trHeight w:val="315"/>
        </w:trPr>
        <w:tc>
          <w:tcPr>
            <w:tcW w:w="3440" w:type="dxa"/>
            <w:vAlign w:val="bottom"/>
          </w:tcPr>
          <w:p>
            <w:pPr>
              <w:spacing w:after="0"/>
              <w:rPr>
                <w:sz w:val="24"/>
                <w:szCs w:val="24"/>
                <w:color w:val="auto"/>
              </w:rPr>
            </w:pPr>
          </w:p>
        </w:tc>
        <w:tc>
          <w:tcPr>
            <w:tcW w:w="6780" w:type="dxa"/>
            <w:vAlign w:val="bottom"/>
            <w:gridSpan w:val="2"/>
          </w:tcPr>
          <w:p>
            <w:pPr>
              <w:ind w:left="1840"/>
              <w:spacing w:after="0"/>
              <w:rPr>
                <w:sz w:val="20"/>
                <w:szCs w:val="20"/>
                <w:color w:val="auto"/>
              </w:rPr>
            </w:pPr>
            <w:r>
              <w:rPr>
                <w:rFonts w:ascii="Arial" w:cs="Arial" w:eastAsia="Arial" w:hAnsi="Arial"/>
                <w:sz w:val="13"/>
                <w:szCs w:val="13"/>
                <w:color w:val="auto"/>
              </w:rPr>
              <w:t>By:   /s/ CHRISTOPHER C. CAVAIANI</w:t>
            </w:r>
          </w:p>
        </w:tc>
      </w:tr>
      <w:tr>
        <w:trPr>
          <w:trHeight w:val="20"/>
        </w:trPr>
        <w:tc>
          <w:tcPr>
            <w:tcW w:w="3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580" w:type="dxa"/>
            <w:vAlign w:val="bottom"/>
            <w:shd w:val="clear" w:color="auto" w:fill="000000"/>
          </w:tcPr>
          <w:p>
            <w:pPr>
              <w:spacing w:after="0" w:line="20" w:lineRule="exact"/>
              <w:rPr>
                <w:sz w:val="1"/>
                <w:szCs w:val="1"/>
                <w:color w:val="auto"/>
              </w:rPr>
            </w:pPr>
          </w:p>
        </w:tc>
      </w:tr>
      <w:tr>
        <w:trPr>
          <w:trHeight w:val="149"/>
        </w:trPr>
        <w:tc>
          <w:tcPr>
            <w:tcW w:w="3440" w:type="dxa"/>
            <w:vAlign w:val="bottom"/>
          </w:tcPr>
          <w:p>
            <w:pPr>
              <w:spacing w:after="0"/>
              <w:rPr>
                <w:sz w:val="12"/>
                <w:szCs w:val="12"/>
                <w:color w:val="auto"/>
              </w:rPr>
            </w:pPr>
          </w:p>
        </w:tc>
        <w:tc>
          <w:tcPr>
            <w:tcW w:w="6780" w:type="dxa"/>
            <w:vAlign w:val="bottom"/>
            <w:gridSpan w:val="2"/>
          </w:tcPr>
          <w:p>
            <w:pPr>
              <w:ind w:left="1840"/>
              <w:spacing w:after="0"/>
              <w:rPr>
                <w:sz w:val="20"/>
                <w:szCs w:val="20"/>
                <w:color w:val="auto"/>
              </w:rPr>
            </w:pPr>
            <w:r>
              <w:rPr>
                <w:rFonts w:ascii="Arial" w:cs="Arial" w:eastAsia="Arial" w:hAnsi="Arial"/>
                <w:sz w:val="13"/>
                <w:szCs w:val="13"/>
                <w:color w:val="auto"/>
              </w:rPr>
              <w:t>Name: Christopher C. Cavaiani</w:t>
            </w:r>
          </w:p>
        </w:tc>
      </w:tr>
      <w:tr>
        <w:trPr>
          <w:trHeight w:val="165"/>
        </w:trPr>
        <w:tc>
          <w:tcPr>
            <w:tcW w:w="3440" w:type="dxa"/>
            <w:vAlign w:val="bottom"/>
          </w:tcPr>
          <w:p>
            <w:pPr>
              <w:spacing w:after="0"/>
              <w:rPr>
                <w:sz w:val="14"/>
                <w:szCs w:val="14"/>
                <w:color w:val="auto"/>
              </w:rPr>
            </w:pPr>
          </w:p>
        </w:tc>
        <w:tc>
          <w:tcPr>
            <w:tcW w:w="6780" w:type="dxa"/>
            <w:vAlign w:val="bottom"/>
            <w:gridSpan w:val="2"/>
          </w:tcPr>
          <w:p>
            <w:pPr>
              <w:ind w:left="1840"/>
              <w:spacing w:after="0"/>
              <w:rPr>
                <w:sz w:val="20"/>
                <w:szCs w:val="20"/>
                <w:color w:val="auto"/>
              </w:rPr>
            </w:pPr>
            <w:r>
              <w:rPr>
                <w:rFonts w:ascii="Arial" w:cs="Arial" w:eastAsia="Arial" w:hAnsi="Arial"/>
                <w:sz w:val="13"/>
                <w:szCs w:val="13"/>
                <w:color w:val="auto"/>
              </w:rPr>
              <w:t>Title:  Vice President</w:t>
            </w:r>
          </w:p>
        </w:tc>
      </w:tr>
      <w:tr>
        <w:trPr>
          <w:trHeight w:val="307"/>
        </w:trPr>
        <w:tc>
          <w:tcPr>
            <w:tcW w:w="3440" w:type="dxa"/>
            <w:vAlign w:val="bottom"/>
          </w:tcPr>
          <w:p>
            <w:pPr>
              <w:spacing w:after="0"/>
              <w:rPr>
                <w:sz w:val="24"/>
                <w:szCs w:val="24"/>
                <w:color w:val="auto"/>
              </w:rPr>
            </w:pPr>
          </w:p>
        </w:tc>
        <w:tc>
          <w:tcPr>
            <w:tcW w:w="6780" w:type="dxa"/>
            <w:vAlign w:val="bottom"/>
            <w:gridSpan w:val="2"/>
          </w:tcPr>
          <w:p>
            <w:pPr>
              <w:ind w:left="1840"/>
              <w:spacing w:after="0"/>
              <w:rPr>
                <w:sz w:val="20"/>
                <w:szCs w:val="20"/>
                <w:color w:val="auto"/>
              </w:rPr>
            </w:pPr>
            <w:r>
              <w:rPr>
                <w:rFonts w:ascii="Arial" w:cs="Arial" w:eastAsia="Arial" w:hAnsi="Arial"/>
                <w:sz w:val="13"/>
                <w:szCs w:val="13"/>
                <w:color w:val="auto"/>
              </w:rPr>
              <w:t>M &amp;I MARSHALL &amp; ILSLEY BANK,</w:t>
            </w:r>
          </w:p>
        </w:tc>
      </w:tr>
      <w:tr>
        <w:trPr>
          <w:trHeight w:val="165"/>
        </w:trPr>
        <w:tc>
          <w:tcPr>
            <w:tcW w:w="3440" w:type="dxa"/>
            <w:vAlign w:val="bottom"/>
          </w:tcPr>
          <w:p>
            <w:pPr>
              <w:spacing w:after="0"/>
              <w:rPr>
                <w:sz w:val="14"/>
                <w:szCs w:val="14"/>
                <w:color w:val="auto"/>
              </w:rPr>
            </w:pPr>
          </w:p>
        </w:tc>
        <w:tc>
          <w:tcPr>
            <w:tcW w:w="6780" w:type="dxa"/>
            <w:vAlign w:val="bottom"/>
            <w:gridSpan w:val="2"/>
          </w:tcPr>
          <w:p>
            <w:pPr>
              <w:ind w:left="1840"/>
              <w:spacing w:after="0"/>
              <w:rPr>
                <w:sz w:val="20"/>
                <w:szCs w:val="20"/>
                <w:color w:val="auto"/>
              </w:rPr>
            </w:pPr>
            <w:r>
              <w:rPr>
                <w:rFonts w:ascii="Arial" w:cs="Arial" w:eastAsia="Arial" w:hAnsi="Arial"/>
                <w:sz w:val="13"/>
                <w:szCs w:val="13"/>
                <w:color w:val="auto"/>
              </w:rPr>
              <w:t>as a Lender</w:t>
            </w:r>
          </w:p>
        </w:tc>
      </w:tr>
      <w:tr>
        <w:trPr>
          <w:trHeight w:val="315"/>
        </w:trPr>
        <w:tc>
          <w:tcPr>
            <w:tcW w:w="3440" w:type="dxa"/>
            <w:vAlign w:val="bottom"/>
          </w:tcPr>
          <w:p>
            <w:pPr>
              <w:spacing w:after="0"/>
              <w:rPr>
                <w:sz w:val="24"/>
                <w:szCs w:val="24"/>
                <w:color w:val="auto"/>
              </w:rPr>
            </w:pPr>
          </w:p>
        </w:tc>
        <w:tc>
          <w:tcPr>
            <w:tcW w:w="6780" w:type="dxa"/>
            <w:vAlign w:val="bottom"/>
            <w:gridSpan w:val="2"/>
          </w:tcPr>
          <w:p>
            <w:pPr>
              <w:ind w:left="1840"/>
              <w:spacing w:after="0"/>
              <w:rPr>
                <w:sz w:val="20"/>
                <w:szCs w:val="20"/>
                <w:color w:val="auto"/>
              </w:rPr>
            </w:pPr>
            <w:r>
              <w:rPr>
                <w:rFonts w:ascii="Arial" w:cs="Arial" w:eastAsia="Arial" w:hAnsi="Arial"/>
                <w:sz w:val="13"/>
                <w:szCs w:val="13"/>
                <w:color w:val="auto"/>
              </w:rPr>
              <w:t>By:   /s/ JAMES R. MILLER</w:t>
            </w:r>
          </w:p>
        </w:tc>
      </w:tr>
      <w:tr>
        <w:trPr>
          <w:trHeight w:val="20"/>
        </w:trPr>
        <w:tc>
          <w:tcPr>
            <w:tcW w:w="3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580" w:type="dxa"/>
            <w:vAlign w:val="bottom"/>
            <w:shd w:val="clear" w:color="auto" w:fill="000000"/>
          </w:tcPr>
          <w:p>
            <w:pPr>
              <w:spacing w:after="0" w:line="20" w:lineRule="exact"/>
              <w:rPr>
                <w:sz w:val="1"/>
                <w:szCs w:val="1"/>
                <w:color w:val="auto"/>
              </w:rPr>
            </w:pPr>
          </w:p>
        </w:tc>
      </w:tr>
      <w:tr>
        <w:trPr>
          <w:trHeight w:val="149"/>
        </w:trPr>
        <w:tc>
          <w:tcPr>
            <w:tcW w:w="3440" w:type="dxa"/>
            <w:vAlign w:val="bottom"/>
          </w:tcPr>
          <w:p>
            <w:pPr>
              <w:spacing w:after="0"/>
              <w:rPr>
                <w:sz w:val="12"/>
                <w:szCs w:val="12"/>
                <w:color w:val="auto"/>
              </w:rPr>
            </w:pPr>
          </w:p>
        </w:tc>
        <w:tc>
          <w:tcPr>
            <w:tcW w:w="6780" w:type="dxa"/>
            <w:vAlign w:val="bottom"/>
            <w:gridSpan w:val="2"/>
          </w:tcPr>
          <w:p>
            <w:pPr>
              <w:ind w:left="1840"/>
              <w:spacing w:after="0"/>
              <w:rPr>
                <w:sz w:val="20"/>
                <w:szCs w:val="20"/>
                <w:color w:val="auto"/>
              </w:rPr>
            </w:pPr>
            <w:r>
              <w:rPr>
                <w:rFonts w:ascii="Arial" w:cs="Arial" w:eastAsia="Arial" w:hAnsi="Arial"/>
                <w:sz w:val="13"/>
                <w:szCs w:val="13"/>
                <w:color w:val="auto"/>
              </w:rPr>
              <w:t>Name: James R. Miller</w:t>
            </w:r>
          </w:p>
        </w:tc>
      </w:tr>
      <w:tr>
        <w:trPr>
          <w:trHeight w:val="165"/>
        </w:trPr>
        <w:tc>
          <w:tcPr>
            <w:tcW w:w="3440" w:type="dxa"/>
            <w:vAlign w:val="bottom"/>
          </w:tcPr>
          <w:p>
            <w:pPr>
              <w:spacing w:after="0"/>
              <w:rPr>
                <w:sz w:val="14"/>
                <w:szCs w:val="14"/>
                <w:color w:val="auto"/>
              </w:rPr>
            </w:pPr>
          </w:p>
        </w:tc>
        <w:tc>
          <w:tcPr>
            <w:tcW w:w="6780" w:type="dxa"/>
            <w:vAlign w:val="bottom"/>
            <w:gridSpan w:val="2"/>
          </w:tcPr>
          <w:p>
            <w:pPr>
              <w:ind w:left="1840"/>
              <w:spacing w:after="0"/>
              <w:rPr>
                <w:sz w:val="20"/>
                <w:szCs w:val="20"/>
                <w:color w:val="auto"/>
              </w:rPr>
            </w:pPr>
            <w:r>
              <w:rPr>
                <w:rFonts w:ascii="Arial" w:cs="Arial" w:eastAsia="Arial" w:hAnsi="Arial"/>
                <w:sz w:val="13"/>
                <w:szCs w:val="13"/>
                <w:color w:val="auto"/>
              </w:rPr>
              <w:t>Title:  Senior Vice President</w:t>
            </w:r>
          </w:p>
        </w:tc>
      </w:tr>
      <w:tr>
        <w:trPr>
          <w:trHeight w:val="315"/>
        </w:trPr>
        <w:tc>
          <w:tcPr>
            <w:tcW w:w="3440" w:type="dxa"/>
            <w:vAlign w:val="bottom"/>
          </w:tcPr>
          <w:p>
            <w:pPr>
              <w:spacing w:after="0"/>
              <w:rPr>
                <w:sz w:val="24"/>
                <w:szCs w:val="24"/>
                <w:color w:val="auto"/>
              </w:rPr>
            </w:pPr>
          </w:p>
        </w:tc>
        <w:tc>
          <w:tcPr>
            <w:tcW w:w="6780" w:type="dxa"/>
            <w:vAlign w:val="bottom"/>
            <w:gridSpan w:val="2"/>
          </w:tcPr>
          <w:p>
            <w:pPr>
              <w:ind w:left="1840"/>
              <w:spacing w:after="0"/>
              <w:rPr>
                <w:sz w:val="20"/>
                <w:szCs w:val="20"/>
                <w:color w:val="auto"/>
              </w:rPr>
            </w:pPr>
            <w:r>
              <w:rPr>
                <w:rFonts w:ascii="Arial" w:cs="Arial" w:eastAsia="Arial" w:hAnsi="Arial"/>
                <w:sz w:val="13"/>
                <w:szCs w:val="13"/>
                <w:color w:val="auto"/>
              </w:rPr>
              <w:t>By:   /s/ KATHLEEN T. COLEMAN</w:t>
            </w:r>
          </w:p>
        </w:tc>
      </w:tr>
      <w:tr>
        <w:trPr>
          <w:trHeight w:val="20"/>
        </w:trPr>
        <w:tc>
          <w:tcPr>
            <w:tcW w:w="3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580" w:type="dxa"/>
            <w:vAlign w:val="bottom"/>
            <w:shd w:val="clear" w:color="auto" w:fill="000000"/>
          </w:tcPr>
          <w:p>
            <w:pPr>
              <w:spacing w:after="0" w:line="20" w:lineRule="exact"/>
              <w:rPr>
                <w:sz w:val="1"/>
                <w:szCs w:val="1"/>
                <w:color w:val="auto"/>
              </w:rPr>
            </w:pPr>
          </w:p>
        </w:tc>
      </w:tr>
      <w:tr>
        <w:trPr>
          <w:trHeight w:val="149"/>
        </w:trPr>
        <w:tc>
          <w:tcPr>
            <w:tcW w:w="3440" w:type="dxa"/>
            <w:vAlign w:val="bottom"/>
          </w:tcPr>
          <w:p>
            <w:pPr>
              <w:spacing w:after="0"/>
              <w:rPr>
                <w:sz w:val="12"/>
                <w:szCs w:val="12"/>
                <w:color w:val="auto"/>
              </w:rPr>
            </w:pPr>
          </w:p>
        </w:tc>
        <w:tc>
          <w:tcPr>
            <w:tcW w:w="6780" w:type="dxa"/>
            <w:vAlign w:val="bottom"/>
            <w:gridSpan w:val="2"/>
          </w:tcPr>
          <w:p>
            <w:pPr>
              <w:ind w:left="1840"/>
              <w:spacing w:after="0"/>
              <w:rPr>
                <w:sz w:val="20"/>
                <w:szCs w:val="20"/>
                <w:color w:val="auto"/>
              </w:rPr>
            </w:pPr>
            <w:r>
              <w:rPr>
                <w:rFonts w:ascii="Arial" w:cs="Arial" w:eastAsia="Arial" w:hAnsi="Arial"/>
                <w:sz w:val="13"/>
                <w:szCs w:val="13"/>
                <w:color w:val="auto"/>
              </w:rPr>
              <w:t>Name: Kathleen T. Coleman</w:t>
            </w:r>
          </w:p>
        </w:tc>
      </w:tr>
      <w:tr>
        <w:trPr>
          <w:trHeight w:val="165"/>
        </w:trPr>
        <w:tc>
          <w:tcPr>
            <w:tcW w:w="3440" w:type="dxa"/>
            <w:vAlign w:val="bottom"/>
          </w:tcPr>
          <w:p>
            <w:pPr>
              <w:spacing w:after="0"/>
              <w:rPr>
                <w:sz w:val="14"/>
                <w:szCs w:val="14"/>
                <w:color w:val="auto"/>
              </w:rPr>
            </w:pPr>
          </w:p>
        </w:tc>
        <w:tc>
          <w:tcPr>
            <w:tcW w:w="6780" w:type="dxa"/>
            <w:vAlign w:val="bottom"/>
            <w:gridSpan w:val="2"/>
          </w:tcPr>
          <w:p>
            <w:pPr>
              <w:ind w:left="1840"/>
              <w:spacing w:after="0"/>
              <w:rPr>
                <w:sz w:val="20"/>
                <w:szCs w:val="20"/>
                <w:color w:val="auto"/>
              </w:rPr>
            </w:pPr>
            <w:r>
              <w:rPr>
                <w:rFonts w:ascii="Arial" w:cs="Arial" w:eastAsia="Arial" w:hAnsi="Arial"/>
                <w:sz w:val="13"/>
                <w:szCs w:val="13"/>
                <w:color w:val="auto"/>
              </w:rPr>
              <w:t>Title:  Vice President</w:t>
            </w:r>
          </w:p>
        </w:tc>
      </w:tr>
      <w:tr>
        <w:trPr>
          <w:trHeight w:val="307"/>
        </w:trPr>
        <w:tc>
          <w:tcPr>
            <w:tcW w:w="3440" w:type="dxa"/>
            <w:vAlign w:val="bottom"/>
          </w:tcPr>
          <w:p>
            <w:pPr>
              <w:spacing w:after="0"/>
              <w:rPr>
                <w:sz w:val="24"/>
                <w:szCs w:val="24"/>
                <w:color w:val="auto"/>
              </w:rPr>
            </w:pPr>
          </w:p>
        </w:tc>
        <w:tc>
          <w:tcPr>
            <w:tcW w:w="6780" w:type="dxa"/>
            <w:vAlign w:val="bottom"/>
            <w:gridSpan w:val="2"/>
          </w:tcPr>
          <w:p>
            <w:pPr>
              <w:ind w:left="1840"/>
              <w:spacing w:after="0"/>
              <w:rPr>
                <w:sz w:val="20"/>
                <w:szCs w:val="20"/>
                <w:color w:val="auto"/>
              </w:rPr>
            </w:pPr>
            <w:r>
              <w:rPr>
                <w:rFonts w:ascii="Arial" w:cs="Arial" w:eastAsia="Arial" w:hAnsi="Arial"/>
                <w:sz w:val="13"/>
                <w:szCs w:val="13"/>
                <w:color w:val="auto"/>
              </w:rPr>
              <w:t>PNC BANK, N.A.,</w:t>
            </w:r>
          </w:p>
        </w:tc>
      </w:tr>
      <w:tr>
        <w:trPr>
          <w:trHeight w:val="165"/>
        </w:trPr>
        <w:tc>
          <w:tcPr>
            <w:tcW w:w="3440" w:type="dxa"/>
            <w:vAlign w:val="bottom"/>
          </w:tcPr>
          <w:p>
            <w:pPr>
              <w:spacing w:after="0"/>
              <w:rPr>
                <w:sz w:val="14"/>
                <w:szCs w:val="14"/>
                <w:color w:val="auto"/>
              </w:rPr>
            </w:pPr>
          </w:p>
        </w:tc>
        <w:tc>
          <w:tcPr>
            <w:tcW w:w="6780" w:type="dxa"/>
            <w:vAlign w:val="bottom"/>
            <w:gridSpan w:val="2"/>
          </w:tcPr>
          <w:p>
            <w:pPr>
              <w:ind w:left="1840"/>
              <w:spacing w:after="0"/>
              <w:rPr>
                <w:sz w:val="20"/>
                <w:szCs w:val="20"/>
                <w:color w:val="auto"/>
              </w:rPr>
            </w:pPr>
            <w:r>
              <w:rPr>
                <w:rFonts w:ascii="Arial" w:cs="Arial" w:eastAsia="Arial" w:hAnsi="Arial"/>
                <w:sz w:val="13"/>
                <w:szCs w:val="13"/>
                <w:color w:val="auto"/>
              </w:rPr>
              <w:t>as a Lender</w:t>
            </w:r>
          </w:p>
        </w:tc>
      </w:tr>
      <w:tr>
        <w:trPr>
          <w:trHeight w:val="315"/>
        </w:trPr>
        <w:tc>
          <w:tcPr>
            <w:tcW w:w="3440" w:type="dxa"/>
            <w:vAlign w:val="bottom"/>
          </w:tcPr>
          <w:p>
            <w:pPr>
              <w:spacing w:after="0"/>
              <w:rPr>
                <w:sz w:val="24"/>
                <w:szCs w:val="24"/>
                <w:color w:val="auto"/>
              </w:rPr>
            </w:pPr>
          </w:p>
        </w:tc>
        <w:tc>
          <w:tcPr>
            <w:tcW w:w="6780" w:type="dxa"/>
            <w:vAlign w:val="bottom"/>
            <w:gridSpan w:val="2"/>
          </w:tcPr>
          <w:p>
            <w:pPr>
              <w:ind w:left="1840"/>
              <w:spacing w:after="0"/>
              <w:rPr>
                <w:sz w:val="20"/>
                <w:szCs w:val="20"/>
                <w:color w:val="auto"/>
              </w:rPr>
            </w:pPr>
            <w:r>
              <w:rPr>
                <w:rFonts w:ascii="Arial" w:cs="Arial" w:eastAsia="Arial" w:hAnsi="Arial"/>
                <w:sz w:val="13"/>
                <w:szCs w:val="13"/>
                <w:color w:val="auto"/>
              </w:rPr>
              <w:t>By:   /s/ HANA M. DEITER</w:t>
            </w:r>
          </w:p>
        </w:tc>
      </w:tr>
      <w:tr>
        <w:trPr>
          <w:trHeight w:val="20"/>
        </w:trPr>
        <w:tc>
          <w:tcPr>
            <w:tcW w:w="3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580" w:type="dxa"/>
            <w:vAlign w:val="bottom"/>
            <w:shd w:val="clear" w:color="auto" w:fill="000000"/>
          </w:tcPr>
          <w:p>
            <w:pPr>
              <w:spacing w:after="0" w:line="20" w:lineRule="exact"/>
              <w:rPr>
                <w:sz w:val="1"/>
                <w:szCs w:val="1"/>
                <w:color w:val="auto"/>
              </w:rPr>
            </w:pPr>
          </w:p>
        </w:tc>
      </w:tr>
      <w:tr>
        <w:trPr>
          <w:trHeight w:val="149"/>
        </w:trPr>
        <w:tc>
          <w:tcPr>
            <w:tcW w:w="3440" w:type="dxa"/>
            <w:vAlign w:val="bottom"/>
          </w:tcPr>
          <w:p>
            <w:pPr>
              <w:spacing w:after="0"/>
              <w:rPr>
                <w:sz w:val="12"/>
                <w:szCs w:val="12"/>
                <w:color w:val="auto"/>
              </w:rPr>
            </w:pPr>
          </w:p>
        </w:tc>
        <w:tc>
          <w:tcPr>
            <w:tcW w:w="6780" w:type="dxa"/>
            <w:vAlign w:val="bottom"/>
            <w:gridSpan w:val="2"/>
          </w:tcPr>
          <w:p>
            <w:pPr>
              <w:ind w:left="1840"/>
              <w:spacing w:after="0"/>
              <w:rPr>
                <w:sz w:val="20"/>
                <w:szCs w:val="20"/>
                <w:color w:val="auto"/>
              </w:rPr>
            </w:pPr>
            <w:r>
              <w:rPr>
                <w:rFonts w:ascii="Arial" w:cs="Arial" w:eastAsia="Arial" w:hAnsi="Arial"/>
                <w:sz w:val="13"/>
                <w:szCs w:val="13"/>
                <w:color w:val="auto"/>
              </w:rPr>
              <w:t>Name: Hana M. Deiter</w:t>
            </w:r>
          </w:p>
        </w:tc>
      </w:tr>
      <w:tr>
        <w:trPr>
          <w:trHeight w:val="165"/>
        </w:trPr>
        <w:tc>
          <w:tcPr>
            <w:tcW w:w="3440" w:type="dxa"/>
            <w:vAlign w:val="bottom"/>
          </w:tcPr>
          <w:p>
            <w:pPr>
              <w:spacing w:after="0"/>
              <w:rPr>
                <w:sz w:val="14"/>
                <w:szCs w:val="14"/>
                <w:color w:val="auto"/>
              </w:rPr>
            </w:pPr>
          </w:p>
        </w:tc>
        <w:tc>
          <w:tcPr>
            <w:tcW w:w="6780" w:type="dxa"/>
            <w:vAlign w:val="bottom"/>
            <w:gridSpan w:val="2"/>
          </w:tcPr>
          <w:p>
            <w:pPr>
              <w:ind w:left="1840"/>
              <w:spacing w:after="0"/>
              <w:rPr>
                <w:sz w:val="20"/>
                <w:szCs w:val="20"/>
                <w:color w:val="auto"/>
              </w:rPr>
            </w:pPr>
            <w:r>
              <w:rPr>
                <w:rFonts w:ascii="Arial" w:cs="Arial" w:eastAsia="Arial" w:hAnsi="Arial"/>
                <w:sz w:val="13"/>
                <w:szCs w:val="13"/>
                <w:color w:val="auto"/>
              </w:rPr>
              <w:t>Title:  Managing Director</w:t>
            </w:r>
          </w:p>
        </w:tc>
      </w:tr>
      <w:tr>
        <w:trPr>
          <w:trHeight w:val="307"/>
        </w:trPr>
        <w:tc>
          <w:tcPr>
            <w:tcW w:w="3440" w:type="dxa"/>
            <w:vAlign w:val="bottom"/>
          </w:tcPr>
          <w:p>
            <w:pPr>
              <w:spacing w:after="0"/>
              <w:rPr>
                <w:sz w:val="24"/>
                <w:szCs w:val="24"/>
                <w:color w:val="auto"/>
              </w:rPr>
            </w:pPr>
          </w:p>
        </w:tc>
        <w:tc>
          <w:tcPr>
            <w:tcW w:w="6780" w:type="dxa"/>
            <w:vAlign w:val="bottom"/>
            <w:gridSpan w:val="2"/>
          </w:tcPr>
          <w:p>
            <w:pPr>
              <w:ind w:left="1840"/>
              <w:spacing w:after="0"/>
              <w:rPr>
                <w:sz w:val="20"/>
                <w:szCs w:val="20"/>
                <w:color w:val="auto"/>
              </w:rPr>
            </w:pPr>
            <w:r>
              <w:rPr>
                <w:rFonts w:ascii="Arial" w:cs="Arial" w:eastAsia="Arial" w:hAnsi="Arial"/>
                <w:sz w:val="13"/>
                <w:szCs w:val="13"/>
                <w:color w:val="auto"/>
              </w:rPr>
              <w:t>WELLS FARGO BANK, N.A.,</w:t>
            </w:r>
          </w:p>
        </w:tc>
      </w:tr>
      <w:tr>
        <w:trPr>
          <w:trHeight w:val="165"/>
        </w:trPr>
        <w:tc>
          <w:tcPr>
            <w:tcW w:w="3440" w:type="dxa"/>
            <w:vAlign w:val="bottom"/>
          </w:tcPr>
          <w:p>
            <w:pPr>
              <w:spacing w:after="0"/>
              <w:rPr>
                <w:sz w:val="14"/>
                <w:szCs w:val="14"/>
                <w:color w:val="auto"/>
              </w:rPr>
            </w:pPr>
          </w:p>
        </w:tc>
        <w:tc>
          <w:tcPr>
            <w:tcW w:w="6780" w:type="dxa"/>
            <w:vAlign w:val="bottom"/>
            <w:gridSpan w:val="2"/>
          </w:tcPr>
          <w:p>
            <w:pPr>
              <w:ind w:left="1840"/>
              <w:spacing w:after="0"/>
              <w:rPr>
                <w:sz w:val="20"/>
                <w:szCs w:val="20"/>
                <w:color w:val="auto"/>
              </w:rPr>
            </w:pPr>
            <w:r>
              <w:rPr>
                <w:rFonts w:ascii="Arial" w:cs="Arial" w:eastAsia="Arial" w:hAnsi="Arial"/>
                <w:sz w:val="13"/>
                <w:szCs w:val="13"/>
                <w:color w:val="auto"/>
              </w:rPr>
              <w:t>as a Lender</w:t>
            </w:r>
          </w:p>
        </w:tc>
      </w:tr>
      <w:tr>
        <w:trPr>
          <w:trHeight w:val="315"/>
        </w:trPr>
        <w:tc>
          <w:tcPr>
            <w:tcW w:w="3440" w:type="dxa"/>
            <w:vAlign w:val="bottom"/>
          </w:tcPr>
          <w:p>
            <w:pPr>
              <w:spacing w:after="0"/>
              <w:rPr>
                <w:sz w:val="24"/>
                <w:szCs w:val="24"/>
                <w:color w:val="auto"/>
              </w:rPr>
            </w:pPr>
          </w:p>
        </w:tc>
        <w:tc>
          <w:tcPr>
            <w:tcW w:w="6780" w:type="dxa"/>
            <w:vAlign w:val="bottom"/>
            <w:gridSpan w:val="2"/>
          </w:tcPr>
          <w:p>
            <w:pPr>
              <w:ind w:left="1840"/>
              <w:spacing w:after="0"/>
              <w:rPr>
                <w:sz w:val="20"/>
                <w:szCs w:val="20"/>
                <w:color w:val="auto"/>
              </w:rPr>
            </w:pPr>
            <w:r>
              <w:rPr>
                <w:rFonts w:ascii="Arial" w:cs="Arial" w:eastAsia="Arial" w:hAnsi="Arial"/>
                <w:sz w:val="13"/>
                <w:szCs w:val="13"/>
                <w:color w:val="auto"/>
              </w:rPr>
              <w:t>By:   /s/ ROBERT A. GREHN</w:t>
            </w:r>
          </w:p>
        </w:tc>
      </w:tr>
      <w:tr>
        <w:trPr>
          <w:trHeight w:val="20"/>
        </w:trPr>
        <w:tc>
          <w:tcPr>
            <w:tcW w:w="3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580" w:type="dxa"/>
            <w:vAlign w:val="bottom"/>
            <w:shd w:val="clear" w:color="auto" w:fill="000000"/>
          </w:tcPr>
          <w:p>
            <w:pPr>
              <w:spacing w:after="0" w:line="20" w:lineRule="exact"/>
              <w:rPr>
                <w:sz w:val="1"/>
                <w:szCs w:val="1"/>
                <w:color w:val="auto"/>
              </w:rPr>
            </w:pPr>
          </w:p>
        </w:tc>
      </w:tr>
      <w:tr>
        <w:trPr>
          <w:trHeight w:val="149"/>
        </w:trPr>
        <w:tc>
          <w:tcPr>
            <w:tcW w:w="3440" w:type="dxa"/>
            <w:vAlign w:val="bottom"/>
          </w:tcPr>
          <w:p>
            <w:pPr>
              <w:spacing w:after="0"/>
              <w:rPr>
                <w:sz w:val="12"/>
                <w:szCs w:val="12"/>
                <w:color w:val="auto"/>
              </w:rPr>
            </w:pPr>
          </w:p>
        </w:tc>
        <w:tc>
          <w:tcPr>
            <w:tcW w:w="6780" w:type="dxa"/>
            <w:vAlign w:val="bottom"/>
            <w:gridSpan w:val="2"/>
          </w:tcPr>
          <w:p>
            <w:pPr>
              <w:ind w:left="1840"/>
              <w:spacing w:after="0"/>
              <w:rPr>
                <w:sz w:val="20"/>
                <w:szCs w:val="20"/>
                <w:color w:val="auto"/>
              </w:rPr>
            </w:pPr>
            <w:r>
              <w:rPr>
                <w:rFonts w:ascii="Arial" w:cs="Arial" w:eastAsia="Arial" w:hAnsi="Arial"/>
                <w:sz w:val="13"/>
                <w:szCs w:val="13"/>
                <w:color w:val="auto"/>
              </w:rPr>
              <w:t>Name: Robert A. Grehn</w:t>
            </w:r>
          </w:p>
        </w:tc>
      </w:tr>
      <w:tr>
        <w:trPr>
          <w:trHeight w:val="165"/>
        </w:trPr>
        <w:tc>
          <w:tcPr>
            <w:tcW w:w="3440" w:type="dxa"/>
            <w:vAlign w:val="bottom"/>
          </w:tcPr>
          <w:p>
            <w:pPr>
              <w:spacing w:after="0"/>
              <w:rPr>
                <w:sz w:val="14"/>
                <w:szCs w:val="14"/>
                <w:color w:val="auto"/>
              </w:rPr>
            </w:pPr>
          </w:p>
        </w:tc>
        <w:tc>
          <w:tcPr>
            <w:tcW w:w="6780" w:type="dxa"/>
            <w:vAlign w:val="bottom"/>
            <w:gridSpan w:val="2"/>
          </w:tcPr>
          <w:p>
            <w:pPr>
              <w:ind w:left="1840"/>
              <w:spacing w:after="0"/>
              <w:rPr>
                <w:sz w:val="20"/>
                <w:szCs w:val="20"/>
                <w:color w:val="auto"/>
              </w:rPr>
            </w:pPr>
            <w:r>
              <w:rPr>
                <w:rFonts w:ascii="Arial" w:cs="Arial" w:eastAsia="Arial" w:hAnsi="Arial"/>
                <w:sz w:val="13"/>
                <w:szCs w:val="13"/>
                <w:color w:val="auto"/>
              </w:rPr>
              <w:t>Title:  Vice President</w:t>
            </w:r>
          </w:p>
        </w:tc>
      </w:tr>
    </w:tbl>
    <w:p>
      <w:pPr>
        <w:sectPr>
          <w:pgSz w:w="11900" w:h="16838" w:orient="portrait"/>
          <w:cols w:equalWidth="0" w:num="1">
            <w:col w:w="10239"/>
          </w:cols>
          <w:pgMar w:left="220" w:top="878" w:right="1440" w:bottom="1440" w:gutter="0" w:footer="0" w:header="0"/>
        </w:sectPr>
      </w:pPr>
    </w:p>
    <w:bookmarkStart w:id="188" w:name="page189"/>
    <w:bookmarkEnd w:id="1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4"/>
          </w:tcPr>
          <w:p>
            <w:pPr>
              <w:spacing w:after="0"/>
              <w:rPr>
                <w:sz w:val="20"/>
                <w:szCs w:val="20"/>
                <w:color w:val="auto"/>
              </w:rPr>
            </w:pPr>
            <w:r>
              <w:rPr>
                <w:rFonts w:ascii="Arial" w:cs="Arial" w:eastAsia="Arial" w:hAnsi="Arial"/>
                <w:sz w:val="13"/>
                <w:szCs w:val="13"/>
                <w:b w:val="1"/>
                <w:bCs w:val="1"/>
                <w:color w:val="auto"/>
              </w:rPr>
              <w:t>Exhibit 21</w:t>
            </w:r>
          </w:p>
        </w:tc>
        <w:tc>
          <w:tcPr>
            <w:tcW w:w="0" w:type="dxa"/>
            <w:vAlign w:val="bottom"/>
          </w:tcPr>
          <w:p>
            <w:pPr>
              <w:spacing w:after="0"/>
              <w:rPr>
                <w:sz w:val="1"/>
                <w:szCs w:val="1"/>
                <w:color w:val="auto"/>
              </w:rPr>
            </w:pPr>
          </w:p>
        </w:tc>
      </w:tr>
      <w:tr>
        <w:trPr>
          <w:trHeight w:val="383"/>
        </w:trPr>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700" w:type="dxa"/>
            <w:vAlign w:val="bottom"/>
            <w:gridSpan w:val="3"/>
          </w:tcPr>
          <w:p>
            <w:pPr>
              <w:spacing w:after="0"/>
              <w:rPr>
                <w:sz w:val="20"/>
                <w:szCs w:val="20"/>
                <w:color w:val="auto"/>
              </w:rPr>
            </w:pPr>
            <w:r>
              <w:rPr>
                <w:rFonts w:ascii="Arial" w:cs="Arial" w:eastAsia="Arial" w:hAnsi="Arial"/>
                <w:sz w:val="13"/>
                <w:szCs w:val="13"/>
                <w:b w:val="1"/>
                <w:bCs w:val="1"/>
                <w:color w:val="auto"/>
              </w:rPr>
              <w:t>SCHEDULE OF SUBSIDIARIES OF BRADY CORPORATION</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362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gridSpan w:val="5"/>
          </w:tcPr>
          <w:p>
            <w:pPr>
              <w:jc w:val="center"/>
              <w:ind w:right="920"/>
              <w:spacing w:after="0"/>
              <w:rPr>
                <w:sz w:val="20"/>
                <w:szCs w:val="20"/>
                <w:color w:val="auto"/>
              </w:rPr>
            </w:pPr>
            <w:r>
              <w:rPr>
                <w:rFonts w:ascii="Arial" w:cs="Arial" w:eastAsia="Arial" w:hAnsi="Arial"/>
                <w:sz w:val="10"/>
                <w:szCs w:val="10"/>
                <w:b w:val="1"/>
                <w:bCs w:val="1"/>
                <w:color w:val="auto"/>
                <w:w w:val="88"/>
              </w:rPr>
              <w:t>Percentage</w:t>
            </w: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vMerge w:val="restart"/>
          </w:tcPr>
          <w:p>
            <w:pPr>
              <w:ind w:left="440"/>
              <w:spacing w:after="0"/>
              <w:rPr>
                <w:sz w:val="20"/>
                <w:szCs w:val="20"/>
                <w:color w:val="auto"/>
              </w:rPr>
            </w:pPr>
            <w:r>
              <w:rPr>
                <w:rFonts w:ascii="Arial" w:cs="Arial" w:eastAsia="Arial" w:hAnsi="Arial"/>
                <w:sz w:val="10"/>
                <w:szCs w:val="10"/>
                <w:b w:val="1"/>
                <w:bCs w:val="1"/>
                <w:color w:val="auto"/>
              </w:rPr>
              <w:t>State (Country)</w:t>
            </w:r>
          </w:p>
        </w:tc>
        <w:tc>
          <w:tcPr>
            <w:tcW w:w="300" w:type="dxa"/>
            <w:vAlign w:val="bottom"/>
          </w:tcPr>
          <w:p>
            <w:pPr>
              <w:spacing w:after="0"/>
              <w:rPr>
                <w:sz w:val="9"/>
                <w:szCs w:val="9"/>
                <w:color w:val="auto"/>
              </w:rPr>
            </w:pPr>
          </w:p>
        </w:tc>
        <w:tc>
          <w:tcPr>
            <w:tcW w:w="1600" w:type="dxa"/>
            <w:vAlign w:val="bottom"/>
            <w:gridSpan w:val="5"/>
          </w:tcPr>
          <w:p>
            <w:pPr>
              <w:jc w:val="center"/>
              <w:ind w:right="920"/>
              <w:spacing w:after="0" w:line="108" w:lineRule="exact"/>
              <w:rPr>
                <w:sz w:val="20"/>
                <w:szCs w:val="20"/>
                <w:color w:val="auto"/>
              </w:rPr>
            </w:pPr>
            <w:r>
              <w:rPr>
                <w:rFonts w:ascii="Arial" w:cs="Arial" w:eastAsia="Arial" w:hAnsi="Arial"/>
                <w:sz w:val="10"/>
                <w:szCs w:val="10"/>
                <w:b w:val="1"/>
                <w:bCs w:val="1"/>
                <w:color w:val="auto"/>
                <w:w w:val="92"/>
              </w:rPr>
              <w:t>of Voting</w:t>
            </w:r>
          </w:p>
        </w:tc>
        <w:tc>
          <w:tcPr>
            <w:tcW w:w="0" w:type="dxa"/>
            <w:vAlign w:val="bottom"/>
          </w:tcPr>
          <w:p>
            <w:pPr>
              <w:spacing w:after="0"/>
              <w:rPr>
                <w:sz w:val="1"/>
                <w:szCs w:val="1"/>
                <w:color w:val="auto"/>
              </w:rPr>
            </w:pPr>
          </w:p>
        </w:tc>
      </w:tr>
      <w:tr>
        <w:trPr>
          <w:trHeight w:val="118"/>
        </w:trPr>
        <w:tc>
          <w:tcPr>
            <w:tcW w:w="680" w:type="dxa"/>
            <w:vAlign w:val="bottom"/>
          </w:tcPr>
          <w:p>
            <w:pPr>
              <w:spacing w:after="0"/>
              <w:rPr>
                <w:sz w:val="10"/>
                <w:szCs w:val="10"/>
                <w:color w:val="auto"/>
              </w:rPr>
            </w:pPr>
          </w:p>
        </w:tc>
        <w:tc>
          <w:tcPr>
            <w:tcW w:w="31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Name of Company</w:t>
            </w:r>
          </w:p>
        </w:tc>
        <w:tc>
          <w:tcPr>
            <w:tcW w:w="3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600" w:type="dxa"/>
            <w:vAlign w:val="bottom"/>
            <w:gridSpan w:val="5"/>
          </w:tcPr>
          <w:p>
            <w:pPr>
              <w:jc w:val="center"/>
              <w:ind w:right="920"/>
              <w:spacing w:after="0"/>
              <w:rPr>
                <w:sz w:val="20"/>
                <w:szCs w:val="20"/>
                <w:color w:val="auto"/>
              </w:rPr>
            </w:pPr>
            <w:r>
              <w:rPr>
                <w:rFonts w:ascii="Arial" w:cs="Arial" w:eastAsia="Arial" w:hAnsi="Arial"/>
                <w:sz w:val="10"/>
                <w:szCs w:val="10"/>
                <w:b w:val="1"/>
                <w:bCs w:val="1"/>
                <w:color w:val="auto"/>
                <w:w w:val="91"/>
              </w:rPr>
              <w:t>Securities</w:t>
            </w: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180" w:type="dxa"/>
            <w:vAlign w:val="bottom"/>
            <w:gridSpan w:val="2"/>
            <w:vMerge w:val="continue"/>
          </w:tcPr>
          <w:p>
            <w:pPr>
              <w:spacing w:after="0"/>
              <w:rPr>
                <w:sz w:val="10"/>
                <w:szCs w:val="10"/>
                <w:color w:val="auto"/>
              </w:rPr>
            </w:pPr>
          </w:p>
        </w:tc>
        <w:tc>
          <w:tcPr>
            <w:tcW w:w="3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tcPr>
          <w:p>
            <w:pPr>
              <w:ind w:left="420"/>
              <w:spacing w:after="0"/>
              <w:rPr>
                <w:sz w:val="20"/>
                <w:szCs w:val="20"/>
                <w:color w:val="auto"/>
              </w:rPr>
            </w:pPr>
            <w:r>
              <w:rPr>
                <w:rFonts w:ascii="Arial" w:cs="Arial" w:eastAsia="Arial" w:hAnsi="Arial"/>
                <w:sz w:val="10"/>
                <w:szCs w:val="10"/>
                <w:b w:val="1"/>
                <w:bCs w:val="1"/>
                <w:color w:val="auto"/>
              </w:rPr>
              <w:t>of Incorporation</w:t>
            </w:r>
          </w:p>
        </w:tc>
        <w:tc>
          <w:tcPr>
            <w:tcW w:w="300" w:type="dxa"/>
            <w:vAlign w:val="bottom"/>
          </w:tcPr>
          <w:p>
            <w:pPr>
              <w:spacing w:after="0"/>
              <w:rPr>
                <w:sz w:val="10"/>
                <w:szCs w:val="10"/>
                <w:color w:val="auto"/>
              </w:rPr>
            </w:pPr>
          </w:p>
        </w:tc>
        <w:tc>
          <w:tcPr>
            <w:tcW w:w="1600" w:type="dxa"/>
            <w:vAlign w:val="bottom"/>
            <w:gridSpan w:val="5"/>
          </w:tcPr>
          <w:p>
            <w:pPr>
              <w:jc w:val="center"/>
              <w:ind w:right="920"/>
              <w:spacing w:after="0"/>
              <w:rPr>
                <w:sz w:val="20"/>
                <w:szCs w:val="20"/>
                <w:color w:val="auto"/>
              </w:rPr>
            </w:pPr>
            <w:r>
              <w:rPr>
                <w:rFonts w:ascii="Arial" w:cs="Arial" w:eastAsia="Arial" w:hAnsi="Arial"/>
                <w:sz w:val="10"/>
                <w:szCs w:val="10"/>
                <w:b w:val="1"/>
                <w:bCs w:val="1"/>
                <w:color w:val="auto"/>
                <w:w w:val="95"/>
              </w:rPr>
              <w:t>Owned</w:t>
            </w: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1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7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Brady Corporation</w:t>
            </w:r>
          </w:p>
        </w:tc>
        <w:tc>
          <w:tcPr>
            <w:tcW w:w="36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3"/>
                <w:szCs w:val="13"/>
                <w:color w:val="auto"/>
              </w:rPr>
              <w:t>Wisconsin</w:t>
            </w:r>
          </w:p>
        </w:tc>
        <w:tc>
          <w:tcPr>
            <w:tcW w:w="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Parent</w:t>
            </w:r>
          </w:p>
        </w:tc>
        <w:tc>
          <w:tcPr>
            <w:tcW w:w="2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80" w:type="dxa"/>
            <w:vAlign w:val="bottom"/>
            <w:gridSpan w:val="2"/>
          </w:tcPr>
          <w:p>
            <w:pPr>
              <w:spacing w:after="0"/>
              <w:rPr>
                <w:sz w:val="20"/>
                <w:szCs w:val="20"/>
                <w:color w:val="auto"/>
              </w:rPr>
            </w:pPr>
            <w:r>
              <w:rPr>
                <w:rFonts w:ascii="Arial" w:cs="Arial" w:eastAsia="Arial" w:hAnsi="Arial"/>
                <w:sz w:val="13"/>
                <w:szCs w:val="13"/>
                <w:color w:val="auto"/>
              </w:rPr>
              <w:t>Tricor Direct Inc. —</w:t>
            </w:r>
          </w:p>
        </w:tc>
        <w:tc>
          <w:tcPr>
            <w:tcW w:w="3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80" w:type="dxa"/>
            <w:vAlign w:val="bottom"/>
          </w:tcPr>
          <w:p>
            <w:pPr>
              <w:spacing w:after="0"/>
              <w:rPr>
                <w:sz w:val="20"/>
                <w:szCs w:val="20"/>
                <w:color w:val="auto"/>
              </w:rPr>
            </w:pPr>
            <w:r>
              <w:rPr>
                <w:rFonts w:ascii="Arial" w:cs="Arial" w:eastAsia="Arial" w:hAnsi="Arial"/>
                <w:sz w:val="13"/>
                <w:szCs w:val="13"/>
                <w:color w:val="auto"/>
              </w:rPr>
              <w:t>Delaware</w:t>
            </w:r>
          </w:p>
        </w:tc>
        <w:tc>
          <w:tcPr>
            <w:tcW w:w="1100" w:type="dxa"/>
            <w:vAlign w:val="bottom"/>
            <w:gridSpan w:val="4"/>
          </w:tcPr>
          <w:p>
            <w:pPr>
              <w:jc w:val="right"/>
              <w:spacing w:after="0"/>
              <w:rPr>
                <w:sz w:val="20"/>
                <w:szCs w:val="20"/>
                <w:color w:val="auto"/>
              </w:rPr>
            </w:pPr>
            <w:r>
              <w:rPr>
                <w:rFonts w:ascii="Arial" w:cs="Arial" w:eastAsia="Arial" w:hAnsi="Arial"/>
                <w:sz w:val="13"/>
                <w:szCs w:val="13"/>
                <w:color w:val="auto"/>
              </w:rPr>
              <w:t>100%</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100" w:type="dxa"/>
            <w:vAlign w:val="bottom"/>
            <w:shd w:val="clear" w:color="auto" w:fill="CCEEFF"/>
          </w:tcPr>
          <w:p>
            <w:pPr>
              <w:ind w:left="60"/>
              <w:spacing w:after="0"/>
              <w:rPr>
                <w:sz w:val="20"/>
                <w:szCs w:val="20"/>
                <w:color w:val="auto"/>
              </w:rPr>
            </w:pPr>
            <w:r>
              <w:rPr>
                <w:rFonts w:ascii="Arial" w:cs="Arial" w:eastAsia="Arial" w:hAnsi="Arial"/>
                <w:sz w:val="13"/>
                <w:szCs w:val="13"/>
                <w:color w:val="auto"/>
              </w:rPr>
              <w:t>Doing Business As:</w:t>
            </w:r>
          </w:p>
        </w:tc>
        <w:tc>
          <w:tcPr>
            <w:tcW w:w="36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00" w:type="dxa"/>
            <w:vAlign w:val="bottom"/>
          </w:tcPr>
          <w:p>
            <w:pPr>
              <w:ind w:left="200"/>
              <w:spacing w:after="0"/>
              <w:rPr>
                <w:sz w:val="20"/>
                <w:szCs w:val="20"/>
                <w:color w:val="auto"/>
              </w:rPr>
            </w:pPr>
            <w:r>
              <w:rPr>
                <w:rFonts w:ascii="Arial" w:cs="Arial" w:eastAsia="Arial" w:hAnsi="Arial"/>
                <w:sz w:val="13"/>
                <w:szCs w:val="13"/>
                <w:color w:val="auto"/>
              </w:rPr>
              <w:t>Seton</w:t>
            </w:r>
          </w:p>
        </w:tc>
        <w:tc>
          <w:tcPr>
            <w:tcW w:w="3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1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Seton Name Plate Company</w:t>
            </w:r>
          </w:p>
        </w:tc>
        <w:tc>
          <w:tcPr>
            <w:tcW w:w="36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00" w:type="dxa"/>
            <w:vAlign w:val="bottom"/>
          </w:tcPr>
          <w:p>
            <w:pPr>
              <w:ind w:left="200"/>
              <w:spacing w:after="0"/>
              <w:rPr>
                <w:sz w:val="20"/>
                <w:szCs w:val="20"/>
                <w:color w:val="auto"/>
              </w:rPr>
            </w:pPr>
            <w:r>
              <w:rPr>
                <w:rFonts w:ascii="Arial" w:cs="Arial" w:eastAsia="Arial" w:hAnsi="Arial"/>
                <w:sz w:val="13"/>
                <w:szCs w:val="13"/>
                <w:color w:val="auto"/>
              </w:rPr>
              <w:t>D&amp;G Sign and Label Co.</w:t>
            </w:r>
          </w:p>
        </w:tc>
        <w:tc>
          <w:tcPr>
            <w:tcW w:w="3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1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Seton Identification Products</w:t>
            </w:r>
          </w:p>
        </w:tc>
        <w:tc>
          <w:tcPr>
            <w:tcW w:w="36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00" w:type="dxa"/>
            <w:vAlign w:val="bottom"/>
          </w:tcPr>
          <w:p>
            <w:pPr>
              <w:ind w:left="200"/>
              <w:spacing w:after="0"/>
              <w:rPr>
                <w:sz w:val="20"/>
                <w:szCs w:val="20"/>
                <w:color w:val="auto"/>
              </w:rPr>
            </w:pPr>
            <w:r>
              <w:rPr>
                <w:rFonts w:ascii="Arial" w:cs="Arial" w:eastAsia="Arial" w:hAnsi="Arial"/>
                <w:sz w:val="13"/>
                <w:szCs w:val="13"/>
                <w:color w:val="auto"/>
              </w:rPr>
              <w:t>The Hirol Company</w:t>
            </w:r>
          </w:p>
        </w:tc>
        <w:tc>
          <w:tcPr>
            <w:tcW w:w="3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Worldmark of Wisconsin Inc.</w:t>
            </w:r>
          </w:p>
        </w:tc>
        <w:tc>
          <w:tcPr>
            <w:tcW w:w="36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3"/>
                <w:szCs w:val="13"/>
                <w:color w:val="auto"/>
              </w:rPr>
              <w:t>Delaware</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80" w:type="dxa"/>
            <w:vAlign w:val="bottom"/>
            <w:gridSpan w:val="2"/>
          </w:tcPr>
          <w:p>
            <w:pPr>
              <w:spacing w:after="0"/>
              <w:rPr>
                <w:sz w:val="20"/>
                <w:szCs w:val="20"/>
                <w:color w:val="auto"/>
              </w:rPr>
            </w:pPr>
            <w:r>
              <w:rPr>
                <w:rFonts w:ascii="Arial" w:cs="Arial" w:eastAsia="Arial" w:hAnsi="Arial"/>
                <w:sz w:val="13"/>
                <w:szCs w:val="13"/>
                <w:color w:val="auto"/>
              </w:rPr>
              <w:t>Brady Investment Co.</w:t>
            </w:r>
          </w:p>
        </w:tc>
        <w:tc>
          <w:tcPr>
            <w:tcW w:w="3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80" w:type="dxa"/>
            <w:vAlign w:val="bottom"/>
          </w:tcPr>
          <w:p>
            <w:pPr>
              <w:spacing w:after="0"/>
              <w:rPr>
                <w:sz w:val="20"/>
                <w:szCs w:val="20"/>
                <w:color w:val="auto"/>
              </w:rPr>
            </w:pPr>
            <w:r>
              <w:rPr>
                <w:rFonts w:ascii="Arial" w:cs="Arial" w:eastAsia="Arial" w:hAnsi="Arial"/>
                <w:sz w:val="13"/>
                <w:szCs w:val="13"/>
                <w:color w:val="auto"/>
              </w:rPr>
              <w:t>Nevada</w:t>
            </w:r>
          </w:p>
        </w:tc>
        <w:tc>
          <w:tcPr>
            <w:tcW w:w="1100" w:type="dxa"/>
            <w:vAlign w:val="bottom"/>
            <w:gridSpan w:val="4"/>
          </w:tcPr>
          <w:p>
            <w:pPr>
              <w:jc w:val="right"/>
              <w:spacing w:after="0"/>
              <w:rPr>
                <w:sz w:val="20"/>
                <w:szCs w:val="20"/>
                <w:color w:val="auto"/>
              </w:rPr>
            </w:pPr>
            <w:r>
              <w:rPr>
                <w:rFonts w:ascii="Arial" w:cs="Arial" w:eastAsia="Arial" w:hAnsi="Arial"/>
                <w:sz w:val="13"/>
                <w:szCs w:val="13"/>
                <w:color w:val="auto"/>
              </w:rPr>
              <w:t>100%</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EMED Co., Inc.</w:t>
            </w:r>
          </w:p>
        </w:tc>
        <w:tc>
          <w:tcPr>
            <w:tcW w:w="36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3"/>
                <w:szCs w:val="13"/>
                <w:color w:val="auto"/>
              </w:rPr>
              <w:t>New York</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80" w:type="dxa"/>
            <w:vAlign w:val="bottom"/>
            <w:gridSpan w:val="2"/>
          </w:tcPr>
          <w:p>
            <w:pPr>
              <w:spacing w:after="0"/>
              <w:rPr>
                <w:sz w:val="20"/>
                <w:szCs w:val="20"/>
                <w:color w:val="auto"/>
              </w:rPr>
            </w:pPr>
            <w:r>
              <w:rPr>
                <w:rFonts w:ascii="Arial" w:cs="Arial" w:eastAsia="Arial" w:hAnsi="Arial"/>
                <w:sz w:val="13"/>
                <w:szCs w:val="13"/>
                <w:color w:val="auto"/>
              </w:rPr>
              <w:t>Stopware, Inc.</w:t>
            </w:r>
          </w:p>
        </w:tc>
        <w:tc>
          <w:tcPr>
            <w:tcW w:w="3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80" w:type="dxa"/>
            <w:vAlign w:val="bottom"/>
          </w:tcPr>
          <w:p>
            <w:pPr>
              <w:spacing w:after="0"/>
              <w:rPr>
                <w:sz w:val="20"/>
                <w:szCs w:val="20"/>
                <w:color w:val="auto"/>
              </w:rPr>
            </w:pPr>
            <w:r>
              <w:rPr>
                <w:rFonts w:ascii="Arial" w:cs="Arial" w:eastAsia="Arial" w:hAnsi="Arial"/>
                <w:sz w:val="13"/>
                <w:szCs w:val="13"/>
                <w:color w:val="auto"/>
              </w:rPr>
              <w:t>California</w:t>
            </w:r>
          </w:p>
        </w:tc>
        <w:tc>
          <w:tcPr>
            <w:tcW w:w="1100" w:type="dxa"/>
            <w:vAlign w:val="bottom"/>
            <w:gridSpan w:val="4"/>
          </w:tcPr>
          <w:p>
            <w:pPr>
              <w:jc w:val="right"/>
              <w:spacing w:after="0"/>
              <w:rPr>
                <w:sz w:val="20"/>
                <w:szCs w:val="20"/>
                <w:color w:val="auto"/>
              </w:rPr>
            </w:pPr>
            <w:r>
              <w:rPr>
                <w:rFonts w:ascii="Arial" w:cs="Arial" w:eastAsia="Arial" w:hAnsi="Arial"/>
                <w:sz w:val="13"/>
                <w:szCs w:val="13"/>
                <w:color w:val="auto"/>
              </w:rPr>
              <w:t>100%</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Permar Sytems, Inc. —</w:t>
            </w:r>
          </w:p>
        </w:tc>
        <w:tc>
          <w:tcPr>
            <w:tcW w:w="36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3"/>
                <w:szCs w:val="13"/>
                <w:color w:val="auto"/>
              </w:rPr>
              <w:t>New York</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00" w:type="dxa"/>
            <w:vAlign w:val="bottom"/>
          </w:tcPr>
          <w:p>
            <w:pPr>
              <w:ind w:left="60"/>
              <w:spacing w:after="0"/>
              <w:rPr>
                <w:sz w:val="20"/>
                <w:szCs w:val="20"/>
                <w:color w:val="auto"/>
              </w:rPr>
            </w:pPr>
            <w:r>
              <w:rPr>
                <w:rFonts w:ascii="Arial" w:cs="Arial" w:eastAsia="Arial" w:hAnsi="Arial"/>
                <w:sz w:val="13"/>
                <w:szCs w:val="13"/>
                <w:color w:val="auto"/>
              </w:rPr>
              <w:t>Doing Business As Electromark</w:t>
            </w:r>
          </w:p>
        </w:tc>
        <w:tc>
          <w:tcPr>
            <w:tcW w:w="3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Henryc, Inc. (U.S.)</w:t>
            </w:r>
          </w:p>
        </w:tc>
        <w:tc>
          <w:tcPr>
            <w:tcW w:w="36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3"/>
                <w:szCs w:val="13"/>
                <w:color w:val="auto"/>
              </w:rPr>
              <w:t>New York</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80" w:type="dxa"/>
            <w:vAlign w:val="bottom"/>
            <w:gridSpan w:val="2"/>
          </w:tcPr>
          <w:p>
            <w:pPr>
              <w:spacing w:after="0"/>
              <w:rPr>
                <w:sz w:val="20"/>
                <w:szCs w:val="20"/>
                <w:color w:val="auto"/>
              </w:rPr>
            </w:pPr>
            <w:r>
              <w:rPr>
                <w:rFonts w:ascii="Arial" w:cs="Arial" w:eastAsia="Arial" w:hAnsi="Arial"/>
                <w:sz w:val="13"/>
                <w:szCs w:val="13"/>
                <w:color w:val="auto"/>
              </w:rPr>
              <w:t>Oliver of New York (U.S.)</w:t>
            </w:r>
          </w:p>
        </w:tc>
        <w:tc>
          <w:tcPr>
            <w:tcW w:w="3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80" w:type="dxa"/>
            <w:vAlign w:val="bottom"/>
          </w:tcPr>
          <w:p>
            <w:pPr>
              <w:spacing w:after="0"/>
              <w:rPr>
                <w:sz w:val="20"/>
                <w:szCs w:val="20"/>
                <w:color w:val="auto"/>
              </w:rPr>
            </w:pPr>
            <w:r>
              <w:rPr>
                <w:rFonts w:ascii="Arial" w:cs="Arial" w:eastAsia="Arial" w:hAnsi="Arial"/>
                <w:sz w:val="13"/>
                <w:szCs w:val="13"/>
                <w:color w:val="auto"/>
              </w:rPr>
              <w:t>New York</w:t>
            </w:r>
          </w:p>
        </w:tc>
        <w:tc>
          <w:tcPr>
            <w:tcW w:w="1100" w:type="dxa"/>
            <w:vAlign w:val="bottom"/>
            <w:gridSpan w:val="4"/>
          </w:tcPr>
          <w:p>
            <w:pPr>
              <w:jc w:val="right"/>
              <w:spacing w:after="0"/>
              <w:rPr>
                <w:sz w:val="20"/>
                <w:szCs w:val="20"/>
                <w:color w:val="auto"/>
              </w:rPr>
            </w:pPr>
            <w:r>
              <w:rPr>
                <w:rFonts w:ascii="Arial" w:cs="Arial" w:eastAsia="Arial" w:hAnsi="Arial"/>
                <w:sz w:val="13"/>
                <w:szCs w:val="13"/>
                <w:color w:val="auto"/>
              </w:rPr>
              <w:t>100%</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AIO Holding Inc.</w:t>
            </w:r>
          </w:p>
        </w:tc>
        <w:tc>
          <w:tcPr>
            <w:tcW w:w="36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3"/>
                <w:szCs w:val="13"/>
                <w:color w:val="auto"/>
              </w:rPr>
              <w:t>Delaware</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80" w:type="dxa"/>
            <w:vAlign w:val="bottom"/>
            <w:gridSpan w:val="2"/>
          </w:tcPr>
          <w:p>
            <w:pPr>
              <w:spacing w:after="0"/>
              <w:rPr>
                <w:sz w:val="20"/>
                <w:szCs w:val="20"/>
                <w:color w:val="auto"/>
              </w:rPr>
            </w:pPr>
            <w:r>
              <w:rPr>
                <w:rFonts w:ascii="Arial" w:cs="Arial" w:eastAsia="Arial" w:hAnsi="Arial"/>
                <w:sz w:val="13"/>
                <w:szCs w:val="13"/>
                <w:color w:val="auto"/>
              </w:rPr>
              <w:t>AIO Acquisition Inc.</w:t>
            </w:r>
          </w:p>
        </w:tc>
        <w:tc>
          <w:tcPr>
            <w:tcW w:w="3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80" w:type="dxa"/>
            <w:vAlign w:val="bottom"/>
          </w:tcPr>
          <w:p>
            <w:pPr>
              <w:spacing w:after="0"/>
              <w:rPr>
                <w:sz w:val="20"/>
                <w:szCs w:val="20"/>
                <w:color w:val="auto"/>
              </w:rPr>
            </w:pPr>
            <w:r>
              <w:rPr>
                <w:rFonts w:ascii="Arial" w:cs="Arial" w:eastAsia="Arial" w:hAnsi="Arial"/>
                <w:sz w:val="13"/>
                <w:szCs w:val="13"/>
                <w:color w:val="auto"/>
              </w:rPr>
              <w:t>Delaware</w:t>
            </w:r>
          </w:p>
        </w:tc>
        <w:tc>
          <w:tcPr>
            <w:tcW w:w="1100" w:type="dxa"/>
            <w:vAlign w:val="bottom"/>
            <w:gridSpan w:val="4"/>
          </w:tcPr>
          <w:p>
            <w:pPr>
              <w:jc w:val="right"/>
              <w:spacing w:after="0"/>
              <w:rPr>
                <w:sz w:val="20"/>
                <w:szCs w:val="20"/>
                <w:color w:val="auto"/>
              </w:rPr>
            </w:pPr>
            <w:r>
              <w:rPr>
                <w:rFonts w:ascii="Arial" w:cs="Arial" w:eastAsia="Arial" w:hAnsi="Arial"/>
                <w:sz w:val="13"/>
                <w:szCs w:val="13"/>
                <w:color w:val="auto"/>
              </w:rPr>
              <w:t>100%</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TruMed Technologies, Inc.</w:t>
            </w:r>
          </w:p>
        </w:tc>
        <w:tc>
          <w:tcPr>
            <w:tcW w:w="36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3"/>
                <w:szCs w:val="13"/>
                <w:color w:val="auto"/>
              </w:rPr>
              <w:t>Minnesota</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80" w:type="dxa"/>
            <w:vAlign w:val="bottom"/>
            <w:gridSpan w:val="2"/>
          </w:tcPr>
          <w:p>
            <w:pPr>
              <w:spacing w:after="0"/>
              <w:rPr>
                <w:sz w:val="20"/>
                <w:szCs w:val="20"/>
                <w:color w:val="auto"/>
              </w:rPr>
            </w:pPr>
            <w:r>
              <w:rPr>
                <w:rFonts w:ascii="Arial" w:cs="Arial" w:eastAsia="Arial" w:hAnsi="Arial"/>
                <w:sz w:val="13"/>
                <w:szCs w:val="13"/>
                <w:color w:val="auto"/>
              </w:rPr>
              <w:t>Identicard Systems Worldwide, Inc.</w:t>
            </w:r>
          </w:p>
        </w:tc>
        <w:tc>
          <w:tcPr>
            <w:tcW w:w="3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80" w:type="dxa"/>
            <w:vAlign w:val="bottom"/>
          </w:tcPr>
          <w:p>
            <w:pPr>
              <w:spacing w:after="0"/>
              <w:rPr>
                <w:sz w:val="20"/>
                <w:szCs w:val="20"/>
                <w:color w:val="auto"/>
              </w:rPr>
            </w:pPr>
            <w:r>
              <w:rPr>
                <w:rFonts w:ascii="Arial" w:cs="Arial" w:eastAsia="Arial" w:hAnsi="Arial"/>
                <w:sz w:val="13"/>
                <w:szCs w:val="13"/>
                <w:color w:val="auto"/>
              </w:rPr>
              <w:t>Pennsylvania</w:t>
            </w:r>
          </w:p>
        </w:tc>
        <w:tc>
          <w:tcPr>
            <w:tcW w:w="1100" w:type="dxa"/>
            <w:vAlign w:val="bottom"/>
            <w:gridSpan w:val="4"/>
          </w:tcPr>
          <w:p>
            <w:pPr>
              <w:jc w:val="right"/>
              <w:spacing w:after="0"/>
              <w:rPr>
                <w:sz w:val="20"/>
                <w:szCs w:val="20"/>
                <w:color w:val="auto"/>
              </w:rPr>
            </w:pPr>
            <w:r>
              <w:rPr>
                <w:rFonts w:ascii="Arial" w:cs="Arial" w:eastAsia="Arial" w:hAnsi="Arial"/>
                <w:sz w:val="13"/>
                <w:szCs w:val="13"/>
                <w:color w:val="auto"/>
              </w:rPr>
              <w:t>100%</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J.A.M. Plastics, Inc.</w:t>
            </w:r>
          </w:p>
        </w:tc>
        <w:tc>
          <w:tcPr>
            <w:tcW w:w="36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3"/>
                <w:szCs w:val="13"/>
                <w:color w:val="auto"/>
              </w:rPr>
              <w:t>California</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80" w:type="dxa"/>
            <w:vAlign w:val="bottom"/>
            <w:gridSpan w:val="2"/>
          </w:tcPr>
          <w:p>
            <w:pPr>
              <w:spacing w:after="0"/>
              <w:rPr>
                <w:sz w:val="20"/>
                <w:szCs w:val="20"/>
                <w:color w:val="auto"/>
              </w:rPr>
            </w:pPr>
            <w:r>
              <w:rPr>
                <w:rFonts w:ascii="Arial" w:cs="Arial" w:eastAsia="Arial" w:hAnsi="Arial"/>
                <w:sz w:val="13"/>
                <w:szCs w:val="13"/>
                <w:color w:val="auto"/>
              </w:rPr>
              <w:t>Ave One, Inc.</w:t>
            </w:r>
          </w:p>
        </w:tc>
        <w:tc>
          <w:tcPr>
            <w:tcW w:w="3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80" w:type="dxa"/>
            <w:vAlign w:val="bottom"/>
          </w:tcPr>
          <w:p>
            <w:pPr>
              <w:spacing w:after="0"/>
              <w:rPr>
                <w:sz w:val="20"/>
                <w:szCs w:val="20"/>
                <w:color w:val="auto"/>
              </w:rPr>
            </w:pPr>
            <w:r>
              <w:rPr>
                <w:rFonts w:ascii="Arial" w:cs="Arial" w:eastAsia="Arial" w:hAnsi="Arial"/>
                <w:sz w:val="13"/>
                <w:szCs w:val="13"/>
                <w:color w:val="auto"/>
              </w:rPr>
              <w:t>California</w:t>
            </w:r>
          </w:p>
        </w:tc>
        <w:tc>
          <w:tcPr>
            <w:tcW w:w="1100" w:type="dxa"/>
            <w:vAlign w:val="bottom"/>
            <w:gridSpan w:val="4"/>
          </w:tcPr>
          <w:p>
            <w:pPr>
              <w:jc w:val="right"/>
              <w:spacing w:after="0"/>
              <w:rPr>
                <w:sz w:val="20"/>
                <w:szCs w:val="20"/>
                <w:color w:val="auto"/>
              </w:rPr>
            </w:pPr>
            <w:r>
              <w:rPr>
                <w:rFonts w:ascii="Arial" w:cs="Arial" w:eastAsia="Arial" w:hAnsi="Arial"/>
                <w:sz w:val="13"/>
                <w:szCs w:val="13"/>
                <w:color w:val="auto"/>
              </w:rPr>
              <w:t>100%</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Brady Mexico Holding LLC</w:t>
            </w:r>
          </w:p>
        </w:tc>
        <w:tc>
          <w:tcPr>
            <w:tcW w:w="36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3"/>
                <w:szCs w:val="13"/>
                <w:color w:val="auto"/>
              </w:rPr>
              <w:t>Delaware</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80" w:type="dxa"/>
            <w:vAlign w:val="bottom"/>
            <w:gridSpan w:val="2"/>
          </w:tcPr>
          <w:p>
            <w:pPr>
              <w:spacing w:after="0"/>
              <w:rPr>
                <w:sz w:val="20"/>
                <w:szCs w:val="20"/>
                <w:color w:val="auto"/>
              </w:rPr>
            </w:pPr>
            <w:r>
              <w:rPr>
                <w:rFonts w:ascii="Arial" w:cs="Arial" w:eastAsia="Arial" w:hAnsi="Arial"/>
                <w:sz w:val="13"/>
                <w:szCs w:val="13"/>
                <w:color w:val="auto"/>
              </w:rPr>
              <w:t>Brady Luxembourg SARL LLC</w:t>
            </w:r>
          </w:p>
        </w:tc>
        <w:tc>
          <w:tcPr>
            <w:tcW w:w="3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80" w:type="dxa"/>
            <w:vAlign w:val="bottom"/>
          </w:tcPr>
          <w:p>
            <w:pPr>
              <w:spacing w:after="0"/>
              <w:rPr>
                <w:sz w:val="20"/>
                <w:szCs w:val="20"/>
                <w:color w:val="auto"/>
              </w:rPr>
            </w:pPr>
            <w:r>
              <w:rPr>
                <w:rFonts w:ascii="Arial" w:cs="Arial" w:eastAsia="Arial" w:hAnsi="Arial"/>
                <w:sz w:val="13"/>
                <w:szCs w:val="13"/>
                <w:color w:val="auto"/>
              </w:rPr>
              <w:t>Wisconsin</w:t>
            </w:r>
          </w:p>
        </w:tc>
        <w:tc>
          <w:tcPr>
            <w:tcW w:w="1100" w:type="dxa"/>
            <w:vAlign w:val="bottom"/>
            <w:gridSpan w:val="4"/>
          </w:tcPr>
          <w:p>
            <w:pPr>
              <w:jc w:val="right"/>
              <w:spacing w:after="0"/>
              <w:rPr>
                <w:sz w:val="20"/>
                <w:szCs w:val="20"/>
                <w:color w:val="auto"/>
              </w:rPr>
            </w:pPr>
            <w:r>
              <w:rPr>
                <w:rFonts w:ascii="Arial" w:cs="Arial" w:eastAsia="Arial" w:hAnsi="Arial"/>
                <w:sz w:val="13"/>
                <w:szCs w:val="13"/>
                <w:color w:val="auto"/>
              </w:rPr>
              <w:t>100%</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Tradex Converting Inc.</w:t>
            </w:r>
          </w:p>
        </w:tc>
        <w:tc>
          <w:tcPr>
            <w:tcW w:w="36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3"/>
                <w:szCs w:val="13"/>
                <w:color w:val="auto"/>
              </w:rPr>
              <w:t>Illinois</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80" w:type="dxa"/>
            <w:vAlign w:val="bottom"/>
            <w:gridSpan w:val="2"/>
          </w:tcPr>
          <w:p>
            <w:pPr>
              <w:spacing w:after="0"/>
              <w:rPr>
                <w:sz w:val="20"/>
                <w:szCs w:val="20"/>
                <w:color w:val="auto"/>
              </w:rPr>
            </w:pPr>
            <w:r>
              <w:rPr>
                <w:rFonts w:ascii="Arial" w:cs="Arial" w:eastAsia="Arial" w:hAnsi="Arial"/>
                <w:sz w:val="13"/>
                <w:szCs w:val="13"/>
                <w:color w:val="auto"/>
              </w:rPr>
              <w:t>Brady People Identification LLC</w:t>
            </w:r>
          </w:p>
        </w:tc>
        <w:tc>
          <w:tcPr>
            <w:tcW w:w="3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80" w:type="dxa"/>
            <w:vAlign w:val="bottom"/>
          </w:tcPr>
          <w:p>
            <w:pPr>
              <w:spacing w:after="0"/>
              <w:rPr>
                <w:sz w:val="20"/>
                <w:szCs w:val="20"/>
                <w:color w:val="auto"/>
              </w:rPr>
            </w:pPr>
            <w:r>
              <w:rPr>
                <w:rFonts w:ascii="Arial" w:cs="Arial" w:eastAsia="Arial" w:hAnsi="Arial"/>
                <w:sz w:val="13"/>
                <w:szCs w:val="13"/>
                <w:color w:val="auto"/>
              </w:rPr>
              <w:t>Wisconsin</w:t>
            </w:r>
          </w:p>
        </w:tc>
        <w:tc>
          <w:tcPr>
            <w:tcW w:w="1100" w:type="dxa"/>
            <w:vAlign w:val="bottom"/>
            <w:gridSpan w:val="4"/>
          </w:tcPr>
          <w:p>
            <w:pPr>
              <w:jc w:val="right"/>
              <w:spacing w:after="0"/>
              <w:rPr>
                <w:sz w:val="20"/>
                <w:szCs w:val="20"/>
                <w:color w:val="auto"/>
              </w:rPr>
            </w:pPr>
            <w:r>
              <w:rPr>
                <w:rFonts w:ascii="Arial" w:cs="Arial" w:eastAsia="Arial" w:hAnsi="Arial"/>
                <w:sz w:val="13"/>
                <w:szCs w:val="13"/>
                <w:color w:val="auto"/>
              </w:rPr>
              <w:t>100%</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Comprehensive Identification Products, Inc.</w:t>
            </w:r>
          </w:p>
        </w:tc>
        <w:tc>
          <w:tcPr>
            <w:tcW w:w="36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3"/>
                <w:szCs w:val="13"/>
                <w:color w:val="auto"/>
              </w:rPr>
              <w:t>Massachusetts</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80" w:type="dxa"/>
            <w:vAlign w:val="bottom"/>
            <w:gridSpan w:val="2"/>
          </w:tcPr>
          <w:p>
            <w:pPr>
              <w:spacing w:after="0"/>
              <w:rPr>
                <w:sz w:val="20"/>
                <w:szCs w:val="20"/>
                <w:color w:val="auto"/>
              </w:rPr>
            </w:pPr>
            <w:r>
              <w:rPr>
                <w:rFonts w:ascii="Arial" w:cs="Arial" w:eastAsia="Arial" w:hAnsi="Arial"/>
                <w:sz w:val="13"/>
                <w:szCs w:val="13"/>
                <w:color w:val="auto"/>
              </w:rPr>
              <w:t>PV Acquisitions, LLC</w:t>
            </w:r>
          </w:p>
        </w:tc>
        <w:tc>
          <w:tcPr>
            <w:tcW w:w="3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80" w:type="dxa"/>
            <w:vAlign w:val="bottom"/>
          </w:tcPr>
          <w:p>
            <w:pPr>
              <w:spacing w:after="0"/>
              <w:rPr>
                <w:sz w:val="20"/>
                <w:szCs w:val="20"/>
                <w:color w:val="auto"/>
              </w:rPr>
            </w:pPr>
            <w:r>
              <w:rPr>
                <w:rFonts w:ascii="Arial" w:cs="Arial" w:eastAsia="Arial" w:hAnsi="Arial"/>
                <w:sz w:val="13"/>
                <w:szCs w:val="13"/>
                <w:color w:val="auto"/>
              </w:rPr>
              <w:t>Delaware</w:t>
            </w:r>
          </w:p>
        </w:tc>
        <w:tc>
          <w:tcPr>
            <w:tcW w:w="1100" w:type="dxa"/>
            <w:vAlign w:val="bottom"/>
            <w:gridSpan w:val="4"/>
          </w:tcPr>
          <w:p>
            <w:pPr>
              <w:jc w:val="right"/>
              <w:spacing w:after="0"/>
              <w:rPr>
                <w:sz w:val="20"/>
                <w:szCs w:val="20"/>
                <w:color w:val="auto"/>
              </w:rPr>
            </w:pPr>
            <w:r>
              <w:rPr>
                <w:rFonts w:ascii="Arial" w:cs="Arial" w:eastAsia="Arial" w:hAnsi="Arial"/>
                <w:sz w:val="13"/>
                <w:szCs w:val="13"/>
                <w:color w:val="auto"/>
              </w:rPr>
              <w:t>100%</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Brady International Sales, Inc.</w:t>
            </w:r>
          </w:p>
        </w:tc>
        <w:tc>
          <w:tcPr>
            <w:tcW w:w="36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3"/>
                <w:szCs w:val="13"/>
                <w:color w:val="auto"/>
              </w:rPr>
              <w:t>U.S. Virgin Islands</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80" w:type="dxa"/>
            <w:vAlign w:val="bottom"/>
            <w:gridSpan w:val="2"/>
          </w:tcPr>
          <w:p>
            <w:pPr>
              <w:spacing w:after="0"/>
              <w:rPr>
                <w:sz w:val="20"/>
                <w:szCs w:val="20"/>
                <w:color w:val="auto"/>
              </w:rPr>
            </w:pPr>
            <w:r>
              <w:rPr>
                <w:rFonts w:ascii="Arial" w:cs="Arial" w:eastAsia="Arial" w:hAnsi="Arial"/>
                <w:sz w:val="13"/>
                <w:szCs w:val="13"/>
                <w:color w:val="auto"/>
              </w:rPr>
              <w:t>Brady International Co.</w:t>
            </w:r>
          </w:p>
        </w:tc>
        <w:tc>
          <w:tcPr>
            <w:tcW w:w="3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80" w:type="dxa"/>
            <w:vAlign w:val="bottom"/>
          </w:tcPr>
          <w:p>
            <w:pPr>
              <w:spacing w:after="0"/>
              <w:rPr>
                <w:sz w:val="20"/>
                <w:szCs w:val="20"/>
                <w:color w:val="auto"/>
              </w:rPr>
            </w:pPr>
            <w:r>
              <w:rPr>
                <w:rFonts w:ascii="Arial" w:cs="Arial" w:eastAsia="Arial" w:hAnsi="Arial"/>
                <w:sz w:val="13"/>
                <w:szCs w:val="13"/>
                <w:color w:val="auto"/>
              </w:rPr>
              <w:t>Wisconsin</w:t>
            </w:r>
          </w:p>
        </w:tc>
        <w:tc>
          <w:tcPr>
            <w:tcW w:w="1100" w:type="dxa"/>
            <w:vAlign w:val="bottom"/>
            <w:gridSpan w:val="4"/>
          </w:tcPr>
          <w:p>
            <w:pPr>
              <w:jc w:val="right"/>
              <w:spacing w:after="0"/>
              <w:rPr>
                <w:sz w:val="20"/>
                <w:szCs w:val="20"/>
                <w:color w:val="auto"/>
              </w:rPr>
            </w:pPr>
            <w:r>
              <w:rPr>
                <w:rFonts w:ascii="Arial" w:cs="Arial" w:eastAsia="Arial" w:hAnsi="Arial"/>
                <w:sz w:val="13"/>
                <w:szCs w:val="13"/>
                <w:color w:val="auto"/>
              </w:rPr>
              <w:t>100%</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Brady Worldwide, Inc.</w:t>
            </w:r>
          </w:p>
        </w:tc>
        <w:tc>
          <w:tcPr>
            <w:tcW w:w="36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3"/>
                <w:szCs w:val="13"/>
                <w:color w:val="auto"/>
              </w:rPr>
              <w:t>Wisconsin</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00" w:type="dxa"/>
            <w:vAlign w:val="bottom"/>
          </w:tcPr>
          <w:p>
            <w:pPr>
              <w:ind w:left="60"/>
              <w:spacing w:after="0"/>
              <w:rPr>
                <w:sz w:val="20"/>
                <w:szCs w:val="20"/>
                <w:color w:val="auto"/>
              </w:rPr>
            </w:pPr>
            <w:r>
              <w:rPr>
                <w:rFonts w:ascii="Arial" w:cs="Arial" w:eastAsia="Arial" w:hAnsi="Arial"/>
                <w:sz w:val="13"/>
                <w:szCs w:val="13"/>
                <w:color w:val="auto"/>
              </w:rPr>
              <w:t>Also Doing Business As:</w:t>
            </w:r>
          </w:p>
        </w:tc>
        <w:tc>
          <w:tcPr>
            <w:tcW w:w="3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1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Varitronic Systems</w:t>
            </w:r>
          </w:p>
        </w:tc>
        <w:tc>
          <w:tcPr>
            <w:tcW w:w="36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00" w:type="dxa"/>
            <w:vAlign w:val="bottom"/>
          </w:tcPr>
          <w:p>
            <w:pPr>
              <w:ind w:left="200"/>
              <w:spacing w:after="0"/>
              <w:rPr>
                <w:sz w:val="20"/>
                <w:szCs w:val="20"/>
                <w:color w:val="auto"/>
              </w:rPr>
            </w:pPr>
            <w:r>
              <w:rPr>
                <w:rFonts w:ascii="Arial" w:cs="Arial" w:eastAsia="Arial" w:hAnsi="Arial"/>
                <w:sz w:val="13"/>
                <w:szCs w:val="13"/>
                <w:color w:val="auto"/>
              </w:rPr>
              <w:t>Teklynx International</w:t>
            </w:r>
          </w:p>
        </w:tc>
        <w:tc>
          <w:tcPr>
            <w:tcW w:w="3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1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Barcodes West</w:t>
            </w:r>
          </w:p>
        </w:tc>
        <w:tc>
          <w:tcPr>
            <w:tcW w:w="36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00" w:type="dxa"/>
            <w:vAlign w:val="bottom"/>
          </w:tcPr>
          <w:p>
            <w:pPr>
              <w:ind w:left="200"/>
              <w:spacing w:after="0"/>
              <w:rPr>
                <w:sz w:val="20"/>
                <w:szCs w:val="20"/>
                <w:color w:val="auto"/>
              </w:rPr>
            </w:pPr>
            <w:r>
              <w:rPr>
                <w:rFonts w:ascii="Arial" w:cs="Arial" w:eastAsia="Arial" w:hAnsi="Arial"/>
                <w:sz w:val="13"/>
                <w:szCs w:val="13"/>
                <w:color w:val="auto"/>
              </w:rPr>
              <w:t>Temtec</w:t>
            </w:r>
          </w:p>
        </w:tc>
        <w:tc>
          <w:tcPr>
            <w:tcW w:w="3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Brady Australia Pty. Ltd.</w:t>
            </w:r>
          </w:p>
        </w:tc>
        <w:tc>
          <w:tcPr>
            <w:tcW w:w="36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3"/>
                <w:szCs w:val="13"/>
                <w:color w:val="auto"/>
              </w:rPr>
              <w:t>Australia</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80" w:type="dxa"/>
            <w:vAlign w:val="bottom"/>
            <w:gridSpan w:val="2"/>
          </w:tcPr>
          <w:p>
            <w:pPr>
              <w:spacing w:after="0"/>
              <w:rPr>
                <w:sz w:val="20"/>
                <w:szCs w:val="20"/>
                <w:color w:val="auto"/>
              </w:rPr>
            </w:pPr>
            <w:r>
              <w:rPr>
                <w:rFonts w:ascii="Arial" w:cs="Arial" w:eastAsia="Arial" w:hAnsi="Arial"/>
                <w:sz w:val="13"/>
                <w:szCs w:val="13"/>
                <w:color w:val="auto"/>
              </w:rPr>
              <w:t>Seton Australia Pty. Ltd.</w:t>
            </w:r>
          </w:p>
        </w:tc>
        <w:tc>
          <w:tcPr>
            <w:tcW w:w="3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80" w:type="dxa"/>
            <w:vAlign w:val="bottom"/>
          </w:tcPr>
          <w:p>
            <w:pPr>
              <w:spacing w:after="0"/>
              <w:rPr>
                <w:sz w:val="20"/>
                <w:szCs w:val="20"/>
                <w:color w:val="auto"/>
              </w:rPr>
            </w:pPr>
            <w:r>
              <w:rPr>
                <w:rFonts w:ascii="Arial" w:cs="Arial" w:eastAsia="Arial" w:hAnsi="Arial"/>
                <w:sz w:val="13"/>
                <w:szCs w:val="13"/>
                <w:color w:val="auto"/>
              </w:rPr>
              <w:t>Australia</w:t>
            </w:r>
          </w:p>
        </w:tc>
        <w:tc>
          <w:tcPr>
            <w:tcW w:w="1100" w:type="dxa"/>
            <w:vAlign w:val="bottom"/>
            <w:gridSpan w:val="4"/>
          </w:tcPr>
          <w:p>
            <w:pPr>
              <w:jc w:val="right"/>
              <w:spacing w:after="0"/>
              <w:rPr>
                <w:sz w:val="20"/>
                <w:szCs w:val="20"/>
                <w:color w:val="auto"/>
              </w:rPr>
            </w:pPr>
            <w:r>
              <w:rPr>
                <w:rFonts w:ascii="Arial" w:cs="Arial" w:eastAsia="Arial" w:hAnsi="Arial"/>
                <w:sz w:val="13"/>
                <w:szCs w:val="13"/>
                <w:color w:val="auto"/>
              </w:rPr>
              <w:t>100%</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Accidental Health &amp; Safety Pty. Ltd.</w:t>
            </w:r>
          </w:p>
        </w:tc>
        <w:tc>
          <w:tcPr>
            <w:tcW w:w="36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3"/>
                <w:szCs w:val="13"/>
                <w:color w:val="auto"/>
              </w:rPr>
              <w:t>Australia</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80" w:type="dxa"/>
            <w:vAlign w:val="bottom"/>
            <w:gridSpan w:val="2"/>
          </w:tcPr>
          <w:p>
            <w:pPr>
              <w:spacing w:after="0"/>
              <w:rPr>
                <w:sz w:val="20"/>
                <w:szCs w:val="20"/>
                <w:color w:val="auto"/>
              </w:rPr>
            </w:pPr>
            <w:r>
              <w:rPr>
                <w:rFonts w:ascii="Arial" w:cs="Arial" w:eastAsia="Arial" w:hAnsi="Arial"/>
                <w:sz w:val="13"/>
                <w:szCs w:val="13"/>
                <w:color w:val="auto"/>
              </w:rPr>
              <w:t>Trafalgar First Aid Pty. Ltd.</w:t>
            </w:r>
          </w:p>
        </w:tc>
        <w:tc>
          <w:tcPr>
            <w:tcW w:w="3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80" w:type="dxa"/>
            <w:vAlign w:val="bottom"/>
          </w:tcPr>
          <w:p>
            <w:pPr>
              <w:spacing w:after="0"/>
              <w:rPr>
                <w:sz w:val="20"/>
                <w:szCs w:val="20"/>
                <w:color w:val="auto"/>
              </w:rPr>
            </w:pPr>
            <w:r>
              <w:rPr>
                <w:rFonts w:ascii="Arial" w:cs="Arial" w:eastAsia="Arial" w:hAnsi="Arial"/>
                <w:sz w:val="13"/>
                <w:szCs w:val="13"/>
                <w:color w:val="auto"/>
              </w:rPr>
              <w:t>Australia</w:t>
            </w:r>
          </w:p>
        </w:tc>
        <w:tc>
          <w:tcPr>
            <w:tcW w:w="1100" w:type="dxa"/>
            <w:vAlign w:val="bottom"/>
            <w:gridSpan w:val="4"/>
          </w:tcPr>
          <w:p>
            <w:pPr>
              <w:jc w:val="right"/>
              <w:spacing w:after="0"/>
              <w:rPr>
                <w:sz w:val="20"/>
                <w:szCs w:val="20"/>
                <w:color w:val="auto"/>
              </w:rPr>
            </w:pPr>
            <w:r>
              <w:rPr>
                <w:rFonts w:ascii="Arial" w:cs="Arial" w:eastAsia="Arial" w:hAnsi="Arial"/>
                <w:sz w:val="13"/>
                <w:szCs w:val="13"/>
                <w:color w:val="auto"/>
              </w:rPr>
              <w:t>100%</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Carroll Australasia Pty. Ltd.</w:t>
            </w:r>
          </w:p>
        </w:tc>
        <w:tc>
          <w:tcPr>
            <w:tcW w:w="36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3"/>
                <w:szCs w:val="13"/>
                <w:color w:val="auto"/>
              </w:rPr>
              <w:t>Australia</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100" w:type="dxa"/>
            <w:vAlign w:val="bottom"/>
            <w:tcBorders>
              <w:bottom w:val="single" w:sz="8" w:color="808080"/>
            </w:tcBorders>
          </w:tcPr>
          <w:p>
            <w:pPr>
              <w:spacing w:after="0"/>
              <w:rPr>
                <w:sz w:val="14"/>
                <w:szCs w:val="14"/>
                <w:color w:val="auto"/>
              </w:rPr>
            </w:pPr>
          </w:p>
        </w:tc>
        <w:tc>
          <w:tcPr>
            <w:tcW w:w="362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15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08" w:right="219" w:bottom="1440" w:gutter="0" w:footer="0" w:header="0"/>
        </w:sectPr>
      </w:pPr>
    </w:p>
    <w:bookmarkStart w:id="189" w:name="page190"/>
    <w:bookmarkEnd w:id="189"/>
    <w:tbl>
      <w:tblPr>
        <w:tblLayout w:type="fixed"/>
        <w:tblInd w:w="0" w:type="dxa"/>
        <w:tblCellMar>
          <w:top w:w="0" w:type="dxa"/>
          <w:left w:w="0" w:type="dxa"/>
          <w:bottom w:w="0" w:type="dxa"/>
          <w:right w:w="0" w:type="dxa"/>
        </w:tblCellMar>
      </w:tblPr>
      <w:tr>
        <w:trPr>
          <w:trHeight w:val="115"/>
        </w:trPr>
        <w:tc>
          <w:tcPr>
            <w:tcW w:w="80" w:type="dxa"/>
            <w:vAlign w:val="bottom"/>
          </w:tcPr>
          <w:p>
            <w:pPr>
              <w:spacing w:after="0"/>
              <w:rPr>
                <w:sz w:val="10"/>
                <w:szCs w:val="10"/>
                <w:color w:val="auto"/>
              </w:rPr>
            </w:pPr>
          </w:p>
        </w:tc>
        <w:tc>
          <w:tcPr>
            <w:tcW w:w="72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8"/>
              </w:rPr>
              <w:t>Percentage</w:t>
            </w: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7220" w:type="dxa"/>
            <w:vAlign w:val="bottom"/>
          </w:tcPr>
          <w:p>
            <w:pPr>
              <w:spacing w:after="0"/>
              <w:rPr>
                <w:sz w:val="9"/>
                <w:szCs w:val="9"/>
                <w:color w:val="auto"/>
              </w:rPr>
            </w:pPr>
          </w:p>
        </w:tc>
        <w:tc>
          <w:tcPr>
            <w:tcW w:w="1580" w:type="dxa"/>
            <w:vAlign w:val="bottom"/>
            <w:vMerge w:val="restart"/>
          </w:tcPr>
          <w:p>
            <w:pPr>
              <w:ind w:left="440"/>
              <w:spacing w:after="0"/>
              <w:rPr>
                <w:sz w:val="20"/>
                <w:szCs w:val="20"/>
                <w:color w:val="auto"/>
              </w:rPr>
            </w:pPr>
            <w:r>
              <w:rPr>
                <w:rFonts w:ascii="Arial" w:cs="Arial" w:eastAsia="Arial" w:hAnsi="Arial"/>
                <w:sz w:val="10"/>
                <w:szCs w:val="10"/>
                <w:b w:val="1"/>
                <w:bCs w:val="1"/>
                <w:color w:val="auto"/>
              </w:rPr>
              <w:t>State (Country)</w:t>
            </w:r>
          </w:p>
        </w:tc>
        <w:tc>
          <w:tcPr>
            <w:tcW w:w="300" w:type="dxa"/>
            <w:vAlign w:val="bottom"/>
          </w:tcPr>
          <w:p>
            <w:pPr>
              <w:spacing w:after="0"/>
              <w:rPr>
                <w:sz w:val="9"/>
                <w:szCs w:val="9"/>
                <w:color w:val="auto"/>
              </w:rPr>
            </w:pPr>
          </w:p>
        </w:tc>
        <w:tc>
          <w:tcPr>
            <w:tcW w:w="800" w:type="dxa"/>
            <w:vAlign w:val="bottom"/>
            <w:gridSpan w:val="2"/>
          </w:tcPr>
          <w:p>
            <w:pPr>
              <w:jc w:val="center"/>
              <w:ind w:right="120"/>
              <w:spacing w:after="0" w:line="108" w:lineRule="exact"/>
              <w:rPr>
                <w:sz w:val="20"/>
                <w:szCs w:val="20"/>
                <w:color w:val="auto"/>
              </w:rPr>
            </w:pPr>
            <w:r>
              <w:rPr>
                <w:rFonts w:ascii="Arial" w:cs="Arial" w:eastAsia="Arial" w:hAnsi="Arial"/>
                <w:sz w:val="10"/>
                <w:szCs w:val="10"/>
                <w:b w:val="1"/>
                <w:bCs w:val="1"/>
                <w:color w:val="auto"/>
                <w:w w:val="92"/>
              </w:rPr>
              <w:t>of Voting</w:t>
            </w:r>
          </w:p>
        </w:tc>
        <w:tc>
          <w:tcPr>
            <w:tcW w:w="0" w:type="dxa"/>
            <w:vAlign w:val="bottom"/>
          </w:tcPr>
          <w:p>
            <w:pPr>
              <w:spacing w:after="0"/>
              <w:rPr>
                <w:sz w:val="1"/>
                <w:szCs w:val="1"/>
                <w:color w:val="auto"/>
              </w:rPr>
            </w:pPr>
          </w:p>
        </w:tc>
      </w:tr>
      <w:tr>
        <w:trPr>
          <w:trHeight w:val="118"/>
        </w:trPr>
        <w:tc>
          <w:tcPr>
            <w:tcW w:w="73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Name of Company</w:t>
            </w:r>
          </w:p>
        </w:tc>
        <w:tc>
          <w:tcPr>
            <w:tcW w:w="158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1"/>
              </w:rPr>
              <w:t>Securities</w:t>
            </w:r>
          </w:p>
        </w:tc>
        <w:tc>
          <w:tcPr>
            <w:tcW w:w="0" w:type="dxa"/>
            <w:vAlign w:val="bottom"/>
          </w:tcPr>
          <w:p>
            <w:pPr>
              <w:spacing w:after="0"/>
              <w:rPr>
                <w:sz w:val="1"/>
                <w:szCs w:val="1"/>
                <w:color w:val="auto"/>
              </w:rPr>
            </w:pPr>
          </w:p>
        </w:tc>
      </w:tr>
      <w:tr>
        <w:trPr>
          <w:trHeight w:val="125"/>
        </w:trPr>
        <w:tc>
          <w:tcPr>
            <w:tcW w:w="7300" w:type="dxa"/>
            <w:vAlign w:val="bottom"/>
            <w:gridSpan w:val="2"/>
            <w:vMerge w:val="continue"/>
          </w:tcPr>
          <w:p>
            <w:pPr>
              <w:spacing w:after="0"/>
              <w:rPr>
                <w:sz w:val="10"/>
                <w:szCs w:val="10"/>
                <w:color w:val="auto"/>
              </w:rPr>
            </w:pPr>
          </w:p>
        </w:tc>
        <w:tc>
          <w:tcPr>
            <w:tcW w:w="1580" w:type="dxa"/>
            <w:vAlign w:val="bottom"/>
          </w:tcPr>
          <w:p>
            <w:pPr>
              <w:ind w:left="420"/>
              <w:spacing w:after="0"/>
              <w:rPr>
                <w:sz w:val="20"/>
                <w:szCs w:val="20"/>
                <w:color w:val="auto"/>
              </w:rPr>
            </w:pPr>
            <w:r>
              <w:rPr>
                <w:rFonts w:ascii="Arial" w:cs="Arial" w:eastAsia="Arial" w:hAnsi="Arial"/>
                <w:sz w:val="10"/>
                <w:szCs w:val="10"/>
                <w:b w:val="1"/>
                <w:bCs w:val="1"/>
                <w:color w:val="auto"/>
              </w:rPr>
              <w:t>of Incorporation</w:t>
            </w:r>
          </w:p>
        </w:tc>
        <w:tc>
          <w:tcPr>
            <w:tcW w:w="300" w:type="dxa"/>
            <w:vAlign w:val="bottom"/>
          </w:tcPr>
          <w:p>
            <w:pPr>
              <w:spacing w:after="0"/>
              <w:rPr>
                <w:sz w:val="10"/>
                <w:szCs w:val="10"/>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5"/>
              </w:rPr>
              <w:t>Owned</w:t>
            </w:r>
          </w:p>
        </w:tc>
        <w:tc>
          <w:tcPr>
            <w:tcW w:w="0" w:type="dxa"/>
            <w:vAlign w:val="bottom"/>
          </w:tcPr>
          <w:p>
            <w:pPr>
              <w:spacing w:after="0"/>
              <w:rPr>
                <w:sz w:val="1"/>
                <w:szCs w:val="1"/>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7220" w:type="dxa"/>
            <w:vAlign w:val="bottom"/>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W.H. Brady, N.V.</w:t>
            </w:r>
          </w:p>
        </w:tc>
        <w:tc>
          <w:tcPr>
            <w:tcW w:w="1580" w:type="dxa"/>
            <w:vAlign w:val="bottom"/>
            <w:shd w:val="clear" w:color="auto" w:fill="CCEEFF"/>
          </w:tcPr>
          <w:p>
            <w:pPr>
              <w:spacing w:after="0"/>
              <w:rPr>
                <w:sz w:val="20"/>
                <w:szCs w:val="20"/>
                <w:color w:val="auto"/>
              </w:rPr>
            </w:pPr>
            <w:r>
              <w:rPr>
                <w:rFonts w:ascii="Arial" w:cs="Arial" w:eastAsia="Arial" w:hAnsi="Arial"/>
                <w:sz w:val="13"/>
                <w:szCs w:val="13"/>
                <w:color w:val="auto"/>
              </w:rPr>
              <w:t>Belgium</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300" w:type="dxa"/>
            <w:vAlign w:val="bottom"/>
            <w:gridSpan w:val="2"/>
          </w:tcPr>
          <w:p>
            <w:pPr>
              <w:spacing w:after="0"/>
              <w:rPr>
                <w:sz w:val="20"/>
                <w:szCs w:val="20"/>
                <w:color w:val="auto"/>
              </w:rPr>
            </w:pPr>
            <w:r>
              <w:rPr>
                <w:rFonts w:ascii="Arial" w:cs="Arial" w:eastAsia="Arial" w:hAnsi="Arial"/>
                <w:sz w:val="13"/>
                <w:szCs w:val="13"/>
                <w:color w:val="auto"/>
              </w:rPr>
              <w:t>W.H.B. do Brasil Ltda.</w:t>
            </w:r>
          </w:p>
        </w:tc>
        <w:tc>
          <w:tcPr>
            <w:tcW w:w="1580" w:type="dxa"/>
            <w:vAlign w:val="bottom"/>
          </w:tcPr>
          <w:p>
            <w:pPr>
              <w:spacing w:after="0"/>
              <w:rPr>
                <w:sz w:val="20"/>
                <w:szCs w:val="20"/>
                <w:color w:val="auto"/>
              </w:rPr>
            </w:pPr>
            <w:r>
              <w:rPr>
                <w:rFonts w:ascii="Arial" w:cs="Arial" w:eastAsia="Arial" w:hAnsi="Arial"/>
                <w:sz w:val="13"/>
                <w:szCs w:val="13"/>
                <w:color w:val="auto"/>
              </w:rPr>
              <w:t>Brazil</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Tradex do Brasil Ltda.</w:t>
            </w:r>
          </w:p>
        </w:tc>
        <w:tc>
          <w:tcPr>
            <w:tcW w:w="1580" w:type="dxa"/>
            <w:vAlign w:val="bottom"/>
            <w:shd w:val="clear" w:color="auto" w:fill="CCEEFF"/>
          </w:tcPr>
          <w:p>
            <w:pPr>
              <w:spacing w:after="0"/>
              <w:rPr>
                <w:sz w:val="20"/>
                <w:szCs w:val="20"/>
                <w:color w:val="auto"/>
              </w:rPr>
            </w:pPr>
            <w:r>
              <w:rPr>
                <w:rFonts w:ascii="Arial" w:cs="Arial" w:eastAsia="Arial" w:hAnsi="Arial"/>
                <w:sz w:val="13"/>
                <w:szCs w:val="13"/>
                <w:color w:val="auto"/>
              </w:rPr>
              <w:t>Brazil</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300" w:type="dxa"/>
            <w:vAlign w:val="bottom"/>
            <w:gridSpan w:val="2"/>
          </w:tcPr>
          <w:p>
            <w:pPr>
              <w:spacing w:after="0"/>
              <w:rPr>
                <w:sz w:val="20"/>
                <w:szCs w:val="20"/>
                <w:color w:val="auto"/>
              </w:rPr>
            </w:pPr>
            <w:r>
              <w:rPr>
                <w:rFonts w:ascii="Arial" w:cs="Arial" w:eastAsia="Arial" w:hAnsi="Arial"/>
                <w:sz w:val="13"/>
                <w:szCs w:val="13"/>
                <w:color w:val="auto"/>
              </w:rPr>
              <w:t>W.H.B. Identification Solutions, Inc. —</w:t>
            </w:r>
          </w:p>
        </w:tc>
        <w:tc>
          <w:tcPr>
            <w:tcW w:w="1580" w:type="dxa"/>
            <w:vAlign w:val="bottom"/>
          </w:tcPr>
          <w:p>
            <w:pPr>
              <w:spacing w:after="0"/>
              <w:rPr>
                <w:sz w:val="20"/>
                <w:szCs w:val="20"/>
                <w:color w:val="auto"/>
              </w:rPr>
            </w:pPr>
            <w:r>
              <w:rPr>
                <w:rFonts w:ascii="Arial" w:cs="Arial" w:eastAsia="Arial" w:hAnsi="Arial"/>
                <w:sz w:val="13"/>
                <w:szCs w:val="13"/>
                <w:color w:val="auto"/>
              </w:rPr>
              <w:t>Canada</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80" w:type="dxa"/>
            <w:vAlign w:val="bottom"/>
            <w:shd w:val="clear" w:color="auto" w:fill="CCEEFF"/>
          </w:tcPr>
          <w:p>
            <w:pPr>
              <w:spacing w:after="0"/>
              <w:rPr>
                <w:sz w:val="13"/>
                <w:szCs w:val="13"/>
                <w:color w:val="auto"/>
              </w:rPr>
            </w:pPr>
          </w:p>
        </w:tc>
        <w:tc>
          <w:tcPr>
            <w:tcW w:w="7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Doing Business As:</w:t>
            </w:r>
          </w:p>
        </w:tc>
        <w:tc>
          <w:tcPr>
            <w:tcW w:w="1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0" w:type="dxa"/>
            <w:vAlign w:val="bottom"/>
          </w:tcPr>
          <w:p>
            <w:pPr>
              <w:spacing w:after="0"/>
              <w:rPr>
                <w:sz w:val="13"/>
                <w:szCs w:val="13"/>
                <w:color w:val="auto"/>
              </w:rPr>
            </w:pPr>
          </w:p>
        </w:tc>
        <w:tc>
          <w:tcPr>
            <w:tcW w:w="7220" w:type="dxa"/>
            <w:vAlign w:val="bottom"/>
          </w:tcPr>
          <w:p>
            <w:pPr>
              <w:ind w:left="200"/>
              <w:spacing w:after="0"/>
              <w:rPr>
                <w:sz w:val="20"/>
                <w:szCs w:val="20"/>
                <w:color w:val="auto"/>
              </w:rPr>
            </w:pPr>
            <w:r>
              <w:rPr>
                <w:rFonts w:ascii="Arial" w:cs="Arial" w:eastAsia="Arial" w:hAnsi="Arial"/>
                <w:sz w:val="13"/>
                <w:szCs w:val="13"/>
                <w:color w:val="auto"/>
              </w:rPr>
              <w:t>Brady</w:t>
            </w:r>
          </w:p>
        </w:tc>
        <w:tc>
          <w:tcPr>
            <w:tcW w:w="1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0" w:type="dxa"/>
            <w:vAlign w:val="bottom"/>
            <w:shd w:val="clear" w:color="auto" w:fill="CCEEFF"/>
          </w:tcPr>
          <w:p>
            <w:pPr>
              <w:spacing w:after="0"/>
              <w:rPr>
                <w:sz w:val="13"/>
                <w:szCs w:val="13"/>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GrafTek</w:t>
            </w:r>
          </w:p>
        </w:tc>
        <w:tc>
          <w:tcPr>
            <w:tcW w:w="1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0" w:type="dxa"/>
            <w:vAlign w:val="bottom"/>
          </w:tcPr>
          <w:p>
            <w:pPr>
              <w:spacing w:after="0"/>
              <w:rPr>
                <w:sz w:val="13"/>
                <w:szCs w:val="13"/>
                <w:color w:val="auto"/>
              </w:rPr>
            </w:pPr>
          </w:p>
        </w:tc>
        <w:tc>
          <w:tcPr>
            <w:tcW w:w="7220" w:type="dxa"/>
            <w:vAlign w:val="bottom"/>
          </w:tcPr>
          <w:p>
            <w:pPr>
              <w:ind w:left="200"/>
              <w:spacing w:after="0"/>
              <w:rPr>
                <w:sz w:val="20"/>
                <w:szCs w:val="20"/>
                <w:color w:val="auto"/>
              </w:rPr>
            </w:pPr>
            <w:r>
              <w:rPr>
                <w:rFonts w:ascii="Arial" w:cs="Arial" w:eastAsia="Arial" w:hAnsi="Arial"/>
                <w:sz w:val="13"/>
                <w:szCs w:val="13"/>
                <w:color w:val="auto"/>
              </w:rPr>
              <w:t>Revere-Seton</w:t>
            </w:r>
          </w:p>
        </w:tc>
        <w:tc>
          <w:tcPr>
            <w:tcW w:w="1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0" w:type="dxa"/>
            <w:vAlign w:val="bottom"/>
            <w:shd w:val="clear" w:color="auto" w:fill="CCEEFF"/>
          </w:tcPr>
          <w:p>
            <w:pPr>
              <w:spacing w:after="0"/>
              <w:rPr>
                <w:sz w:val="13"/>
                <w:szCs w:val="13"/>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Seton</w:t>
            </w:r>
          </w:p>
        </w:tc>
        <w:tc>
          <w:tcPr>
            <w:tcW w:w="1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00" w:type="dxa"/>
            <w:vAlign w:val="bottom"/>
            <w:gridSpan w:val="2"/>
          </w:tcPr>
          <w:p>
            <w:pPr>
              <w:spacing w:after="0"/>
              <w:rPr>
                <w:sz w:val="20"/>
                <w:szCs w:val="20"/>
                <w:color w:val="auto"/>
              </w:rPr>
            </w:pPr>
            <w:r>
              <w:rPr>
                <w:rFonts w:ascii="Arial" w:cs="Arial" w:eastAsia="Arial" w:hAnsi="Arial"/>
                <w:sz w:val="13"/>
                <w:szCs w:val="13"/>
                <w:color w:val="auto"/>
              </w:rPr>
              <w:t>Brady Canada Acquisition Co.</w:t>
            </w:r>
          </w:p>
        </w:tc>
        <w:tc>
          <w:tcPr>
            <w:tcW w:w="1580" w:type="dxa"/>
            <w:vAlign w:val="bottom"/>
          </w:tcPr>
          <w:p>
            <w:pPr>
              <w:spacing w:after="0"/>
              <w:rPr>
                <w:sz w:val="20"/>
                <w:szCs w:val="20"/>
                <w:color w:val="auto"/>
              </w:rPr>
            </w:pPr>
            <w:r>
              <w:rPr>
                <w:rFonts w:ascii="Arial" w:cs="Arial" w:eastAsia="Arial" w:hAnsi="Arial"/>
                <w:sz w:val="13"/>
                <w:szCs w:val="13"/>
                <w:color w:val="auto"/>
              </w:rPr>
              <w:t>Canada</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Identicam Co.</w:t>
            </w:r>
          </w:p>
        </w:tc>
        <w:tc>
          <w:tcPr>
            <w:tcW w:w="1580" w:type="dxa"/>
            <w:vAlign w:val="bottom"/>
            <w:shd w:val="clear" w:color="auto" w:fill="CCEEFF"/>
          </w:tcPr>
          <w:p>
            <w:pPr>
              <w:spacing w:after="0"/>
              <w:rPr>
                <w:sz w:val="20"/>
                <w:szCs w:val="20"/>
                <w:color w:val="auto"/>
              </w:rPr>
            </w:pPr>
            <w:r>
              <w:rPr>
                <w:rFonts w:ascii="Arial" w:cs="Arial" w:eastAsia="Arial" w:hAnsi="Arial"/>
                <w:sz w:val="13"/>
                <w:szCs w:val="13"/>
                <w:color w:val="auto"/>
              </w:rPr>
              <w:t>Canada</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300" w:type="dxa"/>
            <w:vAlign w:val="bottom"/>
            <w:gridSpan w:val="2"/>
          </w:tcPr>
          <w:p>
            <w:pPr>
              <w:spacing w:after="0"/>
              <w:rPr>
                <w:sz w:val="20"/>
                <w:szCs w:val="20"/>
                <w:color w:val="auto"/>
              </w:rPr>
            </w:pPr>
            <w:r>
              <w:rPr>
                <w:rFonts w:ascii="Arial" w:cs="Arial" w:eastAsia="Arial" w:hAnsi="Arial"/>
                <w:sz w:val="13"/>
                <w:szCs w:val="13"/>
                <w:color w:val="auto"/>
              </w:rPr>
              <w:t>BRC Financial</w:t>
            </w:r>
          </w:p>
        </w:tc>
        <w:tc>
          <w:tcPr>
            <w:tcW w:w="1580" w:type="dxa"/>
            <w:vAlign w:val="bottom"/>
          </w:tcPr>
          <w:p>
            <w:pPr>
              <w:spacing w:after="0"/>
              <w:rPr>
                <w:sz w:val="20"/>
                <w:szCs w:val="20"/>
                <w:color w:val="auto"/>
              </w:rPr>
            </w:pPr>
            <w:r>
              <w:rPr>
                <w:rFonts w:ascii="Arial" w:cs="Arial" w:eastAsia="Arial" w:hAnsi="Arial"/>
                <w:sz w:val="13"/>
                <w:szCs w:val="13"/>
                <w:color w:val="auto"/>
              </w:rPr>
              <w:t>Canada</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Brady Shanghai International Trading Co., Ltd.</w:t>
            </w:r>
          </w:p>
        </w:tc>
        <w:tc>
          <w:tcPr>
            <w:tcW w:w="1580" w:type="dxa"/>
            <w:vAlign w:val="bottom"/>
            <w:shd w:val="clear" w:color="auto" w:fill="CCEEFF"/>
          </w:tcPr>
          <w:p>
            <w:pPr>
              <w:spacing w:after="0"/>
              <w:rPr>
                <w:sz w:val="20"/>
                <w:szCs w:val="20"/>
                <w:color w:val="auto"/>
              </w:rPr>
            </w:pPr>
            <w:r>
              <w:rPr>
                <w:rFonts w:ascii="Arial" w:cs="Arial" w:eastAsia="Arial" w:hAnsi="Arial"/>
                <w:sz w:val="13"/>
                <w:szCs w:val="13"/>
                <w:color w:val="auto"/>
              </w:rPr>
              <w:t>China</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300" w:type="dxa"/>
            <w:vAlign w:val="bottom"/>
            <w:gridSpan w:val="2"/>
          </w:tcPr>
          <w:p>
            <w:pPr>
              <w:spacing w:after="0"/>
              <w:rPr>
                <w:sz w:val="20"/>
                <w:szCs w:val="20"/>
                <w:color w:val="auto"/>
              </w:rPr>
            </w:pPr>
            <w:r>
              <w:rPr>
                <w:rFonts w:ascii="Arial" w:cs="Arial" w:eastAsia="Arial" w:hAnsi="Arial"/>
                <w:sz w:val="13"/>
                <w:szCs w:val="13"/>
                <w:color w:val="auto"/>
              </w:rPr>
              <w:t>Brady Technology (Wuxi) Co. Ltd.</w:t>
            </w:r>
          </w:p>
        </w:tc>
        <w:tc>
          <w:tcPr>
            <w:tcW w:w="1580" w:type="dxa"/>
            <w:vAlign w:val="bottom"/>
          </w:tcPr>
          <w:p>
            <w:pPr>
              <w:spacing w:after="0"/>
              <w:rPr>
                <w:sz w:val="20"/>
                <w:szCs w:val="20"/>
                <w:color w:val="auto"/>
              </w:rPr>
            </w:pPr>
            <w:r>
              <w:rPr>
                <w:rFonts w:ascii="Arial" w:cs="Arial" w:eastAsia="Arial" w:hAnsi="Arial"/>
                <w:sz w:val="13"/>
                <w:szCs w:val="13"/>
                <w:color w:val="auto"/>
              </w:rPr>
              <w:t>China</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Brady (Beijing) Co. Ltd.</w:t>
            </w:r>
          </w:p>
        </w:tc>
        <w:tc>
          <w:tcPr>
            <w:tcW w:w="1580" w:type="dxa"/>
            <w:vAlign w:val="bottom"/>
            <w:shd w:val="clear" w:color="auto" w:fill="CCEEFF"/>
          </w:tcPr>
          <w:p>
            <w:pPr>
              <w:spacing w:after="0"/>
              <w:rPr>
                <w:sz w:val="20"/>
                <w:szCs w:val="20"/>
                <w:color w:val="auto"/>
              </w:rPr>
            </w:pPr>
            <w:r>
              <w:rPr>
                <w:rFonts w:ascii="Arial" w:cs="Arial" w:eastAsia="Arial" w:hAnsi="Arial"/>
                <w:sz w:val="13"/>
                <w:szCs w:val="13"/>
                <w:color w:val="auto"/>
              </w:rPr>
              <w:t>China</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300" w:type="dxa"/>
            <w:vAlign w:val="bottom"/>
            <w:gridSpan w:val="2"/>
          </w:tcPr>
          <w:p>
            <w:pPr>
              <w:spacing w:after="0"/>
              <w:rPr>
                <w:sz w:val="20"/>
                <w:szCs w:val="20"/>
                <w:color w:val="auto"/>
              </w:rPr>
            </w:pPr>
            <w:r>
              <w:rPr>
                <w:rFonts w:ascii="Arial" w:cs="Arial" w:eastAsia="Arial" w:hAnsi="Arial"/>
                <w:sz w:val="13"/>
                <w:szCs w:val="13"/>
                <w:color w:val="auto"/>
              </w:rPr>
              <w:t>Suzhou Dicel EMC Co., Ltd.</w:t>
            </w:r>
          </w:p>
        </w:tc>
        <w:tc>
          <w:tcPr>
            <w:tcW w:w="1580" w:type="dxa"/>
            <w:vAlign w:val="bottom"/>
          </w:tcPr>
          <w:p>
            <w:pPr>
              <w:spacing w:after="0"/>
              <w:rPr>
                <w:sz w:val="20"/>
                <w:szCs w:val="20"/>
                <w:color w:val="auto"/>
              </w:rPr>
            </w:pPr>
            <w:r>
              <w:rPr>
                <w:rFonts w:ascii="Arial" w:cs="Arial" w:eastAsia="Arial" w:hAnsi="Arial"/>
                <w:sz w:val="13"/>
                <w:szCs w:val="13"/>
                <w:color w:val="auto"/>
              </w:rPr>
              <w:t>China</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Tradex Converting (Langfang) Co., Ltd.</w:t>
            </w:r>
          </w:p>
        </w:tc>
        <w:tc>
          <w:tcPr>
            <w:tcW w:w="1580" w:type="dxa"/>
            <w:vAlign w:val="bottom"/>
            <w:shd w:val="clear" w:color="auto" w:fill="CCEEFF"/>
          </w:tcPr>
          <w:p>
            <w:pPr>
              <w:spacing w:after="0"/>
              <w:rPr>
                <w:sz w:val="20"/>
                <w:szCs w:val="20"/>
                <w:color w:val="auto"/>
              </w:rPr>
            </w:pPr>
            <w:r>
              <w:rPr>
                <w:rFonts w:ascii="Arial" w:cs="Arial" w:eastAsia="Arial" w:hAnsi="Arial"/>
                <w:sz w:val="13"/>
                <w:szCs w:val="13"/>
                <w:color w:val="auto"/>
              </w:rPr>
              <w:t>China</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300" w:type="dxa"/>
            <w:vAlign w:val="bottom"/>
            <w:gridSpan w:val="2"/>
          </w:tcPr>
          <w:p>
            <w:pPr>
              <w:spacing w:after="0"/>
              <w:rPr>
                <w:sz w:val="20"/>
                <w:szCs w:val="20"/>
                <w:color w:val="auto"/>
              </w:rPr>
            </w:pPr>
            <w:r>
              <w:rPr>
                <w:rFonts w:ascii="Arial" w:cs="Arial" w:eastAsia="Arial" w:hAnsi="Arial"/>
                <w:sz w:val="13"/>
                <w:szCs w:val="13"/>
                <w:color w:val="auto"/>
              </w:rPr>
              <w:t>Tradex Converting (Suzhou) Co., Ltd.</w:t>
            </w:r>
          </w:p>
        </w:tc>
        <w:tc>
          <w:tcPr>
            <w:tcW w:w="1580" w:type="dxa"/>
            <w:vAlign w:val="bottom"/>
          </w:tcPr>
          <w:p>
            <w:pPr>
              <w:spacing w:after="0"/>
              <w:rPr>
                <w:sz w:val="20"/>
                <w:szCs w:val="20"/>
                <w:color w:val="auto"/>
              </w:rPr>
            </w:pPr>
            <w:r>
              <w:rPr>
                <w:rFonts w:ascii="Arial" w:cs="Arial" w:eastAsia="Arial" w:hAnsi="Arial"/>
                <w:sz w:val="13"/>
                <w:szCs w:val="13"/>
                <w:color w:val="auto"/>
              </w:rPr>
              <w:t>China</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CIPI Xiamen, Ltd.</w:t>
            </w:r>
          </w:p>
        </w:tc>
        <w:tc>
          <w:tcPr>
            <w:tcW w:w="1580" w:type="dxa"/>
            <w:vAlign w:val="bottom"/>
            <w:shd w:val="clear" w:color="auto" w:fill="CCEEFF"/>
          </w:tcPr>
          <w:p>
            <w:pPr>
              <w:spacing w:after="0"/>
              <w:rPr>
                <w:sz w:val="20"/>
                <w:szCs w:val="20"/>
                <w:color w:val="auto"/>
              </w:rPr>
            </w:pPr>
            <w:r>
              <w:rPr>
                <w:rFonts w:ascii="Arial" w:cs="Arial" w:eastAsia="Arial" w:hAnsi="Arial"/>
                <w:sz w:val="13"/>
                <w:szCs w:val="13"/>
                <w:color w:val="auto"/>
              </w:rPr>
              <w:t>China</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300" w:type="dxa"/>
            <w:vAlign w:val="bottom"/>
            <w:gridSpan w:val="2"/>
          </w:tcPr>
          <w:p>
            <w:pPr>
              <w:spacing w:after="0"/>
              <w:rPr>
                <w:sz w:val="20"/>
                <w:szCs w:val="20"/>
                <w:color w:val="auto"/>
              </w:rPr>
            </w:pPr>
            <w:r>
              <w:rPr>
                <w:rFonts w:ascii="Arial" w:cs="Arial" w:eastAsia="Arial" w:hAnsi="Arial"/>
                <w:sz w:val="13"/>
                <w:szCs w:val="13"/>
                <w:color w:val="auto"/>
              </w:rPr>
              <w:t>Panyu Meixin Metal Company Ltd.</w:t>
            </w:r>
          </w:p>
        </w:tc>
        <w:tc>
          <w:tcPr>
            <w:tcW w:w="1580" w:type="dxa"/>
            <w:vAlign w:val="bottom"/>
          </w:tcPr>
          <w:p>
            <w:pPr>
              <w:spacing w:after="0"/>
              <w:rPr>
                <w:sz w:val="20"/>
                <w:szCs w:val="20"/>
                <w:color w:val="auto"/>
              </w:rPr>
            </w:pPr>
            <w:r>
              <w:rPr>
                <w:rFonts w:ascii="Arial" w:cs="Arial" w:eastAsia="Arial" w:hAnsi="Arial"/>
                <w:sz w:val="13"/>
                <w:szCs w:val="13"/>
                <w:color w:val="auto"/>
              </w:rPr>
              <w:t>China</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Brady Holdings Danmark ApS</w:t>
            </w:r>
          </w:p>
        </w:tc>
        <w:tc>
          <w:tcPr>
            <w:tcW w:w="1580" w:type="dxa"/>
            <w:vAlign w:val="bottom"/>
            <w:shd w:val="clear" w:color="auto" w:fill="CCEEFF"/>
          </w:tcPr>
          <w:p>
            <w:pPr>
              <w:spacing w:after="0"/>
              <w:rPr>
                <w:sz w:val="20"/>
                <w:szCs w:val="20"/>
                <w:color w:val="auto"/>
              </w:rPr>
            </w:pPr>
            <w:r>
              <w:rPr>
                <w:rFonts w:ascii="Arial" w:cs="Arial" w:eastAsia="Arial" w:hAnsi="Arial"/>
                <w:sz w:val="13"/>
                <w:szCs w:val="13"/>
                <w:color w:val="auto"/>
              </w:rPr>
              <w:t>Denmark</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300" w:type="dxa"/>
            <w:vAlign w:val="bottom"/>
            <w:gridSpan w:val="2"/>
          </w:tcPr>
          <w:p>
            <w:pPr>
              <w:spacing w:after="0"/>
              <w:rPr>
                <w:sz w:val="20"/>
                <w:szCs w:val="20"/>
                <w:color w:val="auto"/>
              </w:rPr>
            </w:pPr>
            <w:r>
              <w:rPr>
                <w:rFonts w:ascii="Arial" w:cs="Arial" w:eastAsia="Arial" w:hAnsi="Arial"/>
                <w:sz w:val="13"/>
                <w:szCs w:val="13"/>
                <w:color w:val="auto"/>
              </w:rPr>
              <w:t>Texit A.S</w:t>
            </w:r>
          </w:p>
        </w:tc>
        <w:tc>
          <w:tcPr>
            <w:tcW w:w="1580" w:type="dxa"/>
            <w:vAlign w:val="bottom"/>
          </w:tcPr>
          <w:p>
            <w:pPr>
              <w:spacing w:after="0"/>
              <w:rPr>
                <w:sz w:val="20"/>
                <w:szCs w:val="20"/>
                <w:color w:val="auto"/>
              </w:rPr>
            </w:pPr>
            <w:r>
              <w:rPr>
                <w:rFonts w:ascii="Arial" w:cs="Arial" w:eastAsia="Arial" w:hAnsi="Arial"/>
                <w:sz w:val="13"/>
                <w:szCs w:val="13"/>
                <w:color w:val="auto"/>
              </w:rPr>
              <w:t>Denmark</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B.I. U.K. Limited</w:t>
            </w:r>
          </w:p>
        </w:tc>
        <w:tc>
          <w:tcPr>
            <w:tcW w:w="1580" w:type="dxa"/>
            <w:vAlign w:val="bottom"/>
            <w:shd w:val="clear" w:color="auto" w:fill="CCEEFF"/>
          </w:tcPr>
          <w:p>
            <w:pPr>
              <w:spacing w:after="0"/>
              <w:rPr>
                <w:sz w:val="20"/>
                <w:szCs w:val="20"/>
                <w:color w:val="auto"/>
              </w:rPr>
            </w:pPr>
            <w:r>
              <w:rPr>
                <w:rFonts w:ascii="Arial" w:cs="Arial" w:eastAsia="Arial" w:hAnsi="Arial"/>
                <w:sz w:val="13"/>
                <w:szCs w:val="13"/>
                <w:color w:val="auto"/>
              </w:rPr>
              <w:t>England</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300" w:type="dxa"/>
            <w:vAlign w:val="bottom"/>
            <w:gridSpan w:val="2"/>
          </w:tcPr>
          <w:p>
            <w:pPr>
              <w:spacing w:after="0"/>
              <w:rPr>
                <w:sz w:val="20"/>
                <w:szCs w:val="20"/>
                <w:color w:val="auto"/>
              </w:rPr>
            </w:pPr>
            <w:r>
              <w:rPr>
                <w:rFonts w:ascii="Arial" w:cs="Arial" w:eastAsia="Arial" w:hAnsi="Arial"/>
                <w:sz w:val="13"/>
                <w:szCs w:val="13"/>
                <w:color w:val="auto"/>
              </w:rPr>
              <w:t>B.I. Financial Limited</w:t>
            </w:r>
          </w:p>
        </w:tc>
        <w:tc>
          <w:tcPr>
            <w:tcW w:w="1580" w:type="dxa"/>
            <w:vAlign w:val="bottom"/>
          </w:tcPr>
          <w:p>
            <w:pPr>
              <w:spacing w:after="0"/>
              <w:rPr>
                <w:sz w:val="20"/>
                <w:szCs w:val="20"/>
                <w:color w:val="auto"/>
              </w:rPr>
            </w:pPr>
            <w:r>
              <w:rPr>
                <w:rFonts w:ascii="Arial" w:cs="Arial" w:eastAsia="Arial" w:hAnsi="Arial"/>
                <w:sz w:val="13"/>
                <w:szCs w:val="13"/>
                <w:color w:val="auto"/>
              </w:rPr>
              <w:t>England</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Seton Limited</w:t>
            </w:r>
          </w:p>
        </w:tc>
        <w:tc>
          <w:tcPr>
            <w:tcW w:w="1580" w:type="dxa"/>
            <w:vAlign w:val="bottom"/>
            <w:shd w:val="clear" w:color="auto" w:fill="CCEEFF"/>
          </w:tcPr>
          <w:p>
            <w:pPr>
              <w:spacing w:after="0"/>
              <w:rPr>
                <w:sz w:val="20"/>
                <w:szCs w:val="20"/>
                <w:color w:val="auto"/>
              </w:rPr>
            </w:pPr>
            <w:r>
              <w:rPr>
                <w:rFonts w:ascii="Arial" w:cs="Arial" w:eastAsia="Arial" w:hAnsi="Arial"/>
                <w:sz w:val="13"/>
                <w:szCs w:val="13"/>
                <w:color w:val="auto"/>
              </w:rPr>
              <w:t>England</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300" w:type="dxa"/>
            <w:vAlign w:val="bottom"/>
            <w:gridSpan w:val="2"/>
          </w:tcPr>
          <w:p>
            <w:pPr>
              <w:spacing w:after="0"/>
              <w:rPr>
                <w:sz w:val="20"/>
                <w:szCs w:val="20"/>
                <w:color w:val="auto"/>
              </w:rPr>
            </w:pPr>
            <w:r>
              <w:rPr>
                <w:rFonts w:ascii="Arial" w:cs="Arial" w:eastAsia="Arial" w:hAnsi="Arial"/>
                <w:sz w:val="13"/>
                <w:szCs w:val="13"/>
                <w:color w:val="auto"/>
              </w:rPr>
              <w:t>W.H. Brady Co. Ltd.</w:t>
            </w:r>
          </w:p>
        </w:tc>
        <w:tc>
          <w:tcPr>
            <w:tcW w:w="1580" w:type="dxa"/>
            <w:vAlign w:val="bottom"/>
          </w:tcPr>
          <w:p>
            <w:pPr>
              <w:spacing w:after="0"/>
              <w:rPr>
                <w:sz w:val="20"/>
                <w:szCs w:val="20"/>
                <w:color w:val="auto"/>
              </w:rPr>
            </w:pPr>
            <w:r>
              <w:rPr>
                <w:rFonts w:ascii="Arial" w:cs="Arial" w:eastAsia="Arial" w:hAnsi="Arial"/>
                <w:sz w:val="13"/>
                <w:szCs w:val="13"/>
                <w:color w:val="auto"/>
              </w:rPr>
              <w:t>England</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Brady Corporation Limited</w:t>
            </w:r>
          </w:p>
        </w:tc>
        <w:tc>
          <w:tcPr>
            <w:tcW w:w="1580" w:type="dxa"/>
            <w:vAlign w:val="bottom"/>
            <w:shd w:val="clear" w:color="auto" w:fill="CCEEFF"/>
          </w:tcPr>
          <w:p>
            <w:pPr>
              <w:spacing w:after="0"/>
              <w:rPr>
                <w:sz w:val="20"/>
                <w:szCs w:val="20"/>
                <w:color w:val="auto"/>
              </w:rPr>
            </w:pPr>
            <w:r>
              <w:rPr>
                <w:rFonts w:ascii="Arial" w:cs="Arial" w:eastAsia="Arial" w:hAnsi="Arial"/>
                <w:sz w:val="13"/>
                <w:szCs w:val="13"/>
                <w:color w:val="auto"/>
              </w:rPr>
              <w:t>England</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300" w:type="dxa"/>
            <w:vAlign w:val="bottom"/>
            <w:gridSpan w:val="2"/>
          </w:tcPr>
          <w:p>
            <w:pPr>
              <w:spacing w:after="0"/>
              <w:rPr>
                <w:sz w:val="20"/>
                <w:szCs w:val="20"/>
                <w:color w:val="auto"/>
              </w:rPr>
            </w:pPr>
            <w:r>
              <w:rPr>
                <w:rFonts w:ascii="Arial" w:cs="Arial" w:eastAsia="Arial" w:hAnsi="Arial"/>
                <w:sz w:val="13"/>
                <w:szCs w:val="13"/>
                <w:color w:val="auto"/>
              </w:rPr>
              <w:t>Brady European Finance Limited</w:t>
            </w:r>
          </w:p>
        </w:tc>
        <w:tc>
          <w:tcPr>
            <w:tcW w:w="1580" w:type="dxa"/>
            <w:vAlign w:val="bottom"/>
          </w:tcPr>
          <w:p>
            <w:pPr>
              <w:spacing w:after="0"/>
              <w:rPr>
                <w:sz w:val="20"/>
                <w:szCs w:val="20"/>
                <w:color w:val="auto"/>
              </w:rPr>
            </w:pPr>
            <w:r>
              <w:rPr>
                <w:rFonts w:ascii="Arial" w:cs="Arial" w:eastAsia="Arial" w:hAnsi="Arial"/>
                <w:sz w:val="13"/>
                <w:szCs w:val="13"/>
                <w:color w:val="auto"/>
              </w:rPr>
              <w:t>England</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Brady European Holdings Limited</w:t>
            </w:r>
          </w:p>
        </w:tc>
        <w:tc>
          <w:tcPr>
            <w:tcW w:w="1580" w:type="dxa"/>
            <w:vAlign w:val="bottom"/>
            <w:shd w:val="clear" w:color="auto" w:fill="CCEEFF"/>
          </w:tcPr>
          <w:p>
            <w:pPr>
              <w:spacing w:after="0"/>
              <w:rPr>
                <w:sz w:val="20"/>
                <w:szCs w:val="20"/>
                <w:color w:val="auto"/>
              </w:rPr>
            </w:pPr>
            <w:r>
              <w:rPr>
                <w:rFonts w:ascii="Arial" w:cs="Arial" w:eastAsia="Arial" w:hAnsi="Arial"/>
                <w:sz w:val="13"/>
                <w:szCs w:val="13"/>
                <w:color w:val="auto"/>
              </w:rPr>
              <w:t>England</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300" w:type="dxa"/>
            <w:vAlign w:val="bottom"/>
            <w:gridSpan w:val="2"/>
          </w:tcPr>
          <w:p>
            <w:pPr>
              <w:spacing w:after="0"/>
              <w:rPr>
                <w:sz w:val="20"/>
                <w:szCs w:val="20"/>
                <w:color w:val="auto"/>
              </w:rPr>
            </w:pPr>
            <w:r>
              <w:rPr>
                <w:rFonts w:ascii="Arial" w:cs="Arial" w:eastAsia="Arial" w:hAnsi="Arial"/>
                <w:sz w:val="13"/>
                <w:szCs w:val="13"/>
                <w:color w:val="auto"/>
              </w:rPr>
              <w:t>Cleere Advantage Limited</w:t>
            </w:r>
          </w:p>
        </w:tc>
        <w:tc>
          <w:tcPr>
            <w:tcW w:w="1580" w:type="dxa"/>
            <w:vAlign w:val="bottom"/>
          </w:tcPr>
          <w:p>
            <w:pPr>
              <w:spacing w:after="0"/>
              <w:rPr>
                <w:sz w:val="20"/>
                <w:szCs w:val="20"/>
                <w:color w:val="auto"/>
              </w:rPr>
            </w:pPr>
            <w:r>
              <w:rPr>
                <w:rFonts w:ascii="Arial" w:cs="Arial" w:eastAsia="Arial" w:hAnsi="Arial"/>
                <w:sz w:val="13"/>
                <w:szCs w:val="13"/>
                <w:color w:val="auto"/>
              </w:rPr>
              <w:t>England</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Focal Display Limited</w:t>
            </w:r>
          </w:p>
        </w:tc>
        <w:tc>
          <w:tcPr>
            <w:tcW w:w="1580" w:type="dxa"/>
            <w:vAlign w:val="bottom"/>
            <w:shd w:val="clear" w:color="auto" w:fill="CCEEFF"/>
          </w:tcPr>
          <w:p>
            <w:pPr>
              <w:spacing w:after="0"/>
              <w:rPr>
                <w:sz w:val="20"/>
                <w:szCs w:val="20"/>
                <w:color w:val="auto"/>
              </w:rPr>
            </w:pPr>
            <w:r>
              <w:rPr>
                <w:rFonts w:ascii="Arial" w:cs="Arial" w:eastAsia="Arial" w:hAnsi="Arial"/>
                <w:sz w:val="13"/>
                <w:szCs w:val="13"/>
                <w:color w:val="auto"/>
              </w:rPr>
              <w:t>England</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300" w:type="dxa"/>
            <w:vAlign w:val="bottom"/>
            <w:gridSpan w:val="2"/>
          </w:tcPr>
          <w:p>
            <w:pPr>
              <w:spacing w:after="0"/>
              <w:rPr>
                <w:sz w:val="20"/>
                <w:szCs w:val="20"/>
                <w:color w:val="auto"/>
              </w:rPr>
            </w:pPr>
            <w:r>
              <w:rPr>
                <w:rFonts w:ascii="Arial" w:cs="Arial" w:eastAsia="Arial" w:hAnsi="Arial"/>
                <w:sz w:val="13"/>
                <w:szCs w:val="13"/>
                <w:color w:val="auto"/>
              </w:rPr>
              <w:t>Focal Signs Limited</w:t>
            </w:r>
          </w:p>
        </w:tc>
        <w:tc>
          <w:tcPr>
            <w:tcW w:w="1580" w:type="dxa"/>
            <w:vAlign w:val="bottom"/>
          </w:tcPr>
          <w:p>
            <w:pPr>
              <w:spacing w:after="0"/>
              <w:rPr>
                <w:sz w:val="20"/>
                <w:szCs w:val="20"/>
                <w:color w:val="auto"/>
              </w:rPr>
            </w:pPr>
            <w:r>
              <w:rPr>
                <w:rFonts w:ascii="Arial" w:cs="Arial" w:eastAsia="Arial" w:hAnsi="Arial"/>
                <w:sz w:val="13"/>
                <w:szCs w:val="13"/>
                <w:color w:val="auto"/>
              </w:rPr>
              <w:t>England</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 &amp; L Signmaker Limited</w:t>
            </w:r>
          </w:p>
        </w:tc>
        <w:tc>
          <w:tcPr>
            <w:tcW w:w="1580" w:type="dxa"/>
            <w:vAlign w:val="bottom"/>
            <w:shd w:val="clear" w:color="auto" w:fill="CCEEFF"/>
          </w:tcPr>
          <w:p>
            <w:pPr>
              <w:spacing w:after="0"/>
              <w:rPr>
                <w:sz w:val="20"/>
                <w:szCs w:val="20"/>
                <w:color w:val="auto"/>
              </w:rPr>
            </w:pPr>
            <w:r>
              <w:rPr>
                <w:rFonts w:ascii="Arial" w:cs="Arial" w:eastAsia="Arial" w:hAnsi="Arial"/>
                <w:sz w:val="13"/>
                <w:szCs w:val="13"/>
                <w:color w:val="auto"/>
              </w:rPr>
              <w:t>England</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300" w:type="dxa"/>
            <w:vAlign w:val="bottom"/>
            <w:gridSpan w:val="2"/>
          </w:tcPr>
          <w:p>
            <w:pPr>
              <w:spacing w:after="0"/>
              <w:rPr>
                <w:sz w:val="20"/>
                <w:szCs w:val="20"/>
                <w:color w:val="auto"/>
              </w:rPr>
            </w:pPr>
            <w:r>
              <w:rPr>
                <w:rFonts w:ascii="Arial" w:cs="Arial" w:eastAsia="Arial" w:hAnsi="Arial"/>
                <w:sz w:val="13"/>
                <w:szCs w:val="13"/>
                <w:color w:val="auto"/>
              </w:rPr>
              <w:t>Safety Shop Limited</w:t>
            </w:r>
          </w:p>
        </w:tc>
        <w:tc>
          <w:tcPr>
            <w:tcW w:w="1580" w:type="dxa"/>
            <w:vAlign w:val="bottom"/>
          </w:tcPr>
          <w:p>
            <w:pPr>
              <w:spacing w:after="0"/>
              <w:rPr>
                <w:sz w:val="20"/>
                <w:szCs w:val="20"/>
                <w:color w:val="auto"/>
              </w:rPr>
            </w:pPr>
            <w:r>
              <w:rPr>
                <w:rFonts w:ascii="Arial" w:cs="Arial" w:eastAsia="Arial" w:hAnsi="Arial"/>
                <w:sz w:val="13"/>
                <w:szCs w:val="13"/>
                <w:color w:val="auto"/>
              </w:rPr>
              <w:t>England</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Safety Shop Co. U.K. Limited</w:t>
            </w:r>
          </w:p>
        </w:tc>
        <w:tc>
          <w:tcPr>
            <w:tcW w:w="1580" w:type="dxa"/>
            <w:vAlign w:val="bottom"/>
            <w:shd w:val="clear" w:color="auto" w:fill="CCEEFF"/>
          </w:tcPr>
          <w:p>
            <w:pPr>
              <w:spacing w:after="0"/>
              <w:rPr>
                <w:sz w:val="20"/>
                <w:szCs w:val="20"/>
                <w:color w:val="auto"/>
              </w:rPr>
            </w:pPr>
            <w:r>
              <w:rPr>
                <w:rFonts w:ascii="Arial" w:cs="Arial" w:eastAsia="Arial" w:hAnsi="Arial"/>
                <w:sz w:val="13"/>
                <w:szCs w:val="13"/>
                <w:color w:val="auto"/>
              </w:rPr>
              <w:t>England</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300" w:type="dxa"/>
            <w:vAlign w:val="bottom"/>
            <w:gridSpan w:val="2"/>
          </w:tcPr>
          <w:p>
            <w:pPr>
              <w:spacing w:after="0"/>
              <w:rPr>
                <w:sz w:val="20"/>
                <w:szCs w:val="20"/>
                <w:color w:val="auto"/>
              </w:rPr>
            </w:pPr>
            <w:r>
              <w:rPr>
                <w:rFonts w:ascii="Arial" w:cs="Arial" w:eastAsia="Arial" w:hAnsi="Arial"/>
                <w:sz w:val="13"/>
                <w:szCs w:val="13"/>
                <w:color w:val="auto"/>
              </w:rPr>
              <w:t>Signs &amp; Labels Limited</w:t>
            </w:r>
          </w:p>
        </w:tc>
        <w:tc>
          <w:tcPr>
            <w:tcW w:w="1580" w:type="dxa"/>
            <w:vAlign w:val="bottom"/>
          </w:tcPr>
          <w:p>
            <w:pPr>
              <w:spacing w:after="0"/>
              <w:rPr>
                <w:sz w:val="20"/>
                <w:szCs w:val="20"/>
                <w:color w:val="auto"/>
              </w:rPr>
            </w:pPr>
            <w:r>
              <w:rPr>
                <w:rFonts w:ascii="Arial" w:cs="Arial" w:eastAsia="Arial" w:hAnsi="Arial"/>
                <w:sz w:val="13"/>
                <w:szCs w:val="13"/>
                <w:color w:val="auto"/>
              </w:rPr>
              <w:t>England</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Southern Signs Systems Limited</w:t>
            </w:r>
          </w:p>
        </w:tc>
        <w:tc>
          <w:tcPr>
            <w:tcW w:w="1580" w:type="dxa"/>
            <w:vAlign w:val="bottom"/>
            <w:shd w:val="clear" w:color="auto" w:fill="CCEEFF"/>
          </w:tcPr>
          <w:p>
            <w:pPr>
              <w:spacing w:after="0"/>
              <w:rPr>
                <w:sz w:val="20"/>
                <w:szCs w:val="20"/>
                <w:color w:val="auto"/>
              </w:rPr>
            </w:pPr>
            <w:r>
              <w:rPr>
                <w:rFonts w:ascii="Arial" w:cs="Arial" w:eastAsia="Arial" w:hAnsi="Arial"/>
                <w:sz w:val="13"/>
                <w:szCs w:val="13"/>
                <w:color w:val="auto"/>
              </w:rPr>
              <w:t>England</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300" w:type="dxa"/>
            <w:vAlign w:val="bottom"/>
            <w:gridSpan w:val="2"/>
          </w:tcPr>
          <w:p>
            <w:pPr>
              <w:spacing w:after="0"/>
              <w:rPr>
                <w:sz w:val="20"/>
                <w:szCs w:val="20"/>
                <w:color w:val="auto"/>
              </w:rPr>
            </w:pPr>
            <w:r>
              <w:rPr>
                <w:rFonts w:ascii="Arial" w:cs="Arial" w:eastAsia="Arial" w:hAnsi="Arial"/>
                <w:sz w:val="13"/>
                <w:szCs w:val="13"/>
                <w:color w:val="auto"/>
              </w:rPr>
              <w:t>Braton Europe S.A.R.L</w:t>
            </w:r>
          </w:p>
        </w:tc>
        <w:tc>
          <w:tcPr>
            <w:tcW w:w="1580" w:type="dxa"/>
            <w:vAlign w:val="bottom"/>
          </w:tcPr>
          <w:p>
            <w:pPr>
              <w:spacing w:after="0"/>
              <w:rPr>
                <w:sz w:val="20"/>
                <w:szCs w:val="20"/>
                <w:color w:val="auto"/>
              </w:rPr>
            </w:pPr>
            <w:r>
              <w:rPr>
                <w:rFonts w:ascii="Arial" w:cs="Arial" w:eastAsia="Arial" w:hAnsi="Arial"/>
                <w:sz w:val="13"/>
                <w:szCs w:val="13"/>
                <w:color w:val="auto"/>
              </w:rPr>
              <w:t>France</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Braton Groupe S.A.R.L</w:t>
            </w:r>
          </w:p>
        </w:tc>
        <w:tc>
          <w:tcPr>
            <w:tcW w:w="1580" w:type="dxa"/>
            <w:vAlign w:val="bottom"/>
            <w:shd w:val="clear" w:color="auto" w:fill="CCEEFF"/>
          </w:tcPr>
          <w:p>
            <w:pPr>
              <w:spacing w:after="0"/>
              <w:rPr>
                <w:sz w:val="20"/>
                <w:szCs w:val="20"/>
                <w:color w:val="auto"/>
              </w:rPr>
            </w:pPr>
            <w:r>
              <w:rPr>
                <w:rFonts w:ascii="Arial" w:cs="Arial" w:eastAsia="Arial" w:hAnsi="Arial"/>
                <w:sz w:val="13"/>
                <w:szCs w:val="13"/>
                <w:color w:val="auto"/>
              </w:rPr>
              <w:t>France</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80" w:type="dxa"/>
            <w:vAlign w:val="bottom"/>
          </w:tcPr>
          <w:p>
            <w:pPr>
              <w:spacing w:after="0"/>
              <w:rPr>
                <w:sz w:val="13"/>
                <w:szCs w:val="13"/>
                <w:color w:val="auto"/>
              </w:rPr>
            </w:pPr>
          </w:p>
        </w:tc>
        <w:tc>
          <w:tcPr>
            <w:tcW w:w="7220" w:type="dxa"/>
            <w:vAlign w:val="bottom"/>
          </w:tcPr>
          <w:p>
            <w:pPr>
              <w:ind w:left="60"/>
              <w:spacing w:after="0"/>
              <w:rPr>
                <w:sz w:val="20"/>
                <w:szCs w:val="20"/>
                <w:color w:val="auto"/>
              </w:rPr>
            </w:pPr>
            <w:r>
              <w:rPr>
                <w:rFonts w:ascii="Arial" w:cs="Arial" w:eastAsia="Arial" w:hAnsi="Arial"/>
                <w:sz w:val="13"/>
                <w:szCs w:val="13"/>
                <w:color w:val="auto"/>
              </w:rPr>
              <w:t>Doing Business As:</w:t>
            </w:r>
          </w:p>
        </w:tc>
        <w:tc>
          <w:tcPr>
            <w:tcW w:w="1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0" w:type="dxa"/>
            <w:vAlign w:val="bottom"/>
            <w:shd w:val="clear" w:color="auto" w:fill="CCEEFF"/>
          </w:tcPr>
          <w:p>
            <w:pPr>
              <w:spacing w:after="0"/>
              <w:rPr>
                <w:sz w:val="13"/>
                <w:szCs w:val="13"/>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Brady</w:t>
            </w:r>
          </w:p>
        </w:tc>
        <w:tc>
          <w:tcPr>
            <w:tcW w:w="1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ind w:left="280"/>
        <w:spacing w:after="0"/>
        <w:rPr>
          <w:sz w:val="20"/>
          <w:szCs w:val="20"/>
          <w:color w:val="auto"/>
        </w:rPr>
      </w:pPr>
      <w:r>
        <w:rPr>
          <w:rFonts w:ascii="Arial" w:cs="Arial" w:eastAsia="Arial" w:hAnsi="Arial"/>
          <w:sz w:val="13"/>
          <w:szCs w:val="13"/>
          <w:color w:val="auto"/>
        </w:rPr>
        <w:t>Techniques Avancees</w:t>
      </w:r>
    </w:p>
    <w:p>
      <w:pPr>
        <w:spacing w:after="0" w:line="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Holman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-93345</wp:posOffset>
            </wp:positionV>
            <wp:extent cx="6335395" cy="996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3"/>
          <w:szCs w:val="13"/>
          <w:color w:val="auto"/>
        </w:rPr>
        <w:t>Periprint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102235</wp:posOffset>
            </wp:positionV>
            <wp:extent cx="7290435" cy="190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5" w:right="1019" w:bottom="1440" w:gutter="0" w:footer="0" w:header="0"/>
        </w:sectPr>
      </w:pPr>
    </w:p>
    <w:bookmarkStart w:id="190" w:name="page191"/>
    <w:bookmarkEnd w:id="190"/>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8"/>
              </w:rPr>
              <w:t>Percentage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20" w:type="dxa"/>
            <w:vAlign w:val="bottom"/>
          </w:tcPr>
          <w:p>
            <w:pPr>
              <w:spacing w:after="0"/>
              <w:rPr>
                <w:sz w:val="9"/>
                <w:szCs w:val="9"/>
                <w:color w:val="auto"/>
              </w:rPr>
            </w:pPr>
          </w:p>
        </w:tc>
        <w:tc>
          <w:tcPr>
            <w:tcW w:w="1580" w:type="dxa"/>
            <w:vAlign w:val="bottom"/>
            <w:vMerge w:val="restart"/>
          </w:tcPr>
          <w:p>
            <w:pPr>
              <w:ind w:left="440"/>
              <w:spacing w:after="0"/>
              <w:rPr>
                <w:sz w:val="20"/>
                <w:szCs w:val="20"/>
                <w:color w:val="auto"/>
              </w:rPr>
            </w:pPr>
            <w:r>
              <w:rPr>
                <w:rFonts w:ascii="Arial" w:cs="Arial" w:eastAsia="Arial" w:hAnsi="Arial"/>
                <w:sz w:val="10"/>
                <w:szCs w:val="10"/>
                <w:b w:val="1"/>
                <w:bCs w:val="1"/>
                <w:color w:val="auto"/>
              </w:rPr>
              <w:t>State (Country)</w:t>
            </w:r>
          </w:p>
        </w:tc>
        <w:tc>
          <w:tcPr>
            <w:tcW w:w="300" w:type="dxa"/>
            <w:vAlign w:val="bottom"/>
          </w:tcPr>
          <w:p>
            <w:pPr>
              <w:spacing w:after="0"/>
              <w:rPr>
                <w:sz w:val="9"/>
                <w:szCs w:val="9"/>
                <w:color w:val="auto"/>
              </w:rPr>
            </w:pPr>
          </w:p>
        </w:tc>
        <w:tc>
          <w:tcPr>
            <w:tcW w:w="800" w:type="dxa"/>
            <w:vAlign w:val="bottom"/>
            <w:gridSpan w:val="2"/>
          </w:tcPr>
          <w:p>
            <w:pPr>
              <w:jc w:val="center"/>
              <w:ind w:right="120"/>
              <w:spacing w:after="0" w:line="108" w:lineRule="exact"/>
              <w:rPr>
                <w:sz w:val="20"/>
                <w:szCs w:val="20"/>
                <w:color w:val="auto"/>
              </w:rPr>
            </w:pPr>
            <w:r>
              <w:rPr>
                <w:rFonts w:ascii="Arial" w:cs="Arial" w:eastAsia="Arial" w:hAnsi="Arial"/>
                <w:sz w:val="10"/>
                <w:szCs w:val="10"/>
                <w:b w:val="1"/>
                <w:bCs w:val="1"/>
                <w:color w:val="auto"/>
                <w:w w:val="92"/>
              </w:rPr>
              <w:t>of Voting</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680" w:type="dxa"/>
            <w:vAlign w:val="bottom"/>
          </w:tcPr>
          <w:p>
            <w:pPr>
              <w:spacing w:after="0"/>
              <w:rPr>
                <w:sz w:val="10"/>
                <w:szCs w:val="10"/>
                <w:color w:val="auto"/>
              </w:rPr>
            </w:pPr>
          </w:p>
        </w:tc>
        <w:tc>
          <w:tcPr>
            <w:tcW w:w="73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Name of Company</w:t>
            </w:r>
          </w:p>
        </w:tc>
        <w:tc>
          <w:tcPr>
            <w:tcW w:w="158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1"/>
              </w:rPr>
              <w:t>Securities</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7300" w:type="dxa"/>
            <w:vAlign w:val="bottom"/>
            <w:gridSpan w:val="2"/>
            <w:vMerge w:val="continue"/>
          </w:tcPr>
          <w:p>
            <w:pPr>
              <w:spacing w:after="0"/>
              <w:rPr>
                <w:sz w:val="10"/>
                <w:szCs w:val="10"/>
                <w:color w:val="auto"/>
              </w:rPr>
            </w:pPr>
          </w:p>
        </w:tc>
        <w:tc>
          <w:tcPr>
            <w:tcW w:w="1580" w:type="dxa"/>
            <w:vAlign w:val="bottom"/>
          </w:tcPr>
          <w:p>
            <w:pPr>
              <w:ind w:left="420"/>
              <w:spacing w:after="0"/>
              <w:rPr>
                <w:sz w:val="20"/>
                <w:szCs w:val="20"/>
                <w:color w:val="auto"/>
              </w:rPr>
            </w:pPr>
            <w:r>
              <w:rPr>
                <w:rFonts w:ascii="Arial" w:cs="Arial" w:eastAsia="Arial" w:hAnsi="Arial"/>
                <w:sz w:val="10"/>
                <w:szCs w:val="10"/>
                <w:b w:val="1"/>
                <w:bCs w:val="1"/>
                <w:color w:val="auto"/>
              </w:rPr>
              <w:t>of Incorporation</w:t>
            </w:r>
          </w:p>
        </w:tc>
        <w:tc>
          <w:tcPr>
            <w:tcW w:w="300" w:type="dxa"/>
            <w:vAlign w:val="bottom"/>
          </w:tcPr>
          <w:p>
            <w:pPr>
              <w:spacing w:after="0"/>
              <w:rPr>
                <w:sz w:val="10"/>
                <w:szCs w:val="10"/>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5"/>
              </w:rPr>
              <w:t>Owned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20" w:type="dxa"/>
            <w:vAlign w:val="bottom"/>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Brady Group S.A.S</w:t>
            </w:r>
          </w:p>
        </w:tc>
        <w:tc>
          <w:tcPr>
            <w:tcW w:w="1580" w:type="dxa"/>
            <w:vAlign w:val="bottom"/>
            <w:shd w:val="clear" w:color="auto" w:fill="CCEEFF"/>
          </w:tcPr>
          <w:p>
            <w:pPr>
              <w:spacing w:after="0"/>
              <w:rPr>
                <w:sz w:val="20"/>
                <w:szCs w:val="20"/>
                <w:color w:val="auto"/>
              </w:rPr>
            </w:pPr>
            <w:r>
              <w:rPr>
                <w:rFonts w:ascii="Arial" w:cs="Arial" w:eastAsia="Arial" w:hAnsi="Arial"/>
                <w:sz w:val="13"/>
                <w:szCs w:val="13"/>
                <w:color w:val="auto"/>
              </w:rPr>
              <w:t>France</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20" w:type="dxa"/>
            <w:vAlign w:val="bottom"/>
          </w:tcPr>
          <w:p>
            <w:pPr>
              <w:ind w:left="60"/>
              <w:spacing w:after="0"/>
              <w:rPr>
                <w:sz w:val="20"/>
                <w:szCs w:val="20"/>
                <w:color w:val="auto"/>
              </w:rPr>
            </w:pPr>
            <w:r>
              <w:rPr>
                <w:rFonts w:ascii="Arial" w:cs="Arial" w:eastAsia="Arial" w:hAnsi="Arial"/>
                <w:sz w:val="13"/>
                <w:szCs w:val="13"/>
                <w:color w:val="auto"/>
              </w:rPr>
              <w:t>Doing Business As:</w:t>
            </w:r>
          </w:p>
        </w:tc>
        <w:tc>
          <w:tcPr>
            <w:tcW w:w="1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Seton</w:t>
            </w:r>
          </w:p>
        </w:tc>
        <w:tc>
          <w:tcPr>
            <w:tcW w:w="1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20" w:type="dxa"/>
            <w:vAlign w:val="bottom"/>
          </w:tcPr>
          <w:p>
            <w:pPr>
              <w:ind w:left="200"/>
              <w:spacing w:after="0"/>
              <w:rPr>
                <w:sz w:val="20"/>
                <w:szCs w:val="20"/>
                <w:color w:val="auto"/>
              </w:rPr>
            </w:pPr>
            <w:r>
              <w:rPr>
                <w:rFonts w:ascii="Arial" w:cs="Arial" w:eastAsia="Arial" w:hAnsi="Arial"/>
                <w:sz w:val="13"/>
                <w:szCs w:val="13"/>
                <w:color w:val="auto"/>
              </w:rPr>
              <w:t>Signals &amp; Lettrasoft</w:t>
            </w:r>
          </w:p>
        </w:tc>
        <w:tc>
          <w:tcPr>
            <w:tcW w:w="1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Brady Holding GmbH</w:t>
            </w:r>
          </w:p>
        </w:tc>
        <w:tc>
          <w:tcPr>
            <w:tcW w:w="1580" w:type="dxa"/>
            <w:vAlign w:val="bottom"/>
            <w:shd w:val="clear" w:color="auto" w:fill="CCEEFF"/>
          </w:tcPr>
          <w:p>
            <w:pPr>
              <w:spacing w:after="0"/>
              <w:rPr>
                <w:sz w:val="20"/>
                <w:szCs w:val="20"/>
                <w:color w:val="auto"/>
              </w:rPr>
            </w:pPr>
            <w:r>
              <w:rPr>
                <w:rFonts w:ascii="Arial" w:cs="Arial" w:eastAsia="Arial" w:hAnsi="Arial"/>
                <w:sz w:val="13"/>
                <w:szCs w:val="13"/>
                <w:color w:val="auto"/>
              </w:rPr>
              <w:t>Germany</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2"/>
          </w:tcPr>
          <w:p>
            <w:pPr>
              <w:spacing w:after="0"/>
              <w:rPr>
                <w:sz w:val="20"/>
                <w:szCs w:val="20"/>
                <w:color w:val="auto"/>
              </w:rPr>
            </w:pPr>
            <w:r>
              <w:rPr>
                <w:rFonts w:ascii="Arial" w:cs="Arial" w:eastAsia="Arial" w:hAnsi="Arial"/>
                <w:sz w:val="13"/>
                <w:szCs w:val="13"/>
                <w:color w:val="auto"/>
              </w:rPr>
              <w:t>Brady GmbH</w:t>
            </w:r>
          </w:p>
        </w:tc>
        <w:tc>
          <w:tcPr>
            <w:tcW w:w="1580" w:type="dxa"/>
            <w:vAlign w:val="bottom"/>
          </w:tcPr>
          <w:p>
            <w:pPr>
              <w:spacing w:after="0"/>
              <w:rPr>
                <w:sz w:val="20"/>
                <w:szCs w:val="20"/>
                <w:color w:val="auto"/>
              </w:rPr>
            </w:pPr>
            <w:r>
              <w:rPr>
                <w:rFonts w:ascii="Arial" w:cs="Arial" w:eastAsia="Arial" w:hAnsi="Arial"/>
                <w:sz w:val="13"/>
                <w:szCs w:val="13"/>
                <w:color w:val="auto"/>
              </w:rPr>
              <w:t>Germany</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100%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Doing Business As:</w:t>
            </w:r>
          </w:p>
        </w:tc>
        <w:tc>
          <w:tcPr>
            <w:tcW w:w="1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20" w:type="dxa"/>
            <w:vAlign w:val="bottom"/>
          </w:tcPr>
          <w:p>
            <w:pPr>
              <w:ind w:left="200"/>
              <w:spacing w:after="0"/>
              <w:rPr>
                <w:sz w:val="20"/>
                <w:szCs w:val="20"/>
                <w:color w:val="auto"/>
              </w:rPr>
            </w:pPr>
            <w:r>
              <w:rPr>
                <w:rFonts w:ascii="Arial" w:cs="Arial" w:eastAsia="Arial" w:hAnsi="Arial"/>
                <w:sz w:val="13"/>
                <w:szCs w:val="13"/>
                <w:color w:val="auto"/>
              </w:rPr>
              <w:t>Seton</w:t>
            </w:r>
          </w:p>
        </w:tc>
        <w:tc>
          <w:tcPr>
            <w:tcW w:w="1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Balkhausen</w:t>
            </w:r>
          </w:p>
        </w:tc>
        <w:tc>
          <w:tcPr>
            <w:tcW w:w="1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20" w:type="dxa"/>
            <w:vAlign w:val="bottom"/>
          </w:tcPr>
          <w:p>
            <w:pPr>
              <w:ind w:left="200"/>
              <w:spacing w:after="0"/>
              <w:rPr>
                <w:sz w:val="20"/>
                <w:szCs w:val="20"/>
                <w:color w:val="auto"/>
              </w:rPr>
            </w:pPr>
            <w:r>
              <w:rPr>
                <w:rFonts w:ascii="Arial" w:cs="Arial" w:eastAsia="Arial" w:hAnsi="Arial"/>
                <w:sz w:val="13"/>
                <w:szCs w:val="13"/>
                <w:color w:val="auto"/>
              </w:rPr>
              <w:t>Brady ISST</w:t>
            </w:r>
          </w:p>
        </w:tc>
        <w:tc>
          <w:tcPr>
            <w:tcW w:w="1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Soft &amp; Etimark</w:t>
            </w:r>
          </w:p>
        </w:tc>
        <w:tc>
          <w:tcPr>
            <w:tcW w:w="1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2"/>
          </w:tcPr>
          <w:p>
            <w:pPr>
              <w:spacing w:after="0"/>
              <w:rPr>
                <w:sz w:val="20"/>
                <w:szCs w:val="20"/>
                <w:color w:val="auto"/>
              </w:rPr>
            </w:pPr>
            <w:r>
              <w:rPr>
                <w:rFonts w:ascii="Arial" w:cs="Arial" w:eastAsia="Arial" w:hAnsi="Arial"/>
                <w:sz w:val="13"/>
                <w:szCs w:val="13"/>
                <w:color w:val="auto"/>
              </w:rPr>
              <w:t>Quo-Luck Company Limited</w:t>
            </w:r>
          </w:p>
        </w:tc>
        <w:tc>
          <w:tcPr>
            <w:tcW w:w="1580" w:type="dxa"/>
            <w:vAlign w:val="bottom"/>
          </w:tcPr>
          <w:p>
            <w:pPr>
              <w:spacing w:after="0"/>
              <w:rPr>
                <w:sz w:val="20"/>
                <w:szCs w:val="20"/>
                <w:color w:val="auto"/>
              </w:rPr>
            </w:pPr>
            <w:r>
              <w:rPr>
                <w:rFonts w:ascii="Arial" w:cs="Arial" w:eastAsia="Arial" w:hAnsi="Arial"/>
                <w:sz w:val="13"/>
                <w:szCs w:val="13"/>
                <w:color w:val="auto"/>
              </w:rPr>
              <w:t>Hong Kong</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100%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Bakee Metal Manufacturing Company Limited</w:t>
            </w:r>
          </w:p>
        </w:tc>
        <w:tc>
          <w:tcPr>
            <w:tcW w:w="1580" w:type="dxa"/>
            <w:vAlign w:val="bottom"/>
            <w:shd w:val="clear" w:color="auto" w:fill="CCEEFF"/>
          </w:tcPr>
          <w:p>
            <w:pPr>
              <w:spacing w:after="0"/>
              <w:rPr>
                <w:sz w:val="20"/>
                <w:szCs w:val="20"/>
                <w:color w:val="auto"/>
              </w:rPr>
            </w:pPr>
            <w:r>
              <w:rPr>
                <w:rFonts w:ascii="Arial" w:cs="Arial" w:eastAsia="Arial" w:hAnsi="Arial"/>
                <w:sz w:val="13"/>
                <w:szCs w:val="13"/>
                <w:color w:val="auto"/>
              </w:rPr>
              <w:t>Hong Kong</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2"/>
          </w:tcPr>
          <w:p>
            <w:pPr>
              <w:spacing w:after="0"/>
              <w:rPr>
                <w:sz w:val="20"/>
                <w:szCs w:val="20"/>
                <w:color w:val="auto"/>
              </w:rPr>
            </w:pPr>
            <w:r>
              <w:rPr>
                <w:rFonts w:ascii="Arial" w:cs="Arial" w:eastAsia="Arial" w:hAnsi="Arial"/>
                <w:sz w:val="13"/>
                <w:szCs w:val="13"/>
                <w:color w:val="auto"/>
              </w:rPr>
              <w:t>Brady Company India Pte. Ltd.</w:t>
            </w:r>
          </w:p>
        </w:tc>
        <w:tc>
          <w:tcPr>
            <w:tcW w:w="1580" w:type="dxa"/>
            <w:vAlign w:val="bottom"/>
          </w:tcPr>
          <w:p>
            <w:pPr>
              <w:spacing w:after="0"/>
              <w:rPr>
                <w:sz w:val="20"/>
                <w:szCs w:val="20"/>
                <w:color w:val="auto"/>
              </w:rPr>
            </w:pPr>
            <w:r>
              <w:rPr>
                <w:rFonts w:ascii="Arial" w:cs="Arial" w:eastAsia="Arial" w:hAnsi="Arial"/>
                <w:sz w:val="13"/>
                <w:szCs w:val="13"/>
                <w:color w:val="auto"/>
              </w:rPr>
              <w:t>India</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100%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Brady Italia, SRL</w:t>
            </w:r>
          </w:p>
        </w:tc>
        <w:tc>
          <w:tcPr>
            <w:tcW w:w="1580" w:type="dxa"/>
            <w:vAlign w:val="bottom"/>
            <w:shd w:val="clear" w:color="auto" w:fill="CCEEFF"/>
          </w:tcPr>
          <w:p>
            <w:pPr>
              <w:spacing w:after="0"/>
              <w:rPr>
                <w:sz w:val="20"/>
                <w:szCs w:val="20"/>
                <w:color w:val="auto"/>
              </w:rPr>
            </w:pPr>
            <w:r>
              <w:rPr>
                <w:rFonts w:ascii="Arial" w:cs="Arial" w:eastAsia="Arial" w:hAnsi="Arial"/>
                <w:sz w:val="13"/>
                <w:szCs w:val="13"/>
                <w:color w:val="auto"/>
              </w:rPr>
              <w:t>Italy</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2"/>
          </w:tcPr>
          <w:p>
            <w:pPr>
              <w:spacing w:after="0"/>
              <w:rPr>
                <w:sz w:val="20"/>
                <w:szCs w:val="20"/>
                <w:color w:val="auto"/>
              </w:rPr>
            </w:pPr>
            <w:r>
              <w:rPr>
                <w:rFonts w:ascii="Arial" w:cs="Arial" w:eastAsia="Arial" w:hAnsi="Arial"/>
                <w:sz w:val="13"/>
                <w:szCs w:val="13"/>
                <w:color w:val="auto"/>
              </w:rPr>
              <w:t>Nippon Brady K.K.</w:t>
            </w:r>
          </w:p>
        </w:tc>
        <w:tc>
          <w:tcPr>
            <w:tcW w:w="1580" w:type="dxa"/>
            <w:vAlign w:val="bottom"/>
          </w:tcPr>
          <w:p>
            <w:pPr>
              <w:spacing w:after="0"/>
              <w:rPr>
                <w:sz w:val="20"/>
                <w:szCs w:val="20"/>
                <w:color w:val="auto"/>
              </w:rPr>
            </w:pPr>
            <w:r>
              <w:rPr>
                <w:rFonts w:ascii="Arial" w:cs="Arial" w:eastAsia="Arial" w:hAnsi="Arial"/>
                <w:sz w:val="13"/>
                <w:szCs w:val="13"/>
                <w:color w:val="auto"/>
              </w:rPr>
              <w:t>Japan</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100%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Daewon Industry Co.</w:t>
            </w:r>
          </w:p>
        </w:tc>
        <w:tc>
          <w:tcPr>
            <w:tcW w:w="1580" w:type="dxa"/>
            <w:vAlign w:val="bottom"/>
            <w:shd w:val="clear" w:color="auto" w:fill="CCEEFF"/>
          </w:tcPr>
          <w:p>
            <w:pPr>
              <w:spacing w:after="0"/>
              <w:rPr>
                <w:sz w:val="20"/>
                <w:szCs w:val="20"/>
                <w:color w:val="auto"/>
              </w:rPr>
            </w:pPr>
            <w:r>
              <w:rPr>
                <w:rFonts w:ascii="Arial" w:cs="Arial" w:eastAsia="Arial" w:hAnsi="Arial"/>
                <w:sz w:val="13"/>
                <w:szCs w:val="13"/>
                <w:color w:val="auto"/>
              </w:rPr>
              <w:t>Korea</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2"/>
          </w:tcPr>
          <w:p>
            <w:pPr>
              <w:spacing w:after="0"/>
              <w:rPr>
                <w:sz w:val="20"/>
                <w:szCs w:val="20"/>
                <w:color w:val="auto"/>
              </w:rPr>
            </w:pPr>
            <w:r>
              <w:rPr>
                <w:rFonts w:ascii="Arial" w:cs="Arial" w:eastAsia="Arial" w:hAnsi="Arial"/>
                <w:sz w:val="13"/>
                <w:szCs w:val="13"/>
                <w:color w:val="auto"/>
              </w:rPr>
              <w:t>Tradex (Korea) Co., Ltd.</w:t>
            </w:r>
          </w:p>
        </w:tc>
        <w:tc>
          <w:tcPr>
            <w:tcW w:w="1580" w:type="dxa"/>
            <w:vAlign w:val="bottom"/>
          </w:tcPr>
          <w:p>
            <w:pPr>
              <w:spacing w:after="0"/>
              <w:rPr>
                <w:sz w:val="20"/>
                <w:szCs w:val="20"/>
                <w:color w:val="auto"/>
              </w:rPr>
            </w:pPr>
            <w:r>
              <w:rPr>
                <w:rFonts w:ascii="Arial" w:cs="Arial" w:eastAsia="Arial" w:hAnsi="Arial"/>
                <w:sz w:val="13"/>
                <w:szCs w:val="13"/>
                <w:color w:val="auto"/>
              </w:rPr>
              <w:t>Korea</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100%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Brady Luxembourg SARL</w:t>
            </w:r>
          </w:p>
        </w:tc>
        <w:tc>
          <w:tcPr>
            <w:tcW w:w="1580" w:type="dxa"/>
            <w:vAlign w:val="bottom"/>
            <w:shd w:val="clear" w:color="auto" w:fill="CCEEFF"/>
          </w:tcPr>
          <w:p>
            <w:pPr>
              <w:spacing w:after="0"/>
              <w:rPr>
                <w:sz w:val="20"/>
                <w:szCs w:val="20"/>
                <w:color w:val="auto"/>
              </w:rPr>
            </w:pPr>
            <w:r>
              <w:rPr>
                <w:rFonts w:ascii="Arial" w:cs="Arial" w:eastAsia="Arial" w:hAnsi="Arial"/>
                <w:sz w:val="13"/>
                <w:szCs w:val="13"/>
                <w:color w:val="auto"/>
              </w:rPr>
              <w:t>Luxembourg</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2"/>
          </w:tcPr>
          <w:p>
            <w:pPr>
              <w:spacing w:after="0"/>
              <w:rPr>
                <w:sz w:val="20"/>
                <w:szCs w:val="20"/>
                <w:color w:val="auto"/>
              </w:rPr>
            </w:pPr>
            <w:r>
              <w:rPr>
                <w:rFonts w:ascii="Arial" w:cs="Arial" w:eastAsia="Arial" w:hAnsi="Arial"/>
                <w:sz w:val="13"/>
                <w:szCs w:val="13"/>
                <w:color w:val="auto"/>
              </w:rPr>
              <w:t>Brady Technology SDN, BHD</w:t>
            </w:r>
          </w:p>
        </w:tc>
        <w:tc>
          <w:tcPr>
            <w:tcW w:w="1580" w:type="dxa"/>
            <w:vAlign w:val="bottom"/>
          </w:tcPr>
          <w:p>
            <w:pPr>
              <w:spacing w:after="0"/>
              <w:rPr>
                <w:sz w:val="20"/>
                <w:szCs w:val="20"/>
                <w:color w:val="auto"/>
              </w:rPr>
            </w:pPr>
            <w:r>
              <w:rPr>
                <w:rFonts w:ascii="Arial" w:cs="Arial" w:eastAsia="Arial" w:hAnsi="Arial"/>
                <w:sz w:val="13"/>
                <w:szCs w:val="13"/>
                <w:color w:val="auto"/>
              </w:rPr>
              <w:t>Malaysia</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100%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 H. Brady S. de R.L. de C.V.</w:t>
            </w:r>
          </w:p>
        </w:tc>
        <w:tc>
          <w:tcPr>
            <w:tcW w:w="1580" w:type="dxa"/>
            <w:vAlign w:val="bottom"/>
            <w:shd w:val="clear" w:color="auto" w:fill="CCEEFF"/>
          </w:tcPr>
          <w:p>
            <w:pPr>
              <w:spacing w:after="0"/>
              <w:rPr>
                <w:sz w:val="20"/>
                <w:szCs w:val="20"/>
                <w:color w:val="auto"/>
              </w:rPr>
            </w:pPr>
            <w:r>
              <w:rPr>
                <w:rFonts w:ascii="Arial" w:cs="Arial" w:eastAsia="Arial" w:hAnsi="Arial"/>
                <w:sz w:val="13"/>
                <w:szCs w:val="13"/>
                <w:color w:val="auto"/>
              </w:rPr>
              <w:t>Mexico</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2"/>
          </w:tcPr>
          <w:p>
            <w:pPr>
              <w:spacing w:after="0"/>
              <w:rPr>
                <w:sz w:val="20"/>
                <w:szCs w:val="20"/>
                <w:color w:val="auto"/>
              </w:rPr>
            </w:pPr>
            <w:r>
              <w:rPr>
                <w:rFonts w:ascii="Arial" w:cs="Arial" w:eastAsia="Arial" w:hAnsi="Arial"/>
                <w:sz w:val="13"/>
                <w:szCs w:val="13"/>
                <w:color w:val="auto"/>
              </w:rPr>
              <w:t>Brady B.V</w:t>
            </w:r>
          </w:p>
        </w:tc>
        <w:tc>
          <w:tcPr>
            <w:tcW w:w="1580" w:type="dxa"/>
            <w:vAlign w:val="bottom"/>
          </w:tcPr>
          <w:p>
            <w:pPr>
              <w:spacing w:after="0"/>
              <w:rPr>
                <w:sz w:val="20"/>
                <w:szCs w:val="20"/>
                <w:color w:val="auto"/>
              </w:rPr>
            </w:pPr>
            <w:r>
              <w:rPr>
                <w:rFonts w:ascii="Arial" w:cs="Arial" w:eastAsia="Arial" w:hAnsi="Arial"/>
                <w:sz w:val="13"/>
                <w:szCs w:val="13"/>
                <w:color w:val="auto"/>
              </w:rPr>
              <w:t>Netherlands</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100%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CIPI Europe, B.V.</w:t>
            </w:r>
          </w:p>
        </w:tc>
        <w:tc>
          <w:tcPr>
            <w:tcW w:w="1580" w:type="dxa"/>
            <w:vAlign w:val="bottom"/>
            <w:shd w:val="clear" w:color="auto" w:fill="CCEEFF"/>
          </w:tcPr>
          <w:p>
            <w:pPr>
              <w:spacing w:after="0"/>
              <w:rPr>
                <w:sz w:val="20"/>
                <w:szCs w:val="20"/>
                <w:color w:val="auto"/>
              </w:rPr>
            </w:pPr>
            <w:r>
              <w:rPr>
                <w:rFonts w:ascii="Arial" w:cs="Arial" w:eastAsia="Arial" w:hAnsi="Arial"/>
                <w:sz w:val="13"/>
                <w:szCs w:val="13"/>
                <w:color w:val="auto"/>
              </w:rPr>
              <w:t>Netherlands</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2"/>
          </w:tcPr>
          <w:p>
            <w:pPr>
              <w:spacing w:after="0"/>
              <w:rPr>
                <w:sz w:val="20"/>
                <w:szCs w:val="20"/>
                <w:color w:val="auto"/>
              </w:rPr>
            </w:pPr>
            <w:r>
              <w:rPr>
                <w:rFonts w:ascii="Arial" w:cs="Arial" w:eastAsia="Arial" w:hAnsi="Arial"/>
                <w:sz w:val="13"/>
                <w:szCs w:val="13"/>
                <w:color w:val="auto"/>
              </w:rPr>
              <w:t>Texit A.S.</w:t>
            </w:r>
          </w:p>
        </w:tc>
        <w:tc>
          <w:tcPr>
            <w:tcW w:w="1580" w:type="dxa"/>
            <w:vAlign w:val="bottom"/>
          </w:tcPr>
          <w:p>
            <w:pPr>
              <w:spacing w:after="0"/>
              <w:rPr>
                <w:sz w:val="20"/>
                <w:szCs w:val="20"/>
                <w:color w:val="auto"/>
              </w:rPr>
            </w:pPr>
            <w:r>
              <w:rPr>
                <w:rFonts w:ascii="Arial" w:cs="Arial" w:eastAsia="Arial" w:hAnsi="Arial"/>
                <w:sz w:val="13"/>
                <w:szCs w:val="13"/>
                <w:color w:val="auto"/>
              </w:rPr>
              <w:t>Norway</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100%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Brady NV</w:t>
            </w:r>
          </w:p>
        </w:tc>
        <w:tc>
          <w:tcPr>
            <w:tcW w:w="1580" w:type="dxa"/>
            <w:vAlign w:val="bottom"/>
            <w:shd w:val="clear" w:color="auto" w:fill="CCEEFF"/>
          </w:tcPr>
          <w:p>
            <w:pPr>
              <w:spacing w:after="0"/>
              <w:rPr>
                <w:sz w:val="20"/>
                <w:szCs w:val="20"/>
                <w:color w:val="auto"/>
              </w:rPr>
            </w:pPr>
            <w:r>
              <w:rPr>
                <w:rFonts w:ascii="Arial" w:cs="Arial" w:eastAsia="Arial" w:hAnsi="Arial"/>
                <w:sz w:val="13"/>
                <w:szCs w:val="13"/>
                <w:color w:val="auto"/>
              </w:rPr>
              <w:t>Poland</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2"/>
          </w:tcPr>
          <w:p>
            <w:pPr>
              <w:spacing w:after="0"/>
              <w:rPr>
                <w:sz w:val="20"/>
                <w:szCs w:val="20"/>
                <w:color w:val="auto"/>
              </w:rPr>
            </w:pPr>
            <w:r>
              <w:rPr>
                <w:rFonts w:ascii="Arial" w:cs="Arial" w:eastAsia="Arial" w:hAnsi="Arial"/>
                <w:sz w:val="13"/>
                <w:szCs w:val="13"/>
                <w:color w:val="auto"/>
              </w:rPr>
              <w:t>Brady Corporation S.E.A. Pte. Ltd.</w:t>
            </w:r>
          </w:p>
        </w:tc>
        <w:tc>
          <w:tcPr>
            <w:tcW w:w="1580" w:type="dxa"/>
            <w:vAlign w:val="bottom"/>
          </w:tcPr>
          <w:p>
            <w:pPr>
              <w:spacing w:after="0"/>
              <w:rPr>
                <w:sz w:val="20"/>
                <w:szCs w:val="20"/>
                <w:color w:val="auto"/>
              </w:rPr>
            </w:pPr>
            <w:r>
              <w:rPr>
                <w:rFonts w:ascii="Arial" w:cs="Arial" w:eastAsia="Arial" w:hAnsi="Arial"/>
                <w:sz w:val="13"/>
                <w:szCs w:val="13"/>
                <w:color w:val="auto"/>
              </w:rPr>
              <w:t>Singapore</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100%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Brady Corporation Asia Pte. Ltd.</w:t>
            </w:r>
          </w:p>
        </w:tc>
        <w:tc>
          <w:tcPr>
            <w:tcW w:w="1580" w:type="dxa"/>
            <w:vAlign w:val="bottom"/>
            <w:shd w:val="clear" w:color="auto" w:fill="CCEEFF"/>
          </w:tcPr>
          <w:p>
            <w:pPr>
              <w:spacing w:after="0"/>
              <w:rPr>
                <w:sz w:val="20"/>
                <w:szCs w:val="20"/>
                <w:color w:val="auto"/>
              </w:rPr>
            </w:pPr>
            <w:r>
              <w:rPr>
                <w:rFonts w:ascii="Arial" w:cs="Arial" w:eastAsia="Arial" w:hAnsi="Arial"/>
                <w:sz w:val="13"/>
                <w:szCs w:val="13"/>
                <w:color w:val="auto"/>
              </w:rPr>
              <w:t>Singapore</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2"/>
          </w:tcPr>
          <w:p>
            <w:pPr>
              <w:spacing w:after="0"/>
              <w:rPr>
                <w:sz w:val="20"/>
                <w:szCs w:val="20"/>
                <w:color w:val="auto"/>
              </w:rPr>
            </w:pPr>
            <w:r>
              <w:rPr>
                <w:rFonts w:ascii="Arial" w:cs="Arial" w:eastAsia="Arial" w:hAnsi="Arial"/>
                <w:sz w:val="13"/>
                <w:szCs w:val="13"/>
                <w:color w:val="auto"/>
              </w:rPr>
              <w:t>Brady Identification S.L.</w:t>
            </w:r>
          </w:p>
        </w:tc>
        <w:tc>
          <w:tcPr>
            <w:tcW w:w="1580" w:type="dxa"/>
            <w:vAlign w:val="bottom"/>
          </w:tcPr>
          <w:p>
            <w:pPr>
              <w:spacing w:after="0"/>
              <w:rPr>
                <w:sz w:val="20"/>
                <w:szCs w:val="20"/>
                <w:color w:val="auto"/>
              </w:rPr>
            </w:pPr>
            <w:r>
              <w:rPr>
                <w:rFonts w:ascii="Arial" w:cs="Arial" w:eastAsia="Arial" w:hAnsi="Arial"/>
                <w:sz w:val="13"/>
                <w:szCs w:val="13"/>
                <w:color w:val="auto"/>
              </w:rPr>
              <w:t>Spain</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100%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Brady AB</w:t>
            </w:r>
          </w:p>
        </w:tc>
        <w:tc>
          <w:tcPr>
            <w:tcW w:w="1580" w:type="dxa"/>
            <w:vAlign w:val="bottom"/>
            <w:shd w:val="clear" w:color="auto" w:fill="CCEEFF"/>
          </w:tcPr>
          <w:p>
            <w:pPr>
              <w:spacing w:after="0"/>
              <w:rPr>
                <w:sz w:val="20"/>
                <w:szCs w:val="20"/>
                <w:color w:val="auto"/>
              </w:rPr>
            </w:pPr>
            <w:r>
              <w:rPr>
                <w:rFonts w:ascii="Arial" w:cs="Arial" w:eastAsia="Arial" w:hAnsi="Arial"/>
                <w:sz w:val="13"/>
                <w:szCs w:val="13"/>
                <w:color w:val="auto"/>
              </w:rPr>
              <w:t>Sweden</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2"/>
          </w:tcPr>
          <w:p>
            <w:pPr>
              <w:spacing w:after="0"/>
              <w:rPr>
                <w:sz w:val="20"/>
                <w:szCs w:val="20"/>
                <w:color w:val="auto"/>
              </w:rPr>
            </w:pPr>
            <w:r>
              <w:rPr>
                <w:rFonts w:ascii="Arial" w:cs="Arial" w:eastAsia="Arial" w:hAnsi="Arial"/>
                <w:sz w:val="13"/>
                <w:szCs w:val="13"/>
                <w:color w:val="auto"/>
              </w:rPr>
              <w:t>Seton Scandinavia AB</w:t>
            </w:r>
          </w:p>
        </w:tc>
        <w:tc>
          <w:tcPr>
            <w:tcW w:w="1580" w:type="dxa"/>
            <w:vAlign w:val="bottom"/>
          </w:tcPr>
          <w:p>
            <w:pPr>
              <w:spacing w:after="0"/>
              <w:rPr>
                <w:sz w:val="20"/>
                <w:szCs w:val="20"/>
                <w:color w:val="auto"/>
              </w:rPr>
            </w:pPr>
            <w:r>
              <w:rPr>
                <w:rFonts w:ascii="Arial" w:cs="Arial" w:eastAsia="Arial" w:hAnsi="Arial"/>
                <w:sz w:val="13"/>
                <w:szCs w:val="13"/>
                <w:color w:val="auto"/>
              </w:rPr>
              <w:t>Sweden</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100%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Brady Sweden Holdings AB</w:t>
            </w:r>
          </w:p>
        </w:tc>
        <w:tc>
          <w:tcPr>
            <w:tcW w:w="1580" w:type="dxa"/>
            <w:vAlign w:val="bottom"/>
            <w:shd w:val="clear" w:color="auto" w:fill="CCEEFF"/>
          </w:tcPr>
          <w:p>
            <w:pPr>
              <w:spacing w:after="0"/>
              <w:rPr>
                <w:sz w:val="20"/>
                <w:szCs w:val="20"/>
                <w:color w:val="auto"/>
              </w:rPr>
            </w:pPr>
            <w:r>
              <w:rPr>
                <w:rFonts w:ascii="Arial" w:cs="Arial" w:eastAsia="Arial" w:hAnsi="Arial"/>
                <w:sz w:val="13"/>
                <w:szCs w:val="13"/>
                <w:color w:val="auto"/>
              </w:rPr>
              <w:t>Sweden</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2"/>
          </w:tcPr>
          <w:p>
            <w:pPr>
              <w:spacing w:after="0"/>
              <w:rPr>
                <w:sz w:val="20"/>
                <w:szCs w:val="20"/>
                <w:color w:val="auto"/>
              </w:rPr>
            </w:pPr>
            <w:r>
              <w:rPr>
                <w:rFonts w:ascii="Arial" w:cs="Arial" w:eastAsia="Arial" w:hAnsi="Arial"/>
                <w:sz w:val="13"/>
                <w:szCs w:val="13"/>
                <w:color w:val="auto"/>
              </w:rPr>
              <w:t>Tradex Holding AB</w:t>
            </w:r>
          </w:p>
        </w:tc>
        <w:tc>
          <w:tcPr>
            <w:tcW w:w="1580" w:type="dxa"/>
            <w:vAlign w:val="bottom"/>
          </w:tcPr>
          <w:p>
            <w:pPr>
              <w:spacing w:after="0"/>
              <w:rPr>
                <w:sz w:val="20"/>
                <w:szCs w:val="20"/>
                <w:color w:val="auto"/>
              </w:rPr>
            </w:pPr>
            <w:r>
              <w:rPr>
                <w:rFonts w:ascii="Arial" w:cs="Arial" w:eastAsia="Arial" w:hAnsi="Arial"/>
                <w:sz w:val="13"/>
                <w:szCs w:val="13"/>
                <w:color w:val="auto"/>
              </w:rPr>
              <w:t>Sweden</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100%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Tradex Converting AB</w:t>
            </w:r>
          </w:p>
        </w:tc>
        <w:tc>
          <w:tcPr>
            <w:tcW w:w="1580" w:type="dxa"/>
            <w:vAlign w:val="bottom"/>
            <w:shd w:val="clear" w:color="auto" w:fill="CCEEFF"/>
          </w:tcPr>
          <w:p>
            <w:pPr>
              <w:spacing w:after="0"/>
              <w:rPr>
                <w:sz w:val="20"/>
                <w:szCs w:val="20"/>
                <w:color w:val="auto"/>
              </w:rPr>
            </w:pPr>
            <w:r>
              <w:rPr>
                <w:rFonts w:ascii="Arial" w:cs="Arial" w:eastAsia="Arial" w:hAnsi="Arial"/>
                <w:sz w:val="13"/>
                <w:szCs w:val="13"/>
                <w:color w:val="auto"/>
              </w:rPr>
              <w:t>Sweden</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2"/>
          </w:tcPr>
          <w:p>
            <w:pPr>
              <w:spacing w:after="0"/>
              <w:rPr>
                <w:sz w:val="20"/>
                <w:szCs w:val="20"/>
                <w:color w:val="auto"/>
              </w:rPr>
            </w:pPr>
            <w:r>
              <w:rPr>
                <w:rFonts w:ascii="Arial" w:cs="Arial" w:eastAsia="Arial" w:hAnsi="Arial"/>
                <w:sz w:val="13"/>
                <w:szCs w:val="13"/>
                <w:color w:val="auto"/>
              </w:rPr>
              <w:t>Tradex AB</w:t>
            </w:r>
          </w:p>
        </w:tc>
        <w:tc>
          <w:tcPr>
            <w:tcW w:w="1580" w:type="dxa"/>
            <w:vAlign w:val="bottom"/>
          </w:tcPr>
          <w:p>
            <w:pPr>
              <w:spacing w:after="0"/>
              <w:rPr>
                <w:sz w:val="20"/>
                <w:szCs w:val="20"/>
                <w:color w:val="auto"/>
              </w:rPr>
            </w:pPr>
            <w:r>
              <w:rPr>
                <w:rFonts w:ascii="Arial" w:cs="Arial" w:eastAsia="Arial" w:hAnsi="Arial"/>
                <w:sz w:val="13"/>
                <w:szCs w:val="13"/>
                <w:color w:val="auto"/>
              </w:rPr>
              <w:t>Sweden</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100%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Brady (Shenzhen) Co. Ltd.</w:t>
            </w:r>
          </w:p>
        </w:tc>
        <w:tc>
          <w:tcPr>
            <w:tcW w:w="1580" w:type="dxa"/>
            <w:vAlign w:val="bottom"/>
            <w:shd w:val="clear" w:color="auto" w:fill="CCEEFF"/>
          </w:tcPr>
          <w:p>
            <w:pPr>
              <w:spacing w:after="0"/>
              <w:rPr>
                <w:sz w:val="20"/>
                <w:szCs w:val="20"/>
                <w:color w:val="auto"/>
              </w:rPr>
            </w:pPr>
            <w:r>
              <w:rPr>
                <w:rFonts w:ascii="Arial" w:cs="Arial" w:eastAsia="Arial" w:hAnsi="Arial"/>
                <w:sz w:val="13"/>
                <w:szCs w:val="13"/>
                <w:color w:val="auto"/>
              </w:rPr>
              <w:t>China</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2"/>
          </w:tcPr>
          <w:p>
            <w:pPr>
              <w:spacing w:after="0"/>
              <w:rPr>
                <w:sz w:val="20"/>
                <w:szCs w:val="20"/>
                <w:color w:val="auto"/>
              </w:rPr>
            </w:pPr>
            <w:r>
              <w:rPr>
                <w:rFonts w:ascii="Arial" w:cs="Arial" w:eastAsia="Arial" w:hAnsi="Arial"/>
                <w:sz w:val="13"/>
                <w:szCs w:val="13"/>
                <w:color w:val="auto"/>
              </w:rPr>
              <w:t>Pure Vantage</w:t>
            </w:r>
          </w:p>
        </w:tc>
        <w:tc>
          <w:tcPr>
            <w:tcW w:w="1580" w:type="dxa"/>
            <w:vAlign w:val="bottom"/>
          </w:tcPr>
          <w:p>
            <w:pPr>
              <w:spacing w:after="0"/>
              <w:rPr>
                <w:sz w:val="20"/>
                <w:szCs w:val="20"/>
                <w:color w:val="auto"/>
              </w:rPr>
            </w:pPr>
            <w:r>
              <w:rPr>
                <w:rFonts w:ascii="Arial" w:cs="Arial" w:eastAsia="Arial" w:hAnsi="Arial"/>
                <w:sz w:val="13"/>
                <w:szCs w:val="13"/>
                <w:color w:val="auto"/>
              </w:rPr>
              <w:t>England</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100%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Rapid Update</w:t>
            </w:r>
          </w:p>
        </w:tc>
        <w:tc>
          <w:tcPr>
            <w:tcW w:w="1580" w:type="dxa"/>
            <w:vAlign w:val="bottom"/>
            <w:shd w:val="clear" w:color="auto" w:fill="CCEEFF"/>
          </w:tcPr>
          <w:p>
            <w:pPr>
              <w:spacing w:after="0"/>
              <w:rPr>
                <w:sz w:val="20"/>
                <w:szCs w:val="20"/>
                <w:color w:val="auto"/>
              </w:rPr>
            </w:pPr>
            <w:r>
              <w:rPr>
                <w:rFonts w:ascii="Arial" w:cs="Arial" w:eastAsia="Arial" w:hAnsi="Arial"/>
                <w:sz w:val="13"/>
                <w:szCs w:val="13"/>
                <w:color w:val="auto"/>
              </w:rPr>
              <w:t>England</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2"/>
          </w:tcPr>
          <w:p>
            <w:pPr>
              <w:spacing w:after="0"/>
              <w:rPr>
                <w:sz w:val="20"/>
                <w:szCs w:val="20"/>
                <w:color w:val="auto"/>
              </w:rPr>
            </w:pPr>
            <w:r>
              <w:rPr>
                <w:rFonts w:ascii="Arial" w:cs="Arial" w:eastAsia="Arial" w:hAnsi="Arial"/>
                <w:sz w:val="13"/>
                <w:szCs w:val="13"/>
                <w:color w:val="auto"/>
              </w:rPr>
              <w:t>Brady Servicios, S. de R.L. de C.V.</w:t>
            </w:r>
          </w:p>
        </w:tc>
        <w:tc>
          <w:tcPr>
            <w:tcW w:w="1580" w:type="dxa"/>
            <w:vAlign w:val="bottom"/>
          </w:tcPr>
          <w:p>
            <w:pPr>
              <w:spacing w:after="0"/>
              <w:rPr>
                <w:sz w:val="20"/>
                <w:szCs w:val="20"/>
                <w:color w:val="auto"/>
              </w:rPr>
            </w:pPr>
            <w:r>
              <w:rPr>
                <w:rFonts w:ascii="Arial" w:cs="Arial" w:eastAsia="Arial" w:hAnsi="Arial"/>
                <w:sz w:val="13"/>
                <w:szCs w:val="13"/>
                <w:color w:val="auto"/>
              </w:rPr>
              <w:t>Mexico</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100%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Brandon Converting Mexico S. de R.L. de C.V.</w:t>
            </w:r>
          </w:p>
        </w:tc>
        <w:tc>
          <w:tcPr>
            <w:tcW w:w="1580" w:type="dxa"/>
            <w:vAlign w:val="bottom"/>
            <w:shd w:val="clear" w:color="auto" w:fill="CCEEFF"/>
          </w:tcPr>
          <w:p>
            <w:pPr>
              <w:spacing w:after="0"/>
              <w:rPr>
                <w:sz w:val="20"/>
                <w:szCs w:val="20"/>
                <w:color w:val="auto"/>
              </w:rPr>
            </w:pPr>
            <w:r>
              <w:rPr>
                <w:rFonts w:ascii="Arial" w:cs="Arial" w:eastAsia="Arial" w:hAnsi="Arial"/>
                <w:sz w:val="13"/>
                <w:szCs w:val="13"/>
                <w:color w:val="auto"/>
              </w:rPr>
              <w:t>Mexico</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2"/>
          </w:tcPr>
          <w:p>
            <w:pPr>
              <w:spacing w:after="0"/>
              <w:rPr>
                <w:sz w:val="20"/>
                <w:szCs w:val="20"/>
                <w:color w:val="auto"/>
              </w:rPr>
            </w:pPr>
            <w:r>
              <w:rPr>
                <w:rFonts w:ascii="Arial" w:cs="Arial" w:eastAsia="Arial" w:hAnsi="Arial"/>
                <w:sz w:val="13"/>
                <w:szCs w:val="13"/>
                <w:color w:val="auto"/>
              </w:rPr>
              <w:t>Brandon Precision Pte. Ltd.</w:t>
            </w:r>
          </w:p>
        </w:tc>
        <w:tc>
          <w:tcPr>
            <w:tcW w:w="1580" w:type="dxa"/>
            <w:vAlign w:val="bottom"/>
          </w:tcPr>
          <w:p>
            <w:pPr>
              <w:spacing w:after="0"/>
              <w:rPr>
                <w:sz w:val="20"/>
                <w:szCs w:val="20"/>
                <w:color w:val="auto"/>
              </w:rPr>
            </w:pPr>
            <w:r>
              <w:rPr>
                <w:rFonts w:ascii="Arial" w:cs="Arial" w:eastAsia="Arial" w:hAnsi="Arial"/>
                <w:sz w:val="13"/>
                <w:szCs w:val="13"/>
                <w:color w:val="auto"/>
              </w:rPr>
              <w:t>Singapore</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100%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Brady Technologies Asia Pte. Ltd.</w:t>
            </w:r>
          </w:p>
        </w:tc>
        <w:tc>
          <w:tcPr>
            <w:tcW w:w="1580" w:type="dxa"/>
            <w:vAlign w:val="bottom"/>
            <w:shd w:val="clear" w:color="auto" w:fill="CCEEFF"/>
          </w:tcPr>
          <w:p>
            <w:pPr>
              <w:spacing w:after="0"/>
              <w:rPr>
                <w:sz w:val="20"/>
                <w:szCs w:val="20"/>
                <w:color w:val="auto"/>
              </w:rPr>
            </w:pPr>
            <w:r>
              <w:rPr>
                <w:rFonts w:ascii="Arial" w:cs="Arial" w:eastAsia="Arial" w:hAnsi="Arial"/>
                <w:sz w:val="13"/>
                <w:szCs w:val="13"/>
                <w:color w:val="auto"/>
              </w:rPr>
              <w:t>Singapore</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2"/>
          </w:tcPr>
          <w:p>
            <w:pPr>
              <w:spacing w:after="0"/>
              <w:rPr>
                <w:sz w:val="20"/>
                <w:szCs w:val="20"/>
                <w:color w:val="auto"/>
              </w:rPr>
            </w:pPr>
            <w:r>
              <w:rPr>
                <w:rFonts w:ascii="Arial" w:cs="Arial" w:eastAsia="Arial" w:hAnsi="Arial"/>
                <w:sz w:val="13"/>
                <w:szCs w:val="13"/>
                <w:color w:val="auto"/>
              </w:rPr>
              <w:t>Brady Asia Holding Pte. Ltd.</w:t>
            </w:r>
          </w:p>
        </w:tc>
        <w:tc>
          <w:tcPr>
            <w:tcW w:w="1580" w:type="dxa"/>
            <w:vAlign w:val="bottom"/>
          </w:tcPr>
          <w:p>
            <w:pPr>
              <w:spacing w:after="0"/>
              <w:rPr>
                <w:sz w:val="20"/>
                <w:szCs w:val="20"/>
                <w:color w:val="auto"/>
              </w:rPr>
            </w:pPr>
            <w:r>
              <w:rPr>
                <w:rFonts w:ascii="Arial" w:cs="Arial" w:eastAsia="Arial" w:hAnsi="Arial"/>
                <w:sz w:val="13"/>
                <w:szCs w:val="13"/>
                <w:color w:val="auto"/>
              </w:rPr>
              <w:t>Singapore</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100%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Brady Singapore Holdings Pte. Ltd.</w:t>
            </w:r>
          </w:p>
        </w:tc>
        <w:tc>
          <w:tcPr>
            <w:tcW w:w="1580" w:type="dxa"/>
            <w:vAlign w:val="bottom"/>
            <w:shd w:val="clear" w:color="auto" w:fill="CCEEFF"/>
          </w:tcPr>
          <w:p>
            <w:pPr>
              <w:spacing w:after="0"/>
              <w:rPr>
                <w:sz w:val="20"/>
                <w:szCs w:val="20"/>
                <w:color w:val="auto"/>
              </w:rPr>
            </w:pPr>
            <w:r>
              <w:rPr>
                <w:rFonts w:ascii="Arial" w:cs="Arial" w:eastAsia="Arial" w:hAnsi="Arial"/>
                <w:sz w:val="13"/>
                <w:szCs w:val="13"/>
                <w:color w:val="auto"/>
              </w:rPr>
              <w:t>Singapore</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300" w:type="dxa"/>
            <w:vAlign w:val="bottom"/>
            <w:gridSpan w:val="2"/>
          </w:tcPr>
          <w:p>
            <w:pPr>
              <w:spacing w:after="0"/>
              <w:rPr>
                <w:sz w:val="20"/>
                <w:szCs w:val="20"/>
                <w:color w:val="auto"/>
              </w:rPr>
            </w:pPr>
            <w:r>
              <w:rPr>
                <w:rFonts w:ascii="Arial" w:cs="Arial" w:eastAsia="Arial" w:hAnsi="Arial"/>
                <w:sz w:val="13"/>
                <w:szCs w:val="13"/>
                <w:color w:val="auto"/>
              </w:rPr>
              <w:t>ID Technologies Pte. Ltd.</w:t>
            </w:r>
          </w:p>
        </w:tc>
        <w:tc>
          <w:tcPr>
            <w:tcW w:w="1580" w:type="dxa"/>
            <w:vAlign w:val="bottom"/>
          </w:tcPr>
          <w:p>
            <w:pPr>
              <w:spacing w:after="0"/>
              <w:rPr>
                <w:sz w:val="20"/>
                <w:szCs w:val="20"/>
                <w:color w:val="auto"/>
              </w:rPr>
            </w:pPr>
            <w:r>
              <w:rPr>
                <w:rFonts w:ascii="Arial" w:cs="Arial" w:eastAsia="Arial" w:hAnsi="Arial"/>
                <w:sz w:val="13"/>
                <w:szCs w:val="13"/>
                <w:color w:val="auto"/>
              </w:rPr>
              <w:t>Singapore</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100%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8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7220" w:type="dxa"/>
            <w:vAlign w:val="bottom"/>
            <w:tcBorders>
              <w:bottom w:val="single" w:sz="8" w:color="808080"/>
            </w:tcBorders>
          </w:tcPr>
          <w:p>
            <w:pPr>
              <w:spacing w:after="0"/>
              <w:rPr>
                <w:sz w:val="13"/>
                <w:szCs w:val="13"/>
                <w:color w:val="auto"/>
              </w:rPr>
            </w:pPr>
          </w:p>
        </w:tc>
        <w:tc>
          <w:tcPr>
            <w:tcW w:w="158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6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5" w:right="219" w:bottom="1440" w:gutter="0" w:footer="0" w:header="0"/>
        </w:sectPr>
      </w:pPr>
    </w:p>
    <w:bookmarkStart w:id="191" w:name="page192"/>
    <w:bookmarkEnd w:id="191"/>
    <w:tbl>
      <w:tblPr>
        <w:tblLayout w:type="fixed"/>
        <w:tblInd w:w="0" w:type="dxa"/>
        <w:tblCellMar>
          <w:top w:w="0" w:type="dxa"/>
          <w:left w:w="0" w:type="dxa"/>
          <w:bottom w:w="0" w:type="dxa"/>
          <w:right w:w="0" w:type="dxa"/>
        </w:tblCellMar>
      </w:tblPr>
      <w:tr>
        <w:trPr>
          <w:trHeight w:val="115"/>
        </w:trPr>
        <w:tc>
          <w:tcPr>
            <w:tcW w:w="80" w:type="dxa"/>
            <w:vAlign w:val="bottom"/>
          </w:tcPr>
          <w:p>
            <w:pPr>
              <w:spacing w:after="0"/>
              <w:rPr>
                <w:sz w:val="10"/>
                <w:szCs w:val="10"/>
                <w:color w:val="auto"/>
              </w:rPr>
            </w:pPr>
          </w:p>
        </w:tc>
        <w:tc>
          <w:tcPr>
            <w:tcW w:w="70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2"/>
              </w:rPr>
              <w:t>Percentage</w:t>
            </w: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7080" w:type="dxa"/>
            <w:vAlign w:val="bottom"/>
          </w:tcPr>
          <w:p>
            <w:pPr>
              <w:spacing w:after="0"/>
              <w:rPr>
                <w:sz w:val="9"/>
                <w:szCs w:val="9"/>
                <w:color w:val="auto"/>
              </w:rPr>
            </w:pPr>
          </w:p>
        </w:tc>
        <w:tc>
          <w:tcPr>
            <w:tcW w:w="1580" w:type="dxa"/>
            <w:vAlign w:val="bottom"/>
            <w:vMerge w:val="restart"/>
          </w:tcPr>
          <w:p>
            <w:pPr>
              <w:ind w:left="440"/>
              <w:spacing w:after="0"/>
              <w:rPr>
                <w:sz w:val="20"/>
                <w:szCs w:val="20"/>
                <w:color w:val="auto"/>
              </w:rPr>
            </w:pPr>
            <w:r>
              <w:rPr>
                <w:rFonts w:ascii="Arial" w:cs="Arial" w:eastAsia="Arial" w:hAnsi="Arial"/>
                <w:sz w:val="10"/>
                <w:szCs w:val="10"/>
                <w:b w:val="1"/>
                <w:bCs w:val="1"/>
                <w:color w:val="auto"/>
              </w:rPr>
              <w:t>State (Country)</w:t>
            </w:r>
          </w:p>
        </w:tc>
        <w:tc>
          <w:tcPr>
            <w:tcW w:w="280" w:type="dxa"/>
            <w:vAlign w:val="bottom"/>
          </w:tcPr>
          <w:p>
            <w:pPr>
              <w:spacing w:after="0"/>
              <w:rPr>
                <w:sz w:val="9"/>
                <w:szCs w:val="9"/>
                <w:color w:val="auto"/>
              </w:rPr>
            </w:pPr>
          </w:p>
        </w:tc>
        <w:tc>
          <w:tcPr>
            <w:tcW w:w="960" w:type="dxa"/>
            <w:vAlign w:val="bottom"/>
            <w:gridSpan w:val="2"/>
          </w:tcPr>
          <w:p>
            <w:pPr>
              <w:jc w:val="center"/>
              <w:ind w:right="240"/>
              <w:spacing w:after="0" w:line="108" w:lineRule="exact"/>
              <w:rPr>
                <w:sz w:val="20"/>
                <w:szCs w:val="20"/>
                <w:color w:val="auto"/>
              </w:rPr>
            </w:pPr>
            <w:r>
              <w:rPr>
                <w:rFonts w:ascii="Arial" w:cs="Arial" w:eastAsia="Arial" w:hAnsi="Arial"/>
                <w:sz w:val="10"/>
                <w:szCs w:val="10"/>
                <w:b w:val="1"/>
                <w:bCs w:val="1"/>
                <w:color w:val="auto"/>
                <w:w w:val="92"/>
              </w:rPr>
              <w:t>of Voting</w:t>
            </w:r>
          </w:p>
        </w:tc>
        <w:tc>
          <w:tcPr>
            <w:tcW w:w="0" w:type="dxa"/>
            <w:vAlign w:val="bottom"/>
          </w:tcPr>
          <w:p>
            <w:pPr>
              <w:spacing w:after="0"/>
              <w:rPr>
                <w:sz w:val="1"/>
                <w:szCs w:val="1"/>
                <w:color w:val="auto"/>
              </w:rPr>
            </w:pPr>
          </w:p>
        </w:tc>
      </w:tr>
      <w:tr>
        <w:trPr>
          <w:trHeight w:val="118"/>
        </w:trPr>
        <w:tc>
          <w:tcPr>
            <w:tcW w:w="71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Name of Company</w:t>
            </w:r>
          </w:p>
        </w:tc>
        <w:tc>
          <w:tcPr>
            <w:tcW w:w="15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1"/>
              </w:rPr>
              <w:t>Securities</w:t>
            </w:r>
          </w:p>
        </w:tc>
        <w:tc>
          <w:tcPr>
            <w:tcW w:w="0" w:type="dxa"/>
            <w:vAlign w:val="bottom"/>
          </w:tcPr>
          <w:p>
            <w:pPr>
              <w:spacing w:after="0"/>
              <w:rPr>
                <w:sz w:val="1"/>
                <w:szCs w:val="1"/>
                <w:color w:val="auto"/>
              </w:rPr>
            </w:pPr>
          </w:p>
        </w:tc>
      </w:tr>
      <w:tr>
        <w:trPr>
          <w:trHeight w:val="125"/>
        </w:trPr>
        <w:tc>
          <w:tcPr>
            <w:tcW w:w="7160" w:type="dxa"/>
            <w:vAlign w:val="bottom"/>
            <w:gridSpan w:val="2"/>
            <w:vMerge w:val="continue"/>
          </w:tcPr>
          <w:p>
            <w:pPr>
              <w:spacing w:after="0"/>
              <w:rPr>
                <w:sz w:val="10"/>
                <w:szCs w:val="10"/>
                <w:color w:val="auto"/>
              </w:rPr>
            </w:pPr>
          </w:p>
        </w:tc>
        <w:tc>
          <w:tcPr>
            <w:tcW w:w="1580" w:type="dxa"/>
            <w:vAlign w:val="bottom"/>
          </w:tcPr>
          <w:p>
            <w:pPr>
              <w:ind w:left="420"/>
              <w:spacing w:after="0"/>
              <w:rPr>
                <w:sz w:val="20"/>
                <w:szCs w:val="20"/>
                <w:color w:val="auto"/>
              </w:rPr>
            </w:pPr>
            <w:r>
              <w:rPr>
                <w:rFonts w:ascii="Arial" w:cs="Arial" w:eastAsia="Arial" w:hAnsi="Arial"/>
                <w:sz w:val="10"/>
                <w:szCs w:val="10"/>
                <w:b w:val="1"/>
                <w:bCs w:val="1"/>
                <w:color w:val="auto"/>
              </w:rPr>
              <w:t>of Incorporation</w:t>
            </w:r>
          </w:p>
        </w:tc>
        <w:tc>
          <w:tcPr>
            <w:tcW w:w="280" w:type="dxa"/>
            <w:vAlign w:val="bottom"/>
          </w:tcPr>
          <w:p>
            <w:pPr>
              <w:spacing w:after="0"/>
              <w:rPr>
                <w:sz w:val="10"/>
                <w:szCs w:val="10"/>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5"/>
              </w:rPr>
              <w:t>Owned</w:t>
            </w:r>
          </w:p>
        </w:tc>
        <w:tc>
          <w:tcPr>
            <w:tcW w:w="0" w:type="dxa"/>
            <w:vAlign w:val="bottom"/>
          </w:tcPr>
          <w:p>
            <w:pPr>
              <w:spacing w:after="0"/>
              <w:rPr>
                <w:sz w:val="1"/>
                <w:szCs w:val="1"/>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7080" w:type="dxa"/>
            <w:vAlign w:val="bottom"/>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ID Technologies (China) Pte. Ltd.</w:t>
            </w:r>
          </w:p>
        </w:tc>
        <w:tc>
          <w:tcPr>
            <w:tcW w:w="1580" w:type="dxa"/>
            <w:vAlign w:val="bottom"/>
            <w:shd w:val="clear" w:color="auto" w:fill="CCEEFF"/>
          </w:tcPr>
          <w:p>
            <w:pPr>
              <w:spacing w:after="0"/>
              <w:rPr>
                <w:sz w:val="20"/>
                <w:szCs w:val="20"/>
                <w:color w:val="auto"/>
              </w:rPr>
            </w:pPr>
            <w:r>
              <w:rPr>
                <w:rFonts w:ascii="Arial" w:cs="Arial" w:eastAsia="Arial" w:hAnsi="Arial"/>
                <w:sz w:val="13"/>
                <w:szCs w:val="13"/>
                <w:color w:val="auto"/>
              </w:rPr>
              <w:t>Singapore</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160" w:type="dxa"/>
            <w:vAlign w:val="bottom"/>
            <w:gridSpan w:val="2"/>
          </w:tcPr>
          <w:p>
            <w:pPr>
              <w:spacing w:after="0"/>
              <w:rPr>
                <w:sz w:val="20"/>
                <w:szCs w:val="20"/>
                <w:color w:val="auto"/>
              </w:rPr>
            </w:pPr>
            <w:r>
              <w:rPr>
                <w:rFonts w:ascii="Arial" w:cs="Arial" w:eastAsia="Arial" w:hAnsi="Arial"/>
                <w:sz w:val="13"/>
                <w:szCs w:val="13"/>
                <w:color w:val="auto"/>
              </w:rPr>
              <w:t>Brady S.R.O.</w:t>
            </w:r>
          </w:p>
        </w:tc>
        <w:tc>
          <w:tcPr>
            <w:tcW w:w="1580" w:type="dxa"/>
            <w:vAlign w:val="bottom"/>
          </w:tcPr>
          <w:p>
            <w:pPr>
              <w:spacing w:after="0"/>
              <w:rPr>
                <w:sz w:val="20"/>
                <w:szCs w:val="20"/>
                <w:color w:val="auto"/>
              </w:rPr>
            </w:pPr>
            <w:r>
              <w:rPr>
                <w:rFonts w:ascii="Arial" w:cs="Arial" w:eastAsia="Arial" w:hAnsi="Arial"/>
                <w:sz w:val="13"/>
                <w:szCs w:val="13"/>
                <w:color w:val="auto"/>
              </w:rPr>
              <w:t>Slovakia</w:t>
            </w:r>
          </w:p>
        </w:tc>
        <w:tc>
          <w:tcPr>
            <w:tcW w:w="1240" w:type="dxa"/>
            <w:vAlign w:val="bottom"/>
            <w:gridSpan w:val="3"/>
          </w:tcPr>
          <w:p>
            <w:pPr>
              <w:jc w:val="right"/>
              <w:ind w:right="160"/>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Brady Holding Co. Ltd.</w:t>
            </w:r>
          </w:p>
        </w:tc>
        <w:tc>
          <w:tcPr>
            <w:tcW w:w="1580" w:type="dxa"/>
            <w:vAlign w:val="bottom"/>
            <w:shd w:val="clear" w:color="auto" w:fill="CCEEFF"/>
          </w:tcPr>
          <w:p>
            <w:pPr>
              <w:spacing w:after="0"/>
              <w:rPr>
                <w:sz w:val="20"/>
                <w:szCs w:val="20"/>
                <w:color w:val="auto"/>
              </w:rPr>
            </w:pPr>
            <w:r>
              <w:rPr>
                <w:rFonts w:ascii="Arial" w:cs="Arial" w:eastAsia="Arial" w:hAnsi="Arial"/>
                <w:sz w:val="13"/>
                <w:szCs w:val="13"/>
                <w:color w:val="auto"/>
              </w:rPr>
              <w:t>Thailand</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49%(1)</w:t>
            </w:r>
          </w:p>
        </w:tc>
        <w:tc>
          <w:tcPr>
            <w:tcW w:w="0" w:type="dxa"/>
            <w:vAlign w:val="bottom"/>
          </w:tcPr>
          <w:p>
            <w:pPr>
              <w:spacing w:after="0"/>
              <w:rPr>
                <w:sz w:val="1"/>
                <w:szCs w:val="1"/>
                <w:color w:val="auto"/>
              </w:rPr>
            </w:pPr>
          </w:p>
        </w:tc>
      </w:tr>
      <w:tr>
        <w:trPr>
          <w:trHeight w:val="157"/>
        </w:trPr>
        <w:tc>
          <w:tcPr>
            <w:tcW w:w="7160" w:type="dxa"/>
            <w:vAlign w:val="bottom"/>
            <w:gridSpan w:val="2"/>
          </w:tcPr>
          <w:p>
            <w:pPr>
              <w:spacing w:after="0"/>
              <w:rPr>
                <w:sz w:val="20"/>
                <w:szCs w:val="20"/>
                <w:color w:val="auto"/>
              </w:rPr>
            </w:pPr>
            <w:r>
              <w:rPr>
                <w:rFonts w:ascii="Arial" w:cs="Arial" w:eastAsia="Arial" w:hAnsi="Arial"/>
                <w:sz w:val="13"/>
                <w:szCs w:val="13"/>
                <w:color w:val="auto"/>
              </w:rPr>
              <w:t>Brady (Thailand) Co. Ltd.</w:t>
            </w:r>
          </w:p>
        </w:tc>
        <w:tc>
          <w:tcPr>
            <w:tcW w:w="1580" w:type="dxa"/>
            <w:vAlign w:val="bottom"/>
          </w:tcPr>
          <w:p>
            <w:pPr>
              <w:spacing w:after="0"/>
              <w:rPr>
                <w:sz w:val="20"/>
                <w:szCs w:val="20"/>
                <w:color w:val="auto"/>
              </w:rPr>
            </w:pPr>
            <w:r>
              <w:rPr>
                <w:rFonts w:ascii="Arial" w:cs="Arial" w:eastAsia="Arial" w:hAnsi="Arial"/>
                <w:sz w:val="13"/>
                <w:szCs w:val="13"/>
                <w:color w:val="auto"/>
              </w:rPr>
              <w:t>Thailand</w:t>
            </w:r>
          </w:p>
        </w:tc>
        <w:tc>
          <w:tcPr>
            <w:tcW w:w="1240" w:type="dxa"/>
            <w:vAlign w:val="bottom"/>
            <w:gridSpan w:val="3"/>
          </w:tcPr>
          <w:p>
            <w:pPr>
              <w:jc w:val="right"/>
              <w:ind w:right="160"/>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7"/>
        </w:trPr>
        <w:tc>
          <w:tcPr>
            <w:tcW w:w="7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Q.D.P.T</w:t>
            </w:r>
          </w:p>
        </w:tc>
        <w:tc>
          <w:tcPr>
            <w:tcW w:w="1580" w:type="dxa"/>
            <w:vAlign w:val="bottom"/>
            <w:shd w:val="clear" w:color="auto" w:fill="CCEEFF"/>
          </w:tcPr>
          <w:p>
            <w:pPr>
              <w:spacing w:after="0"/>
              <w:rPr>
                <w:sz w:val="20"/>
                <w:szCs w:val="20"/>
                <w:color w:val="auto"/>
              </w:rPr>
            </w:pPr>
            <w:r>
              <w:rPr>
                <w:rFonts w:ascii="Arial" w:cs="Arial" w:eastAsia="Arial" w:hAnsi="Arial"/>
                <w:sz w:val="13"/>
                <w:szCs w:val="13"/>
                <w:color w:val="auto"/>
              </w:rPr>
              <w:t>Thailand</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65"/>
        </w:trPr>
        <w:tc>
          <w:tcPr>
            <w:tcW w:w="7160" w:type="dxa"/>
            <w:vAlign w:val="bottom"/>
            <w:gridSpan w:val="2"/>
          </w:tcPr>
          <w:p>
            <w:pPr>
              <w:spacing w:after="0"/>
              <w:rPr>
                <w:sz w:val="20"/>
                <w:szCs w:val="20"/>
                <w:color w:val="auto"/>
              </w:rPr>
            </w:pPr>
            <w:r>
              <w:rPr>
                <w:rFonts w:ascii="Arial" w:cs="Arial" w:eastAsia="Arial" w:hAnsi="Arial"/>
                <w:sz w:val="13"/>
                <w:szCs w:val="13"/>
                <w:color w:val="auto"/>
              </w:rPr>
              <w:t>Brady (Turkey) Ltd.</w:t>
            </w:r>
          </w:p>
        </w:tc>
        <w:tc>
          <w:tcPr>
            <w:tcW w:w="1580" w:type="dxa"/>
            <w:vAlign w:val="bottom"/>
          </w:tcPr>
          <w:p>
            <w:pPr>
              <w:spacing w:after="0"/>
              <w:rPr>
                <w:sz w:val="20"/>
                <w:szCs w:val="20"/>
                <w:color w:val="auto"/>
              </w:rPr>
            </w:pPr>
            <w:r>
              <w:rPr>
                <w:rFonts w:ascii="Arial" w:cs="Arial" w:eastAsia="Arial" w:hAnsi="Arial"/>
                <w:sz w:val="13"/>
                <w:szCs w:val="13"/>
                <w:color w:val="auto"/>
              </w:rPr>
              <w:t>Turkey</w:t>
            </w:r>
          </w:p>
        </w:tc>
        <w:tc>
          <w:tcPr>
            <w:tcW w:w="1240" w:type="dxa"/>
            <w:vAlign w:val="bottom"/>
            <w:gridSpan w:val="3"/>
          </w:tcPr>
          <w:p>
            <w:pPr>
              <w:jc w:val="right"/>
              <w:ind w:right="160"/>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57785</wp:posOffset>
            </wp:positionV>
            <wp:extent cx="823595" cy="63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jc w:val="both"/>
        <w:ind w:left="320" w:right="120" w:hanging="259"/>
        <w:spacing w:after="0" w:line="264" w:lineRule="auto"/>
        <w:tabs>
          <w:tab w:leader="none" w:pos="320" w:val="left"/>
        </w:tabs>
        <w:numPr>
          <w:ilvl w:val="0"/>
          <w:numId w:val="177"/>
        </w:numPr>
        <w:rPr>
          <w:rFonts w:ascii="Arial" w:cs="Arial" w:eastAsia="Arial" w:hAnsi="Arial"/>
          <w:sz w:val="13"/>
          <w:szCs w:val="13"/>
          <w:color w:val="auto"/>
        </w:rPr>
      </w:pPr>
      <w:r>
        <w:rPr>
          <w:rFonts w:ascii="Arial" w:cs="Arial" w:eastAsia="Arial" w:hAnsi="Arial"/>
          <w:sz w:val="13"/>
          <w:szCs w:val="13"/>
          <w:color w:val="auto"/>
        </w:rPr>
        <w:t>Brady Corporation owns 49% of the outstanding shares of Brady Holding Co. Ltd., but Brady Corporation maintains controlling voting rights. The 51% owner holds preferred shares, which entitle it to one vote for every 20 shares. Brady Corporation holds common shares, which entitle it to one vote for every one share. The preferred shareholder’s share of the net income in Brady Holding Co. Ltd is limited to recovery of its initial investment.</w:t>
      </w:r>
    </w:p>
    <w:p>
      <w:pPr>
        <w:sectPr>
          <w:pgSz w:w="11900" w:h="16838" w:orient="portrait"/>
          <w:cols w:equalWidth="0" w:num="1">
            <w:col w:w="9980"/>
          </w:cols>
          <w:pgMar w:left="900" w:top="716" w:right="1019" w:bottom="1440" w:gutter="0" w:footer="0" w:header="0"/>
        </w:sectPr>
      </w:pPr>
    </w:p>
    <w:bookmarkStart w:id="192" w:name="page193"/>
    <w:bookmarkEnd w:id="192"/>
    <w:p>
      <w:pPr>
        <w:jc w:val="right"/>
        <w:spacing w:after="0"/>
        <w:rPr>
          <w:sz w:val="20"/>
          <w:szCs w:val="20"/>
          <w:color w:val="auto"/>
        </w:rPr>
      </w:pPr>
      <w:r>
        <w:rPr>
          <w:rFonts w:ascii="Arial" w:cs="Arial" w:eastAsia="Arial" w:hAnsi="Arial"/>
          <w:sz w:val="13"/>
          <w:szCs w:val="13"/>
          <w:b w:val="1"/>
          <w:bCs w:val="1"/>
          <w:color w:val="auto"/>
        </w:rPr>
        <w:t>Exhibit 23</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100" w:lineRule="exact"/>
        <w:rPr>
          <w:sz w:val="20"/>
          <w:szCs w:val="20"/>
          <w:color w:val="auto"/>
        </w:rPr>
      </w:pPr>
    </w:p>
    <w:p>
      <w:pPr>
        <w:ind w:right="60" w:firstLine="399"/>
        <w:spacing w:after="0" w:line="296" w:lineRule="auto"/>
        <w:rPr>
          <w:sz w:val="20"/>
          <w:szCs w:val="20"/>
          <w:color w:val="auto"/>
        </w:rPr>
      </w:pPr>
      <w:r>
        <w:rPr>
          <w:rFonts w:ascii="Arial" w:cs="Arial" w:eastAsia="Arial" w:hAnsi="Arial"/>
          <w:sz w:val="12"/>
          <w:szCs w:val="12"/>
          <w:color w:val="auto"/>
        </w:rPr>
        <w:t>We consent to the incorporation by reference in Registration Statement No. 333-110949, 333-99615, 333-38857, 333-38859, 333-44505, 333-92417, 333-134503 and 333-137686 on Form S-8 and 333-128023 on Form S-3 of our reports dated September 28, 2006, relating to the financial statements and financial statement schedules of Brady Corporation and management’s report on the effectiveness of internal control over financial reporting, appearing in this Annual Report on Form 10-K of Brady Corporation for the year ended July 31, 2006.</w:t>
      </w:r>
    </w:p>
    <w:p>
      <w:pPr>
        <w:spacing w:after="0" w:line="286"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/s/ DELOITTE &amp; TOUCHE LLP</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Milwaukee, WI</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October 6, 2006</w:t>
      </w:r>
    </w:p>
    <w:p>
      <w:pPr>
        <w:sectPr>
          <w:pgSz w:w="11900" w:h="16838" w:orient="portrait"/>
          <w:cols w:equalWidth="0" w:num="1">
            <w:col w:w="9980"/>
          </w:cols>
          <w:pgMar w:left="900" w:top="716" w:right="1019" w:bottom="1440" w:gutter="0" w:footer="0" w:header="0"/>
        </w:sectPr>
      </w:pPr>
    </w:p>
    <w:bookmarkStart w:id="193" w:name="page194"/>
    <w:bookmarkEnd w:id="193"/>
    <w:p>
      <w:pPr>
        <w:jc w:val="right"/>
        <w:spacing w:after="0"/>
        <w:rPr>
          <w:sz w:val="20"/>
          <w:szCs w:val="20"/>
          <w:color w:val="auto"/>
        </w:rPr>
      </w:pPr>
      <w:r>
        <w:rPr>
          <w:rFonts w:ascii="Arial" w:cs="Arial" w:eastAsia="Arial" w:hAnsi="Arial"/>
          <w:sz w:val="13"/>
          <w:szCs w:val="13"/>
          <w:b w:val="1"/>
          <w:bCs w:val="1"/>
          <w:color w:val="auto"/>
        </w:rPr>
        <w:t>EXHIBIT 31.1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RULE 13a-14(a)/15d-14(a) CERTIFICATION</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I, Frank M. Jaehnert, certify that:</w:t>
      </w:r>
    </w:p>
    <w:p>
      <w:pPr>
        <w:spacing w:after="0" w:line="96" w:lineRule="exact"/>
        <w:rPr>
          <w:sz w:val="20"/>
          <w:szCs w:val="20"/>
          <w:color w:val="auto"/>
        </w:rPr>
      </w:pPr>
    </w:p>
    <w:p>
      <w:pPr>
        <w:ind w:left="600" w:hanging="194"/>
        <w:spacing w:after="0"/>
        <w:tabs>
          <w:tab w:leader="none" w:pos="600" w:val="left"/>
        </w:tabs>
        <w:numPr>
          <w:ilvl w:val="0"/>
          <w:numId w:val="178"/>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Brady Corporation;</w:t>
      </w:r>
    </w:p>
    <w:p>
      <w:pPr>
        <w:spacing w:after="0" w:line="96" w:lineRule="exact"/>
        <w:rPr>
          <w:rFonts w:ascii="Arial" w:cs="Arial" w:eastAsia="Arial" w:hAnsi="Arial"/>
          <w:sz w:val="13"/>
          <w:szCs w:val="13"/>
          <w:color w:val="auto"/>
        </w:rPr>
      </w:pPr>
    </w:p>
    <w:p>
      <w:pPr>
        <w:ind w:right="100" w:firstLine="406"/>
        <w:spacing w:after="0" w:line="276" w:lineRule="auto"/>
        <w:tabs>
          <w:tab w:leader="none" w:pos="585" w:val="left"/>
        </w:tabs>
        <w:numPr>
          <w:ilvl w:val="0"/>
          <w:numId w:val="178"/>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right="180" w:firstLine="406"/>
        <w:spacing w:after="0" w:line="276" w:lineRule="auto"/>
        <w:tabs>
          <w:tab w:leader="none" w:pos="585" w:val="left"/>
        </w:tabs>
        <w:numPr>
          <w:ilvl w:val="0"/>
          <w:numId w:val="178"/>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580" w:hanging="174"/>
        <w:spacing w:after="0"/>
        <w:tabs>
          <w:tab w:leader="none" w:pos="580" w:val="left"/>
        </w:tabs>
        <w:numPr>
          <w:ilvl w:val="0"/>
          <w:numId w:val="178"/>
        </w:numPr>
        <w:rPr>
          <w:rFonts w:ascii="Arial" w:cs="Arial" w:eastAsia="Arial" w:hAnsi="Arial"/>
          <w:sz w:val="11"/>
          <w:szCs w:val="11"/>
          <w:color w:val="auto"/>
        </w:rPr>
      </w:pPr>
      <w:r>
        <w:rPr>
          <w:rFonts w:ascii="Arial" w:cs="Arial" w:eastAsia="Arial" w:hAnsi="Arial"/>
          <w:sz w:val="11"/>
          <w:szCs w:val="11"/>
          <w:color w:val="auto"/>
        </w:rPr>
        <w:t>The registrant’s other certifying officer and I are responsible for establishing and maintaining disclosure controls and procedures (as defined in Exchange Act Rules 13a-15(e) and</w:t>
      </w:r>
    </w:p>
    <w:p>
      <w:pPr>
        <w:spacing w:after="0" w:line="38"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3"/>
          <w:szCs w:val="13"/>
          <w:color w:val="auto"/>
        </w:rPr>
        <w:t>15d-15(e)) and internal control over financial reporting (as defined in Exchange Act Rules 13a-15(f) and 15d-15(f)) for the registrant and have:</w:t>
      </w:r>
    </w:p>
    <w:p>
      <w:pPr>
        <w:spacing w:after="0" w:line="88" w:lineRule="exact"/>
        <w:rPr>
          <w:rFonts w:ascii="Arial" w:cs="Arial" w:eastAsia="Arial" w:hAnsi="Arial"/>
          <w:sz w:val="11"/>
          <w:szCs w:val="11"/>
          <w:color w:val="auto"/>
        </w:rPr>
      </w:pPr>
    </w:p>
    <w:p>
      <w:pPr>
        <w:ind w:left="400" w:right="80" w:firstLine="389"/>
        <w:spacing w:after="0" w:line="264" w:lineRule="auto"/>
        <w:tabs>
          <w:tab w:leader="none" w:pos="918" w:val="left"/>
        </w:tabs>
        <w:numPr>
          <w:ilvl w:val="1"/>
          <w:numId w:val="178"/>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3"/>
          <w:szCs w:val="13"/>
          <w:color w:val="auto"/>
        </w:rPr>
      </w:pPr>
    </w:p>
    <w:p>
      <w:pPr>
        <w:ind w:left="400" w:right="20" w:firstLine="389"/>
        <w:spacing w:after="0" w:line="371" w:lineRule="auto"/>
        <w:tabs>
          <w:tab w:leader="none" w:pos="925" w:val="left"/>
        </w:tabs>
        <w:numPr>
          <w:ilvl w:val="1"/>
          <w:numId w:val="178"/>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 w:lineRule="exact"/>
        <w:rPr>
          <w:rFonts w:ascii="Arial" w:cs="Arial" w:eastAsia="Arial" w:hAnsi="Arial"/>
          <w:sz w:val="11"/>
          <w:szCs w:val="11"/>
          <w:color w:val="auto"/>
        </w:rPr>
      </w:pPr>
    </w:p>
    <w:p>
      <w:pPr>
        <w:ind w:left="400" w:right="380" w:firstLine="389"/>
        <w:spacing w:after="0" w:line="276" w:lineRule="auto"/>
        <w:tabs>
          <w:tab w:leader="none" w:pos="918" w:val="left"/>
        </w:tabs>
        <w:numPr>
          <w:ilvl w:val="1"/>
          <w:numId w:val="178"/>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400" w:right="40" w:firstLine="389"/>
        <w:spacing w:after="0" w:line="264" w:lineRule="auto"/>
        <w:tabs>
          <w:tab w:leader="none" w:pos="925" w:val="left"/>
        </w:tabs>
        <w:numPr>
          <w:ilvl w:val="1"/>
          <w:numId w:val="178"/>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3"/>
          <w:szCs w:val="13"/>
          <w:color w:val="auto"/>
        </w:rPr>
      </w:pPr>
    </w:p>
    <w:p>
      <w:pPr>
        <w:ind w:right="200" w:firstLine="406"/>
        <w:spacing w:after="0" w:line="276" w:lineRule="auto"/>
        <w:tabs>
          <w:tab w:leader="none" w:pos="582" w:val="left"/>
        </w:tabs>
        <w:numPr>
          <w:ilvl w:val="0"/>
          <w:numId w:val="178"/>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9" w:lineRule="exact"/>
        <w:rPr>
          <w:rFonts w:ascii="Arial" w:cs="Arial" w:eastAsia="Arial" w:hAnsi="Arial"/>
          <w:sz w:val="13"/>
          <w:szCs w:val="13"/>
          <w:color w:val="auto"/>
        </w:rPr>
      </w:pPr>
    </w:p>
    <w:p>
      <w:pPr>
        <w:ind w:left="400" w:right="40" w:firstLine="389"/>
        <w:spacing w:after="0" w:line="276" w:lineRule="auto"/>
        <w:tabs>
          <w:tab w:leader="none" w:pos="910" w:val="left"/>
        </w:tabs>
        <w:numPr>
          <w:ilvl w:val="1"/>
          <w:numId w:val="178"/>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920" w:hanging="131"/>
        <w:spacing w:after="0"/>
        <w:tabs>
          <w:tab w:leader="none" w:pos="920" w:val="left"/>
        </w:tabs>
        <w:numPr>
          <w:ilvl w:val="1"/>
          <w:numId w:val="178"/>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44"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/s/ 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16510</wp:posOffset>
            </wp:positionV>
            <wp:extent cx="3783330" cy="63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783330" cy="6350"/>
                    </a:xfrm>
                    <a:prstGeom prst="rect">
                      <a:avLst/>
                    </a:prstGeom>
                    <a:noFill/>
                  </pic:spPr>
                </pic:pic>
              </a:graphicData>
            </a:graphic>
          </wp:anchor>
        </w:drawing>
      </w:r>
    </w:p>
    <w:p>
      <w:pPr>
        <w:spacing w:after="0" w:line="7"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(Frank M. Jaehnert)</w:t>
      </w:r>
    </w:p>
    <w:p>
      <w:pPr>
        <w:spacing w:after="0" w:line="15"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President and Chief Executive Officer</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Date: October 6, 2006</w:t>
      </w:r>
    </w:p>
    <w:p>
      <w:pPr>
        <w:sectPr>
          <w:pgSz w:w="11900" w:h="16838" w:orient="portrait"/>
          <w:cols w:equalWidth="0" w:num="1">
            <w:col w:w="9980"/>
          </w:cols>
          <w:pgMar w:left="900" w:top="717" w:right="1019" w:bottom="1440" w:gutter="0" w:footer="0" w:header="0"/>
        </w:sectPr>
      </w:pPr>
    </w:p>
    <w:bookmarkStart w:id="194" w:name="page195"/>
    <w:bookmarkEnd w:id="194"/>
    <w:p>
      <w:pPr>
        <w:jc w:val="right"/>
        <w:spacing w:after="0"/>
        <w:rPr>
          <w:sz w:val="20"/>
          <w:szCs w:val="20"/>
          <w:color w:val="auto"/>
        </w:rPr>
      </w:pPr>
      <w:r>
        <w:rPr>
          <w:rFonts w:ascii="Arial" w:cs="Arial" w:eastAsia="Arial" w:hAnsi="Arial"/>
          <w:sz w:val="13"/>
          <w:szCs w:val="13"/>
          <w:b w:val="1"/>
          <w:bCs w:val="1"/>
          <w:color w:val="auto"/>
        </w:rPr>
        <w:t>EXHIBIT 31.2</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RULE 13a-14(a)/15d-14(a) CERTIFICATION</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I, David Mathieson, certify that:</w:t>
      </w:r>
    </w:p>
    <w:p>
      <w:pPr>
        <w:spacing w:after="0" w:line="96" w:lineRule="exact"/>
        <w:rPr>
          <w:sz w:val="20"/>
          <w:szCs w:val="20"/>
          <w:color w:val="auto"/>
        </w:rPr>
      </w:pPr>
    </w:p>
    <w:p>
      <w:pPr>
        <w:ind w:left="600" w:hanging="194"/>
        <w:spacing w:after="0"/>
        <w:tabs>
          <w:tab w:leader="none" w:pos="600" w:val="left"/>
        </w:tabs>
        <w:numPr>
          <w:ilvl w:val="0"/>
          <w:numId w:val="179"/>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Brady Corporation;</w:t>
      </w:r>
    </w:p>
    <w:p>
      <w:pPr>
        <w:spacing w:after="0" w:line="96" w:lineRule="exact"/>
        <w:rPr>
          <w:rFonts w:ascii="Arial" w:cs="Arial" w:eastAsia="Arial" w:hAnsi="Arial"/>
          <w:sz w:val="13"/>
          <w:szCs w:val="13"/>
          <w:color w:val="auto"/>
        </w:rPr>
      </w:pPr>
    </w:p>
    <w:p>
      <w:pPr>
        <w:ind w:right="100" w:firstLine="406"/>
        <w:spacing w:after="0" w:line="276" w:lineRule="auto"/>
        <w:tabs>
          <w:tab w:leader="none" w:pos="585" w:val="left"/>
        </w:tabs>
        <w:numPr>
          <w:ilvl w:val="0"/>
          <w:numId w:val="179"/>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right="180" w:firstLine="406"/>
        <w:spacing w:after="0" w:line="276" w:lineRule="auto"/>
        <w:tabs>
          <w:tab w:leader="none" w:pos="585" w:val="left"/>
        </w:tabs>
        <w:numPr>
          <w:ilvl w:val="0"/>
          <w:numId w:val="179"/>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580" w:hanging="174"/>
        <w:spacing w:after="0"/>
        <w:tabs>
          <w:tab w:leader="none" w:pos="580" w:val="left"/>
        </w:tabs>
        <w:numPr>
          <w:ilvl w:val="0"/>
          <w:numId w:val="179"/>
        </w:numPr>
        <w:rPr>
          <w:rFonts w:ascii="Arial" w:cs="Arial" w:eastAsia="Arial" w:hAnsi="Arial"/>
          <w:sz w:val="11"/>
          <w:szCs w:val="11"/>
          <w:color w:val="auto"/>
        </w:rPr>
      </w:pPr>
      <w:r>
        <w:rPr>
          <w:rFonts w:ascii="Arial" w:cs="Arial" w:eastAsia="Arial" w:hAnsi="Arial"/>
          <w:sz w:val="11"/>
          <w:szCs w:val="11"/>
          <w:color w:val="auto"/>
        </w:rPr>
        <w:t>The registrant’s other certifying officer and I are responsible for establishing and maintaining disclosure controls and procedures (as defined in Exchange Act Rules 13a-15(e) and</w:t>
      </w:r>
    </w:p>
    <w:p>
      <w:pPr>
        <w:spacing w:after="0" w:line="38"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3"/>
          <w:szCs w:val="13"/>
          <w:color w:val="auto"/>
        </w:rPr>
        <w:t>15d-15(e)) and internal control over financial reporting (as defined in Exchange Act Rules 13a-15(f) and 15d-15(f)) for the registrant and have:</w:t>
      </w:r>
    </w:p>
    <w:p>
      <w:pPr>
        <w:spacing w:after="0" w:line="88" w:lineRule="exact"/>
        <w:rPr>
          <w:rFonts w:ascii="Arial" w:cs="Arial" w:eastAsia="Arial" w:hAnsi="Arial"/>
          <w:sz w:val="11"/>
          <w:szCs w:val="11"/>
          <w:color w:val="auto"/>
        </w:rPr>
      </w:pPr>
    </w:p>
    <w:p>
      <w:pPr>
        <w:ind w:left="400" w:right="80" w:firstLine="389"/>
        <w:spacing w:after="0" w:line="264" w:lineRule="auto"/>
        <w:tabs>
          <w:tab w:leader="none" w:pos="918" w:val="left"/>
        </w:tabs>
        <w:numPr>
          <w:ilvl w:val="1"/>
          <w:numId w:val="179"/>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3"/>
          <w:szCs w:val="13"/>
          <w:color w:val="auto"/>
        </w:rPr>
      </w:pPr>
    </w:p>
    <w:p>
      <w:pPr>
        <w:ind w:left="400" w:right="20" w:firstLine="389"/>
        <w:spacing w:after="0" w:line="371" w:lineRule="auto"/>
        <w:tabs>
          <w:tab w:leader="none" w:pos="925" w:val="left"/>
        </w:tabs>
        <w:numPr>
          <w:ilvl w:val="1"/>
          <w:numId w:val="179"/>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 w:lineRule="exact"/>
        <w:rPr>
          <w:rFonts w:ascii="Arial" w:cs="Arial" w:eastAsia="Arial" w:hAnsi="Arial"/>
          <w:sz w:val="11"/>
          <w:szCs w:val="11"/>
          <w:color w:val="auto"/>
        </w:rPr>
      </w:pPr>
    </w:p>
    <w:p>
      <w:pPr>
        <w:ind w:left="400" w:right="380" w:firstLine="389"/>
        <w:spacing w:after="0" w:line="276" w:lineRule="auto"/>
        <w:tabs>
          <w:tab w:leader="none" w:pos="918" w:val="left"/>
        </w:tabs>
        <w:numPr>
          <w:ilvl w:val="1"/>
          <w:numId w:val="179"/>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400" w:right="40" w:firstLine="389"/>
        <w:spacing w:after="0" w:line="264" w:lineRule="auto"/>
        <w:tabs>
          <w:tab w:leader="none" w:pos="925" w:val="left"/>
        </w:tabs>
        <w:numPr>
          <w:ilvl w:val="1"/>
          <w:numId w:val="179"/>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3"/>
          <w:szCs w:val="13"/>
          <w:color w:val="auto"/>
        </w:rPr>
      </w:pPr>
    </w:p>
    <w:p>
      <w:pPr>
        <w:ind w:right="200" w:firstLine="406"/>
        <w:spacing w:after="0" w:line="276" w:lineRule="auto"/>
        <w:tabs>
          <w:tab w:leader="none" w:pos="582" w:val="left"/>
        </w:tabs>
        <w:numPr>
          <w:ilvl w:val="0"/>
          <w:numId w:val="179"/>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9" w:lineRule="exact"/>
        <w:rPr>
          <w:rFonts w:ascii="Arial" w:cs="Arial" w:eastAsia="Arial" w:hAnsi="Arial"/>
          <w:sz w:val="13"/>
          <w:szCs w:val="13"/>
          <w:color w:val="auto"/>
        </w:rPr>
      </w:pPr>
    </w:p>
    <w:p>
      <w:pPr>
        <w:ind w:left="400" w:right="40" w:firstLine="389"/>
        <w:spacing w:after="0" w:line="276" w:lineRule="auto"/>
        <w:tabs>
          <w:tab w:leader="none" w:pos="910" w:val="left"/>
        </w:tabs>
        <w:numPr>
          <w:ilvl w:val="1"/>
          <w:numId w:val="179"/>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920" w:hanging="131"/>
        <w:spacing w:after="0"/>
        <w:tabs>
          <w:tab w:leader="none" w:pos="920" w:val="left"/>
        </w:tabs>
        <w:numPr>
          <w:ilvl w:val="1"/>
          <w:numId w:val="179"/>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44"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/s/ DAVID MATHIESON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16510</wp:posOffset>
            </wp:positionV>
            <wp:extent cx="3783330" cy="63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783330" cy="6350"/>
                    </a:xfrm>
                    <a:prstGeom prst="rect">
                      <a:avLst/>
                    </a:prstGeom>
                    <a:noFill/>
                  </pic:spPr>
                </pic:pic>
              </a:graphicData>
            </a:graphic>
          </wp:anchor>
        </w:drawing>
      </w:r>
    </w:p>
    <w:p>
      <w:pPr>
        <w:spacing w:after="0" w:line="7"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(David Mathieson)</w:t>
      </w:r>
    </w:p>
    <w:p>
      <w:pPr>
        <w:spacing w:after="0" w:line="15"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Vice President and Chief Financial Officer</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Date: October 6, 2006</w:t>
      </w:r>
    </w:p>
    <w:p>
      <w:pPr>
        <w:sectPr>
          <w:pgSz w:w="11900" w:h="16838" w:orient="portrait"/>
          <w:cols w:equalWidth="0" w:num="1">
            <w:col w:w="9980"/>
          </w:cols>
          <w:pgMar w:left="900" w:top="717" w:right="1019" w:bottom="1440" w:gutter="0" w:footer="0" w:header="0"/>
        </w:sectPr>
      </w:pPr>
    </w:p>
    <w:bookmarkStart w:id="195" w:name="page196"/>
    <w:bookmarkEnd w:id="195"/>
    <w:p>
      <w:pPr>
        <w:jc w:val="right"/>
        <w:spacing w:after="0"/>
        <w:rPr>
          <w:sz w:val="20"/>
          <w:szCs w:val="20"/>
          <w:color w:val="auto"/>
        </w:rPr>
      </w:pPr>
      <w:r>
        <w:rPr>
          <w:rFonts w:ascii="Arial" w:cs="Arial" w:eastAsia="Arial" w:hAnsi="Arial"/>
          <w:sz w:val="13"/>
          <w:szCs w:val="13"/>
          <w:b w:val="1"/>
          <w:bCs w:val="1"/>
          <w:color w:val="auto"/>
        </w:rPr>
        <w:t>EXHIBIT 32.1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1350 CERTIFICATION</w:t>
      </w:r>
    </w:p>
    <w:p>
      <w:pPr>
        <w:spacing w:after="0" w:line="100" w:lineRule="exact"/>
        <w:rPr>
          <w:sz w:val="20"/>
          <w:szCs w:val="20"/>
          <w:color w:val="auto"/>
        </w:rPr>
      </w:pPr>
    </w:p>
    <w:p>
      <w:pPr>
        <w:ind w:right="120" w:firstLine="399"/>
        <w:spacing w:after="0" w:line="276" w:lineRule="auto"/>
        <w:rPr>
          <w:sz w:val="20"/>
          <w:szCs w:val="20"/>
          <w:color w:val="auto"/>
        </w:rPr>
      </w:pPr>
      <w:r>
        <w:rPr>
          <w:rFonts w:ascii="Arial" w:cs="Arial" w:eastAsia="Arial" w:hAnsi="Arial"/>
          <w:sz w:val="13"/>
          <w:szCs w:val="13"/>
          <w:color w:val="auto"/>
        </w:rPr>
        <w:t>Pursuant to 18 U.S.C. Section 1350, as adopted pursuant to Section 906 of the Sarbanes-Oxley Act of 2002, the undersigned officer of Brady Corporation (the “Company”) certifies to his knowledge that:</w:t>
      </w:r>
    </w:p>
    <w:p>
      <w:pPr>
        <w:spacing w:after="0" w:line="59" w:lineRule="exact"/>
        <w:rPr>
          <w:sz w:val="20"/>
          <w:szCs w:val="20"/>
          <w:color w:val="auto"/>
        </w:rPr>
      </w:pPr>
    </w:p>
    <w:p>
      <w:pPr>
        <w:ind w:left="400" w:right="440" w:firstLine="389"/>
        <w:spacing w:after="0" w:line="276" w:lineRule="auto"/>
        <w:tabs>
          <w:tab w:leader="none" w:pos="966" w:val="left"/>
        </w:tabs>
        <w:numPr>
          <w:ilvl w:val="0"/>
          <w:numId w:val="180"/>
        </w:numPr>
        <w:rPr>
          <w:rFonts w:ascii="Arial" w:cs="Arial" w:eastAsia="Arial" w:hAnsi="Arial"/>
          <w:sz w:val="13"/>
          <w:szCs w:val="13"/>
          <w:color w:val="auto"/>
        </w:rPr>
      </w:pPr>
      <w:r>
        <w:rPr>
          <w:rFonts w:ascii="Arial" w:cs="Arial" w:eastAsia="Arial" w:hAnsi="Arial"/>
          <w:sz w:val="13"/>
          <w:szCs w:val="13"/>
          <w:color w:val="auto"/>
        </w:rPr>
        <w:t>The Annual Report on Form 10-K of the Company for the year ended July 31, 2006 fully complies with the requirements of Section 13(a) or 15(d) of the Securities Exchange Act of 1934; and</w:t>
      </w:r>
    </w:p>
    <w:p>
      <w:pPr>
        <w:spacing w:after="0" w:line="59" w:lineRule="exact"/>
        <w:rPr>
          <w:rFonts w:ascii="Arial" w:cs="Arial" w:eastAsia="Arial" w:hAnsi="Arial"/>
          <w:sz w:val="13"/>
          <w:szCs w:val="13"/>
          <w:color w:val="auto"/>
        </w:rPr>
      </w:pPr>
    </w:p>
    <w:p>
      <w:pPr>
        <w:ind w:left="980" w:hanging="191"/>
        <w:spacing w:after="0"/>
        <w:tabs>
          <w:tab w:leader="none" w:pos="980" w:val="left"/>
        </w:tabs>
        <w:numPr>
          <w:ilvl w:val="0"/>
          <w:numId w:val="180"/>
        </w:numPr>
        <w:rPr>
          <w:rFonts w:ascii="Arial" w:cs="Arial" w:eastAsia="Arial" w:hAnsi="Arial"/>
          <w:sz w:val="13"/>
          <w:szCs w:val="13"/>
          <w:color w:val="auto"/>
        </w:rPr>
      </w:pPr>
      <w:r>
        <w:rPr>
          <w:rFonts w:ascii="Arial" w:cs="Arial" w:eastAsia="Arial" w:hAnsi="Arial"/>
          <w:sz w:val="13"/>
          <w:szCs w:val="13"/>
          <w:color w:val="auto"/>
        </w:rPr>
        <w:t>The information contained in that Form 10-K fairly presents, in all material respects, the financial conditions and results of operations of the Company.</w:t>
      </w:r>
    </w:p>
    <w:p>
      <w:pPr>
        <w:spacing w:after="0" w:line="332"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/s/ 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16510</wp:posOffset>
            </wp:positionV>
            <wp:extent cx="3783330" cy="63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783330" cy="6350"/>
                    </a:xfrm>
                    <a:prstGeom prst="rect">
                      <a:avLst/>
                    </a:prstGeom>
                    <a:noFill/>
                  </pic:spPr>
                </pic:pic>
              </a:graphicData>
            </a:graphic>
          </wp:anchor>
        </w:drawing>
      </w:r>
    </w:p>
    <w:p>
      <w:pPr>
        <w:spacing w:after="0" w:line="7"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(Frank M. Jaehnert)</w:t>
      </w:r>
    </w:p>
    <w:p>
      <w:pPr>
        <w:spacing w:after="0" w:line="15"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President and Chief Executive Officer</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Date: October 6, 2006</w:t>
      </w:r>
    </w:p>
    <w:p>
      <w:pPr>
        <w:spacing w:after="0" w:line="96" w:lineRule="exact"/>
        <w:rPr>
          <w:sz w:val="20"/>
          <w:szCs w:val="20"/>
          <w:color w:val="auto"/>
        </w:rPr>
      </w:pPr>
    </w:p>
    <w:p>
      <w:pPr>
        <w:ind w:right="80" w:firstLine="399"/>
        <w:spacing w:after="0" w:line="264" w:lineRule="auto"/>
        <w:rPr>
          <w:sz w:val="20"/>
          <w:szCs w:val="20"/>
          <w:color w:val="auto"/>
        </w:rPr>
      </w:pPr>
      <w:r>
        <w:rPr>
          <w:rFonts w:ascii="Arial" w:cs="Arial" w:eastAsia="Arial" w:hAnsi="Arial"/>
          <w:sz w:val="13"/>
          <w:szCs w:val="13"/>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9980"/>
          </w:cols>
          <w:pgMar w:left="900" w:top="717" w:right="1019" w:bottom="1440" w:gutter="0" w:footer="0" w:header="0"/>
        </w:sectPr>
      </w:pPr>
    </w:p>
    <w:bookmarkStart w:id="196" w:name="page197"/>
    <w:bookmarkEnd w:id="196"/>
    <w:p>
      <w:pPr>
        <w:jc w:val="right"/>
        <w:spacing w:after="0"/>
        <w:rPr>
          <w:sz w:val="20"/>
          <w:szCs w:val="20"/>
          <w:color w:val="auto"/>
        </w:rPr>
      </w:pPr>
      <w:r>
        <w:rPr>
          <w:rFonts w:ascii="Arial" w:cs="Arial" w:eastAsia="Arial" w:hAnsi="Arial"/>
          <w:sz w:val="13"/>
          <w:szCs w:val="13"/>
          <w:b w:val="1"/>
          <w:bCs w:val="1"/>
          <w:color w:val="auto"/>
        </w:rPr>
        <w:t>EXHIBIT 32.2</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1350 CERTIFICATION</w:t>
      </w:r>
    </w:p>
    <w:p>
      <w:pPr>
        <w:spacing w:after="0" w:line="100" w:lineRule="exact"/>
        <w:rPr>
          <w:sz w:val="20"/>
          <w:szCs w:val="20"/>
          <w:color w:val="auto"/>
        </w:rPr>
      </w:pPr>
    </w:p>
    <w:p>
      <w:pPr>
        <w:ind w:right="120" w:firstLine="399"/>
        <w:spacing w:after="0" w:line="276" w:lineRule="auto"/>
        <w:rPr>
          <w:sz w:val="20"/>
          <w:szCs w:val="20"/>
          <w:color w:val="auto"/>
        </w:rPr>
      </w:pPr>
      <w:r>
        <w:rPr>
          <w:rFonts w:ascii="Arial" w:cs="Arial" w:eastAsia="Arial" w:hAnsi="Arial"/>
          <w:sz w:val="13"/>
          <w:szCs w:val="13"/>
          <w:color w:val="auto"/>
        </w:rPr>
        <w:t>Pursuant to 18 U.S.C. Section 1350, as adopted pursuant to Section 906 of the Sarbanes-Oxley Act of 2002, the undersigned officer of Brady Corporation (the “Company”) certifies to his knowledge that:</w:t>
      </w:r>
    </w:p>
    <w:p>
      <w:pPr>
        <w:spacing w:after="0" w:line="59" w:lineRule="exact"/>
        <w:rPr>
          <w:sz w:val="20"/>
          <w:szCs w:val="20"/>
          <w:color w:val="auto"/>
        </w:rPr>
      </w:pPr>
    </w:p>
    <w:p>
      <w:pPr>
        <w:ind w:left="400" w:right="440" w:firstLine="389"/>
        <w:spacing w:after="0" w:line="276" w:lineRule="auto"/>
        <w:tabs>
          <w:tab w:leader="none" w:pos="966" w:val="left"/>
        </w:tabs>
        <w:numPr>
          <w:ilvl w:val="0"/>
          <w:numId w:val="181"/>
        </w:numPr>
        <w:rPr>
          <w:rFonts w:ascii="Arial" w:cs="Arial" w:eastAsia="Arial" w:hAnsi="Arial"/>
          <w:sz w:val="13"/>
          <w:szCs w:val="13"/>
          <w:color w:val="auto"/>
        </w:rPr>
      </w:pPr>
      <w:r>
        <w:rPr>
          <w:rFonts w:ascii="Arial" w:cs="Arial" w:eastAsia="Arial" w:hAnsi="Arial"/>
          <w:sz w:val="13"/>
          <w:szCs w:val="13"/>
          <w:color w:val="auto"/>
        </w:rPr>
        <w:t>The Annual Report on Form 10-K of the Company for the year ended July 31, 2006 fully complies with the requirements of Section 13(a) or 15(d) of the Securities Exchange Act of 1934; and</w:t>
      </w:r>
    </w:p>
    <w:p>
      <w:pPr>
        <w:spacing w:after="0" w:line="59" w:lineRule="exact"/>
        <w:rPr>
          <w:rFonts w:ascii="Arial" w:cs="Arial" w:eastAsia="Arial" w:hAnsi="Arial"/>
          <w:sz w:val="13"/>
          <w:szCs w:val="13"/>
          <w:color w:val="auto"/>
        </w:rPr>
      </w:pPr>
    </w:p>
    <w:p>
      <w:pPr>
        <w:ind w:left="980" w:hanging="191"/>
        <w:spacing w:after="0"/>
        <w:tabs>
          <w:tab w:leader="none" w:pos="980" w:val="left"/>
        </w:tabs>
        <w:numPr>
          <w:ilvl w:val="0"/>
          <w:numId w:val="181"/>
        </w:numPr>
        <w:rPr>
          <w:rFonts w:ascii="Arial" w:cs="Arial" w:eastAsia="Arial" w:hAnsi="Arial"/>
          <w:sz w:val="13"/>
          <w:szCs w:val="13"/>
          <w:color w:val="auto"/>
        </w:rPr>
      </w:pPr>
      <w:r>
        <w:rPr>
          <w:rFonts w:ascii="Arial" w:cs="Arial" w:eastAsia="Arial" w:hAnsi="Arial"/>
          <w:sz w:val="13"/>
          <w:szCs w:val="13"/>
          <w:color w:val="auto"/>
        </w:rPr>
        <w:t>The information contained in that Form 10-K fairly presents, in all material respects, the financial conditions and results of operations of the Company.</w:t>
      </w:r>
    </w:p>
    <w:p>
      <w:pPr>
        <w:spacing w:after="0" w:line="332"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/s/ DAVID MATHIESON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16510</wp:posOffset>
            </wp:positionV>
            <wp:extent cx="3783330" cy="63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783330" cy="6350"/>
                    </a:xfrm>
                    <a:prstGeom prst="rect">
                      <a:avLst/>
                    </a:prstGeom>
                    <a:noFill/>
                  </pic:spPr>
                </pic:pic>
              </a:graphicData>
            </a:graphic>
          </wp:anchor>
        </w:drawing>
      </w:r>
    </w:p>
    <w:p>
      <w:pPr>
        <w:spacing w:after="0" w:line="7"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(David Mathieson)</w:t>
      </w:r>
    </w:p>
    <w:p>
      <w:pPr>
        <w:spacing w:after="0" w:line="15"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Vice President and Chief Financial Officer</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Date: October 6, 2006</w:t>
      </w:r>
    </w:p>
    <w:p>
      <w:pPr>
        <w:spacing w:after="0" w:line="96" w:lineRule="exact"/>
        <w:rPr>
          <w:sz w:val="20"/>
          <w:szCs w:val="20"/>
          <w:color w:val="auto"/>
        </w:rPr>
      </w:pPr>
    </w:p>
    <w:p>
      <w:pPr>
        <w:ind w:right="80" w:firstLine="399"/>
        <w:spacing w:after="0" w:line="264" w:lineRule="auto"/>
        <w:rPr>
          <w:sz w:val="20"/>
          <w:szCs w:val="20"/>
          <w:color w:val="auto"/>
        </w:rPr>
      </w:pPr>
      <w:r>
        <w:rPr>
          <w:rFonts w:ascii="Arial" w:cs="Arial" w:eastAsia="Arial" w:hAnsi="Arial"/>
          <w:sz w:val="13"/>
          <w:szCs w:val="13"/>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9980"/>
      </w:cols>
      <w:pgMar w:left="900" w:top="716"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B7D447"/>
    <w:multiLevelType w:val="hybridMultilevel"/>
    <w:lvl w:ilvl="0">
      <w:lvlJc w:val="left"/>
      <w:lvlText w:val="☑"/>
      <w:numFmt w:val="bullet"/>
      <w:start w:val="1"/>
    </w:lvl>
  </w:abstractNum>
  <w:abstractNum w:abstractNumId="1">
    <w:nsid w:val="4A2AC315"/>
    <w:multiLevelType w:val="hybridMultilevel"/>
    <w:lvl w:ilvl="0">
      <w:lvlJc w:val="left"/>
      <w:lvlText w:val="o"/>
      <w:numFmt w:val="bullet"/>
      <w:start w:val="1"/>
    </w:lvl>
  </w:abstractNum>
  <w:abstractNum w:abstractNumId="2">
    <w:nsid w:val="39EE015C"/>
    <w:multiLevelType w:val="hybridMultilevel"/>
    <w:lvl w:ilvl="0">
      <w:lvlJc w:val="left"/>
      <w:lvlText w:val="(%1)"/>
      <w:numFmt w:val="lowerLetter"/>
      <w:start w:val="1"/>
    </w:lvl>
  </w:abstractNum>
  <w:abstractNum w:abstractNumId="3">
    <w:nsid w:val="57FC4FBB"/>
    <w:multiLevelType w:val="hybridMultilevel"/>
    <w:lvl w:ilvl="0">
      <w:lvlJc w:val="left"/>
      <w:lvlText w:val="(%1)"/>
      <w:numFmt w:val="lowerLetter"/>
      <w:start w:val="2"/>
    </w:lvl>
  </w:abstractNum>
  <w:abstractNum w:abstractNumId="4">
    <w:nsid w:val="CC1016F"/>
    <w:multiLevelType w:val="hybridMultilevel"/>
    <w:lvl w:ilvl="0">
      <w:lvlJc w:val="left"/>
      <w:lvlText w:val="(%1)"/>
      <w:numFmt w:val="lowerLetter"/>
      <w:start w:val="3"/>
    </w:lvl>
  </w:abstractNum>
  <w:abstractNum w:abstractNumId="5">
    <w:nsid w:val="43F18422"/>
    <w:multiLevelType w:val="hybridMultilevel"/>
    <w:lvl w:ilvl="0">
      <w:lvlJc w:val="left"/>
      <w:lvlText w:val="(%1)"/>
      <w:numFmt w:val="lowerLetter"/>
      <w:start w:val="4"/>
    </w:lvl>
  </w:abstractNum>
  <w:abstractNum w:abstractNumId="6">
    <w:nsid w:val="60EF0119"/>
    <w:multiLevelType w:val="hybridMultilevel"/>
    <w:lvl w:ilvl="0">
      <w:lvlJc w:val="left"/>
      <w:lvlText w:val="(%1)"/>
      <w:numFmt w:val="lowerLetter"/>
      <w:start w:val="5"/>
    </w:lvl>
  </w:abstractNum>
  <w:abstractNum w:abstractNumId="7">
    <w:nsid w:val="26F324BA"/>
    <w:multiLevelType w:val="hybridMultilevel"/>
    <w:lvl w:ilvl="0">
      <w:lvlJc w:val="left"/>
      <w:lvlText w:val="•"/>
      <w:numFmt w:val="bullet"/>
      <w:start w:val="1"/>
    </w:lvl>
  </w:abstractNum>
  <w:abstractNum w:abstractNumId="8">
    <w:nsid w:val="7F01579B"/>
    <w:multiLevelType w:val="hybridMultilevel"/>
    <w:lvl w:ilvl="0">
      <w:lvlJc w:val="left"/>
      <w:lvlText w:val="(%1)"/>
      <w:numFmt w:val="lowerLetter"/>
      <w:start w:val="1"/>
    </w:lvl>
  </w:abstractNum>
  <w:abstractNum w:abstractNumId="9">
    <w:nsid w:val="49DA307D"/>
    <w:multiLevelType w:val="hybridMultilevel"/>
    <w:lvl w:ilvl="0">
      <w:lvlJc w:val="left"/>
      <w:lvlText w:val="%1"/>
      <w:numFmt w:val="lowerLetter"/>
      <w:start w:val="1"/>
    </w:lvl>
    <w:lvl w:ilvl="1">
      <w:lvlJc w:val="left"/>
      <w:lvlText w:val="(%2)"/>
      <w:numFmt w:val="decimal"/>
      <w:start w:val="1"/>
    </w:lvl>
  </w:abstractNum>
  <w:abstractNum w:abstractNumId="10">
    <w:nsid w:val="7055A5F5"/>
    <w:multiLevelType w:val="hybridMultilevel"/>
    <w:lvl w:ilvl="0">
      <w:lvlJc w:val="left"/>
      <w:lvlText w:val="(%1)"/>
      <w:numFmt w:val="lowerLetter"/>
      <w:start w:val="2"/>
    </w:lvl>
    <w:lvl w:ilvl="1">
      <w:lvlJc w:val="left"/>
      <w:lvlText w:val="%2"/>
      <w:numFmt w:val="decimal"/>
      <w:start w:val="1"/>
    </w:lvl>
  </w:abstractNum>
  <w:abstractNum w:abstractNumId="11">
    <w:nsid w:val="5FB8370B"/>
    <w:multiLevelType w:val="hybridMultilevel"/>
    <w:lvl w:ilvl="0">
      <w:lvlJc w:val="left"/>
      <w:lvlText w:val="(%1)"/>
      <w:numFmt w:val="lowerLetter"/>
      <w:start w:val="3"/>
    </w:lvl>
  </w:abstractNum>
  <w:abstractNum w:abstractNumId="12">
    <w:nsid w:val="50801EE1"/>
    <w:multiLevelType w:val="hybridMultilevel"/>
    <w:lvl w:ilvl="0">
      <w:lvlJc w:val="left"/>
      <w:lvlText w:val="(%1)"/>
      <w:numFmt w:val="lowerLetter"/>
      <w:start w:val="4"/>
    </w:lvl>
  </w:abstractNum>
  <w:abstractNum w:abstractNumId="13">
    <w:nsid w:val="488AC1A"/>
    <w:multiLevelType w:val="hybridMultilevel"/>
    <w:lvl w:ilvl="0">
      <w:lvlJc w:val="left"/>
      <w:lvlText w:val="%1."/>
      <w:numFmt w:val="decimal"/>
      <w:start w:val="1"/>
    </w:lvl>
    <w:lvl w:ilvl="1">
      <w:lvlJc w:val="left"/>
      <w:lvlText w:val="%2."/>
      <w:numFmt w:val="decimal"/>
      <w:start w:val="2"/>
    </w:lvl>
  </w:abstractNum>
  <w:abstractNum w:abstractNumId="14">
    <w:nsid w:val="5FB8011C"/>
    <w:multiLevelType w:val="hybridMultilevel"/>
    <w:lvl w:ilvl="0">
      <w:lvlJc w:val="left"/>
      <w:lvlText w:val="(%1)"/>
      <w:numFmt w:val="decimal"/>
      <w:start w:val="1"/>
    </w:lvl>
  </w:abstractNum>
  <w:abstractNum w:abstractNumId="15">
    <w:nsid w:val="6AA78F7F"/>
    <w:multiLevelType w:val="hybridMultilevel"/>
    <w:lvl w:ilvl="0">
      <w:lvlJc w:val="left"/>
      <w:lvlText w:val="%1."/>
      <w:numFmt w:val="decimal"/>
      <w:start w:val="1"/>
    </w:lvl>
  </w:abstractNum>
  <w:abstractNum w:abstractNumId="16">
    <w:nsid w:val="7672BD23"/>
    <w:multiLevelType w:val="hybridMultilevel"/>
    <w:lvl w:ilvl="0">
      <w:lvlJc w:val="left"/>
      <w:lvlText w:val="%1."/>
      <w:numFmt w:val="decimal"/>
      <w:start w:val="2"/>
    </w:lvl>
  </w:abstractNum>
  <w:abstractNum w:abstractNumId="17">
    <w:nsid w:val="6FC75AF8"/>
    <w:multiLevelType w:val="hybridMultilevel"/>
    <w:lvl w:ilvl="0">
      <w:lvlJc w:val="left"/>
      <w:lvlText w:val="•"/>
      <w:numFmt w:val="bullet"/>
      <w:start w:val="1"/>
    </w:lvl>
  </w:abstractNum>
  <w:abstractNum w:abstractNumId="18">
    <w:nsid w:val="6A5F7029"/>
    <w:multiLevelType w:val="hybridMultilevel"/>
    <w:lvl w:ilvl="0">
      <w:lvlJc w:val="left"/>
      <w:lvlText w:val="•"/>
      <w:numFmt w:val="bullet"/>
      <w:start w:val="1"/>
    </w:lvl>
  </w:abstractNum>
  <w:abstractNum w:abstractNumId="19">
    <w:nsid w:val="7D5E18F8"/>
    <w:multiLevelType w:val="hybridMultilevel"/>
    <w:lvl w:ilvl="0">
      <w:lvlJc w:val="left"/>
      <w:lvlText w:val="%1."/>
      <w:numFmt w:val="decimal"/>
      <w:start w:val="3"/>
    </w:lvl>
  </w:abstractNum>
  <w:abstractNum w:abstractNumId="20">
    <w:nsid w:val="5F3534A4"/>
    <w:multiLevelType w:val="hybridMultilevel"/>
    <w:lvl w:ilvl="0">
      <w:lvlJc w:val="left"/>
      <w:lvlText w:val="%1."/>
      <w:numFmt w:val="decimal"/>
      <w:start w:val="5"/>
    </w:lvl>
  </w:abstractNum>
  <w:abstractNum w:abstractNumId="21">
    <w:nsid w:val="73A1821B"/>
    <w:multiLevelType w:val="hybridMultilevel"/>
    <w:lvl w:ilvl="0">
      <w:lvlJc w:val="left"/>
      <w:lvlText w:val="%1."/>
      <w:numFmt w:val="decimal"/>
      <w:start w:val="6"/>
    </w:lvl>
  </w:abstractNum>
  <w:abstractNum w:abstractNumId="22">
    <w:nsid w:val="7DE67713"/>
    <w:multiLevelType w:val="hybridMultilevel"/>
    <w:lvl w:ilvl="0">
      <w:lvlJc w:val="left"/>
      <w:lvlText w:val="%1."/>
      <w:numFmt w:val="decimal"/>
      <w:start w:val="7"/>
    </w:lvl>
  </w:abstractNum>
  <w:abstractNum w:abstractNumId="23">
    <w:nsid w:val="555C55B5"/>
    <w:multiLevelType w:val="hybridMultilevel"/>
    <w:lvl w:ilvl="0">
      <w:lvlJc w:val="left"/>
      <w:lvlText w:val="%1."/>
      <w:numFmt w:val="decimal"/>
      <w:start w:val="7"/>
    </w:lvl>
    <w:lvl w:ilvl="1">
      <w:lvlJc w:val="left"/>
      <w:lvlText w:val="**"/>
      <w:numFmt w:val="bullet"/>
      <w:start w:val="1"/>
    </w:lvl>
    <w:lvl w:ilvl="2">
      <w:lvlJc w:val="left"/>
      <w:lvlText w:val="*"/>
      <w:numFmt w:val="bullet"/>
      <w:start w:val="1"/>
    </w:lvl>
  </w:abstractNum>
  <w:abstractNum w:abstractNumId="24">
    <w:nsid w:val="3FA62ACA"/>
    <w:multiLevelType w:val="hybridMultilevel"/>
    <w:lvl w:ilvl="0">
      <w:lvlJc w:val="left"/>
      <w:lvlText w:val="%1."/>
      <w:numFmt w:val="decimal"/>
      <w:start w:val="9"/>
    </w:lvl>
  </w:abstractNum>
  <w:abstractNum w:abstractNumId="25">
    <w:nsid w:val="14FCE74E"/>
    <w:multiLevelType w:val="hybridMultilevel"/>
    <w:lvl w:ilvl="0">
      <w:lvlJc w:val="left"/>
      <w:lvlText w:val="%1."/>
      <w:numFmt w:val="decimal"/>
      <w:start w:val="10"/>
    </w:lvl>
  </w:abstractNum>
  <w:abstractNum w:abstractNumId="26">
    <w:nsid w:val="6A3DD3E8"/>
    <w:multiLevelType w:val="hybridMultilevel"/>
    <w:lvl w:ilvl="0">
      <w:lvlJc w:val="left"/>
      <w:lvlText w:val="%1."/>
      <w:numFmt w:val="decimal"/>
      <w:start w:val="11"/>
    </w:lvl>
  </w:abstractNum>
  <w:abstractNum w:abstractNumId="27">
    <w:nsid w:val="71C91298"/>
    <w:multiLevelType w:val="hybridMultilevel"/>
    <w:lvl w:ilvl="0">
      <w:lvlJc w:val="left"/>
      <w:lvlText w:val="*"/>
      <w:numFmt w:val="bullet"/>
      <w:start w:val="1"/>
    </w:lvl>
  </w:abstractNum>
  <w:abstractNum w:abstractNumId="28">
    <w:nsid w:val="9DAF632"/>
    <w:multiLevelType w:val="hybridMultilevel"/>
    <w:lvl w:ilvl="0">
      <w:lvlJc w:val="left"/>
      <w:lvlText w:val="(%1)"/>
      <w:numFmt w:val="decimal"/>
      <w:start w:val="1"/>
    </w:lvl>
    <w:lvl w:ilvl="1">
      <w:lvlJc w:val="left"/>
      <w:lvlText w:val="•"/>
      <w:numFmt w:val="bullet"/>
      <w:start w:val="1"/>
    </w:lvl>
  </w:abstractNum>
  <w:abstractNum w:abstractNumId="29">
    <w:nsid w:val="53299938"/>
    <w:multiLevelType w:val="hybridMultilevel"/>
    <w:lvl w:ilvl="0">
      <w:lvlJc w:val="left"/>
      <w:lvlText w:val="(%1)"/>
      <w:numFmt w:val="decimal"/>
      <w:start w:val="3"/>
    </w:lvl>
  </w:abstractNum>
  <w:abstractNum w:abstractNumId="30">
    <w:nsid w:val="1FBFE8E0"/>
    <w:multiLevelType w:val="hybridMultilevel"/>
    <w:lvl w:ilvl="0">
      <w:lvlJc w:val="left"/>
      <w:lvlText w:val="(%1)"/>
      <w:numFmt w:val="decimal"/>
      <w:start w:val="1"/>
    </w:lvl>
  </w:abstractNum>
  <w:abstractNum w:abstractNumId="31">
    <w:nsid w:val="5092CA79"/>
    <w:multiLevelType w:val="hybridMultilevel"/>
    <w:lvl w:ilvl="0">
      <w:lvlJc w:val="left"/>
      <w:lvlText w:val="(%1)"/>
      <w:numFmt w:val="decimal"/>
      <w:start w:val="1"/>
    </w:lvl>
  </w:abstractNum>
  <w:abstractNum w:abstractNumId="32">
    <w:nsid w:val="1D545C4D"/>
    <w:multiLevelType w:val="hybridMultilevel"/>
    <w:lvl w:ilvl="0">
      <w:lvlJc w:val="left"/>
      <w:lvlText w:val="(%1)"/>
      <w:numFmt w:val="decimal"/>
      <w:start w:val="4"/>
    </w:lvl>
  </w:abstractNum>
  <w:abstractNum w:abstractNumId="33">
    <w:nsid w:val="59ADEA3D"/>
    <w:multiLevelType w:val="hybridMultilevel"/>
    <w:lvl w:ilvl="0">
      <w:lvlJc w:val="left"/>
      <w:lvlText w:val="(%1)"/>
      <w:numFmt w:val="decimal"/>
      <w:start w:val="1"/>
    </w:lvl>
  </w:abstractNum>
  <w:abstractNum w:abstractNumId="34">
    <w:nsid w:val="288F1A34"/>
    <w:multiLevelType w:val="hybridMultilevel"/>
    <w:lvl w:ilvl="0">
      <w:lvlJc w:val="left"/>
      <w:lvlText w:val="•"/>
      <w:numFmt w:val="bullet"/>
      <w:start w:val="1"/>
    </w:lvl>
  </w:abstractNum>
  <w:abstractNum w:abstractNumId="35">
    <w:nsid w:val="2A155DBC"/>
    <w:multiLevelType w:val="hybridMultilevel"/>
    <w:lvl w:ilvl="0">
      <w:lvlJc w:val="left"/>
      <w:lvlText w:val="(%1)"/>
      <w:numFmt w:val="lowerRoman"/>
      <w:start w:val="1"/>
    </w:lvl>
  </w:abstractNum>
  <w:abstractNum w:abstractNumId="36">
    <w:nsid w:val="1D9F6E5F"/>
    <w:multiLevelType w:val="hybridMultilevel"/>
    <w:lvl w:ilvl="0">
      <w:lvlJc w:val="left"/>
      <w:lvlText w:val="(%1)"/>
      <w:numFmt w:val="lowerLetter"/>
      <w:start w:val="1"/>
    </w:lvl>
  </w:abstractNum>
  <w:abstractNum w:abstractNumId="37">
    <w:nsid w:val="97E1B4E"/>
    <w:multiLevelType w:val="hybridMultilevel"/>
    <w:lvl w:ilvl="0">
      <w:lvlJc w:val="left"/>
      <w:lvlText w:val="(%1)"/>
      <w:numFmt w:val="decimal"/>
      <w:start w:val="1"/>
    </w:lvl>
  </w:abstractNum>
  <w:abstractNum w:abstractNumId="38">
    <w:nsid w:val="51088277"/>
    <w:multiLevelType w:val="hybridMultilevel"/>
    <w:lvl w:ilvl="0">
      <w:lvlJc w:val="left"/>
      <w:lvlText w:val="(%1)"/>
      <w:numFmt w:val="lowerLetter"/>
      <w:start w:val="2"/>
    </w:lvl>
  </w:abstractNum>
  <w:abstractNum w:abstractNumId="39">
    <w:nsid w:val="1CA0C5FA"/>
    <w:multiLevelType w:val="hybridMultilevel"/>
    <w:lvl w:ilvl="0">
      <w:lvlJc w:val="left"/>
      <w:lvlText w:val="(%1)"/>
      <w:numFmt w:val="decimal"/>
      <w:start w:val="1"/>
    </w:lvl>
  </w:abstractNum>
  <w:abstractNum w:abstractNumId="40">
    <w:nsid w:val="53584BCB"/>
    <w:multiLevelType w:val="hybridMultilevel"/>
    <w:lvl w:ilvl="0">
      <w:lvlJc w:val="left"/>
      <w:lvlText w:val="%1"/>
      <w:numFmt w:val="lowerLetter"/>
      <w:start w:val="1"/>
    </w:lvl>
    <w:lvl w:ilvl="1">
      <w:lvlJc w:val="left"/>
      <w:lvlText w:val="(%2)"/>
      <w:numFmt w:val="decimal"/>
      <w:start w:val="7"/>
    </w:lvl>
  </w:abstractNum>
  <w:abstractNum w:abstractNumId="41">
    <w:nsid w:val="415E286C"/>
    <w:multiLevelType w:val="hybridMultilevel"/>
    <w:lvl w:ilvl="0">
      <w:lvlJc w:val="left"/>
      <w:lvlText w:val="(%1)"/>
      <w:numFmt w:val="lowerLetter"/>
      <w:start w:val="3"/>
    </w:lvl>
    <w:lvl w:ilvl="1">
      <w:lvlJc w:val="left"/>
      <w:lvlText w:val="%2"/>
      <w:numFmt w:val="decimal"/>
      <w:start w:val="1"/>
    </w:lvl>
  </w:abstractNum>
  <w:abstractNum w:abstractNumId="42">
    <w:nsid w:val="7C58FD05"/>
    <w:multiLevelType w:val="hybridMultilevel"/>
    <w:lvl w:ilvl="0">
      <w:lvlJc w:val="left"/>
      <w:lvlText w:val="(%1)"/>
      <w:numFmt w:val="decimal"/>
      <w:start w:val="1"/>
    </w:lvl>
  </w:abstractNum>
  <w:abstractNum w:abstractNumId="43">
    <w:nsid w:val="23D86AAC"/>
    <w:multiLevelType w:val="hybridMultilevel"/>
    <w:lvl w:ilvl="0">
      <w:lvlJc w:val="left"/>
      <w:lvlText w:val="%1"/>
      <w:numFmt w:val="decimal"/>
      <w:start w:val="1"/>
    </w:lvl>
    <w:lvl w:ilvl="1">
      <w:lvlJc w:val="left"/>
      <w:lvlText w:val="%2)"/>
      <w:numFmt w:val="decimal"/>
      <w:start w:val="1"/>
    </w:lvl>
  </w:abstractNum>
  <w:abstractNum w:abstractNumId="44">
    <w:nsid w:val="45E6D486"/>
    <w:multiLevelType w:val="hybridMultilevel"/>
    <w:lvl w:ilvl="0">
      <w:lvlJc w:val="left"/>
      <w:lvlText w:val="%1)"/>
      <w:numFmt w:val="decimal"/>
      <w:start w:val="3"/>
    </w:lvl>
    <w:lvl w:ilvl="1">
      <w:lvlJc w:val="left"/>
      <w:lvlText w:val="%2"/>
      <w:numFmt w:val="decimal"/>
      <w:start w:val="1"/>
    </w:lvl>
  </w:abstractNum>
  <w:abstractNum w:abstractNumId="45">
    <w:nsid w:val="5C10FE21"/>
    <w:multiLevelType w:val="hybridMultilevel"/>
    <w:lvl w:ilvl="0">
      <w:lvlJc w:val="left"/>
      <w:lvlText w:val="*"/>
      <w:numFmt w:val="bullet"/>
      <w:start w:val="1"/>
    </w:lvl>
    <w:lvl w:ilvl="1">
      <w:lvlJc w:val="left"/>
      <w:lvlText w:val="%2"/>
      <w:numFmt w:val="decimal"/>
      <w:start w:val="23"/>
    </w:lvl>
  </w:abstractNum>
  <w:abstractNum w:abstractNumId="46">
    <w:nsid w:val="E7FFA2B"/>
    <w:multiLevelType w:val="hybridMultilevel"/>
    <w:lvl w:ilvl="0">
      <w:lvlJc w:val="left"/>
      <w:lvlText w:val="(%1)"/>
      <w:numFmt w:val="decimal"/>
      <w:start w:val="1"/>
    </w:lvl>
  </w:abstractNum>
  <w:abstractNum w:abstractNumId="47">
    <w:nsid w:val="3C5991AA"/>
    <w:multiLevelType w:val="hybridMultilevel"/>
    <w:lvl w:ilvl="0">
      <w:lvlJc w:val="left"/>
      <w:lvlText w:val="(%1)"/>
      <w:numFmt w:val="decimal"/>
      <w:start w:val="4"/>
    </w:lvl>
  </w:abstractNum>
  <w:abstractNum w:abstractNumId="48">
    <w:nsid w:val="4BD8591A"/>
    <w:multiLevelType w:val="hybridMultilevel"/>
    <w:lvl w:ilvl="0">
      <w:lvlJc w:val="left"/>
      <w:lvlText w:val="(%1)"/>
      <w:numFmt w:val="lowerLetter"/>
      <w:start w:val="3"/>
    </w:lvl>
  </w:abstractNum>
  <w:abstractNum w:abstractNumId="49">
    <w:nsid w:val="78DF6A55"/>
    <w:multiLevelType w:val="hybridMultilevel"/>
    <w:lvl w:ilvl="0">
      <w:lvlJc w:val="left"/>
      <w:lvlText w:val="(%1)"/>
      <w:numFmt w:val="lowerLetter"/>
      <w:start w:val="1"/>
    </w:lvl>
  </w:abstractNum>
  <w:abstractNum w:abstractNumId="50">
    <w:nsid w:val="39B7AAA2"/>
    <w:multiLevelType w:val="hybridMultilevel"/>
    <w:lvl w:ilvl="0">
      <w:lvlJc w:val="left"/>
      <w:lvlText w:val="(%1)"/>
      <w:numFmt w:val="lowerLetter"/>
      <w:start w:val="3"/>
    </w:lvl>
  </w:abstractNum>
  <w:abstractNum w:abstractNumId="51">
    <w:nsid w:val="2B0D8DBE"/>
    <w:multiLevelType w:val="hybridMultilevel"/>
    <w:lvl w:ilvl="0">
      <w:lvlJc w:val="left"/>
      <w:lvlText w:val="(%1)"/>
      <w:numFmt w:val="lowerRoman"/>
      <w:start w:val="3"/>
    </w:lvl>
  </w:abstractNum>
  <w:abstractNum w:abstractNumId="52">
    <w:nsid w:val="6C80EC70"/>
    <w:multiLevelType w:val="hybridMultilevel"/>
    <w:lvl w:ilvl="0">
      <w:lvlJc w:val="left"/>
      <w:lvlText w:val="(%1)"/>
      <w:numFmt w:val="lowerLetter"/>
      <w:start w:val="3"/>
    </w:lvl>
  </w:abstractNum>
  <w:abstractNum w:abstractNumId="53">
    <w:nsid w:val="379E21B5"/>
    <w:multiLevelType w:val="hybridMultilevel"/>
    <w:lvl w:ilvl="0">
      <w:lvlJc w:val="left"/>
      <w:lvlText w:val="(%1)"/>
      <w:numFmt w:val="lowerLetter"/>
      <w:start w:val="1"/>
    </w:lvl>
  </w:abstractNum>
  <w:abstractNum w:abstractNumId="54">
    <w:nsid w:val="69E373"/>
    <w:multiLevelType w:val="hybridMultilevel"/>
    <w:lvl w:ilvl="0">
      <w:lvlJc w:val="left"/>
      <w:lvlText w:val="(%1)"/>
      <w:numFmt w:val="lowerLetter"/>
      <w:start w:val="8"/>
    </w:lvl>
  </w:abstractNum>
  <w:abstractNum w:abstractNumId="55">
    <w:nsid w:val="2C27173B"/>
    <w:multiLevelType w:val="hybridMultilevel"/>
    <w:lvl w:ilvl="0">
      <w:lvlJc w:val="left"/>
      <w:lvlText w:val="(%1)"/>
      <w:numFmt w:val="lowerLetter"/>
      <w:start w:val="1"/>
    </w:lvl>
  </w:abstractNum>
  <w:abstractNum w:abstractNumId="56">
    <w:nsid w:val="4C9B0904"/>
    <w:multiLevelType w:val="hybridMultilevel"/>
    <w:lvl w:ilvl="0">
      <w:lvlJc w:val="left"/>
      <w:lvlText w:val="(%1)"/>
      <w:numFmt w:val="lowerLetter"/>
      <w:start w:val="1"/>
    </w:lvl>
  </w:abstractNum>
  <w:abstractNum w:abstractNumId="57">
    <w:nsid w:val="6AA7B75C"/>
    <w:multiLevelType w:val="hybridMultilevel"/>
    <w:lvl w:ilvl="0">
      <w:lvlJc w:val="left"/>
      <w:lvlText w:val="(%1)"/>
      <w:numFmt w:val="lowerLetter"/>
      <w:start w:val="2"/>
    </w:lvl>
  </w:abstractNum>
  <w:abstractNum w:abstractNumId="58">
    <w:nsid w:val="1DF029D3"/>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2"/>
    </w:lvl>
  </w:abstractNum>
  <w:abstractNum w:abstractNumId="59">
    <w:nsid w:val="5675FF36"/>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abstractNum>
  <w:abstractNum w:abstractNumId="60">
    <w:nsid w:val="3DD15094"/>
    <w:multiLevelType w:val="hybridMultilevel"/>
    <w:lvl w:ilvl="0">
      <w:lvlJc w:val="left"/>
      <w:lvlText w:val="(%1)"/>
      <w:numFmt w:val="lowerLetter"/>
      <w:start w:val="1"/>
    </w:lvl>
  </w:abstractNum>
  <w:abstractNum w:abstractNumId="61">
    <w:nsid w:val="3DB012B3"/>
    <w:multiLevelType w:val="hybridMultilevel"/>
    <w:lvl w:ilvl="0">
      <w:lvlJc w:val="left"/>
      <w:lvlText w:val="(%1)"/>
      <w:numFmt w:val="lowerLetter"/>
      <w:start w:val="3"/>
    </w:lvl>
  </w:abstractNum>
  <w:abstractNum w:abstractNumId="62">
    <w:nsid w:val="2708C9AF"/>
    <w:multiLevelType w:val="hybridMultilevel"/>
    <w:lvl w:ilvl="0">
      <w:lvlJc w:val="left"/>
      <w:lvlText w:val="(%1)"/>
      <w:numFmt w:val="lowerLetter"/>
      <w:start w:val="1"/>
    </w:lvl>
  </w:abstractNum>
  <w:abstractNum w:abstractNumId="63">
    <w:nsid w:val="5B25ACE2"/>
    <w:multiLevelType w:val="hybridMultilevel"/>
    <w:lvl w:ilvl="0">
      <w:lvlJc w:val="left"/>
      <w:lvlText w:val="(%1)"/>
      <w:numFmt w:val="lowerLetter"/>
      <w:start w:val="1"/>
    </w:lvl>
  </w:abstractNum>
  <w:abstractNum w:abstractNumId="64">
    <w:nsid w:val="175DFCF0"/>
    <w:multiLevelType w:val="hybridMultilevel"/>
    <w:lvl w:ilvl="0">
      <w:lvlJc w:val="left"/>
      <w:lvlText w:val="(%1)"/>
      <w:numFmt w:val="lowerLetter"/>
      <w:start w:val="3"/>
    </w:lvl>
  </w:abstractNum>
  <w:abstractNum w:abstractNumId="65">
    <w:nsid w:val="4F97E3E4"/>
    <w:multiLevelType w:val="hybridMultilevel"/>
    <w:lvl w:ilvl="0">
      <w:lvlJc w:val="left"/>
      <w:lvlText w:val="(%1)"/>
      <w:numFmt w:val="lowerLetter"/>
      <w:start w:val="1"/>
    </w:lvl>
  </w:abstractNum>
  <w:abstractNum w:abstractNumId="66">
    <w:nsid w:val="53B0A9E"/>
    <w:multiLevelType w:val="hybridMultilevel"/>
    <w:lvl w:ilvl="0">
      <w:lvlJc w:val="left"/>
      <w:lvlText w:val="(%1)"/>
      <w:numFmt w:val="lowerLetter"/>
      <w:start w:val="1"/>
    </w:lvl>
    <w:lvl w:ilvl="1">
      <w:lvlJc w:val="left"/>
      <w:lvlText w:val="(%2)"/>
      <w:numFmt w:val="lowerRoman"/>
      <w:start w:val="1"/>
    </w:lvl>
  </w:abstractNum>
  <w:abstractNum w:abstractNumId="67">
    <w:nsid w:val="34FD6B4F"/>
    <w:multiLevelType w:val="hybridMultilevel"/>
    <w:lvl w:ilvl="0">
      <w:lvlJc w:val="left"/>
      <w:lvlText w:val="(%1)"/>
      <w:numFmt w:val="lowerLetter"/>
      <w:start w:val="1"/>
    </w:lvl>
  </w:abstractNum>
  <w:abstractNum w:abstractNumId="68">
    <w:nsid w:val="5915FF32"/>
    <w:multiLevelType w:val="hybridMultilevel"/>
    <w:lvl w:ilvl="0">
      <w:lvlJc w:val="left"/>
      <w:lvlText w:val="(%1)"/>
      <w:numFmt w:val="lowerLetter"/>
      <w:start w:val="3"/>
    </w:lvl>
  </w:abstractNum>
  <w:abstractNum w:abstractNumId="69">
    <w:nsid w:val="56438D15"/>
    <w:multiLevelType w:val="hybridMultilevel"/>
    <w:lvl w:ilvl="0">
      <w:lvlJc w:val="left"/>
      <w:lvlText w:val="(%1)"/>
      <w:numFmt w:val="lowerLetter"/>
      <w:start w:val="1"/>
    </w:lvl>
    <w:lvl w:ilvl="1">
      <w:lvlJc w:val="left"/>
      <w:lvlText w:val="(%2)"/>
      <w:numFmt w:val="lowerLetter"/>
      <w:start w:val="24"/>
    </w:lvl>
    <w:lvl w:ilvl="2">
      <w:lvlJc w:val="left"/>
      <w:lvlText w:val="(%3)"/>
      <w:numFmt w:val="lowerLetter"/>
      <w:start w:val="9"/>
    </w:lvl>
  </w:abstractNum>
  <w:abstractNum w:abstractNumId="70">
    <w:nsid w:val="519E3149"/>
    <w:multiLevelType w:val="hybridMultilevel"/>
    <w:lvl w:ilvl="0">
      <w:lvlJc w:val="left"/>
      <w:lvlText w:val="(%1)"/>
      <w:numFmt w:val="lowerRoman"/>
      <w:start w:val="2"/>
    </w:lvl>
    <w:lvl w:ilvl="1">
      <w:lvlJc w:val="left"/>
      <w:lvlText w:val="(%2)"/>
      <w:numFmt w:val="upperLetter"/>
      <w:start w:val="1"/>
    </w:lvl>
  </w:abstractNum>
  <w:abstractNum w:abstractNumId="71">
    <w:nsid w:val="2C6E4AFD"/>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4"/>
    </w:lvl>
  </w:abstractNum>
  <w:abstractNum w:abstractNumId="72">
    <w:nsid w:val="17A1B582"/>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abstractNum>
  <w:abstractNum w:abstractNumId="73">
    <w:nsid w:val="4DF72E4E"/>
    <w:multiLevelType w:val="hybridMultilevel"/>
    <w:lvl w:ilvl="0">
      <w:lvlJc w:val="left"/>
      <w:lvlText w:val="(%1)"/>
      <w:numFmt w:val="lowerLetter"/>
      <w:start w:val="2"/>
    </w:lvl>
    <w:lvl w:ilvl="1">
      <w:lvlJc w:val="left"/>
      <w:lvlText w:val="(%2)"/>
      <w:numFmt w:val="upperLetter"/>
      <w:start w:val="3"/>
    </w:lvl>
    <w:lvl w:ilvl="2">
      <w:lvlJc w:val="left"/>
      <w:lvlText w:val="(%3)"/>
      <w:numFmt w:val="lowerRoman"/>
      <w:start w:val="1"/>
    </w:lvl>
  </w:abstractNum>
  <w:abstractNum w:abstractNumId="74">
    <w:nsid w:val="5046B5A9"/>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abstractNum>
  <w:abstractNum w:abstractNumId="75">
    <w:nsid w:val="5D888A08"/>
    <w:multiLevelType w:val="hybridMultilevel"/>
    <w:lvl w:ilvl="0">
      <w:lvlJc w:val="left"/>
      <w:lvlText w:val="%1"/>
      <w:numFmt w:val="lowerLetter"/>
      <w:start w:val="1"/>
    </w:lvl>
    <w:lvl w:ilvl="1">
      <w:lvlJc w:val="left"/>
      <w:lvlText w:val="(%2)"/>
      <w:numFmt w:val="lowerRoman"/>
      <w:start w:val="3"/>
    </w:lvl>
  </w:abstractNum>
  <w:abstractNum w:abstractNumId="76">
    <w:nsid w:val="2A082C70"/>
    <w:multiLevelType w:val="hybridMultilevel"/>
    <w:lvl w:ilvl="0">
      <w:lvlJc w:val="left"/>
      <w:lvlText w:val="(%1)"/>
      <w:numFmt w:val="lowerLetter"/>
      <w:start w:val="3"/>
    </w:lvl>
    <w:lvl w:ilvl="1">
      <w:lvlJc w:val="left"/>
      <w:lvlText w:val="(%2)"/>
      <w:numFmt w:val="lowerRoman"/>
      <w:start w:val="1"/>
    </w:lvl>
  </w:abstractNum>
  <w:abstractNum w:abstractNumId="77">
    <w:nsid w:val="5EC6AFD4"/>
    <w:multiLevelType w:val="hybridMultilevel"/>
    <w:lvl w:ilvl="0">
      <w:lvlJc w:val="left"/>
      <w:lvlText w:val="(%1)"/>
      <w:numFmt w:val="lowerRoman"/>
      <w:start w:val="1"/>
    </w:lvl>
    <w:lvl w:ilvl="1">
      <w:lvlJc w:val="left"/>
      <w:lvlText w:val="(%2)"/>
      <w:numFmt w:val="lowerRoman"/>
      <w:start w:val="2"/>
    </w:lvl>
  </w:abstractNum>
  <w:abstractNum w:abstractNumId="78">
    <w:nsid w:val="19E21BB2"/>
    <w:multiLevelType w:val="hybridMultilevel"/>
    <w:lvl w:ilvl="0">
      <w:lvlJc w:val="left"/>
      <w:lvlText w:val="%1"/>
      <w:numFmt w:val="lowerLetter"/>
      <w:start w:val="1"/>
    </w:lvl>
    <w:lvl w:ilvl="1">
      <w:lvlJc w:val="left"/>
      <w:lvlText w:val="(%2)"/>
      <w:numFmt w:val="lowerRoman"/>
      <w:start w:val="6"/>
    </w:lvl>
  </w:abstractNum>
  <w:abstractNum w:abstractNumId="79">
    <w:nsid w:val="75E0858A"/>
    <w:multiLevelType w:val="hybridMultilevel"/>
    <w:lvl w:ilvl="0">
      <w:lvlJc w:val="left"/>
      <w:lvlText w:val="(%1)"/>
      <w:numFmt w:val="lowerLetter"/>
      <w:start w:val="4"/>
    </w:lvl>
    <w:lvl w:ilvl="1">
      <w:lvlJc w:val="left"/>
      <w:lvlText w:val="(%2)"/>
      <w:numFmt w:val="lowerRoman"/>
      <w:start w:val="1"/>
    </w:lvl>
  </w:abstractNum>
  <w:abstractNum w:abstractNumId="80">
    <w:nsid w:val="57A61A29"/>
    <w:multiLevelType w:val="hybridMultilevel"/>
    <w:lvl w:ilvl="0">
      <w:lvlJc w:val="left"/>
      <w:lvlText w:val="(%1)"/>
      <w:numFmt w:val="lowerRoman"/>
      <w:start w:val="3"/>
    </w:lvl>
  </w:abstractNum>
  <w:abstractNum w:abstractNumId="81">
    <w:nsid w:val="5399C654"/>
    <w:multiLevelType w:val="hybridMultilevel"/>
    <w:lvl w:ilvl="0">
      <w:lvlJc w:val="left"/>
      <w:lvlText w:val="%1"/>
      <w:numFmt w:val="lowerLetter"/>
      <w:start w:val="1"/>
    </w:lvl>
    <w:lvl w:ilvl="1">
      <w:lvlJc w:val="left"/>
      <w:lvlText w:val="(%2)"/>
      <w:numFmt w:val="lowerLetter"/>
      <w:start w:val="6"/>
    </w:lvl>
  </w:abstractNum>
  <w:abstractNum w:abstractNumId="82">
    <w:nsid w:val="20EE1348"/>
    <w:multiLevelType w:val="hybridMultilevel"/>
    <w:lvl w:ilvl="0">
      <w:lvlJc w:val="left"/>
      <w:lvlText w:val="(%1)"/>
      <w:numFmt w:val="lowerLetter"/>
      <w:start w:val="61"/>
    </w:lvl>
    <w:lvl w:ilvl="1">
      <w:lvlJc w:val="left"/>
      <w:lvlText w:val="%2"/>
      <w:numFmt w:val="lowerLetter"/>
      <w:start w:val="1"/>
    </w:lvl>
  </w:abstractNum>
  <w:abstractNum w:abstractNumId="83">
    <w:nsid w:val="4427069A"/>
    <w:multiLevelType w:val="hybridMultilevel"/>
    <w:lvl w:ilvl="0">
      <w:lvlJc w:val="left"/>
      <w:lvlText w:val="(%1)"/>
      <w:numFmt w:val="lowerLetter"/>
      <w:start w:val="7"/>
    </w:lvl>
  </w:abstractNum>
  <w:abstractNum w:abstractNumId="84">
    <w:nsid w:val="B37E80A"/>
    <w:multiLevelType w:val="hybridMultilevel"/>
    <w:lvl w:ilvl="0">
      <w:lvlJc w:val="left"/>
      <w:lvlText w:val="(%1)"/>
      <w:numFmt w:val="lowerRoman"/>
      <w:start w:val="2"/>
    </w:lvl>
  </w:abstractNum>
  <w:abstractNum w:abstractNumId="85">
    <w:nsid w:val="2157F6BC"/>
    <w:multiLevelType w:val="hybridMultilevel"/>
    <w:lvl w:ilvl="0">
      <w:lvlJc w:val="left"/>
      <w:lvlText w:val="(%1)"/>
      <w:numFmt w:val="lowerLetter"/>
      <w:start w:val="8"/>
    </w:lvl>
  </w:abstractNum>
  <w:abstractNum w:abstractNumId="86">
    <w:nsid w:val="704E1DD5"/>
    <w:multiLevelType w:val="hybridMultilevel"/>
    <w:lvl w:ilvl="0">
      <w:lvlJc w:val="left"/>
      <w:lvlText w:val="(%1)"/>
      <w:numFmt w:val="lowerLetter"/>
      <w:start w:val="10"/>
    </w:lvl>
  </w:abstractNum>
  <w:abstractNum w:abstractNumId="87">
    <w:nsid w:val="57D2F10E"/>
    <w:multiLevelType w:val="hybridMultilevel"/>
    <w:lvl w:ilvl="0">
      <w:lvlJc w:val="left"/>
      <w:lvlText w:val="(%1)"/>
      <w:numFmt w:val="lowerLetter"/>
      <w:start w:val="1"/>
    </w:lvl>
  </w:abstractNum>
  <w:abstractNum w:abstractNumId="88">
    <w:nsid w:val="BFFAE18"/>
    <w:multiLevelType w:val="hybridMultilevel"/>
    <w:lvl w:ilvl="0">
      <w:lvlJc w:val="left"/>
      <w:lvlText w:val="(%1)"/>
      <w:numFmt w:val="lowerLetter"/>
      <w:start w:val="2"/>
    </w:lvl>
    <w:lvl w:ilvl="1">
      <w:lvlJc w:val="left"/>
      <w:lvlText w:val="(%2)"/>
      <w:numFmt w:val="lowerLetter"/>
      <w:start w:val="9"/>
    </w:lvl>
  </w:abstractNum>
  <w:abstractNum w:abstractNumId="89">
    <w:nsid w:val="E3E47A8"/>
    <w:multiLevelType w:val="hybridMultilevel"/>
    <w:lvl w:ilvl="0">
      <w:lvlJc w:val="left"/>
      <w:lvlText w:val="%1"/>
      <w:numFmt w:val="lowerLetter"/>
      <w:start w:val="1"/>
    </w:lvl>
    <w:lvl w:ilvl="1">
      <w:lvlJc w:val="left"/>
      <w:lvlText w:val="(%2)"/>
      <w:numFmt w:val="lowerRoman"/>
      <w:start w:val="2"/>
    </w:lvl>
  </w:abstractNum>
  <w:abstractNum w:abstractNumId="90">
    <w:nsid w:val="2E48F044"/>
    <w:multiLevelType w:val="hybridMultilevel"/>
    <w:lvl w:ilvl="0">
      <w:lvlJc w:val="left"/>
      <w:lvlText w:val="(%1)"/>
      <w:numFmt w:val="lowerLetter"/>
      <w:start w:val="4"/>
    </w:lvl>
    <w:lvl w:ilvl="1">
      <w:lvlJc w:val="left"/>
      <w:lvlText w:val="(%2)"/>
      <w:numFmt w:val="lowerRoman"/>
      <w:start w:val="1"/>
    </w:lvl>
  </w:abstractNum>
  <w:abstractNum w:abstractNumId="91">
    <w:nsid w:val="49D0FEAC"/>
    <w:multiLevelType w:val="hybridMultilevel"/>
    <w:lvl w:ilvl="0">
      <w:lvlJc w:val="left"/>
      <w:lvlText w:val="(%1)"/>
      <w:numFmt w:val="lowerLetter"/>
      <w:start w:val="5"/>
    </w:lvl>
  </w:abstractNum>
  <w:abstractNum w:abstractNumId="92">
    <w:nsid w:val="4BEE5A5B"/>
    <w:multiLevelType w:val="hybridMultilevel"/>
    <w:lvl w:ilvl="0">
      <w:lvlJc w:val="left"/>
      <w:lvlText w:val="(%1)"/>
      <w:numFmt w:val="lowerLetter"/>
      <w:start w:val="1"/>
    </w:lvl>
    <w:lvl w:ilvl="1">
      <w:lvlJc w:val="left"/>
      <w:lvlText w:val="(%2)"/>
      <w:numFmt w:val="lowerRoman"/>
      <w:start w:val="1"/>
    </w:lvl>
  </w:abstractNum>
  <w:abstractNum w:abstractNumId="93">
    <w:nsid w:val="5551B9F3"/>
    <w:multiLevelType w:val="hybridMultilevel"/>
    <w:lvl w:ilvl="0">
      <w:lvlJc w:val="left"/>
      <w:lvlText w:val="(%1)"/>
      <w:numFmt w:val="lowerRoman"/>
      <w:start w:val="1"/>
    </w:lvl>
    <w:lvl w:ilvl="1">
      <w:lvlJc w:val="left"/>
      <w:lvlText w:val="(%2)"/>
      <w:numFmt w:val="upperLetter"/>
      <w:start w:val="1"/>
    </w:lvl>
  </w:abstractNum>
  <w:abstractNum w:abstractNumId="94">
    <w:nsid w:val="24F6AB8E"/>
    <w:multiLevelType w:val="hybridMultilevel"/>
    <w:lvl w:ilvl="0">
      <w:lvlJc w:val="left"/>
      <w:lvlText w:val="(%1)"/>
      <w:numFmt w:val="lowerRoman"/>
      <w:start w:val="3"/>
    </w:lvl>
  </w:abstractNum>
  <w:abstractNum w:abstractNumId="95">
    <w:nsid w:val="634C574C"/>
    <w:multiLevelType w:val="hybridMultilevel"/>
    <w:lvl w:ilvl="0">
      <w:lvlJc w:val="left"/>
      <w:lvlText w:val="(%1)"/>
      <w:numFmt w:val="lowerLetter"/>
      <w:start w:val="1"/>
    </w:lvl>
  </w:abstractNum>
  <w:abstractNum w:abstractNumId="96">
    <w:nsid w:val="24E99DD7"/>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97">
    <w:nsid w:val="2A31B62D"/>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2"/>
    </w:lvl>
    <w:lvl w:ilvl="3">
      <w:lvlJc w:val="left"/>
      <w:lvlText w:val="(%4)"/>
      <w:numFmt w:val="lowerRoman"/>
      <w:start w:val="2"/>
    </w:lvl>
  </w:abstractNum>
  <w:abstractNum w:abstractNumId="98">
    <w:nsid w:val="1849C29B"/>
    <w:multiLevelType w:val="hybridMultilevel"/>
    <w:lvl w:ilvl="0">
      <w:lvlJc w:val="left"/>
      <w:lvlText w:val="(%1)"/>
      <w:numFmt w:val="lowerLetter"/>
      <w:start w:val="3"/>
    </w:lvl>
  </w:abstractNum>
  <w:abstractNum w:abstractNumId="99">
    <w:nsid w:val="7DFF9D09"/>
    <w:multiLevelType w:val="hybridMultilevel"/>
    <w:lvl w:ilvl="0">
      <w:lvlJc w:val="left"/>
      <w:lvlText w:val="(%1)"/>
      <w:numFmt w:val="lowerLetter"/>
      <w:start w:val="1"/>
    </w:lvl>
  </w:abstractNum>
  <w:abstractNum w:abstractNumId="100">
    <w:nsid w:val="754342"/>
    <w:multiLevelType w:val="hybridMultilevel"/>
    <w:lvl w:ilvl="0">
      <w:lvlJc w:val="left"/>
      <w:lvlText w:val="(%1)"/>
      <w:numFmt w:val="lowerLetter"/>
      <w:start w:val="1"/>
    </w:lvl>
  </w:abstractNum>
  <w:abstractNum w:abstractNumId="101">
    <w:nsid w:val="69E7F3E5"/>
    <w:multiLevelType w:val="hybridMultilevel"/>
    <w:lvl w:ilvl="0">
      <w:lvlJc w:val="left"/>
      <w:lvlText w:val="(%1)"/>
      <w:numFmt w:val="lowerLetter"/>
      <w:start w:val="1"/>
    </w:lvl>
  </w:abstractNum>
  <w:abstractNum w:abstractNumId="102">
    <w:nsid w:val="2A6DE806"/>
    <w:multiLevelType w:val="hybridMultilevel"/>
    <w:lvl w:ilvl="0">
      <w:lvlJc w:val="left"/>
      <w:lvlText w:val="(%1)"/>
      <w:numFmt w:val="lowerLetter"/>
      <w:start w:val="3"/>
    </w:lvl>
    <w:lvl w:ilvl="1">
      <w:lvlJc w:val="left"/>
      <w:lvlText w:val="(%2)"/>
      <w:numFmt w:val="lowerLetter"/>
      <w:start w:val="35"/>
    </w:lvl>
  </w:abstractNum>
  <w:abstractNum w:abstractNumId="103">
    <w:nsid w:val="1816F8C4"/>
    <w:multiLevelType w:val="hybridMultilevel"/>
    <w:lvl w:ilvl="0">
      <w:lvlJc w:val="left"/>
      <w:lvlText w:val="(%1)"/>
      <w:numFmt w:val="lowerLetter"/>
      <w:start w:val="4"/>
    </w:lvl>
  </w:abstractNum>
  <w:abstractNum w:abstractNumId="104">
    <w:nsid w:val="37DF2233"/>
    <w:multiLevelType w:val="hybridMultilevel"/>
    <w:lvl w:ilvl="0">
      <w:lvlJc w:val="left"/>
      <w:lvlText w:val="(%1)"/>
      <w:numFmt w:val="lowerLetter"/>
      <w:start w:val="6"/>
    </w:lvl>
  </w:abstractNum>
  <w:abstractNum w:abstractNumId="105">
    <w:nsid w:val="7AB49DAF"/>
    <w:multiLevelType w:val="hybridMultilevel"/>
    <w:lvl w:ilvl="0">
      <w:lvlJc w:val="left"/>
      <w:lvlText w:val="(%1)"/>
      <w:numFmt w:val="lowerLetter"/>
      <w:start w:val="1"/>
    </w:lvl>
  </w:abstractNum>
  <w:abstractNum w:abstractNumId="106">
    <w:nsid w:val="759F82CD"/>
    <w:multiLevelType w:val="hybridMultilevel"/>
    <w:lvl w:ilvl="0">
      <w:lvlJc w:val="left"/>
      <w:lvlText w:val="%1"/>
      <w:numFmt w:val="lowerLetter"/>
      <w:start w:val="1"/>
    </w:lvl>
    <w:lvl w:ilvl="1">
      <w:lvlJc w:val="left"/>
      <w:lvlText w:val="(%2)"/>
      <w:numFmt w:val="lowerLetter"/>
      <w:start w:val="2"/>
    </w:lvl>
  </w:abstractNum>
  <w:abstractNum w:abstractNumId="107">
    <w:nsid w:val="61E74EA3"/>
    <w:multiLevelType w:val="hybridMultilevel"/>
    <w:lvl w:ilvl="0">
      <w:lvlJc w:val="left"/>
      <w:lvlText w:val="(%1)"/>
      <w:numFmt w:val="lowerLetter"/>
      <w:start w:val="4"/>
    </w:lvl>
    <w:lvl w:ilvl="1">
      <w:lvlJc w:val="left"/>
      <w:lvlText w:val="%2"/>
      <w:numFmt w:val="lowerLetter"/>
      <w:start w:val="1"/>
    </w:lvl>
  </w:abstractNum>
  <w:abstractNum w:abstractNumId="108">
    <w:nsid w:val="597B4D84"/>
    <w:multiLevelType w:val="hybridMultilevel"/>
    <w:lvl w:ilvl="0">
      <w:lvlJc w:val="left"/>
      <w:lvlText w:val="%1"/>
      <w:numFmt w:val="lowerLetter"/>
      <w:start w:val="1"/>
    </w:lvl>
    <w:lvl w:ilvl="1">
      <w:lvlJc w:val="left"/>
      <w:lvlText w:val="(%2)"/>
      <w:numFmt w:val="lowerLetter"/>
      <w:start w:val="1"/>
    </w:lvl>
  </w:abstractNum>
  <w:abstractNum w:abstractNumId="109">
    <w:nsid w:val="F819E7F"/>
    <w:multiLevelType w:val="hybridMultilevel"/>
    <w:lvl w:ilvl="0">
      <w:lvlJc w:val="left"/>
      <w:lvlText w:val="(%1)"/>
      <w:numFmt w:val="lowerLetter"/>
      <w:start w:val="35"/>
    </w:lvl>
    <w:lvl w:ilvl="1">
      <w:lvlJc w:val="left"/>
      <w:lvlText w:val="(%2)"/>
      <w:numFmt w:val="lowerLetter"/>
      <w:start w:val="2"/>
    </w:lvl>
  </w:abstractNum>
  <w:abstractNum w:abstractNumId="110">
    <w:nsid w:val="57C7D42D"/>
    <w:multiLevelType w:val="hybridMultilevel"/>
    <w:lvl w:ilvl="0">
      <w:lvlJc w:val="left"/>
      <w:lvlText w:val="(%1)"/>
      <w:numFmt w:val="lowerLetter"/>
      <w:start w:val="1"/>
    </w:lvl>
    <w:lvl w:ilvl="1">
      <w:lvlJc w:val="left"/>
      <w:lvlText w:val="(%2)"/>
      <w:numFmt w:val="lowerRoman"/>
      <w:start w:val="1"/>
    </w:lvl>
  </w:abstractNum>
  <w:abstractNum w:abstractNumId="111">
    <w:nsid w:val="312167AD"/>
    <w:multiLevelType w:val="hybridMultilevel"/>
    <w:lvl w:ilvl="0">
      <w:lvlJc w:val="left"/>
      <w:lvlText w:val="(%1)"/>
      <w:numFmt w:val="lowerLetter"/>
      <w:start w:val="1"/>
    </w:lvl>
  </w:abstractNum>
  <w:abstractNum w:abstractNumId="112">
    <w:nsid w:val="631B64D4"/>
    <w:multiLevelType w:val="hybridMultilevel"/>
    <w:lvl w:ilvl="0">
      <w:lvlJc w:val="left"/>
      <w:lvlText w:val="(%1)"/>
      <w:numFmt w:val="lowerLetter"/>
      <w:start w:val="1"/>
    </w:lvl>
  </w:abstractNum>
  <w:abstractNum w:abstractNumId="113">
    <w:nsid w:val="78B5E776"/>
    <w:multiLevelType w:val="hybridMultilevel"/>
    <w:lvl w:ilvl="0">
      <w:lvlJc w:val="left"/>
      <w:lvlText w:val="(%1)"/>
      <w:numFmt w:val="lowerLetter"/>
      <w:start w:val="1"/>
    </w:lvl>
  </w:abstractNum>
  <w:abstractNum w:abstractNumId="114">
    <w:nsid w:val="75486E47"/>
    <w:multiLevelType w:val="hybridMultilevel"/>
    <w:lvl w:ilvl="0">
      <w:lvlJc w:val="left"/>
      <w:lvlText w:val="%1"/>
      <w:numFmt w:val="lowerLetter"/>
      <w:start w:val="1"/>
    </w:lvl>
    <w:lvl w:ilvl="1">
      <w:lvlJc w:val="left"/>
      <w:lvlText w:val="(%2)"/>
      <w:numFmt w:val="lowerRoman"/>
      <w:start w:val="1"/>
    </w:lvl>
  </w:abstractNum>
  <w:abstractNum w:abstractNumId="115">
    <w:nsid w:val="6E534CDE"/>
    <w:multiLevelType w:val="hybridMultilevel"/>
    <w:lvl w:ilvl="0">
      <w:lvlJc w:val="left"/>
      <w:lvlText w:val="(%1)"/>
      <w:numFmt w:val="lowerLetter"/>
      <w:start w:val="4"/>
    </w:lvl>
    <w:lvl w:ilvl="1">
      <w:lvlJc w:val="left"/>
      <w:lvlText w:val="(%2)"/>
      <w:numFmt w:val="lowerRoman"/>
      <w:start w:val="1"/>
    </w:lvl>
  </w:abstractNum>
  <w:abstractNum w:abstractNumId="116">
    <w:nsid w:val="1A0DDE32"/>
    <w:multiLevelType w:val="hybridMultilevel"/>
    <w:lvl w:ilvl="0">
      <w:lvlJc w:val="left"/>
      <w:lvlText w:val="(%1)"/>
      <w:numFmt w:val="lowerLetter"/>
      <w:start w:val="9"/>
    </w:lvl>
  </w:abstractNum>
  <w:abstractNum w:abstractNumId="117">
    <w:nsid w:val="65968C1C"/>
    <w:multiLevelType w:val="hybridMultilevel"/>
    <w:lvl w:ilvl="0">
      <w:lvlJc w:val="left"/>
      <w:lvlText w:val="(%1)"/>
      <w:numFmt w:val="lowerLetter"/>
      <w:start w:val="1"/>
    </w:lvl>
  </w:abstractNum>
  <w:abstractNum w:abstractNumId="118">
    <w:nsid w:val="46263DEC"/>
    <w:multiLevelType w:val="hybridMultilevel"/>
    <w:lvl w:ilvl="0">
      <w:lvlJc w:val="left"/>
      <w:lvlText w:val="(%1)"/>
      <w:numFmt w:val="lowerLetter"/>
      <w:start w:val="1"/>
    </w:lvl>
  </w:abstractNum>
  <w:abstractNum w:abstractNumId="119">
    <w:nsid w:val="260D8C4A"/>
    <w:multiLevelType w:val="hybridMultilevel"/>
    <w:lvl w:ilvl="0">
      <w:lvlJc w:val="left"/>
      <w:lvlText w:val="(%1)"/>
      <w:numFmt w:val="lowerLetter"/>
      <w:start w:val="1"/>
    </w:lvl>
  </w:abstractNum>
  <w:abstractNum w:abstractNumId="120">
    <w:nsid w:val="73D4D3C4"/>
    <w:multiLevelType w:val="hybridMultilevel"/>
    <w:lvl w:ilvl="0">
      <w:lvlJc w:val="left"/>
      <w:lvlText w:val="(%1)"/>
      <w:numFmt w:val="lowerLetter"/>
      <w:start w:val="2"/>
    </w:lvl>
  </w:abstractNum>
  <w:abstractNum w:abstractNumId="121">
    <w:nsid w:val="746F2E30"/>
    <w:multiLevelType w:val="hybridMultilevel"/>
    <w:lvl w:ilvl="0">
      <w:lvlJc w:val="left"/>
      <w:lvlText w:val="(%1)"/>
      <w:numFmt w:val="lowerLetter"/>
      <w:start w:val="1"/>
    </w:lvl>
  </w:abstractNum>
  <w:abstractNum w:abstractNumId="122">
    <w:nsid w:val="6FDE8AF6"/>
    <w:multiLevelType w:val="hybridMultilevel"/>
    <w:lvl w:ilvl="0">
      <w:lvlJc w:val="left"/>
      <w:lvlText w:val="(%1)"/>
      <w:numFmt w:val="lowerLetter"/>
      <w:start w:val="1"/>
    </w:lvl>
  </w:abstractNum>
  <w:abstractNum w:abstractNumId="123">
    <w:nsid w:val="3FC32E20"/>
    <w:multiLevelType w:val="hybridMultilevel"/>
    <w:lvl w:ilvl="0">
      <w:lvlJc w:val="left"/>
      <w:lvlText w:val="(%1)"/>
      <w:numFmt w:val="lowerLetter"/>
      <w:start w:val="1"/>
    </w:lvl>
  </w:abstractNum>
  <w:abstractNum w:abstractNumId="124">
    <w:nsid w:val="49C0E823"/>
    <w:multiLevelType w:val="hybridMultilevel"/>
    <w:lvl w:ilvl="0">
      <w:lvlJc w:val="left"/>
      <w:lvlText w:val="(%1)"/>
      <w:numFmt w:val="lowerLetter"/>
      <w:start w:val="1"/>
    </w:lvl>
  </w:abstractNum>
  <w:abstractNum w:abstractNumId="125">
    <w:nsid w:val="14D53685"/>
    <w:multiLevelType w:val="hybridMultilevel"/>
    <w:lvl w:ilvl="0">
      <w:lvlJc w:val="left"/>
      <w:lvlText w:val="(%1)"/>
      <w:numFmt w:val="lowerLetter"/>
      <w:start w:val="1"/>
    </w:lvl>
  </w:abstractNum>
  <w:abstractNum w:abstractNumId="126">
    <w:nsid w:val="230F856C"/>
    <w:multiLevelType w:val="hybridMultilevel"/>
    <w:lvl w:ilvl="0">
      <w:lvlJc w:val="left"/>
      <w:lvlText w:val="(%1)"/>
      <w:numFmt w:val="lowerLetter"/>
      <w:start w:val="1"/>
    </w:lvl>
  </w:abstractNum>
  <w:abstractNum w:abstractNumId="127">
    <w:nsid w:val="6EAA85FB"/>
    <w:multiLevelType w:val="hybridMultilevel"/>
    <w:lvl w:ilvl="0">
      <w:lvlJc w:val="left"/>
      <w:lvlText w:val="(%1)"/>
      <w:numFmt w:val="lowerLetter"/>
      <w:start w:val="1"/>
    </w:lvl>
  </w:abstractNum>
  <w:abstractNum w:abstractNumId="128">
    <w:nsid w:val="3F06ECB2"/>
    <w:multiLevelType w:val="hybridMultilevel"/>
    <w:lvl w:ilvl="0">
      <w:lvlJc w:val="left"/>
      <w:lvlText w:val="(%1)"/>
      <w:numFmt w:val="lowerLetter"/>
      <w:start w:val="1"/>
    </w:lvl>
  </w:abstractNum>
  <w:abstractNum w:abstractNumId="129">
    <w:nsid w:val="3B594807"/>
    <w:multiLevelType w:val="hybridMultilevel"/>
    <w:lvl w:ilvl="0">
      <w:lvlJc w:val="left"/>
      <w:lvlText w:val="(%1)"/>
      <w:numFmt w:val="lowerLetter"/>
      <w:start w:val="1"/>
    </w:lvl>
  </w:abstractNum>
  <w:abstractNum w:abstractNumId="130">
    <w:nsid w:val="6CAA2304"/>
    <w:multiLevelType w:val="hybridMultilevel"/>
    <w:lvl w:ilvl="0">
      <w:lvlJc w:val="left"/>
      <w:lvlText w:val="(%1)"/>
      <w:numFmt w:val="lowerLetter"/>
      <w:start w:val="1"/>
    </w:lvl>
  </w:abstractNum>
  <w:abstractNum w:abstractNumId="131">
    <w:nsid w:val="3F7C2FF4"/>
    <w:multiLevelType w:val="hybridMultilevel"/>
    <w:lvl w:ilvl="0">
      <w:lvlJc w:val="left"/>
      <w:lvlText w:val="(%1)"/>
      <w:numFmt w:val="lowerLetter"/>
      <w:start w:val="8"/>
    </w:lvl>
  </w:abstractNum>
  <w:abstractNum w:abstractNumId="132">
    <w:nsid w:val="25413BEC"/>
    <w:multiLevelType w:val="hybridMultilevel"/>
    <w:lvl w:ilvl="0">
      <w:lvlJc w:val="left"/>
      <w:lvlText w:val="(%1)"/>
      <w:numFmt w:val="lowerLetter"/>
      <w:start w:val="1"/>
    </w:lvl>
  </w:abstractNum>
  <w:abstractNum w:abstractNumId="133">
    <w:nsid w:val="17180B0B"/>
    <w:multiLevelType w:val="hybridMultilevel"/>
    <w:lvl w:ilvl="0">
      <w:lvlJc w:val="left"/>
      <w:lvlText w:val="(%1)"/>
      <w:numFmt w:val="lowerLetter"/>
      <w:start w:val="1"/>
    </w:lvl>
  </w:abstractNum>
  <w:abstractNum w:abstractNumId="134">
    <w:nsid w:val="579328B9"/>
    <w:multiLevelType w:val="hybridMultilevel"/>
    <w:lvl w:ilvl="0">
      <w:lvlJc w:val="left"/>
      <w:lvlText w:val="(%1)"/>
      <w:numFmt w:val="lowerLetter"/>
      <w:start w:val="3"/>
    </w:lvl>
  </w:abstractNum>
  <w:abstractNum w:abstractNumId="135">
    <w:nsid w:val="5D205E20"/>
    <w:multiLevelType w:val="hybridMultilevel"/>
    <w:lvl w:ilvl="0">
      <w:lvlJc w:val="left"/>
      <w:lvlText w:val="(%1)"/>
      <w:numFmt w:val="lowerLetter"/>
      <w:start w:val="1"/>
    </w:lvl>
  </w:abstractNum>
  <w:abstractNum w:abstractNumId="136">
    <w:nsid w:val="11CCA8BA"/>
    <w:multiLevelType w:val="hybridMultilevel"/>
    <w:lvl w:ilvl="0">
      <w:lvlJc w:val="left"/>
      <w:lvlText w:val="(%1)"/>
      <w:numFmt w:val="lowerLetter"/>
      <w:start w:val="1"/>
    </w:lvl>
  </w:abstractNum>
  <w:abstractNum w:abstractNumId="137">
    <w:nsid w:val="4D32AB86"/>
    <w:multiLevelType w:val="hybridMultilevel"/>
    <w:lvl w:ilvl="0">
      <w:lvlJc w:val="left"/>
      <w:lvlText w:val="(%1)"/>
      <w:numFmt w:val="lowerLetter"/>
      <w:start w:val="2"/>
    </w:lvl>
  </w:abstractNum>
  <w:abstractNum w:abstractNumId="138">
    <w:nsid w:val="3F07ACC3"/>
    <w:multiLevelType w:val="hybridMultilevel"/>
    <w:lvl w:ilvl="0">
      <w:lvlJc w:val="left"/>
      <w:lvlText w:val="(%1)"/>
      <w:numFmt w:val="lowerLetter"/>
      <w:start w:val="1"/>
    </w:lvl>
  </w:abstractNum>
  <w:abstractNum w:abstractNumId="139">
    <w:nsid w:val="6B47F63E"/>
    <w:multiLevelType w:val="hybridMultilevel"/>
    <w:lvl w:ilvl="0">
      <w:lvlJc w:val="left"/>
      <w:lvlText w:val="(%1)"/>
      <w:numFmt w:val="lowerLetter"/>
      <w:start w:val="1"/>
    </w:lvl>
  </w:abstractNum>
  <w:abstractNum w:abstractNumId="140">
    <w:nsid w:val="5CB44A05"/>
    <w:multiLevelType w:val="hybridMultilevel"/>
    <w:lvl w:ilvl="0">
      <w:lvlJc w:val="left"/>
      <w:lvlText w:val="(%1)"/>
      <w:numFmt w:val="lowerLetter"/>
      <w:start w:val="1"/>
    </w:lvl>
  </w:abstractNum>
  <w:abstractNum w:abstractNumId="141">
    <w:nsid w:val="16CF80F1"/>
    <w:multiLevelType w:val="hybridMultilevel"/>
    <w:lvl w:ilvl="0">
      <w:lvlJc w:val="left"/>
      <w:lvlText w:val="(%1)"/>
      <w:numFmt w:val="lowerLetter"/>
      <w:start w:val="1"/>
    </w:lvl>
  </w:abstractNum>
  <w:abstractNum w:abstractNumId="142">
    <w:nsid w:val="1C695DEC"/>
    <w:multiLevelType w:val="hybridMultilevel"/>
    <w:lvl w:ilvl="0">
      <w:lvlJc w:val="left"/>
      <w:lvlText w:val="%1"/>
      <w:numFmt w:val="upperLetter"/>
      <w:start w:val="1"/>
    </w:lvl>
    <w:lvl w:ilvl="1">
      <w:lvlJc w:val="left"/>
      <w:lvlText w:val="(%2)"/>
      <w:numFmt w:val="lowerLetter"/>
      <w:start w:val="1"/>
    </w:lvl>
  </w:abstractNum>
  <w:abstractNum w:abstractNumId="143">
    <w:nsid w:val="3FCFAED9"/>
    <w:multiLevelType w:val="hybridMultilevel"/>
    <w:lvl w:ilvl="0">
      <w:lvlJc w:val="left"/>
      <w:lvlText w:val="(%1)"/>
      <w:numFmt w:val="upperLetter"/>
      <w:start w:val="2"/>
    </w:lvl>
    <w:lvl w:ilvl="1">
      <w:lvlJc w:val="left"/>
      <w:lvlText w:val="%2"/>
      <w:numFmt w:val="lowerLetter"/>
      <w:start w:val="1"/>
    </w:lvl>
  </w:abstractNum>
  <w:abstractNum w:abstractNumId="144">
    <w:nsid w:val="F856867"/>
    <w:multiLevelType w:val="hybridMultilevel"/>
    <w:lvl w:ilvl="0">
      <w:lvlJc w:val="left"/>
      <w:lvlText w:val="(%1)"/>
      <w:numFmt w:val="lowerLetter"/>
      <w:start w:val="6"/>
    </w:lvl>
  </w:abstractNum>
  <w:abstractNum w:abstractNumId="145">
    <w:nsid w:val="11B1CC33"/>
    <w:multiLevelType w:val="hybridMultilevel"/>
    <w:lvl w:ilvl="0">
      <w:lvlJc w:val="left"/>
      <w:lvlText w:val="(%1)"/>
      <w:numFmt w:val="lowerLetter"/>
      <w:start w:val="1"/>
    </w:lvl>
  </w:abstractNum>
  <w:abstractNum w:abstractNumId="146">
    <w:nsid w:val="2E22FBB7"/>
    <w:multiLevelType w:val="hybridMultilevel"/>
    <w:lvl w:ilvl="0">
      <w:lvlJc w:val="left"/>
      <w:lvlText w:val="(%1)"/>
      <w:numFmt w:val="lowerLetter"/>
      <w:start w:val="1"/>
    </w:lvl>
  </w:abstractNum>
  <w:abstractNum w:abstractNumId="147">
    <w:nsid w:val="29934699"/>
    <w:multiLevelType w:val="hybridMultilevel"/>
    <w:lvl w:ilvl="0">
      <w:lvlJc w:val="left"/>
      <w:lvlText w:val="(%1)"/>
      <w:numFmt w:val="lowerLetter"/>
      <w:start w:val="3"/>
    </w:lvl>
  </w:abstractNum>
  <w:abstractNum w:abstractNumId="148">
    <w:nsid w:val="77485850"/>
    <w:multiLevelType w:val="hybridMultilevel"/>
    <w:lvl w:ilvl="0">
      <w:lvlJc w:val="left"/>
      <w:lvlText w:val="(%1)"/>
      <w:numFmt w:val="lowerLetter"/>
      <w:start w:val="1"/>
    </w:lvl>
  </w:abstractNum>
  <w:abstractNum w:abstractNumId="149">
    <w:nsid w:val="744939A3"/>
    <w:multiLevelType w:val="hybridMultilevel"/>
    <w:lvl w:ilvl="0">
      <w:lvlJc w:val="left"/>
      <w:lvlText w:val="(%1)"/>
      <w:numFmt w:val="lowerLetter"/>
      <w:start w:val="1"/>
    </w:lvl>
  </w:abstractNum>
  <w:abstractNum w:abstractNumId="150">
    <w:nsid w:val="4FA0D2E3"/>
    <w:multiLevelType w:val="hybridMultilevel"/>
    <w:lvl w:ilvl="0">
      <w:lvlJc w:val="left"/>
      <w:lvlText w:val="(%1)"/>
      <w:numFmt w:val="lowerLetter"/>
      <w:start w:val="7"/>
    </w:lvl>
  </w:abstractNum>
  <w:abstractNum w:abstractNumId="151">
    <w:nsid w:val="6B1D2C14"/>
    <w:multiLevelType w:val="hybridMultilevel"/>
    <w:lvl w:ilvl="0">
      <w:lvlJc w:val="left"/>
      <w:lvlText w:val="(%1)"/>
      <w:numFmt w:val="lowerLetter"/>
      <w:start w:val="1"/>
    </w:lvl>
    <w:lvl w:ilvl="1">
      <w:lvlJc w:val="left"/>
      <w:lvlText w:val="(%2)"/>
      <w:numFmt w:val="lowerRoman"/>
      <w:start w:val="1"/>
    </w:lvl>
  </w:abstractNum>
  <w:abstractNum w:abstractNumId="152">
    <w:nsid w:val="68B867D3"/>
    <w:multiLevelType w:val="hybridMultilevel"/>
    <w:lvl w:ilvl="0">
      <w:lvlJc w:val="left"/>
      <w:lvlText w:val="(%1)"/>
      <w:numFmt w:val="lowerLetter"/>
      <w:start w:val="3"/>
    </w:lvl>
  </w:abstractNum>
  <w:abstractNum w:abstractNumId="153">
    <w:nsid w:val="3F7F5DD9"/>
    <w:multiLevelType w:val="hybridMultilevel"/>
    <w:lvl w:ilvl="0">
      <w:lvlJc w:val="left"/>
      <w:lvlText w:val="(%1)"/>
      <w:numFmt w:val="lowerLetter"/>
      <w:start w:val="1"/>
    </w:lvl>
  </w:abstractNum>
  <w:abstractNum w:abstractNumId="154">
    <w:nsid w:val="2AE05A34"/>
    <w:multiLevelType w:val="hybridMultilevel"/>
    <w:lvl w:ilvl="0">
      <w:lvlJc w:val="left"/>
      <w:lvlText w:val="(%1)"/>
      <w:numFmt w:val="lowerLetter"/>
      <w:start w:val="4"/>
    </w:lvl>
  </w:abstractNum>
  <w:abstractNum w:abstractNumId="155">
    <w:nsid w:val="32794FF7"/>
    <w:multiLevelType w:val="hybridMultilevel"/>
    <w:lvl w:ilvl="0">
      <w:lvlJc w:val="left"/>
      <w:lvlText w:val="(%1)"/>
      <w:numFmt w:val="lowerLetter"/>
      <w:start w:val="1"/>
    </w:lvl>
  </w:abstractNum>
  <w:abstractNum w:abstractNumId="156">
    <w:nsid w:val="5454945E"/>
    <w:multiLevelType w:val="hybridMultilevel"/>
    <w:lvl w:ilvl="0">
      <w:lvlJc w:val="left"/>
      <w:lvlText w:val="(%1)"/>
      <w:numFmt w:val="lowerLetter"/>
      <w:start w:val="4"/>
    </w:lvl>
  </w:abstractNum>
  <w:abstractNum w:abstractNumId="157">
    <w:nsid w:val="4DEFDFA0"/>
    <w:multiLevelType w:val="hybridMultilevel"/>
    <w:lvl w:ilvl="0">
      <w:lvlJc w:val="left"/>
      <w:lvlText w:val="(%1)"/>
      <w:numFmt w:val="lowerLetter"/>
      <w:start w:val="1"/>
    </w:lvl>
    <w:lvl w:ilvl="1">
      <w:lvlJc w:val="left"/>
      <w:lvlText w:val="(%2)"/>
      <w:numFmt w:val="lowerLetter"/>
      <w:start w:val="9"/>
    </w:lvl>
  </w:abstractNum>
  <w:abstractNum w:abstractNumId="158">
    <w:nsid w:val="2123D5F2"/>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1"/>
    </w:lvl>
    <w:lvl w:ilvl="3">
      <w:lvlJc w:val="left"/>
      <w:lvlText w:val="%4"/>
      <w:numFmt w:val="upperLetter"/>
      <w:start w:val="1"/>
    </w:lvl>
  </w:abstractNum>
  <w:abstractNum w:abstractNumId="159">
    <w:nsid w:val="135B8110"/>
    <w:multiLevelType w:val="hybridMultilevel"/>
    <w:lvl w:ilvl="0">
      <w:lvlJc w:val="left"/>
      <w:lvlText w:val="(%1)"/>
      <w:numFmt w:val="lowerRoman"/>
      <w:start w:val="2"/>
    </w:lvl>
    <w:lvl w:ilvl="1">
      <w:lvlJc w:val="left"/>
      <w:lvlText w:val="(%2)"/>
      <w:numFmt w:val="decimal"/>
      <w:start w:val="1"/>
    </w:lvl>
    <w:lvl w:ilvl="2">
      <w:lvlJc w:val="left"/>
      <w:lvlText w:val="%3"/>
      <w:numFmt w:val="upperLetter"/>
      <w:start w:val="1"/>
    </w:lvl>
    <w:lvl w:ilvl="3">
      <w:lvlJc w:val="left"/>
      <w:lvlText w:val="(%4)"/>
      <w:numFmt w:val="upperLetter"/>
      <w:start w:val="1"/>
    </w:lvl>
  </w:abstractNum>
  <w:abstractNum w:abstractNumId="160">
    <w:nsid w:val="94927A8"/>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1"/>
    </w:lvl>
    <w:lvl w:ilvl="3">
      <w:lvlJc w:val="left"/>
      <w:lvlText w:val="(%4)"/>
      <w:numFmt w:val="upperLetter"/>
      <w:start w:val="2"/>
    </w:lvl>
  </w:abstractNum>
  <w:abstractNum w:abstractNumId="161">
    <w:nsid w:val="DCDF8F6"/>
    <w:multiLevelType w:val="hybridMultilevel"/>
    <w:lvl w:ilvl="0">
      <w:lvlJc w:val="left"/>
      <w:lvlText w:val="(%1)"/>
      <w:numFmt w:val="lowerRoman"/>
      <w:start w:val="4"/>
    </w:lvl>
    <w:lvl w:ilvl="1">
      <w:lvlJc w:val="left"/>
      <w:lvlText w:val="%2"/>
      <w:numFmt w:val="decimal"/>
      <w:start w:val="1"/>
    </w:lvl>
    <w:lvl w:ilvl="2">
      <w:lvlJc w:val="left"/>
      <w:lvlText w:val="%3"/>
      <w:numFmt w:val="upperLetter"/>
      <w:start w:val="1"/>
    </w:lvl>
    <w:lvl w:ilvl="3">
      <w:lvlJc w:val="left"/>
      <w:lvlText w:val="%4"/>
      <w:numFmt w:val="upperLetter"/>
      <w:start w:val="1"/>
    </w:lvl>
  </w:abstractNum>
  <w:abstractNum w:abstractNumId="162">
    <w:nsid w:val="52D7B105"/>
    <w:multiLevelType w:val="hybridMultilevel"/>
    <w:lvl w:ilvl="0">
      <w:lvlJc w:val="left"/>
      <w:lvlText w:val="(%1)"/>
      <w:numFmt w:val="lowerRoman"/>
      <w:start w:val="5"/>
    </w:lvl>
  </w:abstractNum>
  <w:abstractNum w:abstractNumId="163">
    <w:nsid w:val="2E8A6394"/>
    <w:multiLevelType w:val="hybridMultilevel"/>
    <w:lvl w:ilvl="0">
      <w:lvlJc w:val="left"/>
      <w:lvlText w:val="(%1)"/>
      <w:numFmt w:val="lowerLetter"/>
      <w:start w:val="3"/>
    </w:lvl>
  </w:abstractNum>
  <w:abstractNum w:abstractNumId="164">
    <w:nsid w:val="24E60401"/>
    <w:multiLevelType w:val="hybridMultilevel"/>
    <w:lvl w:ilvl="0">
      <w:lvlJc w:val="left"/>
      <w:lvlText w:val="(%1)"/>
      <w:numFmt w:val="lowerLetter"/>
      <w:start w:val="5"/>
    </w:lvl>
  </w:abstractNum>
  <w:abstractNum w:abstractNumId="165">
    <w:nsid w:val="2A6AD9BE"/>
    <w:multiLevelType w:val="hybridMultilevel"/>
    <w:lvl w:ilvl="0">
      <w:lvlJc w:val="left"/>
      <w:lvlText w:val="(%1)"/>
      <w:numFmt w:val="lowerLetter"/>
      <w:start w:val="2"/>
    </w:lvl>
  </w:abstractNum>
  <w:abstractNum w:abstractNumId="166">
    <w:nsid w:val="BAAC1B4"/>
    <w:multiLevelType w:val="hybridMultilevel"/>
    <w:lvl w:ilvl="0">
      <w:lvlJc w:val="left"/>
      <w:lvlText w:val="(%1)"/>
      <w:numFmt w:val="lowerLetter"/>
      <w:start w:val="1"/>
    </w:lvl>
  </w:abstractNum>
  <w:abstractNum w:abstractNumId="167">
    <w:nsid w:val="36B2ACBC"/>
    <w:multiLevelType w:val="hybridMultilevel"/>
    <w:lvl w:ilvl="0">
      <w:lvlJc w:val="left"/>
      <w:lvlText w:val="(%1)"/>
      <w:numFmt w:val="lowerRoman"/>
      <w:start w:val="2"/>
    </w:lvl>
  </w:abstractNum>
  <w:abstractNum w:abstractNumId="168">
    <w:nsid w:val="779D8544"/>
    <w:multiLevelType w:val="hybridMultilevel"/>
    <w:lvl w:ilvl="0">
      <w:lvlJc w:val="left"/>
      <w:lvlText w:val="(%1)"/>
      <w:numFmt w:val="lowerRoman"/>
      <w:start w:val="4"/>
    </w:lvl>
  </w:abstractNum>
  <w:abstractNum w:abstractNumId="169">
    <w:nsid w:val="4AB26E78"/>
    <w:multiLevelType w:val="hybridMultilevel"/>
    <w:lvl w:ilvl="0">
      <w:lvlJc w:val="left"/>
      <w:lvlText w:val="(%1)"/>
      <w:numFmt w:val="lowerLetter"/>
      <w:start w:val="2"/>
    </w:lvl>
  </w:abstractNum>
  <w:abstractNum w:abstractNumId="170">
    <w:nsid w:val="21FAA2FA"/>
    <w:multiLevelType w:val="hybridMultilevel"/>
    <w:lvl w:ilvl="0">
      <w:lvlJc w:val="left"/>
      <w:lvlText w:val="(%1)"/>
      <w:numFmt w:val="lowerRoman"/>
      <w:start w:val="1"/>
    </w:lvl>
  </w:abstractNum>
  <w:abstractNum w:abstractNumId="171">
    <w:nsid w:val="5451CF49"/>
    <w:multiLevelType w:val="hybridMultilevel"/>
    <w:lvl w:ilvl="0">
      <w:lvlJc w:val="left"/>
      <w:lvlText w:val="(%1)"/>
      <w:numFmt w:val="lowerLetter"/>
      <w:start w:val="1"/>
    </w:lvl>
  </w:abstractNum>
  <w:abstractNum w:abstractNumId="172">
    <w:nsid w:val="6181EF69"/>
    <w:multiLevelType w:val="hybridMultilevel"/>
    <w:lvl w:ilvl="0">
      <w:lvlJc w:val="left"/>
      <w:lvlText w:val="(%1)"/>
      <w:numFmt w:val="upperLetter"/>
      <w:start w:val="2"/>
    </w:lvl>
  </w:abstractNum>
  <w:abstractNum w:abstractNumId="173">
    <w:nsid w:val="3E6400E6"/>
    <w:multiLevelType w:val="hybridMultilevel"/>
    <w:lvl w:ilvl="0">
      <w:lvlJc w:val="left"/>
      <w:lvlText w:val="(%1)"/>
      <w:numFmt w:val="lowerLetter"/>
      <w:start w:val="1"/>
    </w:lvl>
  </w:abstractNum>
  <w:abstractNum w:abstractNumId="174">
    <w:nsid w:val="14217E23"/>
    <w:multiLevelType w:val="hybridMultilevel"/>
    <w:lvl w:ilvl="0">
      <w:lvlJc w:val="left"/>
      <w:lvlText w:val="(%1)"/>
      <w:numFmt w:val="lowerLetter"/>
      <w:start w:val="2"/>
    </w:lvl>
  </w:abstractNum>
  <w:abstractNum w:abstractNumId="175">
    <w:nsid w:val="710757D0"/>
    <w:multiLevelType w:val="hybridMultilevel"/>
    <w:lvl w:ilvl="0">
      <w:lvlJc w:val="left"/>
      <w:lvlText w:val="(%1)"/>
      <w:numFmt w:val="lowerLetter"/>
      <w:start w:val="7"/>
    </w:lvl>
  </w:abstractNum>
  <w:abstractNum w:abstractNumId="176">
    <w:nsid w:val="5015CD1A"/>
    <w:multiLevelType w:val="hybridMultilevel"/>
    <w:lvl w:ilvl="0">
      <w:lvlJc w:val="left"/>
      <w:lvlText w:val="(%1)"/>
      <w:numFmt w:val="decimal"/>
      <w:start w:val="1"/>
    </w:lvl>
  </w:abstractNum>
  <w:abstractNum w:abstractNumId="177">
    <w:nsid w:val="424479DA"/>
    <w:multiLevelType w:val="hybridMultilevel"/>
    <w:lvl w:ilvl="0">
      <w:lvlJc w:val="left"/>
      <w:lvlText w:val="(%1)"/>
      <w:numFmt w:val="decimal"/>
      <w:start w:val="1"/>
    </w:lvl>
    <w:lvl w:ilvl="1">
      <w:lvlJc w:val="left"/>
      <w:lvlText w:val="%2)"/>
      <w:numFmt w:val="lowerLetter"/>
      <w:start w:val="1"/>
    </w:lvl>
  </w:abstractNum>
  <w:abstractNum w:abstractNumId="178">
    <w:nsid w:val="1A9A9E69"/>
    <w:multiLevelType w:val="hybridMultilevel"/>
    <w:lvl w:ilvl="0">
      <w:lvlJc w:val="left"/>
      <w:lvlText w:val="(%1)"/>
      <w:numFmt w:val="decimal"/>
      <w:start w:val="1"/>
    </w:lvl>
    <w:lvl w:ilvl="1">
      <w:lvlJc w:val="left"/>
      <w:lvlText w:val="%2)"/>
      <w:numFmt w:val="lowerLetter"/>
      <w:start w:val="1"/>
    </w:lvl>
  </w:abstractNum>
  <w:abstractNum w:abstractNumId="179">
    <w:nsid w:val="475E256A"/>
    <w:multiLevelType w:val="hybridMultilevel"/>
    <w:lvl w:ilvl="0">
      <w:lvlJc w:val="left"/>
      <w:lvlText w:val="(%1)"/>
      <w:numFmt w:val="decimal"/>
      <w:start w:val="1"/>
    </w:lvl>
  </w:abstractNum>
  <w:abstractNum w:abstractNumId="180">
    <w:nsid w:val="368DB37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2019-12-13T14:17:23Z</dcterms:created>
  <dcterms:modified xsi:type="dcterms:W3CDTF">2019-12-13T14:17:23Z</dcterms:modified>
</cp:coreProperties>
</file>