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F O R M 11 — K</w:t>
      </w:r>
    </w:p>
    <w:p>
      <w:pPr>
        <w:spacing w:after="0" w:line="132" w:lineRule="exact"/>
        <w:rPr>
          <w:sz w:val="20"/>
          <w:szCs w:val="20"/>
          <w:color w:val="auto"/>
        </w:rPr>
      </w:pPr>
    </w:p>
    <w:p>
      <w:pPr>
        <w:ind w:left="1380" w:hanging="1061"/>
        <w:spacing w:after="0"/>
        <w:tabs>
          <w:tab w:leader="none" w:pos="13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15(d) OF THE SECURITIES EXCHANGE ACT OF 1934</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2006</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64" w:lineRule="exact"/>
        <w:rPr>
          <w:sz w:val="20"/>
          <w:szCs w:val="20"/>
          <w:color w:val="auto"/>
        </w:rPr>
      </w:pPr>
    </w:p>
    <w:p>
      <w:pPr>
        <w:ind w:left="1380"/>
        <w:spacing w:after="0"/>
        <w:tabs>
          <w:tab w:leader="none" w:pos="4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ind w:right="3560" w:firstLine="3673"/>
        <w:spacing w:after="0" w:line="476" w:lineRule="auto"/>
        <w:rPr>
          <w:sz w:val="20"/>
          <w:szCs w:val="20"/>
          <w:color w:val="auto"/>
        </w:rPr>
      </w:pPr>
      <w:r>
        <w:rPr>
          <w:rFonts w:ascii="Arial" w:cs="Arial" w:eastAsia="Arial" w:hAnsi="Arial"/>
          <w:sz w:val="16"/>
          <w:szCs w:val="16"/>
          <w:b w:val="1"/>
          <w:bCs w:val="1"/>
          <w:color w:val="auto"/>
        </w:rPr>
        <w:t xml:space="preserve">Commission file number 1-14959 Brady Corporation </w:t>
      </w:r>
      <w:r>
        <w:rPr>
          <w:rFonts w:ascii="Arial" w:cs="Arial" w:eastAsia="Arial" w:hAnsi="Arial"/>
          <w:sz w:val="16"/>
          <w:szCs w:val="16"/>
          <w:color w:val="auto"/>
        </w:rPr>
        <w:t>A. Full title of the plan and the address of the plan, if different from that of the issuer named below:</w:t>
      </w:r>
    </w:p>
    <w:p>
      <w:pPr>
        <w:spacing w:after="0" w:line="1" w:lineRule="exact"/>
        <w:rPr>
          <w:sz w:val="20"/>
          <w:szCs w:val="20"/>
          <w:color w:val="auto"/>
        </w:rPr>
      </w:pPr>
    </w:p>
    <w:p>
      <w:pPr>
        <w:ind w:left="2800"/>
        <w:spacing w:after="0"/>
        <w:rPr>
          <w:sz w:val="20"/>
          <w:szCs w:val="20"/>
          <w:color w:val="auto"/>
        </w:rPr>
      </w:pPr>
      <w:r>
        <w:rPr>
          <w:rFonts w:ascii="Arial" w:cs="Arial" w:eastAsia="Arial" w:hAnsi="Arial"/>
          <w:sz w:val="43"/>
          <w:szCs w:val="43"/>
          <w:b w:val="1"/>
          <w:bCs w:val="1"/>
          <w:color w:val="auto"/>
        </w:rPr>
        <w:t>EMED CO., INC. 401(k) PLAN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BRADY CORPORATION</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PO BOX 571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 53202-0571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EMED Co., Inc. 401(k) Plan</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Financial Statements as of and for the Years Ended December 31, 2006 and 2005, Supplemental Schedules as of December 31, 2006,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40"/>
          </w:cols>
          <w:pgMar w:left="240" w:top="419" w:right="10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EMED CO., INC.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gridSpan w:val="11"/>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REPORT OF INDEPENDENT REGISTERED PUBLIC ACCOUNTING FIRM</w:t>
              </w:r>
            </w:hyperlink>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80" w:type="dxa"/>
            <w:vAlign w:val="bottom"/>
            <w:gridSpan w:val="11"/>
            <w:vMerge w:val="continue"/>
          </w:tcPr>
          <w:p>
            <w:pPr>
              <w:spacing w:after="0"/>
              <w:rPr>
                <w:sz w:val="14"/>
                <w:szCs w:val="14"/>
                <w:color w:val="auto"/>
              </w:rPr>
            </w:pPr>
          </w:p>
        </w:tc>
        <w:tc>
          <w:tcPr>
            <w:tcW w:w="940" w:type="dxa"/>
            <w:vAlign w:val="bottom"/>
          </w:tcPr>
          <w:p>
            <w:pPr>
              <w:jc w:val="right"/>
              <w:ind w:right="252"/>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3"/>
        </w:trPr>
        <w:tc>
          <w:tcPr>
            <w:tcW w:w="580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FINANCIAL STATEMENTS:</w:t>
            </w:r>
          </w:p>
        </w:tc>
        <w:tc>
          <w:tcPr>
            <w:tcW w:w="4680" w:type="dxa"/>
            <w:vAlign w:val="bottom"/>
            <w:gridSpan w:val="6"/>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gridSpan w:val="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Statements of Net Assets Available for Benefits as of December 31, 2006 and 2005</w:t>
              </w:r>
            </w:hyperlink>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5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Statements of Changes in Net Assets Available for Benefits for the Years Ended December 31, 2006 and 2005</w:t>
              </w:r>
            </w:hyperlink>
          </w:p>
        </w:tc>
        <w:tc>
          <w:tcPr>
            <w:tcW w:w="2340" w:type="dxa"/>
            <w:vAlign w:val="bottom"/>
            <w:gridSpan w:val="2"/>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gridSpan w:val="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 as of and for the Years Ended December 31, 2006 and 2005</w:t>
              </w:r>
            </w:hyperlink>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12">
              <w:r>
                <w:rPr>
                  <w:rFonts w:ascii="Arial" w:cs="Arial" w:eastAsia="Arial" w:hAnsi="Arial"/>
                  <w:sz w:val="18"/>
                  <w:szCs w:val="18"/>
                  <w:color w:val="0000EE"/>
                  <w:w w:val="95"/>
                </w:rPr>
                <w:t>SUPPLEMENTAL SCHEDULES—</w:t>
              </w:r>
            </w:hyperlink>
          </w:p>
        </w:tc>
        <w:tc>
          <w:tcPr>
            <w:tcW w:w="7820" w:type="dxa"/>
            <w:vAlign w:val="bottom"/>
            <w:gridSpan w:val="7"/>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6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Form 5500, Schedule H, Part IV, Line 4i—Schedule of Assets (Held at End of Year) as of December 31, 2006</w:t>
              </w:r>
            </w:hyperlink>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60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9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Form 5500, Schedule H, Part IV, Question 4a—Delinquent Participant Contributions for the Year Ended December 31, 2006</w:t>
              </w:r>
            </w:hyperlink>
          </w:p>
        </w:tc>
        <w:tc>
          <w:tcPr>
            <w:tcW w:w="1300" w:type="dxa"/>
            <w:vAlign w:val="bottom"/>
          </w:tcPr>
          <w:p>
            <w:pPr>
              <w:spacing w:after="0"/>
              <w:rPr>
                <w:sz w:val="24"/>
                <w:szCs w:val="24"/>
                <w:color w:val="auto"/>
              </w:rPr>
            </w:pPr>
          </w:p>
        </w:tc>
        <w:tc>
          <w:tcPr>
            <w:tcW w:w="94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44"/>
        </w:trPr>
        <w:tc>
          <w:tcPr>
            <w:tcW w:w="10480" w:type="dxa"/>
            <w:vAlign w:val="bottom"/>
            <w:gridSpan w:val="11"/>
          </w:tcPr>
          <w:p>
            <w:pPr>
              <w:spacing w:after="0"/>
              <w:rPr>
                <w:sz w:val="20"/>
                <w:szCs w:val="20"/>
                <w:color w:val="auto"/>
              </w:rPr>
            </w:pPr>
            <w:r>
              <w:rPr>
                <w:rFonts w:ascii="Arial" w:cs="Arial" w:eastAsia="Arial" w:hAnsi="Arial"/>
                <w:sz w:val="18"/>
                <w:szCs w:val="18"/>
                <w:color w:val="auto"/>
              </w:rPr>
              <w:t>Consent of Deloitte Touche LLP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10420" w:type="dxa"/>
            <w:vAlign w:val="bottom"/>
            <w:gridSpan w:val="10"/>
          </w:tcPr>
          <w:p>
            <w:pPr>
              <w:spacing w:after="0" w:line="184" w:lineRule="exact"/>
              <w:rPr>
                <w:sz w:val="20"/>
                <w:szCs w:val="20"/>
                <w:color w:val="auto"/>
              </w:rPr>
            </w:pPr>
            <w:r>
              <w:rPr>
                <w:rFonts w:ascii="Arial" w:cs="Arial" w:eastAsia="Arial" w:hAnsi="Arial"/>
                <w:sz w:val="18"/>
                <w:szCs w:val="18"/>
                <w:color w:val="0000EE"/>
              </w:rPr>
              <w:t>Consent of Deloitte &amp; Touche LLP</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right="260" w:hanging="659"/>
        <w:spacing w:after="0" w:line="277" w:lineRule="auto"/>
        <w:tabs>
          <w:tab w:leader="none" w:pos="640" w:val="left"/>
        </w:tabs>
        <w:rPr>
          <w:sz w:val="20"/>
          <w:szCs w:val="20"/>
          <w:color w:val="auto"/>
        </w:rPr>
      </w:pPr>
      <w:r>
        <w:rPr>
          <w:rFonts w:ascii="Arial" w:cs="Arial" w:eastAsia="Arial" w:hAnsi="Arial"/>
          <w:sz w:val="18"/>
          <w:szCs w:val="18"/>
          <w:color w:val="auto"/>
        </w:rPr>
        <w:t>NOTE:</w:t>
        <w:tab/>
        <w:t>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EMED Co., Inc. 401(k) Plan:</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audited the accompanying statements of net assets available for benefits of EMED Co., Inc. 401(k) Plan (the “Plan”) as of December 31, 2006 and 2005,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5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7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2006 and 2005, and the changes in net assets available for benefits for the years then ended, in conformity with accounting principles generally accepted in the United States of America.</w:t>
      </w:r>
    </w:p>
    <w:p>
      <w:pPr>
        <w:spacing w:after="0" w:line="7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audits were conducted for the purpose of forming an opinion on the basic financial statements taken as a whole. The supplemental schedules listed in the table of contents,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These schedules are the responsibility of the Plan’s management. Such schedules have been subjected to the auditing procedures applied in our audit of the basic 2006 financial statements and, in our opinion, are fairly stated in all material respects when considered in relation to the basic 2006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2007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 AND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4,582,833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4,005,798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Common collective trust fund</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17,986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Brady Corporation common stock</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 loans</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96,282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investments — at fair value</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4,697,130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4,141,659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Employer contributions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222,566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9,574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600"/>
              <w:spacing w:after="0"/>
              <w:rPr>
                <w:sz w:val="20"/>
                <w:szCs w:val="20"/>
                <w:color w:val="auto"/>
              </w:rPr>
            </w:pPr>
            <w:r>
              <w:rPr>
                <w:rFonts w:ascii="Arial" w:cs="Arial" w:eastAsia="Arial" w:hAnsi="Arial"/>
                <w:sz w:val="18"/>
                <w:szCs w:val="18"/>
                <w:color w:val="auto"/>
              </w:rPr>
              <w:t>Total receivables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4,929,270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4,378,167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 — Excess contributions payable</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FAIR VALUE</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4,926,788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4,378,167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Adjustments from fair value to contract value for fully benefit-responsive investment contracts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39"/>
        </w:trPr>
        <w:tc>
          <w:tcPr>
            <w:tcW w:w="898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4,926,902</w:t>
            </w:r>
          </w:p>
        </w:tc>
        <w:tc>
          <w:tcPr>
            <w:tcW w:w="66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4,378,127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980" w:type="dxa"/>
            <w:vAlign w:val="bottom"/>
            <w:gridSpan w:val="2"/>
          </w:tcPr>
          <w:p>
            <w:pPr>
              <w:jc w:val="right"/>
              <w:ind w:right="3030"/>
              <w:spacing w:after="0"/>
              <w:rPr>
                <w:sz w:val="20"/>
                <w:szCs w:val="20"/>
                <w:color w:val="auto"/>
              </w:rPr>
            </w:pPr>
            <w:r>
              <w:rPr>
                <w:rFonts w:ascii="Arial" w:cs="Arial" w:eastAsia="Arial" w:hAnsi="Arial"/>
                <w:sz w:val="18"/>
                <w:szCs w:val="18"/>
                <w:color w:val="auto"/>
              </w:rPr>
              <w:t>- 2 -</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2006 AND 2005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Contributions: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Participant</w:t>
            </w:r>
          </w:p>
        </w:tc>
        <w:tc>
          <w:tcPr>
            <w:tcW w:w="4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321,573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Arial" w:cs="Arial" w:eastAsia="Arial" w:hAnsi="Arial"/>
                <w:sz w:val="18"/>
                <w:szCs w:val="18"/>
                <w:color w:val="auto"/>
              </w:rPr>
              <w:t>Employer</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222,566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Rollover</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80" w:type="dxa"/>
            <w:vAlign w:val="bottom"/>
          </w:tcPr>
          <w:p>
            <w:pPr>
              <w:ind w:left="600"/>
              <w:spacing w:after="0"/>
              <w:rPr>
                <w:sz w:val="20"/>
                <w:szCs w:val="20"/>
                <w:color w:val="auto"/>
              </w:rPr>
            </w:pPr>
            <w:r>
              <w:rPr>
                <w:rFonts w:ascii="Arial" w:cs="Arial" w:eastAsia="Arial" w:hAnsi="Arial"/>
                <w:sz w:val="18"/>
                <w:szCs w:val="18"/>
                <w:color w:val="auto"/>
              </w:rPr>
              <w:t>Total contributions</w:t>
            </w: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545,780</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613,525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00"/>
              <w:spacing w:after="0"/>
              <w:rPr>
                <w:sz w:val="20"/>
                <w:szCs w:val="20"/>
                <w:color w:val="auto"/>
              </w:rPr>
            </w:pPr>
            <w:r>
              <w:rPr>
                <w:rFonts w:ascii="Arial" w:cs="Arial" w:eastAsia="Arial" w:hAnsi="Arial"/>
                <w:sz w:val="18"/>
                <w:szCs w:val="18"/>
                <w:color w:val="auto"/>
              </w:rPr>
              <w:t>Net appreciation in fair value of investments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350,184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and dividends</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191,398</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580" w:type="dxa"/>
            <w:vAlign w:val="bottom"/>
          </w:tcPr>
          <w:p>
            <w:pPr>
              <w:ind w:left="600"/>
              <w:spacing w:after="0"/>
              <w:rPr>
                <w:sz w:val="20"/>
                <w:szCs w:val="20"/>
                <w:color w:val="auto"/>
              </w:rPr>
            </w:pPr>
            <w:r>
              <w:rPr>
                <w:rFonts w:ascii="Arial" w:cs="Arial" w:eastAsia="Arial" w:hAnsi="Arial"/>
                <w:sz w:val="18"/>
                <w:szCs w:val="18"/>
                <w:color w:val="auto"/>
              </w:rPr>
              <w:t>Net investment income</w:t>
            </w: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541,582</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234,662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additions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1,087,362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848,187</w:t>
            </w:r>
          </w:p>
        </w:tc>
        <w:tc>
          <w:tcPr>
            <w:tcW w:w="0" w:type="dxa"/>
            <w:vAlign w:val="bottom"/>
          </w:tcPr>
          <w:p>
            <w:pPr>
              <w:spacing w:after="0"/>
              <w:rPr>
                <w:sz w:val="1"/>
                <w:szCs w:val="1"/>
                <w:color w:val="auto"/>
              </w:rPr>
            </w:pPr>
          </w:p>
        </w:tc>
      </w:tr>
      <w:tr>
        <w:trPr>
          <w:trHeight w:val="439"/>
        </w:trPr>
        <w:tc>
          <w:tcPr>
            <w:tcW w:w="4600" w:type="dxa"/>
            <w:vAlign w:val="bottom"/>
            <w:gridSpan w:val="2"/>
          </w:tcPr>
          <w:p>
            <w:pPr>
              <w:spacing w:after="0"/>
              <w:rPr>
                <w:sz w:val="20"/>
                <w:szCs w:val="20"/>
                <w:color w:val="auto"/>
              </w:rPr>
            </w:pPr>
            <w:r>
              <w:rPr>
                <w:rFonts w:ascii="Arial" w:cs="Arial" w:eastAsia="Arial" w:hAnsi="Arial"/>
                <w:sz w:val="18"/>
                <w:szCs w:val="18"/>
                <w:color w:val="auto"/>
              </w:rPr>
              <w:t>DEDUCTIONS:</w:t>
            </w:r>
          </w:p>
        </w:tc>
        <w:tc>
          <w:tcPr>
            <w:tcW w:w="4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Benefits paid to participants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515,501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23,086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deductions</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538,587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600" w:type="dxa"/>
            <w:vAlign w:val="bottom"/>
            <w:gridSpan w:val="2"/>
          </w:tcPr>
          <w:p>
            <w:pPr>
              <w:spacing w:after="0"/>
              <w:rPr>
                <w:sz w:val="20"/>
                <w:szCs w:val="20"/>
                <w:color w:val="auto"/>
              </w:rPr>
            </w:pPr>
            <w:r>
              <w:rPr>
                <w:rFonts w:ascii="Arial" w:cs="Arial" w:eastAsia="Arial" w:hAnsi="Arial"/>
                <w:sz w:val="18"/>
                <w:szCs w:val="18"/>
                <w:color w:val="auto"/>
              </w:rPr>
              <w:t>INCREASE IN NET ASSETS</w:t>
            </w: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548,775</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579,181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4,378,127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3,798,946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 of year</w:t>
            </w:r>
          </w:p>
        </w:tc>
        <w:tc>
          <w:tcPr>
            <w:tcW w:w="4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4,926,902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4,378,127</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0" w:type="dxa"/>
            <w:vAlign w:val="bottom"/>
            <w:gridSpan w:val="2"/>
            <w:vMerge w:val="continue"/>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380" w:type="dxa"/>
            <w:vAlign w:val="bottom"/>
          </w:tcPr>
          <w:p>
            <w:pPr>
              <w:jc w:val="right"/>
              <w:ind w:right="3030"/>
              <w:spacing w:after="0"/>
              <w:rPr>
                <w:sz w:val="20"/>
                <w:szCs w:val="20"/>
                <w:color w:val="auto"/>
              </w:rPr>
            </w:pPr>
            <w:r>
              <w:rPr>
                <w:rFonts w:ascii="Arial" w:cs="Arial" w:eastAsia="Arial" w:hAnsi="Arial"/>
                <w:sz w:val="18"/>
                <w:szCs w:val="18"/>
                <w:color w:val="auto"/>
              </w:rPr>
              <w:t>- 3 -</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2006 AND 2005</w:t>
      </w:r>
    </w:p>
    <w:p>
      <w:pPr>
        <w:spacing w:after="0" w:line="9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PLAN</w:t>
      </w:r>
    </w:p>
    <w:p>
      <w:pPr>
        <w:spacing w:after="0" w:line="134" w:lineRule="exact"/>
        <w:rPr>
          <w:rFonts w:ascii="Arial" w:cs="Arial" w:eastAsia="Arial" w:hAnsi="Arial"/>
          <w:sz w:val="18"/>
          <w:szCs w:val="18"/>
          <w:b w:val="1"/>
          <w:bCs w:val="1"/>
          <w:color w:val="auto"/>
        </w:rPr>
      </w:pPr>
    </w:p>
    <w:p>
      <w:pPr>
        <w:ind w:left="2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description of the EMED Co., Inc. 401(k) Plan (the “Plan”) is provided for general information purposes only. Participants should refer to the Plan document for more complete information.</w:t>
      </w:r>
    </w:p>
    <w:p>
      <w:pPr>
        <w:spacing w:after="0" w:line="71" w:lineRule="exact"/>
        <w:rPr>
          <w:rFonts w:ascii="Arial" w:cs="Arial" w:eastAsia="Arial" w:hAnsi="Arial"/>
          <w:sz w:val="18"/>
          <w:szCs w:val="18"/>
          <w:b w:val="1"/>
          <w:bCs w:val="1"/>
          <w:color w:val="auto"/>
        </w:rPr>
      </w:pPr>
    </w:p>
    <w:p>
      <w:pPr>
        <w:ind w:left="260" w:right="2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is a defined contribution plan covering all full-time employees of EMED Co., Inc. (the “Company”) who have three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and are age twenty-one or older. The Company controls and manages the operation and administration of the Plan. On July 8, 2005, the Company replaced Expert Plan, the former recordkeeper, and Matrix Capital Bank Trust, the former custodian, with PNC Bank, N.A. (“PNC”), who currently serves as the recordkeeper and trustee of the Plan. The Plan is subject to the provisions of the Employee Retirement Income Security Act of 1974, as amended (“ERISA”).</w:t>
      </w:r>
    </w:p>
    <w:p>
      <w:pPr>
        <w:spacing w:after="0" w:line="89" w:lineRule="exact"/>
        <w:rPr>
          <w:rFonts w:ascii="Arial" w:cs="Arial" w:eastAsia="Arial" w:hAnsi="Arial"/>
          <w:sz w:val="18"/>
          <w:szCs w:val="18"/>
          <w:b w:val="1"/>
          <w:bCs w:val="1"/>
          <w:color w:val="auto"/>
        </w:rPr>
      </w:pPr>
    </w:p>
    <w:p>
      <w:pPr>
        <w:ind w:left="260"/>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Contributions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year, participants may contribute up to 100% of their pretax annual compensation, as defined in the Plan, subject to certain Internal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Code (“IRC”) limitations. Additional amounts may be contributed by the Company at the discretion of the Company’s board of directors. Discretionary contributions of $222,566 and $236,508 were made for the years ended December 31, 2006 and 2005, respectively. Participants may also contribute amounts representing distributions from other qualified defined benefit or defined contribution plans.</w:t>
      </w:r>
    </w:p>
    <w:p>
      <w:pPr>
        <w:spacing w:after="0" w:line="70" w:lineRule="exact"/>
        <w:rPr>
          <w:rFonts w:ascii="Arial" w:cs="Arial" w:eastAsia="Arial" w:hAnsi="Arial"/>
          <w:sz w:val="18"/>
          <w:szCs w:val="18"/>
          <w:b w:val="1"/>
          <w:bCs w:val="1"/>
          <w:color w:val="auto"/>
        </w:rPr>
      </w:pPr>
    </w:p>
    <w:p>
      <w:pPr>
        <w:ind w:left="260" w:right="100"/>
        <w:spacing w:after="0" w:line="281"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 xml:space="preserve">Participant Accounts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 accounts are maintained for each Plan participant. Each participant’s account is credited with the participant’s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contribution and allocations of Company discretionary contributions, participant forfeitures and Plan earnings, and charged with withdrawals and an allocation of Plan losses and administrative expenses. Allocations are based on participant earnings or account balances, as defined in the Plan document. The benefit to which a participant is entitled is the benefit that can be provided from the participant’s vested account.</w:t>
      </w:r>
    </w:p>
    <w:p>
      <w:pPr>
        <w:spacing w:after="0" w:line="70" w:lineRule="exact"/>
        <w:rPr>
          <w:rFonts w:ascii="Arial" w:cs="Arial" w:eastAsia="Arial" w:hAnsi="Arial"/>
          <w:sz w:val="18"/>
          <w:szCs w:val="18"/>
          <w:b w:val="1"/>
          <w:bCs w:val="1"/>
          <w:color w:val="auto"/>
        </w:rPr>
      </w:pPr>
    </w:p>
    <w:p>
      <w:pPr>
        <w:ind w:left="260" w:right="18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Investments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direct the investment of their contributions into various investment options offered by the Plan. The Plan currently offers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investment options including twelve equity funds, one common collective trust fund, one bond fund, two money market funds, and Brady Corporation Class A Nonvoting Common Stock. Effective July 8, 2005, participants were first offered the option to invest in Brady Corporation Class A Nonvoting Common Stock.</w:t>
      </w:r>
    </w:p>
    <w:p>
      <w:pPr>
        <w:spacing w:after="0" w:line="85" w:lineRule="exact"/>
        <w:rPr>
          <w:rFonts w:ascii="Arial" w:cs="Arial" w:eastAsia="Arial" w:hAnsi="Arial"/>
          <w:sz w:val="18"/>
          <w:szCs w:val="18"/>
          <w:b w:val="1"/>
          <w:bCs w:val="1"/>
          <w:color w:val="auto"/>
        </w:rPr>
      </w:pPr>
    </w:p>
    <w:p>
      <w:pPr>
        <w:ind w:left="260" w:right="8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Vesting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are vested immediately in their contributions plus actual earnings thereon. Vesting in the Company’s contribution portion of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is based on years of continuous service. A participant is vested based on the following vesting schedule: 10% at 1 year, 20% at 2 years, 40% at 3 years, 60% at 4 years, 80% at 5 years, and 100% at 6 years of service. The participants’ share of the Company’s contribution becomes fully vested, in any event, upon normal retirement at age 65, early retirement at age 57 with 7 years of service completed, termination due to permanent or total disability or death, or termination of the Plan.</w:t>
      </w:r>
    </w:p>
    <w:p>
      <w:pPr>
        <w:spacing w:after="0" w:line="89" w:lineRule="exact"/>
        <w:rPr>
          <w:rFonts w:ascii="Arial" w:cs="Arial" w:eastAsia="Arial" w:hAnsi="Arial"/>
          <w:sz w:val="18"/>
          <w:szCs w:val="18"/>
          <w:b w:val="1"/>
          <w:bCs w:val="1"/>
          <w:color w:val="auto"/>
        </w:rPr>
      </w:pPr>
    </w:p>
    <w:p>
      <w:pPr>
        <w:ind w:left="260" w:right="120"/>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Participant Loans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may borrow from their fund accounts up to a maximum of $50,000 or 50% of their account balance, whichever is less.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loans are secured by the balance in the participant’s account and bear interest at rates commensurate with local prevailing rates at the time funds are borrowed as determined quarterly by the Plan administrator. Interest rates range from 6% to 8% for outstanding loans as of December 31, 2006.</w:t>
      </w:r>
    </w:p>
    <w:p>
      <w:pPr>
        <w:spacing w:after="0" w:line="47" w:lineRule="exact"/>
        <w:rPr>
          <w:rFonts w:ascii="Arial" w:cs="Arial" w:eastAsia="Arial" w:hAnsi="Arial"/>
          <w:sz w:val="18"/>
          <w:szCs w:val="18"/>
          <w:b w:val="1"/>
          <w:bCs w:val="1"/>
          <w:color w:val="auto"/>
        </w:rPr>
      </w:pPr>
    </w:p>
    <w:p>
      <w:pPr>
        <w:ind w:left="260" w:right="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termination of service, a participant may elect to receive a lump-sum amount equal to the value of the participant’s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 his or her account.</w:t>
      </w:r>
    </w:p>
    <w:p>
      <w:pPr>
        <w:spacing w:after="0" w:line="67" w:lineRule="exact"/>
        <w:rPr>
          <w:rFonts w:ascii="Arial" w:cs="Arial" w:eastAsia="Arial" w:hAnsi="Arial"/>
          <w:sz w:val="18"/>
          <w:szCs w:val="18"/>
          <w:b w:val="1"/>
          <w:bCs w:val="1"/>
          <w:color w:val="auto"/>
        </w:rPr>
      </w:pPr>
    </w:p>
    <w:p>
      <w:pPr>
        <w:ind w:left="260" w:righ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Forfeited Accounts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December 31, 2006 and 2005, forfeited nonvested accounts totaled $15,311 and $30,520, respectively. These amounts were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to reduce employer contribution receivables as of December 31, 2006 and 2005.</w:t>
      </w:r>
    </w:p>
    <w:p>
      <w:pPr>
        <w:spacing w:after="0" w:line="67" w:lineRule="exact"/>
        <w:rPr>
          <w:rFonts w:ascii="Arial" w:cs="Arial" w:eastAsia="Arial" w:hAnsi="Arial"/>
          <w:sz w:val="18"/>
          <w:szCs w:val="18"/>
          <w:b w:val="1"/>
          <w:bCs w:val="1"/>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0" w:lineRule="exact"/>
        <w:rPr>
          <w:rFonts w:ascii="Arial" w:cs="Arial" w:eastAsia="Arial" w:hAnsi="Arial"/>
          <w:sz w:val="18"/>
          <w:szCs w:val="18"/>
          <w:b w:val="1"/>
          <w:bCs w:val="1"/>
          <w:color w:val="auto"/>
        </w:rPr>
      </w:pPr>
    </w:p>
    <w:p>
      <w:pPr>
        <w:ind w:left="260" w:right="2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accompanying financial statements have been prepared in accordance with accounting principles generally accepted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of America.</w:t>
      </w:r>
    </w:p>
    <w:p>
      <w:pPr>
        <w:spacing w:after="0" w:line="138"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spacing w:after="0" w:line="255" w:lineRule="auto"/>
        <w:rPr>
          <w:sz w:val="20"/>
          <w:szCs w:val="20"/>
          <w:color w:val="auto"/>
        </w:rPr>
      </w:pPr>
      <w:r>
        <w:rPr>
          <w:rFonts w:ascii="Arial" w:cs="Arial" w:eastAsia="Arial" w:hAnsi="Arial"/>
          <w:sz w:val="18"/>
          <w:szCs w:val="18"/>
          <w:b w:val="1"/>
          <w:bCs w:val="1"/>
          <w:i w:val="1"/>
          <w:iCs w:val="1"/>
          <w:color w:val="auto"/>
        </w:rPr>
        <w:t xml:space="preserve">Adoption of New Accounting Guidance </w:t>
      </w:r>
      <w:r>
        <w:rPr>
          <w:rFonts w:ascii="Arial" w:cs="Arial" w:eastAsia="Arial" w:hAnsi="Arial"/>
          <w:sz w:val="18"/>
          <w:szCs w:val="18"/>
          <w:color w:val="auto"/>
        </w:rPr>
        <w:t>— The financial statements reflect the retroactive adoption of Financial Accounting Standards Board Staff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Position, FSP AAG INV-1 and SOP 94-4-1, </w:t>
      </w:r>
      <w:r>
        <w:rPr>
          <w:rFonts w:ascii="Arial" w:cs="Arial" w:eastAsia="Arial" w:hAnsi="Arial"/>
          <w:sz w:val="18"/>
          <w:szCs w:val="18"/>
          <w:i w:val="1"/>
          <w:iCs w:val="1"/>
          <w:color w:val="auto"/>
        </w:rPr>
        <w:t>Reporting of Fully Benefit-Responsive Contracts Held by Certain Investment Companies Subject to the AICPA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Company Guide and Defined-Contribution Health and Welfare and Pension Plans </w:t>
      </w:r>
      <w:r>
        <w:rPr>
          <w:rFonts w:ascii="Arial" w:cs="Arial" w:eastAsia="Arial" w:hAnsi="Arial"/>
          <w:sz w:val="18"/>
          <w:szCs w:val="18"/>
          <w:color w:val="auto"/>
        </w:rPr>
        <w:t>(the “FSP”). As required by the FSP, the statements of net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available for benefits present investment contracts at fair value, as well as an additional line item showing an adjustment of fully benefit-responsive contracts from fair value to contract value. The statements of changes in net assets available for benefits are presented on a contract value basis and were not affected by the adoption of the FSP. The adoption of the FSP did not impact the amount of net assets available for benefits at December 31, 2006 and 2005.</w:t>
      </w:r>
    </w:p>
    <w:p>
      <w:pPr>
        <w:spacing w:after="0" w:line="91" w:lineRule="exact"/>
        <w:rPr>
          <w:sz w:val="20"/>
          <w:szCs w:val="20"/>
          <w:color w:val="auto"/>
        </w:rPr>
      </w:pPr>
    </w:p>
    <w:p>
      <w:pPr>
        <w:ind w:left="260" w:right="140"/>
        <w:spacing w:after="0" w:line="266"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Plan management to make estimates and assumptions that affect the reported amounts of net assets available for benefits and changes therein. Actual results could differ from those estimates.</w:t>
      </w:r>
    </w:p>
    <w:p>
      <w:pPr>
        <w:spacing w:after="0" w:line="82" w:lineRule="exact"/>
        <w:rPr>
          <w:sz w:val="20"/>
          <w:szCs w:val="20"/>
          <w:color w:val="auto"/>
        </w:rPr>
      </w:pPr>
    </w:p>
    <w:p>
      <w:pPr>
        <w:jc w:val="both"/>
        <w:ind w:left="260" w:right="240"/>
        <w:spacing w:after="0" w:line="281" w:lineRule="auto"/>
        <w:rPr>
          <w:sz w:val="20"/>
          <w:szCs w:val="20"/>
          <w:color w:val="auto"/>
        </w:rPr>
      </w:pPr>
      <w:r>
        <w:rPr>
          <w:rFonts w:ascii="Arial" w:cs="Arial" w:eastAsia="Arial" w:hAnsi="Arial"/>
          <w:sz w:val="17"/>
          <w:szCs w:val="17"/>
          <w:b w:val="1"/>
          <w:bCs w:val="1"/>
          <w:i w:val="1"/>
          <w:iCs w:val="1"/>
          <w:color w:val="auto"/>
        </w:rPr>
        <w:t xml:space="preserve">Risks and Uncertainties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utilizes various investment instruments such as mutual funds, common stock and a common collective trust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securities, in general, are exposed to various risks, such as interest rate risk, credit risk,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70" w:lineRule="exact"/>
        <w:rPr>
          <w:sz w:val="20"/>
          <w:szCs w:val="20"/>
          <w:color w:val="auto"/>
        </w:rPr>
      </w:pPr>
    </w:p>
    <w:p>
      <w:pPr>
        <w:ind w:left="260" w:right="60"/>
        <w:spacing w:after="0" w:line="261" w:lineRule="auto"/>
        <w:rPr>
          <w:sz w:val="20"/>
          <w:szCs w:val="20"/>
          <w:color w:val="auto"/>
        </w:rPr>
      </w:pPr>
      <w:r>
        <w:rPr>
          <w:rFonts w:ascii="Arial" w:cs="Arial" w:eastAsia="Arial" w:hAnsi="Arial"/>
          <w:sz w:val="18"/>
          <w:szCs w:val="18"/>
          <w:b w:val="1"/>
          <w:bCs w:val="1"/>
          <w:i w:val="1"/>
          <w:iCs w:val="1"/>
          <w:color w:val="auto"/>
        </w:rPr>
        <w:t xml:space="preserve">Investment Valuation and Income Recognition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Plan’s investments are stated at fair value. Shares of mutual funds are valued at quoted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prices, which represent the net asset value of shares held by the Plan at year end. Common Stock is valued at quoted market prices. The common collective trust fund with underlying investments in investment contracts is valued at fair market value of the underlying investments and then adjusted by the issuer to contract value. Participant loans are valued at the outstanding loan balances.</w:t>
      </w:r>
    </w:p>
    <w:p>
      <w:pPr>
        <w:spacing w:after="0" w:line="90" w:lineRule="exact"/>
        <w:rPr>
          <w:sz w:val="20"/>
          <w:szCs w:val="20"/>
          <w:color w:val="auto"/>
        </w:rPr>
      </w:pPr>
    </w:p>
    <w:p>
      <w:pPr>
        <w:ind w:left="260" w:right="340"/>
        <w:spacing w:after="0" w:line="259" w:lineRule="auto"/>
        <w:rPr>
          <w:sz w:val="20"/>
          <w:szCs w:val="20"/>
          <w:color w:val="auto"/>
        </w:rPr>
      </w:pPr>
      <w:r>
        <w:rPr>
          <w:rFonts w:ascii="Arial" w:cs="Arial" w:eastAsia="Arial" w:hAnsi="Arial"/>
          <w:sz w:val="18"/>
          <w:szCs w:val="18"/>
          <w:color w:val="auto"/>
        </w:rPr>
        <w:t>One of the investment options available in the Plan is the PNC Investment Contract Fund. The PNC Investment Contract Fund is a common collective trust that invests in fully benefit responsive guaranteed investment contracts (“GICs”) and synthetic guaranteed investment contracts (“SGICs”). Participants may ordinarily direct the withdrawal or transfer of all or a portion of their investment at contract value. Contract value represents contributions made to the fund, plus earnings, less participant withdrawals.</w:t>
      </w:r>
    </w:p>
    <w:p>
      <w:pPr>
        <w:spacing w:after="0" w:line="92" w:lineRule="exact"/>
        <w:rPr>
          <w:sz w:val="20"/>
          <w:szCs w:val="20"/>
          <w:color w:val="auto"/>
        </w:rPr>
      </w:pPr>
    </w:p>
    <w:p>
      <w:pPr>
        <w:ind w:left="260" w:right="340"/>
        <w:spacing w:after="0" w:line="277"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76" w:lineRule="exact"/>
        <w:rPr>
          <w:sz w:val="20"/>
          <w:szCs w:val="20"/>
          <w:color w:val="auto"/>
        </w:rPr>
      </w:pPr>
    </w:p>
    <w:p>
      <w:pPr>
        <w:jc w:val="both"/>
        <w:ind w:left="260" w:right="220"/>
        <w:spacing w:after="0" w:line="264" w:lineRule="auto"/>
        <w:rPr>
          <w:sz w:val="20"/>
          <w:szCs w:val="20"/>
          <w:color w:val="auto"/>
        </w:rPr>
      </w:pPr>
      <w:r>
        <w:rPr>
          <w:rFonts w:ascii="Arial" w:cs="Arial" w:eastAsia="Arial" w:hAnsi="Arial"/>
          <w:sz w:val="18"/>
          <w:szCs w:val="18"/>
          <w:color w:val="auto"/>
        </w:rPr>
        <w:t>Management fees and operating expenses charged to the Plan for investments in the mutual funds are deducted from income earned on a daily basis and are not separately reflected. Consequently, management fees and operating expenses are reflected as a reduction of net appreciation in the fair value for such investments.</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xml:space="preserve">Administrative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Administrative expenses of the Plan are paid by the Plan as provided in the Plan Document.</w:t>
      </w:r>
    </w:p>
    <w:p>
      <w:pPr>
        <w:spacing w:after="0" w:line="131" w:lineRule="exact"/>
        <w:rPr>
          <w:sz w:val="20"/>
          <w:szCs w:val="20"/>
          <w:color w:val="auto"/>
        </w:rPr>
      </w:pPr>
    </w:p>
    <w:p>
      <w:pPr>
        <w:ind w:left="260" w:right="360"/>
        <w:spacing w:after="0" w:line="282"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 payments to participants are recorded upon distribution. There were no amounts allocated to accounts of persons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elected to withdraw from the Plan but have not yet been paid as of December 31, 2006 and 2005.</w:t>
      </w:r>
    </w:p>
    <w:p>
      <w:pPr>
        <w:spacing w:after="0" w:line="71" w:lineRule="exact"/>
        <w:rPr>
          <w:sz w:val="20"/>
          <w:szCs w:val="20"/>
          <w:color w:val="auto"/>
        </w:rPr>
      </w:pPr>
    </w:p>
    <w:p>
      <w:pPr>
        <w:ind w:left="260" w:right="40"/>
        <w:spacing w:after="0" w:line="277" w:lineRule="auto"/>
        <w:rPr>
          <w:sz w:val="20"/>
          <w:szCs w:val="20"/>
          <w:color w:val="auto"/>
        </w:rPr>
      </w:pPr>
      <w:r>
        <w:rPr>
          <w:rFonts w:ascii="Arial" w:cs="Arial" w:eastAsia="Arial" w:hAnsi="Arial"/>
          <w:sz w:val="18"/>
          <w:szCs w:val="18"/>
          <w:b w:val="1"/>
          <w:bCs w:val="1"/>
          <w:i w:val="1"/>
          <w:iCs w:val="1"/>
          <w:color w:val="auto"/>
        </w:rPr>
        <w:t xml:space="preserve">Excess Contributions Payable </w:t>
      </w:r>
      <w:r>
        <w:rPr>
          <w:rFonts w:ascii="Arial" w:cs="Arial" w:eastAsia="Arial" w:hAnsi="Arial"/>
          <w:sz w:val="18"/>
          <w:szCs w:val="18"/>
          <w:color w:val="auto"/>
        </w:rPr>
        <w:t>— The Plan is required to return contributions received during the Plan year in excess of the IRC limits. There were excess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contributions for the year ended December 31, 2006, in the amount of $2,482.</w:t>
      </w:r>
    </w:p>
    <w:p>
      <w:pPr>
        <w:spacing w:after="0" w:line="7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The Plan’s investments that represented 5% or more of the Plan’s net assets available for benefits as of December 31, 2006 and 2005,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380" w:type="dxa"/>
            <w:vAlign w:val="bottom"/>
          </w:tcPr>
          <w:p>
            <w:pPr>
              <w:jc w:val="right"/>
              <w:ind w:right="592"/>
              <w:spacing w:after="0"/>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4"/>
                <w:szCs w:val="14"/>
                <w:color w:val="auto"/>
              </w:rPr>
            </w:pPr>
          </w:p>
        </w:tc>
        <w:tc>
          <w:tcPr>
            <w:tcW w:w="900" w:type="dxa"/>
            <w:vAlign w:val="bottom"/>
          </w:tcPr>
          <w:p>
            <w:pPr>
              <w:jc w:val="right"/>
              <w:ind w:right="393"/>
              <w:spacing w:after="0"/>
              <w:rPr>
                <w:sz w:val="20"/>
                <w:szCs w:val="20"/>
                <w:color w:val="auto"/>
              </w:rPr>
            </w:pPr>
            <w:r>
              <w:rPr>
                <w:rFonts w:ascii="Arial" w:cs="Arial" w:eastAsia="Arial" w:hAnsi="Arial"/>
                <w:sz w:val="14"/>
                <w:szCs w:val="14"/>
                <w:b w:val="1"/>
                <w:bCs w:val="1"/>
                <w:color w:val="auto"/>
              </w:rPr>
              <w:t>2005</w:t>
            </w: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LSV Value Equity Fund</w:t>
            </w:r>
          </w:p>
        </w:tc>
        <w:tc>
          <w:tcPr>
            <w:tcW w:w="53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$967,173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Fidelity Advisors Equity Growth Fund</w:t>
            </w:r>
          </w:p>
        </w:tc>
        <w:tc>
          <w:tcPr>
            <w:tcW w:w="5380" w:type="dxa"/>
            <w:vAlign w:val="bottom"/>
          </w:tcPr>
          <w:p>
            <w:pPr>
              <w:jc w:val="right"/>
              <w:ind w:right="432"/>
              <w:spacing w:after="0"/>
              <w:rPr>
                <w:sz w:val="20"/>
                <w:szCs w:val="20"/>
                <w:color w:val="auto"/>
              </w:rPr>
            </w:pPr>
            <w:r>
              <w:rPr>
                <w:rFonts w:ascii="Arial" w:cs="Arial" w:eastAsia="Arial" w:hAnsi="Arial"/>
                <w:sz w:val="18"/>
                <w:szCs w:val="18"/>
                <w:color w:val="auto"/>
              </w:rPr>
              <w:t>953,792</w:t>
            </w:r>
          </w:p>
        </w:tc>
        <w:tc>
          <w:tcPr>
            <w:tcW w:w="6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w w:val="86"/>
              </w:rPr>
              <w:t>928,214</w:t>
            </w: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Fidelity Advisors Intermediate Bond Fund</w:t>
            </w:r>
          </w:p>
        </w:tc>
        <w:tc>
          <w:tcPr>
            <w:tcW w:w="53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718,957</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695,113</w:t>
            </w:r>
          </w:p>
        </w:tc>
      </w:tr>
      <w:tr>
        <w:trPr>
          <w:trHeight w:val="216"/>
        </w:trPr>
        <w:tc>
          <w:tcPr>
            <w:tcW w:w="4500" w:type="dxa"/>
            <w:vAlign w:val="bottom"/>
            <w:gridSpan w:val="3"/>
          </w:tcPr>
          <w:p>
            <w:pPr>
              <w:spacing w:after="0"/>
              <w:rPr>
                <w:sz w:val="20"/>
                <w:szCs w:val="20"/>
                <w:color w:val="auto"/>
              </w:rPr>
            </w:pPr>
            <w:r>
              <w:rPr>
                <w:rFonts w:ascii="Arial" w:cs="Arial" w:eastAsia="Arial" w:hAnsi="Arial"/>
                <w:sz w:val="18"/>
                <w:szCs w:val="18"/>
                <w:color w:val="auto"/>
              </w:rPr>
              <w:t>Fidelity Diversified International Fund</w:t>
            </w:r>
          </w:p>
        </w:tc>
        <w:tc>
          <w:tcPr>
            <w:tcW w:w="5380" w:type="dxa"/>
            <w:vAlign w:val="bottom"/>
          </w:tcPr>
          <w:p>
            <w:pPr>
              <w:jc w:val="right"/>
              <w:ind w:right="432"/>
              <w:spacing w:after="0"/>
              <w:rPr>
                <w:sz w:val="20"/>
                <w:szCs w:val="20"/>
                <w:color w:val="auto"/>
              </w:rPr>
            </w:pPr>
            <w:r>
              <w:rPr>
                <w:rFonts w:ascii="Arial" w:cs="Arial" w:eastAsia="Arial" w:hAnsi="Arial"/>
                <w:sz w:val="18"/>
                <w:szCs w:val="18"/>
                <w:color w:val="auto"/>
              </w:rPr>
              <w:t>607,886</w:t>
            </w:r>
          </w:p>
        </w:tc>
        <w:tc>
          <w:tcPr>
            <w:tcW w:w="64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w w:val="86"/>
              </w:rPr>
              <w:t>475,008</w:t>
            </w:r>
          </w:p>
        </w:tc>
      </w:tr>
      <w:tr>
        <w:trPr>
          <w:trHeight w:val="216"/>
        </w:trPr>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Small Cap Growth Equity Portfolio*</w:t>
            </w:r>
          </w:p>
        </w:tc>
        <w:tc>
          <w:tcPr>
            <w:tcW w:w="538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486,429</w:t>
            </w:r>
          </w:p>
        </w:tc>
        <w:tc>
          <w:tcPr>
            <w:tcW w:w="6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6"/>
              </w:rPr>
              <w:t>405,184</w:t>
            </w:r>
          </w:p>
        </w:tc>
      </w:tr>
      <w:tr>
        <w:trPr>
          <w:trHeight w:val="230"/>
        </w:trPr>
        <w:tc>
          <w:tcPr>
            <w:tcW w:w="4500" w:type="dxa"/>
            <w:vAlign w:val="bottom"/>
            <w:gridSpan w:val="3"/>
          </w:tcPr>
          <w:p>
            <w:pPr>
              <w:spacing w:after="0"/>
              <w:rPr>
                <w:sz w:val="20"/>
                <w:szCs w:val="20"/>
                <w:color w:val="auto"/>
              </w:rPr>
            </w:pPr>
            <w:r>
              <w:rPr>
                <w:rFonts w:ascii="Arial" w:cs="Arial" w:eastAsia="Arial" w:hAnsi="Arial"/>
                <w:sz w:val="18"/>
                <w:szCs w:val="18"/>
                <w:color w:val="auto"/>
              </w:rPr>
              <w:t>American Century Small Cap Value Fund</w:t>
            </w:r>
          </w:p>
        </w:tc>
        <w:tc>
          <w:tcPr>
            <w:tcW w:w="5380" w:type="dxa"/>
            <w:vAlign w:val="bottom"/>
          </w:tcPr>
          <w:p>
            <w:pPr>
              <w:jc w:val="right"/>
              <w:ind w:right="432"/>
              <w:spacing w:after="0"/>
              <w:rPr>
                <w:sz w:val="20"/>
                <w:szCs w:val="20"/>
                <w:color w:val="auto"/>
              </w:rPr>
            </w:pPr>
            <w:r>
              <w:rPr>
                <w:rFonts w:ascii="Arial" w:cs="Arial" w:eastAsia="Arial" w:hAnsi="Arial"/>
                <w:sz w:val="18"/>
                <w:szCs w:val="18"/>
                <w:color w:val="auto"/>
              </w:rPr>
              <w:t>369,426</w:t>
            </w:r>
          </w:p>
        </w:tc>
        <w:tc>
          <w:tcPr>
            <w:tcW w:w="640" w:type="dxa"/>
            <w:vAlign w:val="bottom"/>
          </w:tcPr>
          <w:p>
            <w:pPr>
              <w:spacing w:after="0"/>
              <w:rPr>
                <w:sz w:val="20"/>
                <w:szCs w:val="20"/>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w w:val="86"/>
              </w:rPr>
              <w:t>320,324</w:t>
            </w:r>
          </w:p>
        </w:tc>
      </w:tr>
      <w:tr>
        <w:trPr>
          <w:trHeight w:val="283"/>
        </w:trPr>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7"/>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4220" w:type="dxa"/>
            <w:vAlign w:val="bottom"/>
            <w:gridSpan w:val="2"/>
          </w:tcPr>
          <w:p>
            <w:pPr>
              <w:ind w:left="180"/>
              <w:spacing w:after="0"/>
              <w:rPr>
                <w:sz w:val="20"/>
                <w:szCs w:val="20"/>
                <w:color w:val="auto"/>
              </w:rPr>
            </w:pPr>
            <w:r>
              <w:rPr>
                <w:rFonts w:ascii="Arial" w:cs="Arial" w:eastAsia="Arial" w:hAnsi="Arial"/>
                <w:sz w:val="18"/>
                <w:szCs w:val="18"/>
                <w:color w:val="auto"/>
              </w:rPr>
              <w:t>Party-in-interest.</w:t>
            </w:r>
          </w:p>
        </w:tc>
        <w:tc>
          <w:tcPr>
            <w:tcW w:w="5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380" w:type="dxa"/>
            <w:vAlign w:val="bottom"/>
          </w:tcPr>
          <w:p>
            <w:pPr>
              <w:jc w:val="right"/>
              <w:ind w:right="3932"/>
              <w:spacing w:after="0"/>
              <w:rPr>
                <w:sz w:val="20"/>
                <w:szCs w:val="20"/>
                <w:color w:val="auto"/>
              </w:rPr>
            </w:pPr>
            <w:r>
              <w:rPr>
                <w:rFonts w:ascii="Arial" w:cs="Arial" w:eastAsia="Arial" w:hAnsi="Arial"/>
                <w:sz w:val="18"/>
                <w:szCs w:val="18"/>
                <w:color w:val="auto"/>
              </w:rPr>
              <w:t>- 5 -</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2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right="260"/>
        <w:spacing w:after="0" w:line="277" w:lineRule="auto"/>
        <w:rPr>
          <w:sz w:val="20"/>
          <w:szCs w:val="20"/>
          <w:color w:val="auto"/>
        </w:rPr>
      </w:pPr>
      <w:r>
        <w:rPr>
          <w:rFonts w:ascii="Arial" w:cs="Arial" w:eastAsia="Arial" w:hAnsi="Arial"/>
          <w:sz w:val="18"/>
          <w:szCs w:val="18"/>
          <w:color w:val="auto"/>
        </w:rPr>
        <w:t>During the year ended December 31, 2006 and 2005, the Plan’s investments (including gains and losses on investments bought and sold, as well as held during the year) appreciated (depreciated) in value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Equity fund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$ 351,358</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68,948</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Bond fund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(1,452)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(12,575)</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Common collective trust fund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Brady Corporation common stock</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r>
      <w:tr>
        <w:trPr>
          <w:trHeight w:val="439"/>
        </w:trPr>
        <w:tc>
          <w:tcPr>
            <w:tcW w:w="9260" w:type="dxa"/>
            <w:vAlign w:val="bottom"/>
          </w:tcPr>
          <w:p>
            <w:pPr>
              <w:spacing w:after="0"/>
              <w:rPr>
                <w:sz w:val="20"/>
                <w:szCs w:val="20"/>
                <w:color w:val="auto"/>
              </w:rPr>
            </w:pPr>
            <w:r>
              <w:rPr>
                <w:rFonts w:ascii="Arial" w:cs="Arial" w:eastAsia="Arial" w:hAnsi="Arial"/>
                <w:sz w:val="18"/>
                <w:szCs w:val="18"/>
                <w:color w:val="auto"/>
              </w:rPr>
              <w:t>Net appreciation in fair value of investments</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$ 350,184</w:t>
            </w:r>
          </w:p>
        </w:tc>
        <w:tc>
          <w:tcPr>
            <w:tcW w:w="3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58,497</w:t>
            </w:r>
          </w:p>
        </w:tc>
      </w:tr>
      <w:tr>
        <w:trPr>
          <w:trHeight w:val="20"/>
        </w:trPr>
        <w:tc>
          <w:tcPr>
            <w:tcW w:w="9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134" w:lineRule="exact"/>
        <w:rPr>
          <w:rFonts w:ascii="Arial" w:cs="Arial" w:eastAsia="Arial" w:hAnsi="Arial"/>
          <w:sz w:val="18"/>
          <w:szCs w:val="18"/>
          <w:b w:val="1"/>
          <w:bCs w:val="1"/>
          <w:color w:val="auto"/>
        </w:rPr>
      </w:pPr>
    </w:p>
    <w:p>
      <w:pPr>
        <w:ind w:left="26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intention to do so, the Company has the right under the Plan to discontinue its contributions at any time and to terminate the Plan subject to the provisions set forth in ERISA. In the event that the Plan is terminated, participants would become 100% vested in their accounts.</w:t>
      </w:r>
    </w:p>
    <w:p>
      <w:pPr>
        <w:spacing w:after="0" w:line="25" w:lineRule="exact"/>
        <w:rPr>
          <w:rFonts w:ascii="Arial" w:cs="Arial" w:eastAsia="Arial" w:hAnsi="Arial"/>
          <w:sz w:val="18"/>
          <w:szCs w:val="18"/>
          <w:b w:val="1"/>
          <w:bCs w:val="1"/>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 STATUS</w:t>
      </w:r>
    </w:p>
    <w:p>
      <w:pPr>
        <w:spacing w:after="0" w:line="134" w:lineRule="exact"/>
        <w:rPr>
          <w:rFonts w:ascii="Arial" w:cs="Arial" w:eastAsia="Arial" w:hAnsi="Arial"/>
          <w:sz w:val="18"/>
          <w:szCs w:val="18"/>
          <w:b w:val="1"/>
          <w:bCs w:val="1"/>
          <w:color w:val="auto"/>
        </w:rPr>
      </w:pPr>
    </w:p>
    <w:p>
      <w:pPr>
        <w:ind w:left="2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Plan uses a prototype plan document sponsored by PNC. PNC received an opinion letter from the Internal Revenue Service (“IRS”), dated November 19, 2001, which states that the prototype document satisfies the applicable provisions of the IRC. The Plan itself has not received a determination letter from the IRS. However, the Plan’s management believes that the Plan is currently designed and being operated in compliance with the applicable requirements of the IRC. Therefore, no provision for income tax has been included in the Plan’s financial statements.</w:t>
      </w:r>
    </w:p>
    <w:p>
      <w:pPr>
        <w:spacing w:after="0" w:line="72" w:lineRule="exact"/>
        <w:rPr>
          <w:rFonts w:ascii="Arial" w:cs="Arial" w:eastAsia="Arial" w:hAnsi="Arial"/>
          <w:sz w:val="18"/>
          <w:szCs w:val="18"/>
          <w:b w:val="1"/>
          <w:bCs w:val="1"/>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134" w:lineRule="exact"/>
        <w:rPr>
          <w:rFonts w:ascii="Arial" w:cs="Arial" w:eastAsia="Arial" w:hAnsi="Arial"/>
          <w:sz w:val="18"/>
          <w:szCs w:val="18"/>
          <w:b w:val="1"/>
          <w:bCs w:val="1"/>
          <w:color w:val="auto"/>
        </w:rPr>
      </w:pPr>
    </w:p>
    <w:p>
      <w:pPr>
        <w:ind w:left="2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Plan invests in Company common stock. Certain plan investments represent shares of mutual funds and common collective trust funds managed by the trustee. These transactions are considered party-in-interest transactions. These transactions are not, however, considered prohibited transactions under ERISA regulations. At December 31, 2005, the Plan held 17 shares of common stock of Brady Corporation, the parent of the sponsoring employer, with a cost basis of $540. The Plan held no shares of Brady Corporation stock at December 31, 2006. During the years ended December 31, 2006 and 2005, the Plan recorded dividend income of $2 in each of the respective years.</w:t>
      </w:r>
    </w:p>
    <w:p>
      <w:pPr>
        <w:spacing w:after="0" w:line="73" w:lineRule="exact"/>
        <w:rPr>
          <w:rFonts w:ascii="Arial" w:cs="Arial" w:eastAsia="Arial" w:hAnsi="Arial"/>
          <w:sz w:val="18"/>
          <w:szCs w:val="18"/>
          <w:b w:val="1"/>
          <w:bCs w:val="1"/>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TO FORM 5500</w:t>
      </w:r>
    </w:p>
    <w:p>
      <w:pPr>
        <w:spacing w:after="0" w:line="134" w:lineRule="exact"/>
        <w:rPr>
          <w:rFonts w:ascii="Arial" w:cs="Arial" w:eastAsia="Arial" w:hAnsi="Arial"/>
          <w:sz w:val="18"/>
          <w:szCs w:val="18"/>
          <w:b w:val="1"/>
          <w:bCs w:val="1"/>
          <w:color w:val="auto"/>
        </w:rPr>
      </w:pPr>
    </w:p>
    <w:p>
      <w:pPr>
        <w:jc w:val="both"/>
        <w:ind w:left="2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2006, net assets available for benefits in the accompanying financial statements are reported at contract value, however, they are recorded at fair value in the Plan’s Form 5500. The following table reconciles net assets available for benefits per the financial statements to the Plan’s Form 5500 to be filed by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8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financial statements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$ 4,926,902</w:t>
            </w:r>
          </w:p>
        </w:tc>
        <w:tc>
          <w:tcPr>
            <w:tcW w:w="80" w:type="dxa"/>
            <w:vAlign w:val="bottom"/>
            <w:shd w:val="clear" w:color="auto" w:fill="CCEEFF"/>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Adjustments: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480" w:type="dxa"/>
            <w:vAlign w:val="bottom"/>
            <w:shd w:val="clear" w:color="auto" w:fill="CCEEFF"/>
          </w:tcPr>
          <w:p>
            <w:pPr>
              <w:spacing w:after="0"/>
              <w:rPr>
                <w:sz w:val="20"/>
                <w:szCs w:val="20"/>
                <w:color w:val="auto"/>
              </w:rPr>
            </w:pPr>
            <w:r>
              <w:rPr>
                <w:rFonts w:ascii="Arial" w:cs="Arial" w:eastAsia="Arial" w:hAnsi="Arial"/>
                <w:sz w:val="18"/>
                <w:szCs w:val="18"/>
                <w:color w:val="auto"/>
              </w:rPr>
              <w:t>Contract value to fair value for fully benefit-responsive investment contracts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Amounts reported per Form 5500</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$ 4,926,788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40"/>
        <w:spacing w:after="0" w:line="277" w:lineRule="auto"/>
        <w:rPr>
          <w:sz w:val="20"/>
          <w:szCs w:val="20"/>
          <w:color w:val="auto"/>
        </w:rPr>
      </w:pPr>
      <w:r>
        <w:rPr>
          <w:rFonts w:ascii="Arial" w:cs="Arial" w:eastAsia="Arial" w:hAnsi="Arial"/>
          <w:sz w:val="18"/>
          <w:szCs w:val="18"/>
          <w:color w:val="auto"/>
        </w:rPr>
        <w:t>The following table reconciles the increase in net assets available for benefits per the financial statements to the Form 5500 to be filed by the Company for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Amounts reported per financial statements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548,775</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Adjustments: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Changes in adjustment from contract value to fair value for fully benefit-responsive investment contracts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9080" w:type="dxa"/>
            <w:vAlign w:val="bottom"/>
          </w:tcPr>
          <w:p>
            <w:pPr>
              <w:spacing w:after="0"/>
              <w:rPr>
                <w:sz w:val="20"/>
                <w:szCs w:val="20"/>
                <w:color w:val="auto"/>
              </w:rPr>
            </w:pPr>
            <w:r>
              <w:rPr>
                <w:rFonts w:ascii="Arial" w:cs="Arial" w:eastAsia="Arial" w:hAnsi="Arial"/>
                <w:sz w:val="18"/>
                <w:szCs w:val="18"/>
                <w:color w:val="auto"/>
              </w:rPr>
              <w:t>Amounts reported per Form 5500</w:t>
            </w:r>
          </w:p>
        </w:tc>
        <w:tc>
          <w:tcPr>
            <w:tcW w:w="1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548,661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80" w:type="dxa"/>
            <w:vAlign w:val="bottom"/>
            <w:vMerge w:val="restart"/>
          </w:tcPr>
          <w:p>
            <w:pPr>
              <w:ind w:left="5560"/>
              <w:spacing w:after="0"/>
              <w:rPr>
                <w:sz w:val="20"/>
                <w:szCs w:val="20"/>
                <w:color w:val="auto"/>
              </w:rPr>
            </w:pPr>
            <w:r>
              <w:rPr>
                <w:rFonts w:ascii="Arial" w:cs="Arial" w:eastAsia="Arial" w:hAnsi="Arial"/>
                <w:sz w:val="18"/>
                <w:szCs w:val="18"/>
                <w:color w:val="auto"/>
              </w:rPr>
              <w:t>- 6 -</w:t>
            </w:r>
          </w:p>
        </w:tc>
        <w:tc>
          <w:tcPr>
            <w:tcW w:w="1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0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90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rFonts w:ascii="Arial" w:cs="Arial" w:eastAsia="Arial" w:hAnsi="Arial"/>
          <w:sz w:val="18"/>
          <w:szCs w:val="18"/>
          <w:b w:val="1"/>
          <w:bCs w:val="1"/>
          <w:color w:val="auto"/>
        </w:rPr>
      </w:pPr>
    </w:p>
    <w:p>
      <w:pPr>
        <w:ind w:left="2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Effective April 1, 2007, the Plan was amended to allow participants to irrevocably designate all or any part of their elective deferrals to the Plan as Roth 401(k) deferrals, provided the eligibility requirements have been met. The Roth 401(k) deferrals are contributed to the Plan after-tax and treated as includible in the computation of the participant’s personal income. As the amounts are contributed after-tax, the deferrals and, in most cases, earnings on the deferrals will not be subject to Federal income taxes when distributed to the participants, as long as the distributions are considered to be qualified. The combined total of pre-tax deferrals and Roth 401(k) deferrals may not exceed the maximum dollar limitation allowable under the law.</w:t>
      </w:r>
    </w:p>
    <w:p>
      <w:pPr>
        <w:spacing w:after="0" w:line="63" w:lineRule="exact"/>
        <w:rPr>
          <w:rFonts w:ascii="Arial" w:cs="Arial" w:eastAsia="Arial" w:hAnsi="Arial"/>
          <w:sz w:val="18"/>
          <w:szCs w:val="18"/>
          <w:b w:val="1"/>
          <w:bCs w:val="1"/>
          <w:color w:val="auto"/>
        </w:rPr>
      </w:pPr>
    </w:p>
    <w:p>
      <w:pPr>
        <w:jc w:val="both"/>
        <w:ind w:left="2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reported in the supplemental schedule, Form 5500, Schedule H, Part IV, Question 4a, the Company remitted participant contributions totaling $71,579 to the trustee later than required by Department of Labor (“D.O.L.”) Regulation 2510.3-102. The Company will file Form 5330 with the Internal Revenue Service and will pay the required excise tax on the transactions. In addition, participant accounts were credited with the amount of investment income that would have been earned had the participant contributions been remitted on a timely basis.</w:t>
      </w:r>
    </w:p>
    <w:p>
      <w:pPr>
        <w:spacing w:after="0" w:line="279" w:lineRule="exact"/>
        <w:rPr>
          <w:rFonts w:ascii="Arial" w:cs="Arial" w:eastAsia="Arial" w:hAnsi="Arial"/>
          <w:sz w:val="18"/>
          <w:szCs w:val="18"/>
          <w:b w:val="1"/>
          <w:bCs w:val="1"/>
          <w:color w:val="auto"/>
        </w:rPr>
      </w:pPr>
    </w:p>
    <w:p>
      <w:pPr>
        <w:ind w:left="5340"/>
        <w:spacing w:after="0"/>
        <w:rPr>
          <w:rFonts w:ascii="Arial" w:cs="Arial" w:eastAsia="Arial" w:hAnsi="Arial"/>
          <w:sz w:val="18"/>
          <w:szCs w:val="18"/>
          <w:b w:val="1"/>
          <w:bCs w:val="1"/>
          <w:color w:val="auto"/>
        </w:rPr>
      </w:pPr>
      <w:r>
        <w:rPr>
          <w:rFonts w:ascii="Arial" w:cs="Arial" w:eastAsia="Arial" w:hAnsi="Arial"/>
          <w:sz w:val="18"/>
          <w:szCs w:val="18"/>
          <w:color w:val="auto"/>
        </w:rPr>
        <w:t>* * * * * *</w:t>
      </w:r>
    </w:p>
    <w:p>
      <w:pPr>
        <w:spacing w:after="0" w:line="198" w:lineRule="exact"/>
        <w:rPr>
          <w:rFonts w:ascii="Arial" w:cs="Arial" w:eastAsia="Arial" w:hAnsi="Arial"/>
          <w:sz w:val="18"/>
          <w:szCs w:val="18"/>
          <w:b w:val="1"/>
          <w:bCs w:val="1"/>
          <w:color w:val="auto"/>
        </w:rPr>
      </w:pPr>
    </w:p>
    <w:p>
      <w:pPr>
        <w:ind w:left="5660" w:hanging="96"/>
        <w:spacing w:after="0"/>
        <w:tabs>
          <w:tab w:leader="none" w:pos="5660" w:val="left"/>
        </w:tabs>
        <w:numPr>
          <w:ilvl w:val="2"/>
          <w:numId w:val="6"/>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SUPPLEMENTAL SCHEDULES</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FURNISHED PURSUANT TO THE</w:t>
      </w:r>
    </w:p>
    <w:p>
      <w:pPr>
        <w:spacing w:after="0" w:line="9"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DEPARTMENT OF LABOR’S RULES AND REGULATIONS</w:t>
      </w:r>
    </w:p>
    <w:p>
      <w:pPr>
        <w:spacing w:after="0" w:line="19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LINE 4i—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2006</w:t>
      </w:r>
    </w:p>
    <w:p>
      <w:pPr>
        <w:spacing w:after="0" w:line="351"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EQUITY FUNDS: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LSV Value Equity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 Advisors Equity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Blackrock Small Cap Growth Equity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American Century Small Cap Value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MFS Emerging Markets Equity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Vanguard Institutional Index Fund</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2030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PIMCO Commodity Real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T Rowe Price Retirement 2010</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 Rowe Price Retirement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COMMON COLLECTIVE TRUST FUND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PNC Investment Contract Fund*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BOND FUND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Fidelity Advisors Intermediate Bond Fund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Blackrock Money Market Portfolio*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Brady Stock Liquidity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PARTICIPANT LOANS — (maturing through 2035, at interest rates of 6% to 8%)*</w:t>
      </w:r>
    </w:p>
    <w:p>
      <w:pPr>
        <w:spacing w:after="0" w:line="2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ASSETS (HELD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85"/>
        <w:spacing w:after="0"/>
        <w:rPr>
          <w:sz w:val="20"/>
          <w:szCs w:val="20"/>
          <w:color w:val="auto"/>
        </w:rPr>
      </w:pPr>
      <w:r>
        <w:rPr>
          <w:rFonts w:ascii="Arial" w:cs="Arial" w:eastAsia="Arial" w:hAnsi="Arial"/>
          <w:sz w:val="14"/>
          <w:szCs w:val="14"/>
          <w:b w:val="1"/>
          <w:bCs w:val="1"/>
          <w:color w:val="auto"/>
        </w:rPr>
        <w:t>Fair</w:t>
      </w:r>
    </w:p>
    <w:p>
      <w:pPr>
        <w:spacing w:after="0" w:line="4" w:lineRule="exact"/>
        <w:rPr>
          <w:sz w:val="20"/>
          <w:szCs w:val="20"/>
          <w:color w:val="auto"/>
        </w:rPr>
      </w:pPr>
    </w:p>
    <w:p>
      <w:pPr>
        <w:ind w:left="245"/>
        <w:spacing w:after="0"/>
        <w:rPr>
          <w:sz w:val="20"/>
          <w:szCs w:val="20"/>
          <w:color w:val="auto"/>
        </w:rPr>
      </w:pPr>
      <w:r>
        <w:rPr>
          <w:rFonts w:ascii="Arial" w:cs="Arial" w:eastAsia="Arial" w:hAnsi="Arial"/>
          <w:sz w:val="14"/>
          <w:szCs w:val="14"/>
          <w:b w:val="1"/>
          <w:bCs w:val="1"/>
          <w:color w:val="auto"/>
        </w:rPr>
        <w:t>Value</w:t>
      </w:r>
    </w:p>
    <w:p>
      <w:pPr>
        <w:spacing w:after="0" w:line="196" w:lineRule="exact"/>
        <w:rPr>
          <w:sz w:val="20"/>
          <w:szCs w:val="20"/>
          <w:color w:val="auto"/>
        </w:rPr>
      </w:pPr>
    </w:p>
    <w:p>
      <w:pPr>
        <w:ind w:left="245" w:hanging="245"/>
        <w:spacing w:after="0"/>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967,173</w:t>
      </w:r>
    </w:p>
    <w:p>
      <w:pPr>
        <w:spacing w:after="0" w:line="46"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953,792</w:t>
      </w:r>
    </w:p>
    <w:p>
      <w:pPr>
        <w:spacing w:after="0" w:line="32"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607,886</w:t>
      </w:r>
    </w:p>
    <w:p>
      <w:pPr>
        <w:spacing w:after="0" w:line="32"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486,429</w:t>
      </w:r>
    </w:p>
    <w:p>
      <w:pPr>
        <w:spacing w:after="0" w:line="32"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369,426</w:t>
      </w:r>
    </w:p>
    <w:p>
      <w:pPr>
        <w:spacing w:after="0" w:line="32"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143,506</w:t>
      </w:r>
    </w:p>
    <w:p>
      <w:pPr>
        <w:spacing w:after="0" w:line="32" w:lineRule="exact"/>
        <w:rPr>
          <w:rFonts w:ascii="Arial" w:cs="Arial" w:eastAsia="Arial" w:hAnsi="Arial"/>
          <w:sz w:val="16"/>
          <w:szCs w:val="16"/>
          <w:color w:val="auto"/>
        </w:rPr>
      </w:pPr>
    </w:p>
    <w:p>
      <w:pPr>
        <w:ind w:left="245"/>
        <w:spacing w:after="0"/>
        <w:rPr>
          <w:rFonts w:ascii="Arial" w:cs="Arial" w:eastAsia="Arial" w:hAnsi="Arial"/>
          <w:sz w:val="16"/>
          <w:szCs w:val="16"/>
          <w:color w:val="auto"/>
        </w:rPr>
      </w:pPr>
      <w:r>
        <w:rPr>
          <w:rFonts w:ascii="Arial" w:cs="Arial" w:eastAsia="Arial" w:hAnsi="Arial"/>
          <w:sz w:val="16"/>
          <w:szCs w:val="16"/>
          <w:color w:val="auto"/>
        </w:rPr>
        <w:t>124,898</w:t>
      </w:r>
    </w:p>
    <w:p>
      <w:pPr>
        <w:spacing w:after="0" w:line="32" w:lineRule="exact"/>
        <w:rPr>
          <w:rFonts w:ascii="Arial" w:cs="Arial" w:eastAsia="Arial" w:hAnsi="Arial"/>
          <w:sz w:val="16"/>
          <w:szCs w:val="16"/>
          <w:color w:val="auto"/>
        </w:rPr>
      </w:pPr>
    </w:p>
    <w:p>
      <w:pPr>
        <w:ind w:left="345"/>
        <w:spacing w:after="0"/>
        <w:rPr>
          <w:rFonts w:ascii="Arial" w:cs="Arial" w:eastAsia="Arial" w:hAnsi="Arial"/>
          <w:sz w:val="16"/>
          <w:szCs w:val="16"/>
          <w:color w:val="auto"/>
        </w:rPr>
      </w:pPr>
      <w:r>
        <w:rPr>
          <w:rFonts w:ascii="Arial" w:cs="Arial" w:eastAsia="Arial" w:hAnsi="Arial"/>
          <w:sz w:val="16"/>
          <w:szCs w:val="16"/>
          <w:color w:val="auto"/>
        </w:rPr>
        <w:t>40,122</w:t>
      </w:r>
    </w:p>
    <w:p>
      <w:pPr>
        <w:spacing w:after="0" w:line="32" w:lineRule="exact"/>
        <w:rPr>
          <w:rFonts w:ascii="Arial" w:cs="Arial" w:eastAsia="Arial" w:hAnsi="Arial"/>
          <w:sz w:val="16"/>
          <w:szCs w:val="16"/>
          <w:color w:val="auto"/>
        </w:rPr>
      </w:pPr>
    </w:p>
    <w:p>
      <w:pPr>
        <w:ind w:left="345"/>
        <w:spacing w:after="0"/>
        <w:rPr>
          <w:rFonts w:ascii="Arial" w:cs="Arial" w:eastAsia="Arial" w:hAnsi="Arial"/>
          <w:sz w:val="16"/>
          <w:szCs w:val="16"/>
          <w:color w:val="auto"/>
        </w:rPr>
      </w:pPr>
      <w:r>
        <w:rPr>
          <w:rFonts w:ascii="Arial" w:cs="Arial" w:eastAsia="Arial" w:hAnsi="Arial"/>
          <w:sz w:val="16"/>
          <w:szCs w:val="16"/>
          <w:color w:val="auto"/>
        </w:rPr>
        <w:t>21,901</w:t>
      </w:r>
    </w:p>
    <w:p>
      <w:pPr>
        <w:spacing w:after="0" w:line="32" w:lineRule="exact"/>
        <w:rPr>
          <w:rFonts w:ascii="Arial" w:cs="Arial" w:eastAsia="Arial" w:hAnsi="Arial"/>
          <w:sz w:val="16"/>
          <w:szCs w:val="16"/>
          <w:color w:val="auto"/>
        </w:rPr>
      </w:pPr>
    </w:p>
    <w:p>
      <w:pPr>
        <w:ind w:left="345"/>
        <w:spacing w:after="0"/>
        <w:rPr>
          <w:rFonts w:ascii="Arial" w:cs="Arial" w:eastAsia="Arial" w:hAnsi="Arial"/>
          <w:sz w:val="16"/>
          <w:szCs w:val="16"/>
          <w:color w:val="auto"/>
        </w:rPr>
      </w:pPr>
      <w:r>
        <w:rPr>
          <w:rFonts w:ascii="Arial" w:cs="Arial" w:eastAsia="Arial" w:hAnsi="Arial"/>
          <w:sz w:val="16"/>
          <w:szCs w:val="16"/>
          <w:color w:val="auto"/>
        </w:rPr>
        <w:t>18,254</w:t>
      </w:r>
    </w:p>
    <w:p>
      <w:pPr>
        <w:spacing w:after="0" w:line="32" w:lineRule="exact"/>
        <w:rPr>
          <w:rFonts w:ascii="Arial" w:cs="Arial" w:eastAsia="Arial" w:hAnsi="Arial"/>
          <w:sz w:val="16"/>
          <w:szCs w:val="16"/>
          <w:color w:val="auto"/>
        </w:rPr>
      </w:pPr>
    </w:p>
    <w:p>
      <w:pPr>
        <w:ind w:left="425"/>
        <w:spacing w:after="0"/>
        <w:rPr>
          <w:rFonts w:ascii="Arial" w:cs="Arial" w:eastAsia="Arial" w:hAnsi="Arial"/>
          <w:sz w:val="16"/>
          <w:szCs w:val="16"/>
          <w:color w:val="auto"/>
        </w:rPr>
      </w:pPr>
      <w:r>
        <w:rPr>
          <w:rFonts w:ascii="Arial" w:cs="Arial" w:eastAsia="Arial" w:hAnsi="Arial"/>
          <w:sz w:val="16"/>
          <w:szCs w:val="16"/>
          <w:color w:val="auto"/>
        </w:rPr>
        <w:t>9,304</w:t>
      </w:r>
    </w:p>
    <w:p>
      <w:pPr>
        <w:spacing w:after="0" w:line="32" w:lineRule="exact"/>
        <w:rPr>
          <w:rFonts w:ascii="Arial" w:cs="Arial" w:eastAsia="Arial" w:hAnsi="Arial"/>
          <w:sz w:val="16"/>
          <w:szCs w:val="16"/>
          <w:color w:val="auto"/>
        </w:rPr>
      </w:pPr>
    </w:p>
    <w:p>
      <w:pPr>
        <w:ind w:left="425"/>
        <w:spacing w:after="0"/>
        <w:rPr>
          <w:rFonts w:ascii="Arial" w:cs="Arial" w:eastAsia="Arial" w:hAnsi="Arial"/>
          <w:sz w:val="16"/>
          <w:szCs w:val="16"/>
          <w:color w:val="auto"/>
        </w:rPr>
      </w:pPr>
      <w:r>
        <w:rPr>
          <w:rFonts w:ascii="Arial" w:cs="Arial" w:eastAsia="Arial" w:hAnsi="Arial"/>
          <w:sz w:val="16"/>
          <w:szCs w:val="16"/>
          <w:color w:val="auto"/>
        </w:rPr>
        <w:t>6,989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314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3,749,680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113,979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314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314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32" w:lineRule="exact"/>
        <w:rPr>
          <w:sz w:val="20"/>
          <w:szCs w:val="20"/>
          <w:color w:val="auto"/>
        </w:rPr>
      </w:pPr>
    </w:p>
    <w:p>
      <w:pPr>
        <w:ind w:left="345"/>
        <w:spacing w:after="0"/>
        <w:rPr>
          <w:sz w:val="20"/>
          <w:szCs w:val="20"/>
          <w:color w:val="auto"/>
        </w:rPr>
      </w:pPr>
      <w:r>
        <w:rPr>
          <w:rFonts w:ascii="Arial" w:cs="Arial" w:eastAsia="Arial" w:hAnsi="Arial"/>
          <w:sz w:val="16"/>
          <w:szCs w:val="16"/>
          <w:color w:val="auto"/>
        </w:rPr>
        <w:t>96,282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314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5" w:lineRule="exact"/>
        <w:rPr>
          <w:sz w:val="20"/>
          <w:szCs w:val="20"/>
          <w:color w:val="auto"/>
        </w:rPr>
      </w:pPr>
    </w:p>
    <w:p>
      <w:pPr>
        <w:ind w:left="5"/>
        <w:spacing w:after="0"/>
        <w:rPr>
          <w:sz w:val="20"/>
          <w:szCs w:val="20"/>
          <w:color w:val="auto"/>
        </w:rPr>
      </w:pPr>
      <w:r>
        <w:rPr>
          <w:rFonts w:ascii="Arial" w:cs="Arial" w:eastAsia="Arial" w:hAnsi="Arial"/>
          <w:sz w:val="15"/>
          <w:szCs w:val="15"/>
          <w:u w:val="single" w:color="auto"/>
          <w:color w:val="auto"/>
        </w:rPr>
        <w:t>$ 4,697,130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5314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ectPr>
          <w:pgSz w:w="11900" w:h="16838" w:orient="portrait"/>
          <w:cols w:equalWidth="0" w:num="2">
            <w:col w:w="9755" w:space="720"/>
            <w:col w:w="845"/>
          </w:cols>
          <w:pgMar w:left="240" w:top="41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EMED CO., INC.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 PART IV, QUESTION 4a—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PARTICIPANT CONTRIBUTIONS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Identity of Party</w:t>
            </w:r>
          </w:p>
        </w:tc>
        <w:tc>
          <w:tcPr>
            <w:tcW w:w="2860" w:type="dxa"/>
            <w:vAlign w:val="bottom"/>
          </w:tcPr>
          <w:p>
            <w:pPr>
              <w:jc w:val="center"/>
              <w:ind w:left="736"/>
              <w:spacing w:after="0"/>
              <w:rPr>
                <w:sz w:val="20"/>
                <w:szCs w:val="20"/>
                <w:color w:val="auto"/>
              </w:rPr>
            </w:pPr>
            <w:r>
              <w:rPr>
                <w:rFonts w:ascii="Arial" w:cs="Arial" w:eastAsia="Arial" w:hAnsi="Arial"/>
                <w:sz w:val="14"/>
                <w:szCs w:val="14"/>
                <w:b w:val="1"/>
                <w:bCs w:val="1"/>
                <w:color w:val="auto"/>
                <w:w w:val="92"/>
              </w:rPr>
              <w:t>Relationship to Plan,</w:t>
            </w:r>
          </w:p>
        </w:tc>
        <w:tc>
          <w:tcPr>
            <w:tcW w:w="528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 of</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2860" w:type="dxa"/>
            <w:vAlign w:val="bottom"/>
          </w:tcPr>
          <w:p>
            <w:pPr>
              <w:jc w:val="center"/>
              <w:ind w:left="756"/>
              <w:spacing w:after="0" w:line="149" w:lineRule="exact"/>
              <w:rPr>
                <w:sz w:val="20"/>
                <w:szCs w:val="20"/>
                <w:color w:val="auto"/>
              </w:rPr>
            </w:pPr>
            <w:r>
              <w:rPr>
                <w:rFonts w:ascii="Arial" w:cs="Arial" w:eastAsia="Arial" w:hAnsi="Arial"/>
                <w:sz w:val="14"/>
                <w:szCs w:val="14"/>
                <w:b w:val="1"/>
                <w:bCs w:val="1"/>
                <w:color w:val="auto"/>
                <w:w w:val="96"/>
              </w:rPr>
              <w:t>Employer, or Other</w:t>
            </w:r>
          </w:p>
        </w:tc>
        <w:tc>
          <w:tcPr>
            <w:tcW w:w="5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Involved</w:t>
            </w:r>
          </w:p>
        </w:tc>
        <w:tc>
          <w:tcPr>
            <w:tcW w:w="2860" w:type="dxa"/>
            <w:vAlign w:val="bottom"/>
          </w:tcPr>
          <w:p>
            <w:pPr>
              <w:jc w:val="center"/>
              <w:ind w:left="736"/>
              <w:spacing w:after="0"/>
              <w:rPr>
                <w:sz w:val="20"/>
                <w:szCs w:val="20"/>
                <w:color w:val="auto"/>
              </w:rPr>
            </w:pPr>
            <w:r>
              <w:rPr>
                <w:rFonts w:ascii="Arial" w:cs="Arial" w:eastAsia="Arial" w:hAnsi="Arial"/>
                <w:sz w:val="14"/>
                <w:szCs w:val="14"/>
                <w:b w:val="1"/>
                <w:bCs w:val="1"/>
                <w:color w:val="auto"/>
                <w:w w:val="96"/>
              </w:rPr>
              <w:t>Party-in-Interest</w:t>
            </w:r>
          </w:p>
        </w:tc>
        <w:tc>
          <w:tcPr>
            <w:tcW w:w="5280" w:type="dxa"/>
            <w:vAlign w:val="bottom"/>
          </w:tcPr>
          <w:p>
            <w:pPr>
              <w:ind w:left="2360"/>
              <w:spacing w:after="0"/>
              <w:rPr>
                <w:sz w:val="20"/>
                <w:szCs w:val="20"/>
                <w:color w:val="auto"/>
              </w:rPr>
            </w:pPr>
            <w:r>
              <w:rPr>
                <w:rFonts w:ascii="Arial" w:cs="Arial" w:eastAsia="Arial" w:hAnsi="Arial"/>
                <w:sz w:val="14"/>
                <w:szCs w:val="14"/>
                <w:b w:val="1"/>
                <w:bCs w:val="1"/>
                <w:color w:val="auto"/>
              </w:rPr>
              <w:t>Transactions</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EMED Co., Inc.</w:t>
            </w:r>
          </w:p>
        </w:tc>
        <w:tc>
          <w:tcPr>
            <w:tcW w:w="28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Employer/Plan Sponsor</w:t>
            </w:r>
          </w:p>
        </w:tc>
        <w:tc>
          <w:tcPr>
            <w:tcW w:w="528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Participant contributions for employees were not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0"/>
              </w:rPr>
              <w:t>23,866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funded within the time period described by D.O.L.</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Regulation 2510.3-102. The September 22, 2006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participant contribution was deposited on October 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EMED Co., Inc.</w:t>
            </w:r>
          </w:p>
        </w:tc>
        <w:tc>
          <w:tcPr>
            <w:tcW w:w="2860" w:type="dxa"/>
            <w:vAlign w:val="bottom"/>
          </w:tcPr>
          <w:p>
            <w:pPr>
              <w:ind w:left="620"/>
              <w:spacing w:after="0"/>
              <w:rPr>
                <w:sz w:val="20"/>
                <w:szCs w:val="20"/>
                <w:color w:val="auto"/>
              </w:rPr>
            </w:pPr>
            <w:r>
              <w:rPr>
                <w:rFonts w:ascii="Arial" w:cs="Arial" w:eastAsia="Arial" w:hAnsi="Arial"/>
                <w:sz w:val="18"/>
                <w:szCs w:val="18"/>
                <w:color w:val="auto"/>
              </w:rPr>
              <w:t>Employer/Plan Sponsor</w:t>
            </w:r>
          </w:p>
        </w:tc>
        <w:tc>
          <w:tcPr>
            <w:tcW w:w="5280" w:type="dxa"/>
            <w:vAlign w:val="bottom"/>
          </w:tcPr>
          <w:p>
            <w:pPr>
              <w:ind w:left="800"/>
              <w:spacing w:after="0"/>
              <w:rPr>
                <w:sz w:val="20"/>
                <w:szCs w:val="20"/>
                <w:color w:val="auto"/>
              </w:rPr>
            </w:pPr>
            <w:r>
              <w:rPr>
                <w:rFonts w:ascii="Arial" w:cs="Arial" w:eastAsia="Arial" w:hAnsi="Arial"/>
                <w:sz w:val="18"/>
                <w:szCs w:val="18"/>
                <w:color w:val="auto"/>
              </w:rPr>
              <w:t>Participant contributions for employees were not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6,758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funded within the time period described by D.O.L.</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Regulation 2510.3-102. The September 29, 2006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participant contribution was deposited on October 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EMED Co., Inc.</w:t>
            </w:r>
          </w:p>
        </w:tc>
        <w:tc>
          <w:tcPr>
            <w:tcW w:w="28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Employer/Plan Sponsor</w:t>
            </w:r>
          </w:p>
        </w:tc>
        <w:tc>
          <w:tcPr>
            <w:tcW w:w="528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Participant contributions for employees were not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0"/>
              </w:rPr>
              <w:t>11,907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funded within the time period described by D.O.L.</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Regulation 2510.3-102. The October 13, 2006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participant contribution was deposited on October 20,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EMED Co., Inc.</w:t>
            </w:r>
          </w:p>
        </w:tc>
        <w:tc>
          <w:tcPr>
            <w:tcW w:w="2860" w:type="dxa"/>
            <w:vAlign w:val="bottom"/>
          </w:tcPr>
          <w:p>
            <w:pPr>
              <w:ind w:left="620"/>
              <w:spacing w:after="0"/>
              <w:rPr>
                <w:sz w:val="20"/>
                <w:szCs w:val="20"/>
                <w:color w:val="auto"/>
              </w:rPr>
            </w:pPr>
            <w:r>
              <w:rPr>
                <w:rFonts w:ascii="Arial" w:cs="Arial" w:eastAsia="Arial" w:hAnsi="Arial"/>
                <w:sz w:val="18"/>
                <w:szCs w:val="18"/>
                <w:color w:val="auto"/>
              </w:rPr>
              <w:t>Employer/Plan Sponsor</w:t>
            </w:r>
          </w:p>
        </w:tc>
        <w:tc>
          <w:tcPr>
            <w:tcW w:w="5280" w:type="dxa"/>
            <w:vAlign w:val="bottom"/>
          </w:tcPr>
          <w:p>
            <w:pPr>
              <w:ind w:left="800"/>
              <w:spacing w:after="0"/>
              <w:rPr>
                <w:sz w:val="20"/>
                <w:szCs w:val="20"/>
                <w:color w:val="auto"/>
              </w:rPr>
            </w:pPr>
            <w:r>
              <w:rPr>
                <w:rFonts w:ascii="Arial" w:cs="Arial" w:eastAsia="Arial" w:hAnsi="Arial"/>
                <w:sz w:val="18"/>
                <w:szCs w:val="18"/>
                <w:color w:val="auto"/>
              </w:rPr>
              <w:t>Participant contributions for employees were not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13,460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funded within the time period described by D.O.L.</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Regulation 2510.3-102. The October 27, 2006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participant contribution was deposited on</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November 7, 2006.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EMED Co., Inc.</w:t>
            </w:r>
          </w:p>
        </w:tc>
        <w:tc>
          <w:tcPr>
            <w:tcW w:w="2860" w:type="dxa"/>
            <w:vAlign w:val="bottom"/>
            <w:shd w:val="clear" w:color="auto" w:fill="CCEEFF"/>
          </w:tcPr>
          <w:p>
            <w:pPr>
              <w:ind w:left="620"/>
              <w:spacing w:after="0" w:line="201" w:lineRule="exact"/>
              <w:rPr>
                <w:sz w:val="20"/>
                <w:szCs w:val="20"/>
                <w:color w:val="auto"/>
              </w:rPr>
            </w:pPr>
            <w:r>
              <w:rPr>
                <w:rFonts w:ascii="Arial" w:cs="Arial" w:eastAsia="Arial" w:hAnsi="Arial"/>
                <w:sz w:val="18"/>
                <w:szCs w:val="18"/>
                <w:color w:val="auto"/>
              </w:rPr>
              <w:t>Employer/Plan Sponsor</w:t>
            </w:r>
          </w:p>
        </w:tc>
        <w:tc>
          <w:tcPr>
            <w:tcW w:w="528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Participant contributions for employees were not</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w w:val="90"/>
              </w:rPr>
              <w:t>13,851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funded within the time period described by D.O.L.</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Regulation 2510.3-102. The November 24, 2006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participant contribution was deposited on</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5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December 14, 2006.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EMED Co., Inc.</w:t>
            </w:r>
          </w:p>
        </w:tc>
        <w:tc>
          <w:tcPr>
            <w:tcW w:w="2860" w:type="dxa"/>
            <w:vAlign w:val="bottom"/>
          </w:tcPr>
          <w:p>
            <w:pPr>
              <w:ind w:left="620"/>
              <w:spacing w:after="0"/>
              <w:rPr>
                <w:sz w:val="20"/>
                <w:szCs w:val="20"/>
                <w:color w:val="auto"/>
              </w:rPr>
            </w:pPr>
            <w:r>
              <w:rPr>
                <w:rFonts w:ascii="Arial" w:cs="Arial" w:eastAsia="Arial" w:hAnsi="Arial"/>
                <w:sz w:val="18"/>
                <w:szCs w:val="18"/>
                <w:color w:val="auto"/>
              </w:rPr>
              <w:t>Employer/Plan Sponsor</w:t>
            </w:r>
          </w:p>
        </w:tc>
        <w:tc>
          <w:tcPr>
            <w:tcW w:w="5280" w:type="dxa"/>
            <w:vAlign w:val="bottom"/>
          </w:tcPr>
          <w:p>
            <w:pPr>
              <w:ind w:left="800"/>
              <w:spacing w:after="0"/>
              <w:rPr>
                <w:sz w:val="20"/>
                <w:szCs w:val="20"/>
                <w:color w:val="auto"/>
              </w:rPr>
            </w:pPr>
            <w:r>
              <w:rPr>
                <w:rFonts w:ascii="Arial" w:cs="Arial" w:eastAsia="Arial" w:hAnsi="Arial"/>
                <w:sz w:val="18"/>
                <w:szCs w:val="18"/>
                <w:color w:val="auto"/>
              </w:rPr>
              <w:t>Participant contributions for employees were not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funded within the time period described by D.O.L.</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Regulation 2510.3-102. The November 10, 2006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participant contribution was deposited on June 18,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5280" w:type="dxa"/>
            <w:vAlign w:val="bottom"/>
          </w:tcPr>
          <w:p>
            <w:pPr>
              <w:ind w:left="80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280" w:type="dxa"/>
            <w:vAlign w:val="bottom"/>
            <w:shd w:val="clear" w:color="auto" w:fill="CCEEFF"/>
          </w:tcPr>
          <w:p>
            <w:pPr>
              <w:ind w:left="4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71,579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280" w:type="dxa"/>
            <w:vAlign w:val="bottom"/>
            <w:vMerge w:val="restart"/>
          </w:tcPr>
          <w:p>
            <w:pPr>
              <w:ind w:left="360"/>
              <w:spacing w:after="0"/>
              <w:rPr>
                <w:sz w:val="20"/>
                <w:szCs w:val="20"/>
                <w:color w:val="auto"/>
              </w:rPr>
            </w:pPr>
            <w:r>
              <w:rPr>
                <w:rFonts w:ascii="Arial" w:cs="Arial" w:eastAsia="Arial" w:hAnsi="Arial"/>
                <w:sz w:val="18"/>
                <w:szCs w:val="18"/>
                <w:color w:val="auto"/>
              </w:rPr>
              <w:t>- 10 -</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560" w:type="dxa"/>
            <w:vAlign w:val="bottom"/>
          </w:tcPr>
          <w:p>
            <w:pPr>
              <w:spacing w:after="0"/>
              <w:rPr>
                <w:sz w:val="14"/>
                <w:szCs w:val="14"/>
                <w:color w:val="auto"/>
              </w:rPr>
            </w:pPr>
          </w:p>
        </w:tc>
        <w:tc>
          <w:tcPr>
            <w:tcW w:w="10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720" w:type="dxa"/>
            <w:vAlign w:val="bottom"/>
          </w:tcPr>
          <w:p>
            <w:pPr>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19"/>
                <w:szCs w:val="19"/>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Consent of Deloitte &amp; Touche LLP</w:t>
            </w:r>
          </w:p>
        </w:tc>
      </w:tr>
      <w:tr>
        <w:trPr>
          <w:trHeight w:val="617"/>
        </w:trPr>
        <w:tc>
          <w:tcPr>
            <w:tcW w:w="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duly caused this annual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EMED CO., INC. 401(k) PLAN</w:t>
            </w: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June 29,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VOSE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Gary Vose</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Plan Administrative Committee Member</w:t>
            </w:r>
          </w:p>
        </w:tc>
      </w:tr>
    </w:tbl>
    <w:p>
      <w:pPr>
        <w:sectPr>
          <w:pgSz w:w="11900" w:h="16838" w:orient="portrait"/>
          <w:cols w:equalWidth="0" w:num="1">
            <w:col w:w="11220"/>
          </w:cols>
          <w:pgMar w:left="240" w:top="419"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consent to the incorporation by reference in Registration Statement No. 333-137686 on Form S-8 of our report dated June 22, 2007, appearing in this Annual Report on Form 11-K of EMED Co., Inc. 401(k) Plan for the years ended December 31,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28, 2007</w:t>
      </w:r>
    </w:p>
    <w:sectPr>
      <w:pgSz w:w="11900" w:h="16838" w:orient="portrait"/>
      <w:cols w:equalWidth="0" w:num="1">
        <w:col w:w="11420"/>
      </w:cols>
      <w:pgMar w:left="240" w:top="1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1."/>
      <w:numFmt w:val="decimal"/>
      <w:start w:val="1"/>
    </w:lvl>
    <w:lvl w:ilvl="1">
      <w:lvlJc w:val="left"/>
      <w:lvlText w:val="-"/>
      <w:numFmt w:val="bullet"/>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8"/>
    </w:lvl>
    <w:lvl w:ilvl="1">
      <w:lvlJc w:val="left"/>
      <w:lvlText w:val="*"/>
      <w:numFmt w:val="bullet"/>
      <w:start w:val="1"/>
    </w:lvl>
    <w:lvl w:ilvl="2">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2019-12-13T14:18:32Z</dcterms:created>
  <dcterms:modified xsi:type="dcterms:W3CDTF">2019-12-13T14:18:32Z</dcterms:modified>
</cp:coreProperties>
</file>