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September 5, 2023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117475</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94615</wp:posOffset>
            </wp:positionV>
            <wp:extent cx="13627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107950</wp:posOffset>
            </wp:positionV>
            <wp:extent cx="1362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80" w:lineRule="exact"/>
        <w:rPr>
          <w:sz w:val="24"/>
          <w:szCs w:val="24"/>
          <w:color w:val="auto"/>
        </w:rPr>
      </w:pPr>
    </w:p>
    <w:tbl>
      <w:tblPr>
        <w:tblLayout w:type="fixed"/>
        <w:tblInd w:w="1000" w:type="dxa"/>
        <w:tblCellMar>
          <w:top w:w="0" w:type="dxa"/>
          <w:left w:w="0" w:type="dxa"/>
          <w:bottom w:w="0" w:type="dxa"/>
          <w:right w:w="0" w:type="dxa"/>
        </w:tblCellMar>
      </w:tblPr>
      <w:tr>
        <w:trPr>
          <w:trHeight w:val="229"/>
        </w:trPr>
        <w:tc>
          <w:tcPr>
            <w:tcW w:w="4960" w:type="dxa"/>
            <w:vAlign w:val="bottom"/>
          </w:tcPr>
          <w:p>
            <w:pPr>
              <w:jc w:val="center"/>
              <w:ind w:right="1417"/>
              <w:spacing w:after="0"/>
              <w:rPr>
                <w:sz w:val="20"/>
                <w:szCs w:val="20"/>
                <w:color w:val="auto"/>
              </w:rPr>
            </w:pPr>
            <w:r>
              <w:rPr>
                <w:rFonts w:ascii="Arial" w:cs="Arial" w:eastAsia="Arial" w:hAnsi="Arial"/>
                <w:sz w:val="18"/>
                <w:szCs w:val="18"/>
                <w:b w:val="1"/>
                <w:bCs w:val="1"/>
                <w:color w:val="auto"/>
                <w:w w:val="86"/>
              </w:rPr>
              <w:t>Wisconsin</w:t>
            </w:r>
          </w:p>
        </w:tc>
        <w:tc>
          <w:tcPr>
            <w:tcW w:w="3600" w:type="dxa"/>
            <w:vAlign w:val="bottom"/>
          </w:tcPr>
          <w:p>
            <w:pPr>
              <w:jc w:val="right"/>
              <w:ind w:right="539"/>
              <w:spacing w:after="0"/>
              <w:rPr>
                <w:sz w:val="20"/>
                <w:szCs w:val="20"/>
                <w:color w:val="auto"/>
              </w:rPr>
            </w:pPr>
            <w:r>
              <w:rPr>
                <w:rFonts w:ascii="Arial" w:cs="Arial" w:eastAsia="Arial" w:hAnsi="Arial"/>
                <w:sz w:val="18"/>
                <w:szCs w:val="18"/>
                <w:b w:val="1"/>
                <w:bCs w:val="1"/>
                <w:color w:val="auto"/>
              </w:rPr>
              <w:t>39-0178960</w:t>
            </w:r>
          </w:p>
        </w:tc>
      </w:tr>
      <w:tr>
        <w:trPr>
          <w:trHeight w:val="182"/>
        </w:trPr>
        <w:tc>
          <w:tcPr>
            <w:tcW w:w="4960" w:type="dxa"/>
            <w:vAlign w:val="bottom"/>
          </w:tcPr>
          <w:p>
            <w:pPr>
              <w:jc w:val="center"/>
              <w:ind w:right="14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00" w:type="dxa"/>
            <w:vAlign w:val="bottom"/>
          </w:tcPr>
          <w:p>
            <w:pPr>
              <w:jc w:val="center"/>
              <w:ind w:left="1419"/>
              <w:spacing w:after="0"/>
              <w:rPr>
                <w:sz w:val="20"/>
                <w:szCs w:val="20"/>
                <w:color w:val="auto"/>
              </w:rPr>
            </w:pPr>
            <w:r>
              <w:rPr>
                <w:rFonts w:ascii="Arial" w:cs="Arial" w:eastAsia="Arial" w:hAnsi="Arial"/>
                <w:sz w:val="14"/>
                <w:szCs w:val="14"/>
                <w:color w:val="auto"/>
                <w:w w:val="97"/>
              </w:rPr>
              <w:t>(I.R.S. Employer Identification No.)</w:t>
            </w:r>
          </w:p>
        </w:tc>
      </w:tr>
      <w:tr>
        <w:trPr>
          <w:trHeight w:val="561"/>
        </w:trPr>
        <w:tc>
          <w:tcPr>
            <w:tcW w:w="4960" w:type="dxa"/>
            <w:vAlign w:val="bottom"/>
          </w:tcPr>
          <w:p>
            <w:pPr>
              <w:jc w:val="center"/>
              <w:ind w:right="1437"/>
              <w:spacing w:after="0"/>
              <w:rPr>
                <w:sz w:val="20"/>
                <w:szCs w:val="20"/>
                <w:color w:val="auto"/>
              </w:rPr>
            </w:pPr>
            <w:r>
              <w:rPr>
                <w:rFonts w:ascii="Arial" w:cs="Arial" w:eastAsia="Arial" w:hAnsi="Arial"/>
                <w:sz w:val="18"/>
                <w:szCs w:val="18"/>
                <w:b w:val="1"/>
                <w:bCs w:val="1"/>
                <w:color w:val="auto"/>
                <w:w w:val="89"/>
              </w:rPr>
              <w:t>6555 West Good Hope Road</w:t>
            </w:r>
          </w:p>
        </w:tc>
        <w:tc>
          <w:tcPr>
            <w:tcW w:w="3600" w:type="dxa"/>
            <w:vAlign w:val="bottom"/>
          </w:tcPr>
          <w:p>
            <w:pPr>
              <w:spacing w:after="0"/>
              <w:rPr>
                <w:sz w:val="24"/>
                <w:szCs w:val="24"/>
                <w:color w:val="auto"/>
              </w:rPr>
            </w:pPr>
          </w:p>
        </w:tc>
      </w:tr>
      <w:tr>
        <w:trPr>
          <w:trHeight w:val="229"/>
        </w:trPr>
        <w:tc>
          <w:tcPr>
            <w:tcW w:w="4960" w:type="dxa"/>
            <w:vAlign w:val="bottom"/>
          </w:tcPr>
          <w:p>
            <w:pPr>
              <w:jc w:val="center"/>
              <w:ind w:right="1417"/>
              <w:spacing w:after="0"/>
              <w:rPr>
                <w:sz w:val="20"/>
                <w:szCs w:val="20"/>
                <w:color w:val="auto"/>
              </w:rPr>
            </w:pPr>
            <w:r>
              <w:rPr>
                <w:rFonts w:ascii="Arial" w:cs="Arial" w:eastAsia="Arial" w:hAnsi="Arial"/>
                <w:sz w:val="18"/>
                <w:szCs w:val="18"/>
                <w:b w:val="1"/>
                <w:bCs w:val="1"/>
                <w:color w:val="auto"/>
                <w:w w:val="91"/>
              </w:rPr>
              <w:t>Milwaukee, Wisconsin</w:t>
            </w:r>
          </w:p>
        </w:tc>
        <w:tc>
          <w:tcPr>
            <w:tcW w:w="3600" w:type="dxa"/>
            <w:vAlign w:val="bottom"/>
          </w:tcPr>
          <w:p>
            <w:pPr>
              <w:jc w:val="right"/>
              <w:ind w:right="739"/>
              <w:spacing w:after="0"/>
              <w:rPr>
                <w:sz w:val="20"/>
                <w:szCs w:val="20"/>
                <w:color w:val="auto"/>
              </w:rPr>
            </w:pPr>
            <w:r>
              <w:rPr>
                <w:rFonts w:ascii="Arial" w:cs="Arial" w:eastAsia="Arial" w:hAnsi="Arial"/>
                <w:sz w:val="18"/>
                <w:szCs w:val="18"/>
                <w:b w:val="1"/>
                <w:bCs w:val="1"/>
                <w:color w:val="auto"/>
              </w:rPr>
              <w:t>53223</w:t>
            </w:r>
          </w:p>
        </w:tc>
      </w:tr>
      <w:tr>
        <w:trPr>
          <w:trHeight w:val="182"/>
        </w:trPr>
        <w:tc>
          <w:tcPr>
            <w:tcW w:w="4960" w:type="dxa"/>
            <w:vAlign w:val="bottom"/>
          </w:tcPr>
          <w:p>
            <w:pPr>
              <w:jc w:val="center"/>
              <w:ind w:right="1437"/>
              <w:spacing w:after="0"/>
              <w:rPr>
                <w:sz w:val="20"/>
                <w:szCs w:val="20"/>
                <w:color w:val="auto"/>
              </w:rPr>
            </w:pPr>
            <w:r>
              <w:rPr>
                <w:rFonts w:ascii="Arial" w:cs="Arial" w:eastAsia="Arial" w:hAnsi="Arial"/>
                <w:sz w:val="14"/>
                <w:szCs w:val="14"/>
                <w:color w:val="auto"/>
                <w:w w:val="95"/>
              </w:rPr>
              <w:t>(Address of principal executive offices)</w:t>
            </w:r>
          </w:p>
        </w:tc>
        <w:tc>
          <w:tcPr>
            <w:tcW w:w="3600" w:type="dxa"/>
            <w:vAlign w:val="bottom"/>
          </w:tcPr>
          <w:p>
            <w:pPr>
              <w:jc w:val="center"/>
              <w:ind w:left="1439"/>
              <w:spacing w:after="0"/>
              <w:rPr>
                <w:sz w:val="20"/>
                <w:szCs w:val="20"/>
                <w:color w:val="auto"/>
              </w:rPr>
            </w:pPr>
            <w:r>
              <w:rPr>
                <w:rFonts w:ascii="Arial" w:cs="Arial" w:eastAsia="Arial" w:hAnsi="Arial"/>
                <w:sz w:val="14"/>
                <w:szCs w:val="14"/>
                <w:color w:val="auto"/>
                <w:w w:val="96"/>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170815</wp:posOffset>
            </wp:positionV>
            <wp:extent cx="13627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BRADY CORPORATION 2023 OMNIBUS INCENTIVE PLAN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107950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47" w:lineRule="exact"/>
        <w:rPr>
          <w:sz w:val="24"/>
          <w:szCs w:val="24"/>
          <w:color w:val="auto"/>
        </w:rPr>
      </w:pPr>
    </w:p>
    <w:tbl>
      <w:tblPr>
        <w:tblLayout w:type="fixed"/>
        <w:tblInd w:w="1040" w:type="dxa"/>
        <w:tblCellMar>
          <w:top w:w="0" w:type="dxa"/>
          <w:left w:w="0" w:type="dxa"/>
          <w:bottom w:w="0" w:type="dxa"/>
          <w:right w:w="0" w:type="dxa"/>
        </w:tblCellMar>
      </w:tblPr>
      <w:tr>
        <w:trPr>
          <w:trHeight w:val="229"/>
        </w:trPr>
        <w:tc>
          <w:tcPr>
            <w:tcW w:w="33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Ann E. Thornton</w:t>
            </w:r>
          </w:p>
        </w:tc>
        <w:tc>
          <w:tcPr>
            <w:tcW w:w="5280" w:type="dxa"/>
            <w:vAlign w:val="bottom"/>
          </w:tcPr>
          <w:p>
            <w:pPr>
              <w:jc w:val="center"/>
              <w:ind w:left="3093"/>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230"/>
        </w:trPr>
        <w:tc>
          <w:tcPr>
            <w:tcW w:w="33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Chief Financial Officer, Chief Accounting</w:t>
            </w:r>
          </w:p>
        </w:tc>
        <w:tc>
          <w:tcPr>
            <w:tcW w:w="5280" w:type="dxa"/>
            <w:vAlign w:val="bottom"/>
          </w:tcPr>
          <w:p>
            <w:pPr>
              <w:jc w:val="center"/>
              <w:ind w:left="3113"/>
              <w:spacing w:after="0"/>
              <w:rPr>
                <w:sz w:val="20"/>
                <w:szCs w:val="20"/>
                <w:color w:val="auto"/>
              </w:rPr>
            </w:pPr>
            <w:r>
              <w:rPr>
                <w:rFonts w:ascii="Arial" w:cs="Arial" w:eastAsia="Arial" w:hAnsi="Arial"/>
                <w:sz w:val="18"/>
                <w:szCs w:val="18"/>
                <w:b w:val="1"/>
                <w:bCs w:val="1"/>
                <w:color w:val="auto"/>
                <w:w w:val="87"/>
              </w:rPr>
              <w:t>Jessica S. Lochmann</w:t>
            </w:r>
          </w:p>
        </w:tc>
      </w:tr>
      <w:tr>
        <w:trPr>
          <w:trHeight w:val="229"/>
        </w:trPr>
        <w:tc>
          <w:tcPr>
            <w:tcW w:w="33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Officer and Treasurer</w:t>
            </w:r>
          </w:p>
        </w:tc>
        <w:tc>
          <w:tcPr>
            <w:tcW w:w="5280" w:type="dxa"/>
            <w:vAlign w:val="bottom"/>
          </w:tcPr>
          <w:p>
            <w:pPr>
              <w:jc w:val="center"/>
              <w:ind w:left="3093"/>
              <w:spacing w:after="0"/>
              <w:rPr>
                <w:sz w:val="20"/>
                <w:szCs w:val="20"/>
                <w:color w:val="auto"/>
              </w:rPr>
            </w:pPr>
            <w:r>
              <w:rPr>
                <w:rFonts w:ascii="Arial" w:cs="Arial" w:eastAsia="Arial" w:hAnsi="Arial"/>
                <w:sz w:val="18"/>
                <w:szCs w:val="18"/>
                <w:b w:val="1"/>
                <w:bCs w:val="1"/>
                <w:color w:val="auto"/>
                <w:w w:val="96"/>
              </w:rPr>
              <w:t>Foley &amp; Lardner LLP</w:t>
            </w:r>
          </w:p>
        </w:tc>
      </w:tr>
      <w:tr>
        <w:trPr>
          <w:trHeight w:val="230"/>
        </w:trPr>
        <w:tc>
          <w:tcPr>
            <w:tcW w:w="33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Brady Corporation</w:t>
            </w:r>
          </w:p>
        </w:tc>
        <w:tc>
          <w:tcPr>
            <w:tcW w:w="5280" w:type="dxa"/>
            <w:vAlign w:val="bottom"/>
          </w:tcPr>
          <w:p>
            <w:pPr>
              <w:jc w:val="center"/>
              <w:ind w:left="3093"/>
              <w:spacing w:after="0"/>
              <w:rPr>
                <w:sz w:val="20"/>
                <w:szCs w:val="20"/>
                <w:color w:val="auto"/>
              </w:rPr>
            </w:pPr>
            <w:r>
              <w:rPr>
                <w:rFonts w:ascii="Arial" w:cs="Arial" w:eastAsia="Arial" w:hAnsi="Arial"/>
                <w:sz w:val="18"/>
                <w:szCs w:val="18"/>
                <w:b w:val="1"/>
                <w:bCs w:val="1"/>
                <w:color w:val="auto"/>
                <w:w w:val="88"/>
              </w:rPr>
              <w:t>777 East Wisconsin Avenue</w:t>
            </w:r>
          </w:p>
        </w:tc>
      </w:tr>
      <w:tr>
        <w:trPr>
          <w:trHeight w:val="230"/>
        </w:trPr>
        <w:tc>
          <w:tcPr>
            <w:tcW w:w="3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6555 West Good Hope Road</w:t>
            </w:r>
          </w:p>
        </w:tc>
        <w:tc>
          <w:tcPr>
            <w:tcW w:w="5280" w:type="dxa"/>
            <w:vAlign w:val="bottom"/>
          </w:tcPr>
          <w:p>
            <w:pPr>
              <w:jc w:val="center"/>
              <w:ind w:left="3113"/>
              <w:spacing w:after="0"/>
              <w:rPr>
                <w:sz w:val="20"/>
                <w:szCs w:val="20"/>
                <w:color w:val="auto"/>
              </w:rPr>
            </w:pPr>
            <w:r>
              <w:rPr>
                <w:rFonts w:ascii="Arial" w:cs="Arial" w:eastAsia="Arial" w:hAnsi="Arial"/>
                <w:sz w:val="18"/>
                <w:szCs w:val="18"/>
                <w:b w:val="1"/>
                <w:bCs w:val="1"/>
                <w:color w:val="auto"/>
                <w:w w:val="94"/>
              </w:rPr>
              <w:t>Milwaukee, WI 53202</w:t>
            </w:r>
          </w:p>
        </w:tc>
      </w:tr>
      <w:tr>
        <w:trPr>
          <w:trHeight w:val="234"/>
        </w:trPr>
        <w:tc>
          <w:tcPr>
            <w:tcW w:w="33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Milwaukee, WI 53223</w:t>
            </w:r>
          </w:p>
        </w:tc>
        <w:tc>
          <w:tcPr>
            <w:tcW w:w="5280" w:type="dxa"/>
            <w:vAlign w:val="bottom"/>
          </w:tcPr>
          <w:p>
            <w:pPr>
              <w:spacing w:after="0"/>
              <w:rPr>
                <w:sz w:val="20"/>
                <w:szCs w:val="20"/>
                <w:color w:val="auto"/>
              </w:rPr>
            </w:pPr>
          </w:p>
        </w:tc>
      </w:tr>
      <w:tr>
        <w:trPr>
          <w:trHeight w:val="258"/>
        </w:trPr>
        <w:tc>
          <w:tcPr>
            <w:tcW w:w="3320" w:type="dxa"/>
            <w:vAlign w:val="bottom"/>
          </w:tcPr>
          <w:p>
            <w:pPr>
              <w:spacing w:after="0"/>
              <w:rPr>
                <w:sz w:val="22"/>
                <w:szCs w:val="22"/>
                <w:color w:val="auto"/>
              </w:rPr>
            </w:pPr>
          </w:p>
        </w:tc>
        <w:tc>
          <w:tcPr>
            <w:tcW w:w="5280" w:type="dxa"/>
            <w:vAlign w:val="bottom"/>
          </w:tcPr>
          <w:p>
            <w:pPr>
              <w:ind w:left="120"/>
              <w:spacing w:after="0"/>
              <w:rPr>
                <w:sz w:val="20"/>
                <w:szCs w:val="20"/>
                <w:color w:val="auto"/>
              </w:rPr>
            </w:pPr>
            <w:r>
              <w:rPr>
                <w:rFonts w:ascii="Arial" w:cs="Arial" w:eastAsia="Arial" w:hAnsi="Arial"/>
                <w:sz w:val="14"/>
                <w:szCs w:val="14"/>
                <w:color w:val="auto"/>
              </w:rPr>
              <w:t>(Name and address of agent for service)</w:t>
            </w:r>
          </w:p>
        </w:tc>
      </w:tr>
    </w:tbl>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125095</wp:posOffset>
            </wp:positionV>
            <wp:extent cx="1362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61"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52"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8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30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060"/>
        <w:spacing w:after="0" w:line="161" w:lineRule="exact"/>
        <w:rPr>
          <w:sz w:val="20"/>
          <w:szCs w:val="20"/>
          <w:color w:val="auto"/>
        </w:rPr>
      </w:pPr>
      <w:r>
        <w:rPr>
          <w:rFonts w:ascii="MS PGothic" w:cs="MS PGothic" w:eastAsia="MS PGothic" w:hAnsi="MS PGothic"/>
          <w:sz w:val="16"/>
          <w:szCs w:val="16"/>
          <w:color w:val="auto"/>
        </w:rPr>
        <w:t>☐</w:t>
      </w:r>
    </w:p>
    <w:p>
      <w:pPr>
        <w:spacing w:after="0" w:line="397" w:lineRule="exact"/>
        <w:rPr>
          <w:sz w:val="24"/>
          <w:szCs w:val="24"/>
          <w:color w:val="auto"/>
        </w:rPr>
      </w:pPr>
    </w:p>
    <w:p>
      <w:pPr>
        <w:sectPr>
          <w:pgSz w:w="11900" w:h="16838" w:orient="portrait"/>
          <w:cols w:equalWidth="0" w:num="6">
            <w:col w:w="1880" w:space="720"/>
            <w:col w:w="380" w:space="720"/>
            <w:col w:w="1900" w:space="720"/>
            <w:col w:w="380" w:space="720"/>
            <w:col w:w="1880" w:space="720"/>
            <w:col w:w="1220"/>
          </w:cols>
          <w:pgMar w:left="320" w:top="233" w:right="339" w:bottom="1440" w:gutter="0" w:footer="0" w:header="0"/>
          <w:type w:val="continuous"/>
        </w:sectPr>
      </w:pPr>
    </w:p>
    <w:p>
      <w:pPr>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8"/>
          <w:szCs w:val="18"/>
          <w:color w:val="auto"/>
        </w:rPr>
        <w:t>Information specified in Part I of Form S-8 (Items 1 and 2) will be sent or given to participants in the Brady Corporation 2023 Omnibus Incentive Plan (the “Plan”) as specified by Rule 428(b)(1) under the Securities Act of 1933, as amended (the “Securities Act”).</w:t>
      </w:r>
    </w:p>
    <w:p>
      <w:pPr>
        <w:spacing w:after="0" w:line="30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75" w:lineRule="exact"/>
        <w:rPr>
          <w:sz w:val="20"/>
          <w:szCs w:val="20"/>
          <w:color w:val="auto"/>
        </w:rPr>
      </w:pPr>
    </w:p>
    <w:p>
      <w:pPr>
        <w:jc w:val="both"/>
        <w:ind w:right="20" w:firstLine="729"/>
        <w:spacing w:after="0" w:line="263" w:lineRule="auto"/>
        <w:rPr>
          <w:sz w:val="20"/>
          <w:szCs w:val="20"/>
          <w:color w:val="auto"/>
        </w:rPr>
      </w:pPr>
      <w:r>
        <w:rPr>
          <w:rFonts w:ascii="Arial" w:cs="Arial" w:eastAsia="Arial" w:hAnsi="Arial"/>
          <w:sz w:val="18"/>
          <w:szCs w:val="18"/>
          <w:color w:val="auto"/>
        </w:rPr>
        <w:t>The following documents filed by Brady Corporation (the “Registrant”) (Commission File No. 001-14959) with the Securities and Exchange Commission (the “SEC”) pursuant to Section 13 of the Securities Exchange Act of 1934 (the “Exchange Act”), as amended, are incorporated herein by reference:</w:t>
      </w:r>
    </w:p>
    <w:p>
      <w:pPr>
        <w:spacing w:after="0" w:line="13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4">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July 31, 2023;</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 on </w:t>
      </w:r>
      <w:hyperlink r:id="rId15">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dated September 5, 2023;</w:t>
      </w:r>
    </w:p>
    <w:p>
      <w:pPr>
        <w:spacing w:after="0" w:line="171" w:lineRule="exact"/>
        <w:rPr>
          <w:rFonts w:ascii="Arial" w:cs="Arial" w:eastAsia="Arial" w:hAnsi="Arial"/>
          <w:sz w:val="18"/>
          <w:szCs w:val="18"/>
          <w:color w:val="auto"/>
        </w:rPr>
      </w:pPr>
    </w:p>
    <w:p>
      <w:pPr>
        <w:ind w:left="660" w:hanging="328"/>
        <w:spacing w:after="0" w:line="277" w:lineRule="auto"/>
        <w:tabs>
          <w:tab w:leader="none" w:pos="65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descriptions of the Company's common stock ("Common Stock") contained in </w:t>
      </w:r>
      <w:hyperlink r:id="rId16">
        <w:r>
          <w:rPr>
            <w:rFonts w:ascii="Arial" w:cs="Arial" w:eastAsia="Arial" w:hAnsi="Arial"/>
            <w:sz w:val="18"/>
            <w:szCs w:val="18"/>
            <w:u w:val="single" w:color="auto"/>
            <w:color w:val="0000FF"/>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Registrant’s Annual Report on Form 10-K, including any amendments or reports filed thereunder that update or otherwise modify such descriptions.</w:t>
      </w:r>
    </w:p>
    <w:p>
      <w:pPr>
        <w:spacing w:after="0" w:line="116" w:lineRule="exact"/>
        <w:rPr>
          <w:rFonts w:ascii="Arial" w:cs="Arial" w:eastAsia="Arial" w:hAnsi="Arial"/>
          <w:sz w:val="18"/>
          <w:szCs w:val="18"/>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documents subsequently filed by the Registrant pursuant to Sections 13(a), 13(c), 14 and 15(d) of the Exchange Act prior to the filing of a post-effective amendment that indicates that all securities offered hereby have been sold or which deregisters all securities then remaining unsold, shall be deemed to be incorporated by reference herein and to be a part hereof from the date of the filing of such documents.</w:t>
      </w:r>
    </w:p>
    <w:p>
      <w:pPr>
        <w:spacing w:after="0" w:line="111"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hereof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hereof.</w:t>
      </w:r>
    </w:p>
    <w:p>
      <w:pPr>
        <w:spacing w:after="0" w:line="1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75"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75"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75" w:lineRule="exact"/>
        <w:rPr>
          <w:rFonts w:ascii="Arial" w:cs="Arial" w:eastAsia="Arial" w:hAnsi="Arial"/>
          <w:sz w:val="18"/>
          <w:szCs w:val="18"/>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Registrant is incorporated under the Wisconsin Business Corporation Law (the “WBCL”). The WBCL includes provisions providing for indemnification by a corporation of a director or officer against certain liabilities and expenses incurred by him or her in any proceeding (whether threatened, pending, or completed, and whether brought by the Registrant or any other person) to which he or she was a party because of being a director or officer.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liabilities (including, among other things, judgments, penalties, fines and reasonable expenses) incurred in a proceeding to which such person was a party because he or she was an officer or director of the Registrant, unless it is determined that liability was incurred because he or she breached or failed to perform a duty to which he or she owes the Registrant and the breach or failure constitutes any of the following: (i) a willful failure to deal fairly with the Registrant or its shareholders in connection with a matter in which he or she has a material conflict of interest; (ii) a violation of criminal law, unless he or she had reasonable cause to believe his or her conduct was lawful or no reasonable cause to believe his or her conduct was unlawful; (iii) a transaction from which he or she derived an improper personal profit; or (iv) willful misconduct. Section 180.0858(1) of the WBCL provides that, subject to certain limitations, the mandatory</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180.0851(2)(c) of the WBCL specifies that the termination of a proceeding by judgment, order, settlement, or conviction, or upon a plea of no contest or an equivalent plea, does not, by itself, create a presumption that indemnification is not required. Section 180.0853 of the WBCL permits the Registrant to pay or reimburse reasonable expenses as incurred if the director or officer affirms his or her good faith belief that he or she has not breached or failed to perform his or her duties to the corporation and undertakes to make repayment to the extent it is ultimately determined that indemnification is not required.</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Section 180.0833 of the WBCL, directors of the Registrant against whom claims are asserted with respect to the declaration of an improper dividend or other distribution to shareholders to which they assented are entitled to contribution from other directors who assented to such distribution and from shareholders who knowingly accepted the improper distribution, as provided therein.</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gridSpan w:val="2"/>
          </w:tcPr>
          <w:p>
            <w:pPr>
              <w:ind w:left="1460"/>
              <w:spacing w:after="0"/>
              <w:rPr>
                <w:sz w:val="20"/>
                <w:szCs w:val="20"/>
                <w:color w:val="auto"/>
              </w:rPr>
            </w:pPr>
            <w:r>
              <w:rPr>
                <w:rFonts w:ascii="Arial" w:cs="Arial" w:eastAsia="Arial" w:hAnsi="Arial"/>
                <w:sz w:val="18"/>
                <w:szCs w:val="18"/>
                <w:b w:val="1"/>
                <w:bCs w:val="1"/>
                <w:color w:val="auto"/>
              </w:rPr>
              <w:t>Incorporated Herein</w:t>
            </w:r>
          </w:p>
        </w:tc>
        <w:tc>
          <w:tcPr>
            <w:tcW w:w="1640" w:type="dxa"/>
            <w:vAlign w:val="bottom"/>
          </w:tcPr>
          <w:p>
            <w:pPr>
              <w:spacing w:after="0"/>
              <w:rPr>
                <w:sz w:val="18"/>
                <w:szCs w:val="18"/>
                <w:color w:val="auto"/>
              </w:rPr>
            </w:pPr>
          </w:p>
        </w:tc>
      </w:tr>
      <w:tr>
        <w:trPr>
          <w:trHeight w:val="243"/>
        </w:trPr>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8"/>
                <w:szCs w:val="18"/>
                <w:b w:val="1"/>
                <w:bCs w:val="1"/>
                <w:color w:val="auto"/>
              </w:rPr>
              <w:t>Description</w:t>
            </w:r>
          </w:p>
        </w:tc>
        <w:tc>
          <w:tcPr>
            <w:tcW w:w="4620" w:type="dxa"/>
            <w:vAlign w:val="bottom"/>
            <w:gridSpan w:val="2"/>
          </w:tcPr>
          <w:p>
            <w:pPr>
              <w:ind w:left="1660"/>
              <w:spacing w:after="0"/>
              <w:rPr>
                <w:sz w:val="20"/>
                <w:szCs w:val="20"/>
                <w:color w:val="auto"/>
              </w:rPr>
            </w:pPr>
            <w:r>
              <w:rPr>
                <w:rFonts w:ascii="Arial" w:cs="Arial" w:eastAsia="Arial" w:hAnsi="Arial"/>
                <w:sz w:val="18"/>
                <w:szCs w:val="18"/>
                <w:b w:val="1"/>
                <w:bCs w:val="1"/>
                <w:color w:val="auto"/>
              </w:rPr>
              <w:t>By Reference To</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Filed Herewith</w:t>
            </w:r>
          </w:p>
        </w:tc>
      </w:tr>
      <w:tr>
        <w:trPr>
          <w:trHeight w:val="142"/>
        </w:trPr>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r>
      <w:tr>
        <w:trPr>
          <w:trHeight w:val="189"/>
        </w:trPr>
        <w:tc>
          <w:tcPr>
            <w:tcW w:w="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60" w:type="dxa"/>
            <w:vAlign w:val="bottom"/>
            <w:gridSpan w:val="10"/>
            <w:shd w:val="clear" w:color="auto" w:fill="CCEEFF"/>
          </w:tcPr>
          <w:p>
            <w:pPr>
              <w:spacing w:after="0" w:line="189" w:lineRule="exact"/>
              <w:rPr>
                <w:rFonts w:ascii="Arial" w:cs="Arial" w:eastAsia="Arial" w:hAnsi="Arial"/>
                <w:sz w:val="18"/>
                <w:szCs w:val="18"/>
                <w:color w:val="0000FF"/>
              </w:rPr>
            </w:pPr>
            <w:hyperlink r:id="rId17">
              <w:r>
                <w:rPr>
                  <w:rFonts w:ascii="Arial" w:cs="Arial" w:eastAsia="Arial" w:hAnsi="Arial"/>
                  <w:sz w:val="18"/>
                  <w:szCs w:val="18"/>
                  <w:color w:val="0000FF"/>
                </w:rPr>
                <w:t>Restated Articles of Incorporation of the</w:t>
              </w:r>
            </w:hyperlink>
          </w:p>
        </w:tc>
        <w:tc>
          <w:tcPr>
            <w:tcW w:w="46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Exhibit 4.1 to the Registrant’s Registration Statement on</w:t>
            </w:r>
          </w:p>
        </w:tc>
        <w:tc>
          <w:tcPr>
            <w:tcW w:w="1640" w:type="dxa"/>
            <w:vAlign w:val="bottom"/>
            <w:shd w:val="clear" w:color="auto" w:fill="CCEEFF"/>
          </w:tcPr>
          <w:p>
            <w:pPr>
              <w:spacing w:after="0"/>
              <w:rPr>
                <w:sz w:val="16"/>
                <w:szCs w:val="16"/>
                <w:color w:val="auto"/>
              </w:rPr>
            </w:pPr>
          </w:p>
        </w:tc>
      </w:tr>
      <w:tr>
        <w:trPr>
          <w:trHeight w:val="156"/>
        </w:trPr>
        <w:tc>
          <w:tcPr>
            <w:tcW w:w="9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r:id="rId17">
              <w:r>
                <w:rPr>
                  <w:rFonts w:ascii="Arial" w:cs="Arial" w:eastAsia="Arial" w:hAnsi="Arial"/>
                  <w:sz w:val="18"/>
                  <w:szCs w:val="18"/>
                  <w:color w:val="0000FF"/>
                </w:rPr>
                <w:t>Registration</w:t>
              </w:r>
            </w:hyperlink>
          </w:p>
        </w:tc>
        <w:tc>
          <w:tcPr>
            <w:tcW w:w="6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gridSpan w:val="2"/>
            <w:shd w:val="clear" w:color="auto" w:fill="CCEEFF"/>
          </w:tcPr>
          <w:p>
            <w:pPr>
              <w:spacing w:after="0"/>
              <w:rPr>
                <w:sz w:val="13"/>
                <w:szCs w:val="13"/>
                <w:color w:val="auto"/>
              </w:rPr>
            </w:pPr>
          </w:p>
        </w:tc>
        <w:tc>
          <w:tcPr>
            <w:tcW w:w="462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Form S-3 (Registration No. 333-04155), filed on May 21</w:t>
            </w:r>
          </w:p>
        </w:tc>
        <w:tc>
          <w:tcPr>
            <w:tcW w:w="1640" w:type="dxa"/>
            <w:vAlign w:val="bottom"/>
            <w:tcBorders>
              <w:top w:val="single" w:sz="8" w:color="CCEEFF"/>
            </w:tcBorders>
            <w:shd w:val="clear" w:color="auto" w:fill="CCEEFF"/>
          </w:tcPr>
          <w:p>
            <w:pPr>
              <w:spacing w:after="0"/>
              <w:rPr>
                <w:sz w:val="13"/>
                <w:szCs w:val="13"/>
                <w:color w:val="auto"/>
              </w:rPr>
            </w:pPr>
          </w:p>
        </w:tc>
      </w:tr>
      <w:tr>
        <w:trPr>
          <w:trHeight w:val="209"/>
        </w:trPr>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1996.</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189"/>
        </w:trPr>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10"/>
          </w:tcPr>
          <w:p>
            <w:pPr>
              <w:spacing w:after="0" w:line="189" w:lineRule="exact"/>
              <w:rPr>
                <w:rFonts w:ascii="Arial" w:cs="Arial" w:eastAsia="Arial" w:hAnsi="Arial"/>
                <w:sz w:val="18"/>
                <w:szCs w:val="18"/>
                <w:color w:val="0000FF"/>
              </w:rPr>
            </w:pPr>
            <w:hyperlink r:id="rId18">
              <w:r>
                <w:rPr>
                  <w:rFonts w:ascii="Arial" w:cs="Arial" w:eastAsia="Arial" w:hAnsi="Arial"/>
                  <w:sz w:val="18"/>
                  <w:szCs w:val="18"/>
                  <w:color w:val="0000FF"/>
                </w:rPr>
                <w:t>By-Laws of the Registrant, as amended</w:t>
              </w:r>
            </w:hyperlink>
          </w:p>
        </w:tc>
        <w:tc>
          <w:tcPr>
            <w:tcW w:w="462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8"/>
              </w:rPr>
              <w:t>Exhibit 3.1 to the Registrant’s Current Report on Form 8-K</w:t>
            </w:r>
          </w:p>
        </w:tc>
        <w:tc>
          <w:tcPr>
            <w:tcW w:w="164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filed September 16, 2020.</w:t>
            </w:r>
          </w:p>
        </w:tc>
        <w:tc>
          <w:tcPr>
            <w:tcW w:w="1640" w:type="dxa"/>
            <w:vAlign w:val="bottom"/>
          </w:tcPr>
          <w:p>
            <w:pPr>
              <w:spacing w:after="0"/>
              <w:rPr>
                <w:sz w:val="18"/>
                <w:szCs w:val="18"/>
                <w:color w:val="auto"/>
              </w:rPr>
            </w:pPr>
          </w:p>
        </w:tc>
      </w:tr>
      <w:tr>
        <w:trPr>
          <w:trHeight w:val="189"/>
        </w:trPr>
        <w:tc>
          <w:tcPr>
            <w:tcW w:w="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60" w:type="dxa"/>
            <w:vAlign w:val="bottom"/>
            <w:gridSpan w:val="10"/>
            <w:shd w:val="clear" w:color="auto" w:fill="CCEEFF"/>
          </w:tcPr>
          <w:p>
            <w:pPr>
              <w:spacing w:after="0" w:line="189" w:lineRule="exact"/>
              <w:rPr>
                <w:rFonts w:ascii="Arial" w:cs="Arial" w:eastAsia="Arial" w:hAnsi="Arial"/>
                <w:sz w:val="18"/>
                <w:szCs w:val="18"/>
                <w:color w:val="0000FF"/>
              </w:rPr>
            </w:pPr>
            <w:hyperlink r:id="rId19">
              <w:r>
                <w:rPr>
                  <w:rFonts w:ascii="Arial" w:cs="Arial" w:eastAsia="Arial" w:hAnsi="Arial"/>
                  <w:sz w:val="18"/>
                  <w:szCs w:val="18"/>
                  <w:color w:val="0000FF"/>
                </w:rPr>
                <w:t>Brady Corporation 2023 Omnibus Incentive Plan</w:t>
              </w:r>
            </w:hyperlink>
          </w:p>
        </w:tc>
        <w:tc>
          <w:tcPr>
            <w:tcW w:w="46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Exhibit 10.1 to the Registrant's Current Report on Form 8-K,</w:t>
            </w:r>
          </w:p>
        </w:tc>
        <w:tc>
          <w:tcPr>
            <w:tcW w:w="1640" w:type="dxa"/>
            <w:vAlign w:val="bottom"/>
            <w:shd w:val="clear" w:color="auto" w:fill="CCEEFF"/>
          </w:tcPr>
          <w:p>
            <w:pPr>
              <w:spacing w:after="0"/>
              <w:rPr>
                <w:sz w:val="16"/>
                <w:szCs w:val="16"/>
                <w:color w:val="auto"/>
              </w:rPr>
            </w:pPr>
          </w:p>
        </w:tc>
      </w:tr>
      <w:tr>
        <w:trPr>
          <w:trHeight w:val="210"/>
        </w:trPr>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filed on September 5, 2023.</w:t>
            </w:r>
          </w:p>
        </w:tc>
        <w:tc>
          <w:tcPr>
            <w:tcW w:w="1640" w:type="dxa"/>
            <w:vAlign w:val="bottom"/>
            <w:tcBorders>
              <w:top w:val="single" w:sz="8" w:color="CCEEFF"/>
            </w:tcBorders>
            <w:shd w:val="clear" w:color="auto" w:fill="CCEEFF"/>
          </w:tcPr>
          <w:p>
            <w:pPr>
              <w:spacing w:after="0"/>
              <w:rPr>
                <w:sz w:val="18"/>
                <w:szCs w:val="18"/>
                <w:color w:val="auto"/>
              </w:rPr>
            </w:pPr>
          </w:p>
        </w:tc>
      </w:tr>
      <w:tr>
        <w:trPr>
          <w:trHeight w:val="189"/>
        </w:trPr>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10"/>
          </w:tcPr>
          <w:p>
            <w:pPr>
              <w:spacing w:after="0" w:line="189" w:lineRule="exact"/>
              <w:rPr>
                <w:sz w:val="20"/>
                <w:szCs w:val="20"/>
                <w:color w:val="auto"/>
              </w:rPr>
            </w:pPr>
            <w:r>
              <w:rPr>
                <w:rFonts w:ascii="Arial" w:cs="Arial" w:eastAsia="Arial" w:hAnsi="Arial"/>
                <w:sz w:val="18"/>
                <w:szCs w:val="18"/>
                <w:color w:val="0000FF"/>
              </w:rPr>
              <w:t>Opinion of Foley &amp; Lardner LLP</w:t>
            </w: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2"/>
              </w:rPr>
              <w:t>Consent of Deloitte &amp; Touche LLP</w:t>
            </w:r>
          </w:p>
        </w:tc>
        <w:tc>
          <w:tcPr>
            <w:tcW w:w="1420" w:type="dxa"/>
            <w:vAlign w:val="bottom"/>
            <w:tcBorders>
              <w:bottom w:val="single" w:sz="8" w:color="CCEEFF"/>
            </w:tcBorders>
            <w:gridSpan w:val="5"/>
            <w:shd w:val="clear" w:color="auto" w:fill="CCEEFF"/>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r>
      <w:tr>
        <w:trPr>
          <w:trHeight w:val="189"/>
        </w:trPr>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10"/>
          </w:tcPr>
          <w:p>
            <w:pPr>
              <w:spacing w:after="0" w:line="189" w:lineRule="exact"/>
              <w:rPr>
                <w:sz w:val="20"/>
                <w:szCs w:val="20"/>
                <w:color w:val="auto"/>
              </w:rPr>
            </w:pPr>
            <w:r>
              <w:rPr>
                <w:rFonts w:ascii="Arial" w:cs="Arial" w:eastAsia="Arial" w:hAnsi="Arial"/>
                <w:sz w:val="18"/>
                <w:szCs w:val="18"/>
                <w:color w:val="0000FF"/>
              </w:rPr>
              <w:t>Consent of Foley &amp; Lardner LLP</w:t>
            </w: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Arial" w:cs="Arial" w:eastAsia="Arial" w:hAnsi="Arial"/>
                <w:sz w:val="18"/>
                <w:szCs w:val="18"/>
                <w:color w:val="auto"/>
                <w:w w:val="94"/>
              </w:rPr>
              <w:t>(Included in Exhibit</w:t>
            </w:r>
          </w:p>
        </w:tc>
      </w:tr>
      <w:tr>
        <w:trPr>
          <w:trHeight w:val="210"/>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5.1)</w:t>
            </w:r>
          </w:p>
        </w:tc>
      </w:tr>
      <w:tr>
        <w:trPr>
          <w:trHeight w:val="189"/>
        </w:trPr>
        <w:tc>
          <w:tcPr>
            <w:tcW w:w="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96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Powers of Attorney</w:t>
            </w:r>
          </w:p>
        </w:tc>
        <w:tc>
          <w:tcPr>
            <w:tcW w:w="4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(Included in the</w:t>
            </w:r>
          </w:p>
        </w:tc>
      </w:tr>
      <w:tr>
        <w:trPr>
          <w:trHeight w:val="210"/>
        </w:trPr>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Signature Pages)</w:t>
            </w:r>
          </w:p>
        </w:tc>
      </w:tr>
      <w:tr>
        <w:trPr>
          <w:trHeight w:val="189"/>
        </w:trPr>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10"/>
          </w:tcPr>
          <w:p>
            <w:pPr>
              <w:spacing w:after="0" w:line="189" w:lineRule="exact"/>
              <w:rPr>
                <w:sz w:val="20"/>
                <w:szCs w:val="20"/>
                <w:color w:val="auto"/>
              </w:rPr>
            </w:pPr>
            <w:r>
              <w:rPr>
                <w:rFonts w:ascii="Arial" w:cs="Arial" w:eastAsia="Arial" w:hAnsi="Arial"/>
                <w:sz w:val="18"/>
                <w:szCs w:val="18"/>
                <w:color w:val="0000FF"/>
              </w:rPr>
              <w:t>Filing Fee Table</w:t>
            </w: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r>
      <w:tr>
        <w:trPr>
          <w:trHeight w:val="88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tcPr>
          <w:p>
            <w:pPr>
              <w:ind w:left="6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40"/>
          </w:cols>
          <w:pgMar w:left="320" w:top="105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 Undertakings.</w:t>
      </w:r>
    </w:p>
    <w:p>
      <w:pPr>
        <w:spacing w:after="0" w:line="175"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94" w:lineRule="exact"/>
        <w:rPr>
          <w:rFonts w:ascii="Arial" w:cs="Arial" w:eastAsia="Arial" w:hAnsi="Arial"/>
          <w:sz w:val="16"/>
          <w:szCs w:val="16"/>
          <w:color w:val="auto"/>
        </w:rPr>
      </w:pPr>
    </w:p>
    <w:p>
      <w:pPr>
        <w:ind w:left="2600" w:hanging="648"/>
        <w:spacing w:after="0"/>
        <w:tabs>
          <w:tab w:leader="none" w:pos="26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jc w:val="both"/>
        <w:ind w:left="2600" w:hanging="648"/>
        <w:spacing w:after="0" w:line="271" w:lineRule="auto"/>
        <w:tabs>
          <w:tab w:leader="none" w:pos="2590" w:val="left"/>
        </w:tabs>
        <w:numPr>
          <w:ilvl w:val="2"/>
          <w:numId w:val="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24" w:lineRule="exact"/>
        <w:rPr>
          <w:rFonts w:ascii="Arial" w:cs="Arial" w:eastAsia="Arial" w:hAnsi="Arial"/>
          <w:sz w:val="17"/>
          <w:szCs w:val="17"/>
          <w:color w:val="auto"/>
        </w:rPr>
      </w:pPr>
    </w:p>
    <w:p>
      <w:pPr>
        <w:ind w:left="2600" w:hanging="648"/>
        <w:spacing w:after="0" w:line="277" w:lineRule="auto"/>
        <w:tabs>
          <w:tab w:leader="none" w:pos="26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30" w:lineRule="exact"/>
        <w:rPr>
          <w:sz w:val="20"/>
          <w:szCs w:val="20"/>
          <w:color w:val="auto"/>
        </w:rPr>
      </w:pPr>
    </w:p>
    <w:p>
      <w:pPr>
        <w:jc w:val="both"/>
        <w:ind w:left="1960" w:hanging="656"/>
        <w:spacing w:after="0" w:line="263" w:lineRule="auto"/>
        <w:tabs>
          <w:tab w:leader="none" w:pos="195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1960" w:hanging="656"/>
        <w:spacing w:after="0" w:line="258" w:lineRule="auto"/>
        <w:tabs>
          <w:tab w:leader="none" w:pos="1954"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jc w:val="both"/>
        <w:ind w:left="1300" w:hanging="644"/>
        <w:spacing w:after="0" w:line="286" w:lineRule="auto"/>
        <w:tabs>
          <w:tab w:leader="none" w:pos="129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that time shall be deemed to be the initial bona fide offering thereof.</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 is made to the indemnification provisions described in Item 6 of this Registration Statement.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September 5, 2023.</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 (Registrant)</w:t>
      </w:r>
    </w:p>
    <w:p>
      <w:pPr>
        <w:spacing w:after="0" w:line="3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Russell R. Shaller, Ann E. Thornton and Andrew T. Gorman,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Signature</w:t>
            </w:r>
          </w:p>
        </w:tc>
        <w:tc>
          <w:tcPr>
            <w:tcW w:w="5820" w:type="dxa"/>
            <w:vAlign w:val="bottom"/>
          </w:tcPr>
          <w:p>
            <w:pPr>
              <w:ind w:left="2720"/>
              <w:spacing w:after="0"/>
              <w:rPr>
                <w:sz w:val="20"/>
                <w:szCs w:val="20"/>
                <w:color w:val="auto"/>
              </w:rPr>
            </w:pPr>
            <w:r>
              <w:rPr>
                <w:rFonts w:ascii="Arial" w:cs="Arial" w:eastAsia="Arial" w:hAnsi="Arial"/>
                <w:sz w:val="18"/>
                <w:szCs w:val="18"/>
                <w:b w:val="1"/>
                <w:bCs w:val="1"/>
                <w:color w:val="auto"/>
              </w:rPr>
              <w:t>Title</w:t>
            </w:r>
          </w:p>
        </w:tc>
      </w:tr>
      <w:tr>
        <w:trPr>
          <w:trHeight w:val="223"/>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RUSSELL R. SHALLER</w:t>
            </w:r>
          </w:p>
        </w:tc>
        <w:tc>
          <w:tcPr>
            <w:tcW w:w="420" w:type="dxa"/>
            <w:vAlign w:val="bottom"/>
            <w:tcBorders>
              <w:top w:val="single" w:sz="8" w:color="CCEEFF"/>
            </w:tcBorders>
            <w:shd w:val="clear" w:color="auto" w:fill="CCEEFF"/>
          </w:tcPr>
          <w:p>
            <w:pPr>
              <w:spacing w:after="0"/>
              <w:rPr>
                <w:sz w:val="19"/>
                <w:szCs w:val="19"/>
                <w:color w:val="auto"/>
              </w:rPr>
            </w:pPr>
          </w:p>
        </w:tc>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Russell R. Shaller</w:t>
            </w:r>
          </w:p>
        </w:tc>
        <w:tc>
          <w:tcPr>
            <w:tcW w:w="58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ANN E. THORNTON</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Chief Accounting Officer and Treasurer</w:t>
            </w: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Ann E. Thornton</w:t>
            </w:r>
          </w:p>
        </w:tc>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PATRICK W. ALLENDER</w:t>
            </w:r>
          </w:p>
        </w:tc>
        <w:tc>
          <w:tcPr>
            <w:tcW w:w="5820" w:type="dxa"/>
            <w:vAlign w:val="bottom"/>
            <w:shd w:val="clear" w:color="auto" w:fill="CCEEFF"/>
          </w:tcPr>
          <w:p>
            <w:pPr>
              <w:spacing w:after="0"/>
              <w:rPr>
                <w:sz w:val="19"/>
                <w:szCs w:val="19"/>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Patrick W. Allender</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DAVID S. BEM</w:t>
            </w:r>
          </w:p>
        </w:tc>
        <w:tc>
          <w:tcPr>
            <w:tcW w:w="5820" w:type="dxa"/>
            <w:vAlign w:val="bottom"/>
            <w:shd w:val="clear" w:color="auto" w:fill="CCEEFF"/>
          </w:tcPr>
          <w:p>
            <w:pPr>
              <w:spacing w:after="0"/>
              <w:rPr>
                <w:sz w:val="19"/>
                <w:szCs w:val="19"/>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David S. Bem</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ELIZABETH P. BRUNO</w:t>
            </w:r>
          </w:p>
        </w:tc>
        <w:tc>
          <w:tcPr>
            <w:tcW w:w="5820" w:type="dxa"/>
            <w:vAlign w:val="bottom"/>
            <w:shd w:val="clear" w:color="auto" w:fill="CCEEFF"/>
          </w:tcPr>
          <w:p>
            <w:pPr>
              <w:spacing w:after="0"/>
              <w:rPr>
                <w:sz w:val="19"/>
                <w:szCs w:val="19"/>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Elizabeth P. Bruno</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JOANNE COLLINS SMEE</w:t>
            </w:r>
          </w:p>
        </w:tc>
        <w:tc>
          <w:tcPr>
            <w:tcW w:w="5820" w:type="dxa"/>
            <w:vAlign w:val="bottom"/>
            <w:shd w:val="clear" w:color="auto" w:fill="CCEEFF"/>
          </w:tcPr>
          <w:p>
            <w:pPr>
              <w:spacing w:after="0"/>
              <w:rPr>
                <w:sz w:val="19"/>
                <w:szCs w:val="19"/>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Joanne Collins Smee</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NANCY L. GIOIA</w:t>
            </w:r>
          </w:p>
        </w:tc>
        <w:tc>
          <w:tcPr>
            <w:tcW w:w="5820" w:type="dxa"/>
            <w:vAlign w:val="bottom"/>
            <w:shd w:val="clear" w:color="auto" w:fill="CCEEFF"/>
          </w:tcPr>
          <w:p>
            <w:pPr>
              <w:spacing w:after="0"/>
              <w:rPr>
                <w:sz w:val="19"/>
                <w:szCs w:val="19"/>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Nancy L. Gioia</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VINEET NARGOLWALA</w:t>
            </w:r>
          </w:p>
        </w:tc>
        <w:tc>
          <w:tcPr>
            <w:tcW w:w="5820" w:type="dxa"/>
            <w:vAlign w:val="bottom"/>
            <w:shd w:val="clear" w:color="auto" w:fill="CCEEFF"/>
          </w:tcPr>
          <w:p>
            <w:pPr>
              <w:spacing w:after="0"/>
              <w:rPr>
                <w:sz w:val="19"/>
                <w:szCs w:val="19"/>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Vineet Nargolwala</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BRADLEY C. RICHARDSON</w:t>
            </w:r>
          </w:p>
        </w:tc>
        <w:tc>
          <w:tcPr>
            <w:tcW w:w="5820" w:type="dxa"/>
            <w:vAlign w:val="bottom"/>
            <w:shd w:val="clear" w:color="auto" w:fill="CCEEFF"/>
          </w:tcPr>
          <w:p>
            <w:pPr>
              <w:spacing w:after="0"/>
              <w:rPr>
                <w:sz w:val="19"/>
                <w:szCs w:val="19"/>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Bradley C. Richardson</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MICHELLE E. WILLIAMS</w:t>
            </w:r>
          </w:p>
        </w:tc>
        <w:tc>
          <w:tcPr>
            <w:tcW w:w="5820" w:type="dxa"/>
            <w:vAlign w:val="bottom"/>
            <w:shd w:val="clear" w:color="auto" w:fill="CCEEFF"/>
          </w:tcPr>
          <w:p>
            <w:pPr>
              <w:spacing w:after="0"/>
              <w:rPr>
                <w:sz w:val="19"/>
                <w:szCs w:val="19"/>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Michelle E. Williams</w:t>
            </w:r>
          </w:p>
        </w:tc>
        <w:tc>
          <w:tcPr>
            <w:tcW w:w="58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72"/>
        </w:trPr>
        <w:tc>
          <w:tcPr>
            <w:tcW w:w="5400" w:type="dxa"/>
            <w:vAlign w:val="bottom"/>
            <w:gridSpan w:val="2"/>
          </w:tcPr>
          <w:p>
            <w:pPr>
              <w:spacing w:after="0"/>
              <w:rPr>
                <w:sz w:val="20"/>
                <w:szCs w:val="20"/>
                <w:color w:val="auto"/>
              </w:rPr>
            </w:pPr>
            <w:r>
              <w:rPr>
                <w:rFonts w:ascii="Arial" w:cs="Arial" w:eastAsia="Arial" w:hAnsi="Arial"/>
                <w:sz w:val="18"/>
                <w:szCs w:val="18"/>
                <w:color w:val="auto"/>
              </w:rPr>
              <w:t>* Each of the above signatures is affixed as of September 5, 2023.</w:t>
            </w:r>
          </w:p>
        </w:tc>
        <w:tc>
          <w:tcPr>
            <w:tcW w:w="5820" w:type="dxa"/>
            <w:vAlign w:val="bottom"/>
          </w:tcPr>
          <w:p>
            <w:pPr>
              <w:spacing w:after="0"/>
              <w:rPr>
                <w:sz w:val="24"/>
                <w:szCs w:val="24"/>
                <w:color w:val="auto"/>
              </w:rPr>
            </w:pPr>
          </w:p>
        </w:tc>
      </w:tr>
      <w:tr>
        <w:trPr>
          <w:trHeight w:val="769"/>
        </w:trPr>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89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107</w:t>
      </w:r>
    </w:p>
    <w:p>
      <w:pPr>
        <w:spacing w:after="0" w:line="234" w:lineRule="exact"/>
        <w:rPr>
          <w:sz w:val="20"/>
          <w:szCs w:val="20"/>
          <w:color w:val="auto"/>
        </w:rPr>
      </w:pPr>
    </w:p>
    <w:p>
      <w:pPr>
        <w:jc w:val="center"/>
        <w:ind w:right="352"/>
        <w:spacing w:after="0"/>
        <w:rPr>
          <w:sz w:val="20"/>
          <w:szCs w:val="20"/>
          <w:color w:val="auto"/>
        </w:rPr>
      </w:pPr>
      <w:r>
        <w:rPr>
          <w:rFonts w:ascii="Arial" w:cs="Arial" w:eastAsia="Arial" w:hAnsi="Arial"/>
          <w:sz w:val="25"/>
          <w:szCs w:val="25"/>
          <w:b w:val="1"/>
          <w:bCs w:val="1"/>
          <w:color w:val="auto"/>
        </w:rPr>
        <w:t>Calculation of Filing Fee Table</w:t>
      </w:r>
    </w:p>
    <w:p>
      <w:pPr>
        <w:spacing w:after="0" w:line="11" w:lineRule="exact"/>
        <w:rPr>
          <w:sz w:val="20"/>
          <w:szCs w:val="20"/>
          <w:color w:val="auto"/>
        </w:rPr>
      </w:pPr>
    </w:p>
    <w:p>
      <w:pPr>
        <w:jc w:val="center"/>
        <w:ind w:right="352"/>
        <w:spacing w:after="0"/>
        <w:rPr>
          <w:sz w:val="20"/>
          <w:szCs w:val="20"/>
          <w:color w:val="auto"/>
        </w:rPr>
      </w:pPr>
      <w:r>
        <w:rPr>
          <w:rFonts w:ascii="Arial" w:cs="Arial" w:eastAsia="Arial" w:hAnsi="Arial"/>
          <w:sz w:val="22"/>
          <w:szCs w:val="22"/>
          <w:b w:val="1"/>
          <w:bCs w:val="1"/>
          <w:color w:val="auto"/>
        </w:rPr>
        <w:t>FORM S-8</w:t>
      </w:r>
    </w:p>
    <w:p>
      <w:pPr>
        <w:ind w:left="2308"/>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81915</wp:posOffset>
            </wp:positionV>
            <wp:extent cx="1586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66" w:lineRule="exact"/>
        <w:rPr>
          <w:sz w:val="20"/>
          <w:szCs w:val="20"/>
          <w:color w:val="auto"/>
        </w:rPr>
      </w:pPr>
    </w:p>
    <w:p>
      <w:pPr>
        <w:jc w:val="center"/>
        <w:ind w:right="352"/>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(Exact name of registrant as specified in its charter)</w:t>
      </w:r>
    </w:p>
    <w:p>
      <w:pPr>
        <w:spacing w:after="0" w:line="157"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Table 1: Newly Registered Securities</w:t>
      </w:r>
    </w:p>
    <w:p>
      <w:pPr>
        <w:spacing w:after="0" w:line="125" w:lineRule="exact"/>
        <w:rPr>
          <w:sz w:val="20"/>
          <w:szCs w:val="20"/>
          <w:color w:val="auto"/>
        </w:rPr>
      </w:pPr>
    </w:p>
    <w:tbl>
      <w:tblPr>
        <w:tblLayout w:type="fixed"/>
        <w:tblInd w:w="78" w:type="dxa"/>
        <w:tblCellMar>
          <w:top w:w="0" w:type="dxa"/>
          <w:left w:w="0" w:type="dxa"/>
          <w:bottom w:w="0" w:type="dxa"/>
          <w:right w:w="0" w:type="dxa"/>
        </w:tblCellMar>
      </w:tblPr>
      <w:tr>
        <w:trPr>
          <w:trHeight w:val="540"/>
        </w:trPr>
        <w:tc>
          <w:tcPr>
            <w:tcW w:w="100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Fee</w:t>
            </w:r>
          </w:p>
        </w:tc>
        <w:tc>
          <w:tcPr>
            <w:tcW w:w="142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44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4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Calculation</w:t>
            </w:r>
          </w:p>
        </w:tc>
        <w:tc>
          <w:tcPr>
            <w:tcW w:w="14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Offering Price Per</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Maximum Aggregate</w:t>
            </w:r>
          </w:p>
        </w:tc>
        <w:tc>
          <w:tcPr>
            <w:tcW w:w="9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registration</w:t>
            </w:r>
          </w:p>
        </w:tc>
        <w:tc>
          <w:tcPr>
            <w:tcW w:w="0" w:type="dxa"/>
            <w:vAlign w:val="bottom"/>
          </w:tcPr>
          <w:p>
            <w:pPr>
              <w:spacing w:after="0"/>
              <w:rPr>
                <w:sz w:val="1"/>
                <w:szCs w:val="1"/>
                <w:color w:val="auto"/>
              </w:rPr>
            </w:pPr>
          </w:p>
        </w:tc>
      </w:tr>
      <w:tr>
        <w:trPr>
          <w:trHeight w:val="54"/>
        </w:trPr>
        <w:tc>
          <w:tcPr>
            <w:tcW w:w="1000" w:type="dxa"/>
            <w:vAlign w:val="bottom"/>
            <w:tcBorders>
              <w:left w:val="single" w:sz="8" w:color="auto"/>
              <w:right w:val="single" w:sz="8" w:color="auto"/>
            </w:tcBorders>
          </w:tcPr>
          <w:p>
            <w:pPr>
              <w:spacing w:after="0"/>
              <w:rPr>
                <w:sz w:val="4"/>
                <w:szCs w:val="4"/>
                <w:color w:val="auto"/>
              </w:rPr>
            </w:pPr>
          </w:p>
        </w:tc>
        <w:tc>
          <w:tcPr>
            <w:tcW w:w="216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20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78"/>
              </w:rPr>
              <w:t>fee</w:t>
            </w:r>
          </w:p>
        </w:tc>
        <w:tc>
          <w:tcPr>
            <w:tcW w:w="0" w:type="dxa"/>
            <w:vAlign w:val="bottom"/>
          </w:tcPr>
          <w:p>
            <w:pPr>
              <w:spacing w:after="0"/>
              <w:rPr>
                <w:sz w:val="1"/>
                <w:szCs w:val="1"/>
                <w:color w:val="auto"/>
              </w:rPr>
            </w:pPr>
          </w:p>
        </w:tc>
      </w:tr>
      <w:tr>
        <w:trPr>
          <w:trHeight w:val="132"/>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Security type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Security Class Title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Rule</w:t>
            </w:r>
          </w:p>
        </w:tc>
        <w:tc>
          <w:tcPr>
            <w:tcW w:w="142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Unit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9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Fee Rate</w:t>
            </w:r>
          </w:p>
        </w:tc>
        <w:tc>
          <w:tcPr>
            <w:tcW w:w="1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0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16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vMerge w:val="continue"/>
          </w:tcPr>
          <w:p>
            <w:pPr>
              <w:spacing w:after="0"/>
              <w:rPr>
                <w:sz w:val="5"/>
                <w:szCs w:val="5"/>
                <w:color w:val="auto"/>
              </w:rPr>
            </w:pPr>
          </w:p>
        </w:tc>
        <w:tc>
          <w:tcPr>
            <w:tcW w:w="980" w:type="dxa"/>
            <w:vAlign w:val="bottom"/>
            <w:tcBorders>
              <w:bottom w:val="single" w:sz="8" w:color="auto"/>
              <w:right w:val="single" w:sz="8" w:color="auto"/>
            </w:tcBorders>
            <w:vMerge w:val="continue"/>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Equity</w:t>
            </w:r>
          </w:p>
        </w:tc>
        <w:tc>
          <w:tcPr>
            <w:tcW w:w="2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Class A Nonvoting Common Stock,</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Other</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5,000,000 shares</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$50.66 (2)</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$253,300,000 (2)</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0.0001102</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$27,914</w:t>
            </w:r>
          </w:p>
        </w:tc>
        <w:tc>
          <w:tcPr>
            <w:tcW w:w="0" w:type="dxa"/>
            <w:vAlign w:val="bottom"/>
          </w:tcPr>
          <w:p>
            <w:pPr>
              <w:spacing w:after="0"/>
              <w:rPr>
                <w:sz w:val="1"/>
                <w:szCs w:val="1"/>
                <w:color w:val="auto"/>
              </w:rPr>
            </w:pPr>
          </w:p>
        </w:tc>
      </w:tr>
      <w:tr>
        <w:trPr>
          <w:trHeight w:val="109"/>
        </w:trPr>
        <w:tc>
          <w:tcPr>
            <w:tcW w:w="1000" w:type="dxa"/>
            <w:vAlign w:val="bottom"/>
            <w:tcBorders>
              <w:left w:val="single" w:sz="8" w:color="auto"/>
              <w:right w:val="single" w:sz="8" w:color="auto"/>
            </w:tcBorders>
            <w:vMerge w:val="continue"/>
          </w:tcPr>
          <w:p>
            <w:pPr>
              <w:spacing w:after="0"/>
              <w:rPr>
                <w:sz w:val="9"/>
                <w:szCs w:val="9"/>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par value $.01 per share</w:t>
            </w:r>
          </w:p>
        </w:tc>
        <w:tc>
          <w:tcPr>
            <w:tcW w:w="100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000" w:type="dxa"/>
            <w:vAlign w:val="bottom"/>
            <w:tcBorders>
              <w:left w:val="single" w:sz="8" w:color="auto"/>
              <w:right w:val="single" w:sz="8" w:color="auto"/>
            </w:tcBorders>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1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Total Offering Amounts</w:t>
            </w:r>
          </w:p>
        </w:tc>
        <w:tc>
          <w:tcPr>
            <w:tcW w:w="100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$253,300,000 (2)</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$27,914</w:t>
            </w:r>
          </w:p>
        </w:tc>
        <w:tc>
          <w:tcPr>
            <w:tcW w:w="0" w:type="dxa"/>
            <w:vAlign w:val="bottom"/>
          </w:tcPr>
          <w:p>
            <w:pPr>
              <w:spacing w:after="0"/>
              <w:rPr>
                <w:sz w:val="1"/>
                <w:szCs w:val="1"/>
                <w:color w:val="auto"/>
              </w:rPr>
            </w:pPr>
          </w:p>
        </w:tc>
      </w:tr>
      <w:tr>
        <w:trPr>
          <w:trHeight w:val="196"/>
        </w:trPr>
        <w:tc>
          <w:tcPr>
            <w:tcW w:w="1000" w:type="dxa"/>
            <w:vAlign w:val="bottom"/>
            <w:tcBorders>
              <w:left w:val="single" w:sz="8" w:color="auto"/>
              <w:bottom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jc w:val="center"/>
              <w:ind w:right="948"/>
              <w:spacing w:after="0"/>
              <w:rPr>
                <w:sz w:val="20"/>
                <w:szCs w:val="20"/>
                <w:color w:val="auto"/>
              </w:rPr>
            </w:pPr>
            <w:r>
              <w:rPr>
                <w:rFonts w:ascii="Arial" w:cs="Arial" w:eastAsia="Arial" w:hAnsi="Arial"/>
                <w:sz w:val="14"/>
                <w:szCs w:val="14"/>
                <w:b w:val="1"/>
                <w:bCs w:val="1"/>
                <w:color w:val="auto"/>
                <w:w w:val="89"/>
              </w:rPr>
              <w:t>Total Fee Offsets</w:t>
            </w:r>
          </w:p>
        </w:tc>
        <w:tc>
          <w:tcPr>
            <w:tcW w:w="10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00" w:type="dxa"/>
            <w:vAlign w:val="bottom"/>
            <w:tcBorders>
              <w:left w:val="single" w:sz="8" w:color="auto"/>
              <w:bottom w:val="single" w:sz="8" w:color="auto"/>
            </w:tcBorders>
          </w:tcPr>
          <w:p>
            <w:pPr>
              <w:spacing w:after="0"/>
              <w:rPr>
                <w:sz w:val="17"/>
                <w:szCs w:val="17"/>
                <w:color w:val="auto"/>
              </w:rPr>
            </w:pPr>
          </w:p>
        </w:tc>
        <w:tc>
          <w:tcPr>
            <w:tcW w:w="2160" w:type="dxa"/>
            <w:vAlign w:val="bottom"/>
            <w:tcBorders>
              <w:bottom w:val="single" w:sz="8" w:color="auto"/>
              <w:right w:val="single" w:sz="8" w:color="auto"/>
            </w:tcBorders>
          </w:tcPr>
          <w:p>
            <w:pPr>
              <w:jc w:val="center"/>
              <w:ind w:right="948"/>
              <w:spacing w:after="0"/>
              <w:rPr>
                <w:sz w:val="20"/>
                <w:szCs w:val="20"/>
                <w:color w:val="auto"/>
              </w:rPr>
            </w:pPr>
            <w:r>
              <w:rPr>
                <w:rFonts w:ascii="Arial" w:cs="Arial" w:eastAsia="Arial" w:hAnsi="Arial"/>
                <w:sz w:val="14"/>
                <w:szCs w:val="14"/>
                <w:b w:val="1"/>
                <w:bCs w:val="1"/>
                <w:color w:val="auto"/>
                <w:w w:val="91"/>
              </w:rPr>
              <w:t>Net Fee Due</w:t>
            </w:r>
          </w:p>
        </w:tc>
        <w:tc>
          <w:tcPr>
            <w:tcW w:w="100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$27,914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68" w:right="420" w:hanging="368"/>
        <w:spacing w:after="0" w:line="279" w:lineRule="auto"/>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Brady Corporation 2023 Omnibus Incentive Plan (the “Plan”) provides by its terms for the issuance of up to 5,000,000 shares of the Registrant’s Class A Nonvoting Common Stock, par value $.01 per share (the “Class A Common Stock”). The Plan provides for the possible adjustment of the number and class of shares that may be delivered under the Plan, and in the number, class, and /or price of shares subject to outstanding awards, in the event of certain capital or other changes affecting the Class A Common Stock. Accordingly, pursuant to Rule 416(a) promulgated under the Securities Act of 1933, as amended, this Registration Statement shall also cover an indeterminate number of shares of Class A Nonvoting Common Stock that may become subject to the Plan by means of any such adjustment.</w:t>
      </w:r>
    </w:p>
    <w:p>
      <w:pPr>
        <w:spacing w:after="0" w:line="1" w:lineRule="exact"/>
        <w:rPr>
          <w:rFonts w:ascii="Arial" w:cs="Arial" w:eastAsia="Arial" w:hAnsi="Arial"/>
          <w:sz w:val="13"/>
          <w:szCs w:val="13"/>
          <w:color w:val="auto"/>
        </w:rPr>
      </w:pPr>
    </w:p>
    <w:p>
      <w:pPr>
        <w:ind w:left="368" w:right="400" w:hanging="368"/>
        <w:spacing w:after="0" w:line="323" w:lineRule="auto"/>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Estimated in accordance with Rule 457(h) of the Securities Act of 1933, as amended, solely for the purpose of calculating the registration fee based on a per share price of $50.66, the average of the high and low price per share of the Registrant’s Class A Common Stock on August 31, 2023, as reported on the New York Stock Exchange.</w:t>
      </w:r>
    </w:p>
    <w:p>
      <w:pPr>
        <w:sectPr>
          <w:pgSz w:w="11900" w:h="16838" w:orient="portrait"/>
          <w:cols w:equalWidth="0" w:num="1">
            <w:col w:w="10868"/>
          </w:cols>
          <w:pgMar w:left="692" w:top="87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73431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734310" cy="65151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34290</wp:posOffset>
            </wp:positionV>
            <wp:extent cx="198882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9888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September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We have acted as counsel for Brady Corporation, a Wisconsin corporation (the “Company”), in connection with the preparation of a Registration Statement on Form S-8 (the “Registration Statement”) to be filed by the Company with the Securities and Exchange Commission under the Securities Act of 1933, as amended (the “Securities Act”), relating to 5,000,000 shares of the Company’s Class A Nonvoting Common Stock, $0.01 par value (the “Class A Nonvoting Common Stock”), that may be issued pursuant to the Brady Corporation 2023 Omnibus Incentive Plan (the “Plan”).</w:t>
      </w:r>
    </w:p>
    <w:p>
      <w:pPr>
        <w:spacing w:after="0" w:line="103"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As such counsel, we have examined: (i) the Plan; (ii) the Registration Statement, including the exhibits filed therewith or incorporated by reference constituting a part of the Registration Statement; (iii) the Restated Articles of Incorporation of the Company; (iv) the By-Laws of the Company, as amended to date; (v) resolutions of the Company’s Board of Directors relating to the Plan and the issuance of securities thereunder; and (vi) such other documents and records and certificates of government officials as we have deemed necessary to enable us to render this opinion.</w:t>
      </w:r>
    </w:p>
    <w:p>
      <w:pPr>
        <w:spacing w:after="0" w:line="103"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Based upon the foregoing, we are of the opinion that the shares of Class A Nonvoting Common Stock, when issued by the Company pursuant to the terms and conditions of the Plan and as contemplated by the Registration Statement, will be validly issued, fully paid and nonassessable.</w:t>
      </w:r>
    </w:p>
    <w:p>
      <w:pPr>
        <w:spacing w:after="0" w:line="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We consent to the use of this opinion as an exhibit to the Registration Statement. In giving our consent, we do not admit that we are “experts” within the meaning of Section 11 of the Securities Act or within the category of persons whose consent is required by Section 7 of the Securities Act.</w:t>
      </w:r>
    </w:p>
    <w:p>
      <w:pPr>
        <w:spacing w:after="0" w:line="200" w:lineRule="exact"/>
        <w:rPr>
          <w:sz w:val="20"/>
          <w:szCs w:val="20"/>
          <w:color w:val="auto"/>
        </w:rPr>
      </w:pPr>
    </w:p>
    <w:p>
      <w:pPr>
        <w:spacing w:after="0" w:line="2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 FOLEY &amp; LARDNER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320" w:type="dxa"/>
            <w:vAlign w:val="bottom"/>
          </w:tcPr>
          <w:p>
            <w:pPr>
              <w:spacing w:after="0"/>
              <w:rPr>
                <w:sz w:val="20"/>
                <w:szCs w:val="20"/>
                <w:color w:val="auto"/>
              </w:rPr>
            </w:pPr>
            <w:r>
              <w:rPr>
                <w:rFonts w:ascii="Arial" w:cs="Arial" w:eastAsia="Arial" w:hAnsi="Arial"/>
                <w:sz w:val="13"/>
                <w:szCs w:val="13"/>
                <w:color w:val="auto"/>
              </w:rPr>
              <w:t>AUSTIN</w:t>
            </w:r>
          </w:p>
        </w:tc>
        <w:tc>
          <w:tcPr>
            <w:tcW w:w="2260" w:type="dxa"/>
            <w:vAlign w:val="bottom"/>
          </w:tcPr>
          <w:p>
            <w:pPr>
              <w:ind w:left="760"/>
              <w:spacing w:after="0"/>
              <w:rPr>
                <w:sz w:val="20"/>
                <w:szCs w:val="20"/>
                <w:color w:val="auto"/>
              </w:rPr>
            </w:pPr>
            <w:r>
              <w:rPr>
                <w:rFonts w:ascii="Arial" w:cs="Arial" w:eastAsia="Arial" w:hAnsi="Arial"/>
                <w:sz w:val="13"/>
                <w:szCs w:val="13"/>
                <w:color w:val="auto"/>
              </w:rPr>
              <w:t>DETROIT</w:t>
            </w:r>
          </w:p>
        </w:tc>
        <w:tc>
          <w:tcPr>
            <w:tcW w:w="2000" w:type="dxa"/>
            <w:vAlign w:val="bottom"/>
          </w:tcPr>
          <w:p>
            <w:pPr>
              <w:ind w:left="560"/>
              <w:spacing w:after="0"/>
              <w:rPr>
                <w:sz w:val="20"/>
                <w:szCs w:val="20"/>
                <w:color w:val="auto"/>
              </w:rPr>
            </w:pPr>
            <w:r>
              <w:rPr>
                <w:rFonts w:ascii="Arial" w:cs="Arial" w:eastAsia="Arial" w:hAnsi="Arial"/>
                <w:sz w:val="13"/>
                <w:szCs w:val="13"/>
                <w:color w:val="auto"/>
              </w:rPr>
              <w:t>MEXICO CITY</w:t>
            </w:r>
          </w:p>
        </w:tc>
        <w:tc>
          <w:tcPr>
            <w:tcW w:w="2180" w:type="dxa"/>
            <w:vAlign w:val="bottom"/>
          </w:tcPr>
          <w:p>
            <w:pPr>
              <w:ind w:left="620"/>
              <w:spacing w:after="0"/>
              <w:rPr>
                <w:sz w:val="20"/>
                <w:szCs w:val="20"/>
                <w:color w:val="auto"/>
              </w:rPr>
            </w:pPr>
            <w:r>
              <w:rPr>
                <w:rFonts w:ascii="Arial" w:cs="Arial" w:eastAsia="Arial" w:hAnsi="Arial"/>
                <w:sz w:val="13"/>
                <w:szCs w:val="13"/>
                <w:color w:val="auto"/>
              </w:rPr>
              <w:t>SACRAMENTO</w:t>
            </w:r>
          </w:p>
        </w:tc>
        <w:tc>
          <w:tcPr>
            <w:tcW w:w="1680" w:type="dxa"/>
            <w:vAlign w:val="bottom"/>
          </w:tcPr>
          <w:p>
            <w:pPr>
              <w:ind w:left="500"/>
              <w:spacing w:after="0"/>
              <w:rPr>
                <w:sz w:val="20"/>
                <w:szCs w:val="20"/>
                <w:color w:val="auto"/>
              </w:rPr>
            </w:pPr>
            <w:r>
              <w:rPr>
                <w:rFonts w:ascii="Arial" w:cs="Arial" w:eastAsia="Arial" w:hAnsi="Arial"/>
                <w:sz w:val="13"/>
                <w:szCs w:val="13"/>
                <w:color w:val="auto"/>
              </w:rPr>
              <w:t>TALLAHASSEE</w:t>
            </w:r>
          </w:p>
        </w:tc>
      </w:tr>
      <w:tr>
        <w:trPr>
          <w:trHeight w:val="149"/>
        </w:trPr>
        <w:tc>
          <w:tcPr>
            <w:tcW w:w="1320" w:type="dxa"/>
            <w:vAlign w:val="bottom"/>
          </w:tcPr>
          <w:p>
            <w:pPr>
              <w:spacing w:after="0"/>
              <w:rPr>
                <w:sz w:val="20"/>
                <w:szCs w:val="20"/>
                <w:color w:val="auto"/>
              </w:rPr>
            </w:pPr>
            <w:r>
              <w:rPr>
                <w:rFonts w:ascii="Arial" w:cs="Arial" w:eastAsia="Arial" w:hAnsi="Arial"/>
                <w:sz w:val="13"/>
                <w:szCs w:val="13"/>
                <w:color w:val="auto"/>
              </w:rPr>
              <w:t>Boston</w:t>
            </w:r>
          </w:p>
        </w:tc>
        <w:tc>
          <w:tcPr>
            <w:tcW w:w="2260" w:type="dxa"/>
            <w:vAlign w:val="bottom"/>
          </w:tcPr>
          <w:p>
            <w:pPr>
              <w:ind w:left="760"/>
              <w:spacing w:after="0"/>
              <w:rPr>
                <w:sz w:val="20"/>
                <w:szCs w:val="20"/>
                <w:color w:val="auto"/>
              </w:rPr>
            </w:pPr>
            <w:r>
              <w:rPr>
                <w:rFonts w:ascii="Arial" w:cs="Arial" w:eastAsia="Arial" w:hAnsi="Arial"/>
                <w:sz w:val="13"/>
                <w:szCs w:val="13"/>
                <w:color w:val="auto"/>
              </w:rPr>
              <w:t>HOUSTON</w:t>
            </w:r>
          </w:p>
        </w:tc>
        <w:tc>
          <w:tcPr>
            <w:tcW w:w="2000" w:type="dxa"/>
            <w:vAlign w:val="bottom"/>
          </w:tcPr>
          <w:p>
            <w:pPr>
              <w:ind w:left="560"/>
              <w:spacing w:after="0"/>
              <w:rPr>
                <w:sz w:val="20"/>
                <w:szCs w:val="20"/>
                <w:color w:val="auto"/>
              </w:rPr>
            </w:pPr>
            <w:r>
              <w:rPr>
                <w:rFonts w:ascii="Arial" w:cs="Arial" w:eastAsia="Arial" w:hAnsi="Arial"/>
                <w:sz w:val="13"/>
                <w:szCs w:val="13"/>
                <w:color w:val="auto"/>
              </w:rPr>
              <w:t>MIAMI</w:t>
            </w:r>
          </w:p>
        </w:tc>
        <w:tc>
          <w:tcPr>
            <w:tcW w:w="2180" w:type="dxa"/>
            <w:vAlign w:val="bottom"/>
          </w:tcPr>
          <w:p>
            <w:pPr>
              <w:ind w:left="620"/>
              <w:spacing w:after="0"/>
              <w:rPr>
                <w:sz w:val="20"/>
                <w:szCs w:val="20"/>
                <w:color w:val="auto"/>
              </w:rPr>
            </w:pPr>
            <w:r>
              <w:rPr>
                <w:rFonts w:ascii="Arial" w:cs="Arial" w:eastAsia="Arial" w:hAnsi="Arial"/>
                <w:sz w:val="13"/>
                <w:szCs w:val="13"/>
                <w:color w:val="auto"/>
              </w:rPr>
              <w:t>SALT LAKE CITY</w:t>
            </w:r>
          </w:p>
        </w:tc>
        <w:tc>
          <w:tcPr>
            <w:tcW w:w="1680" w:type="dxa"/>
            <w:vAlign w:val="bottom"/>
          </w:tcPr>
          <w:p>
            <w:pPr>
              <w:ind w:left="500"/>
              <w:spacing w:after="0"/>
              <w:rPr>
                <w:sz w:val="20"/>
                <w:szCs w:val="20"/>
                <w:color w:val="auto"/>
              </w:rPr>
            </w:pPr>
            <w:r>
              <w:rPr>
                <w:rFonts w:ascii="Arial" w:cs="Arial" w:eastAsia="Arial" w:hAnsi="Arial"/>
                <w:sz w:val="13"/>
                <w:szCs w:val="13"/>
                <w:color w:val="auto"/>
              </w:rPr>
              <w:t>TAMPA</w:t>
            </w:r>
          </w:p>
        </w:tc>
      </w:tr>
      <w:tr>
        <w:trPr>
          <w:trHeight w:val="135"/>
        </w:trPr>
        <w:tc>
          <w:tcPr>
            <w:tcW w:w="1320" w:type="dxa"/>
            <w:vAlign w:val="bottom"/>
          </w:tcPr>
          <w:p>
            <w:pPr>
              <w:spacing w:after="0" w:line="135" w:lineRule="exact"/>
              <w:rPr>
                <w:sz w:val="20"/>
                <w:szCs w:val="20"/>
                <w:color w:val="auto"/>
              </w:rPr>
            </w:pPr>
            <w:r>
              <w:rPr>
                <w:rFonts w:ascii="Arial" w:cs="Arial" w:eastAsia="Arial" w:hAnsi="Arial"/>
                <w:sz w:val="13"/>
                <w:szCs w:val="13"/>
                <w:color w:val="auto"/>
              </w:rPr>
              <w:t>CHICAGO</w:t>
            </w:r>
          </w:p>
        </w:tc>
        <w:tc>
          <w:tcPr>
            <w:tcW w:w="2260" w:type="dxa"/>
            <w:vAlign w:val="bottom"/>
          </w:tcPr>
          <w:p>
            <w:pPr>
              <w:ind w:left="760"/>
              <w:spacing w:after="0" w:line="135" w:lineRule="exact"/>
              <w:rPr>
                <w:sz w:val="20"/>
                <w:szCs w:val="20"/>
                <w:color w:val="auto"/>
              </w:rPr>
            </w:pPr>
            <w:r>
              <w:rPr>
                <w:rFonts w:ascii="Arial" w:cs="Arial" w:eastAsia="Arial" w:hAnsi="Arial"/>
                <w:sz w:val="13"/>
                <w:szCs w:val="13"/>
                <w:color w:val="auto"/>
              </w:rPr>
              <w:t>JACKSONVILLE</w:t>
            </w:r>
          </w:p>
        </w:tc>
        <w:tc>
          <w:tcPr>
            <w:tcW w:w="2000" w:type="dxa"/>
            <w:vAlign w:val="bottom"/>
          </w:tcPr>
          <w:p>
            <w:pPr>
              <w:ind w:left="560"/>
              <w:spacing w:after="0" w:line="135" w:lineRule="exact"/>
              <w:rPr>
                <w:sz w:val="20"/>
                <w:szCs w:val="20"/>
                <w:color w:val="auto"/>
              </w:rPr>
            </w:pPr>
            <w:r>
              <w:rPr>
                <w:rFonts w:ascii="Arial" w:cs="Arial" w:eastAsia="Arial" w:hAnsi="Arial"/>
                <w:sz w:val="13"/>
                <w:szCs w:val="13"/>
                <w:color w:val="auto"/>
              </w:rPr>
              <w:t>MILWAUKEE</w:t>
            </w:r>
          </w:p>
        </w:tc>
        <w:tc>
          <w:tcPr>
            <w:tcW w:w="2180" w:type="dxa"/>
            <w:vAlign w:val="bottom"/>
          </w:tcPr>
          <w:p>
            <w:pPr>
              <w:ind w:left="620"/>
              <w:spacing w:after="0" w:line="135" w:lineRule="exact"/>
              <w:rPr>
                <w:sz w:val="20"/>
                <w:szCs w:val="20"/>
                <w:color w:val="auto"/>
              </w:rPr>
            </w:pPr>
            <w:r>
              <w:rPr>
                <w:rFonts w:ascii="Arial" w:cs="Arial" w:eastAsia="Arial" w:hAnsi="Arial"/>
                <w:sz w:val="13"/>
                <w:szCs w:val="13"/>
                <w:color w:val="auto"/>
              </w:rPr>
              <w:t>SAN DIEGO</w:t>
            </w:r>
          </w:p>
        </w:tc>
        <w:tc>
          <w:tcPr>
            <w:tcW w:w="1680" w:type="dxa"/>
            <w:vAlign w:val="bottom"/>
          </w:tcPr>
          <w:p>
            <w:pPr>
              <w:ind w:left="500"/>
              <w:spacing w:after="0" w:line="135" w:lineRule="exact"/>
              <w:rPr>
                <w:sz w:val="20"/>
                <w:szCs w:val="20"/>
                <w:color w:val="auto"/>
              </w:rPr>
            </w:pPr>
            <w:r>
              <w:rPr>
                <w:rFonts w:ascii="Arial" w:cs="Arial" w:eastAsia="Arial" w:hAnsi="Arial"/>
                <w:sz w:val="13"/>
                <w:szCs w:val="13"/>
                <w:color w:val="auto"/>
                <w:w w:val="94"/>
              </w:rPr>
              <w:t>WASHINGTON, D.C.</w:t>
            </w:r>
          </w:p>
        </w:tc>
      </w:tr>
      <w:tr>
        <w:trPr>
          <w:trHeight w:val="148"/>
        </w:trPr>
        <w:tc>
          <w:tcPr>
            <w:tcW w:w="1320" w:type="dxa"/>
            <w:vAlign w:val="bottom"/>
          </w:tcPr>
          <w:p>
            <w:pPr>
              <w:spacing w:after="0"/>
              <w:rPr>
                <w:sz w:val="20"/>
                <w:szCs w:val="20"/>
                <w:color w:val="auto"/>
              </w:rPr>
            </w:pPr>
            <w:r>
              <w:rPr>
                <w:rFonts w:ascii="Arial" w:cs="Arial" w:eastAsia="Arial" w:hAnsi="Arial"/>
                <w:sz w:val="13"/>
                <w:szCs w:val="13"/>
                <w:color w:val="auto"/>
              </w:rPr>
              <w:t>DALLAS</w:t>
            </w:r>
          </w:p>
        </w:tc>
        <w:tc>
          <w:tcPr>
            <w:tcW w:w="2260" w:type="dxa"/>
            <w:vAlign w:val="bottom"/>
          </w:tcPr>
          <w:p>
            <w:pPr>
              <w:ind w:left="760"/>
              <w:spacing w:after="0"/>
              <w:rPr>
                <w:sz w:val="20"/>
                <w:szCs w:val="20"/>
                <w:color w:val="auto"/>
              </w:rPr>
            </w:pPr>
            <w:r>
              <w:rPr>
                <w:rFonts w:ascii="Arial" w:cs="Arial" w:eastAsia="Arial" w:hAnsi="Arial"/>
                <w:sz w:val="13"/>
                <w:szCs w:val="13"/>
                <w:color w:val="auto"/>
              </w:rPr>
              <w:t>LOS ANGELES</w:t>
            </w:r>
          </w:p>
        </w:tc>
        <w:tc>
          <w:tcPr>
            <w:tcW w:w="2000" w:type="dxa"/>
            <w:vAlign w:val="bottom"/>
          </w:tcPr>
          <w:p>
            <w:pPr>
              <w:ind w:left="560"/>
              <w:spacing w:after="0"/>
              <w:rPr>
                <w:sz w:val="20"/>
                <w:szCs w:val="20"/>
                <w:color w:val="auto"/>
              </w:rPr>
            </w:pPr>
            <w:r>
              <w:rPr>
                <w:rFonts w:ascii="Arial" w:cs="Arial" w:eastAsia="Arial" w:hAnsi="Arial"/>
                <w:sz w:val="13"/>
                <w:szCs w:val="13"/>
                <w:color w:val="auto"/>
              </w:rPr>
              <w:t>NEW YORK</w:t>
            </w:r>
          </w:p>
        </w:tc>
        <w:tc>
          <w:tcPr>
            <w:tcW w:w="2180" w:type="dxa"/>
            <w:vAlign w:val="bottom"/>
          </w:tcPr>
          <w:p>
            <w:pPr>
              <w:ind w:left="620"/>
              <w:spacing w:after="0"/>
              <w:rPr>
                <w:sz w:val="20"/>
                <w:szCs w:val="20"/>
                <w:color w:val="auto"/>
              </w:rPr>
            </w:pPr>
            <w:r>
              <w:rPr>
                <w:rFonts w:ascii="Arial" w:cs="Arial" w:eastAsia="Arial" w:hAnsi="Arial"/>
                <w:sz w:val="13"/>
                <w:szCs w:val="13"/>
                <w:color w:val="auto"/>
              </w:rPr>
              <w:t>SAN FRANCISCO</w:t>
            </w:r>
          </w:p>
        </w:tc>
        <w:tc>
          <w:tcPr>
            <w:tcW w:w="1680" w:type="dxa"/>
            <w:vAlign w:val="bottom"/>
          </w:tcPr>
          <w:p>
            <w:pPr>
              <w:ind w:left="500"/>
              <w:spacing w:after="0"/>
              <w:rPr>
                <w:sz w:val="20"/>
                <w:szCs w:val="20"/>
                <w:color w:val="auto"/>
              </w:rPr>
            </w:pPr>
            <w:r>
              <w:rPr>
                <w:rFonts w:ascii="Arial" w:cs="Arial" w:eastAsia="Arial" w:hAnsi="Arial"/>
                <w:sz w:val="13"/>
                <w:szCs w:val="13"/>
                <w:color w:val="auto"/>
              </w:rPr>
              <w:t>BRUSSELS</w:t>
            </w:r>
          </w:p>
        </w:tc>
      </w:tr>
      <w:tr>
        <w:trPr>
          <w:trHeight w:val="160"/>
        </w:trPr>
        <w:tc>
          <w:tcPr>
            <w:tcW w:w="1320" w:type="dxa"/>
            <w:vAlign w:val="bottom"/>
          </w:tcPr>
          <w:p>
            <w:pPr>
              <w:spacing w:after="0"/>
              <w:rPr>
                <w:sz w:val="20"/>
                <w:szCs w:val="20"/>
                <w:color w:val="auto"/>
              </w:rPr>
            </w:pPr>
            <w:r>
              <w:rPr>
                <w:rFonts w:ascii="Arial" w:cs="Arial" w:eastAsia="Arial" w:hAnsi="Arial"/>
                <w:sz w:val="13"/>
                <w:szCs w:val="13"/>
                <w:color w:val="auto"/>
              </w:rPr>
              <w:t>DENVER</w:t>
            </w:r>
          </w:p>
        </w:tc>
        <w:tc>
          <w:tcPr>
            <w:tcW w:w="2260" w:type="dxa"/>
            <w:vAlign w:val="bottom"/>
          </w:tcPr>
          <w:p>
            <w:pPr>
              <w:ind w:left="760"/>
              <w:spacing w:after="0"/>
              <w:rPr>
                <w:sz w:val="20"/>
                <w:szCs w:val="20"/>
                <w:color w:val="auto"/>
              </w:rPr>
            </w:pPr>
            <w:r>
              <w:rPr>
                <w:rFonts w:ascii="Arial" w:cs="Arial" w:eastAsia="Arial" w:hAnsi="Arial"/>
                <w:sz w:val="13"/>
                <w:szCs w:val="13"/>
                <w:color w:val="auto"/>
              </w:rPr>
              <w:t>MADISON</w:t>
            </w:r>
          </w:p>
        </w:tc>
        <w:tc>
          <w:tcPr>
            <w:tcW w:w="2000" w:type="dxa"/>
            <w:vAlign w:val="bottom"/>
          </w:tcPr>
          <w:p>
            <w:pPr>
              <w:ind w:left="560"/>
              <w:spacing w:after="0"/>
              <w:rPr>
                <w:sz w:val="20"/>
                <w:szCs w:val="20"/>
                <w:color w:val="auto"/>
              </w:rPr>
            </w:pPr>
            <w:r>
              <w:rPr>
                <w:rFonts w:ascii="Arial" w:cs="Arial" w:eastAsia="Arial" w:hAnsi="Arial"/>
                <w:sz w:val="13"/>
                <w:szCs w:val="13"/>
                <w:color w:val="auto"/>
              </w:rPr>
              <w:t>ORLANDO</w:t>
            </w:r>
          </w:p>
        </w:tc>
        <w:tc>
          <w:tcPr>
            <w:tcW w:w="2180" w:type="dxa"/>
            <w:vAlign w:val="bottom"/>
          </w:tcPr>
          <w:p>
            <w:pPr>
              <w:ind w:left="620"/>
              <w:spacing w:after="0"/>
              <w:rPr>
                <w:sz w:val="20"/>
                <w:szCs w:val="20"/>
                <w:color w:val="auto"/>
              </w:rPr>
            </w:pPr>
            <w:r>
              <w:rPr>
                <w:rFonts w:ascii="Arial" w:cs="Arial" w:eastAsia="Arial" w:hAnsi="Arial"/>
                <w:sz w:val="13"/>
                <w:szCs w:val="13"/>
                <w:color w:val="auto"/>
              </w:rPr>
              <w:t>SILICON VALLEY</w:t>
            </w:r>
          </w:p>
        </w:tc>
        <w:tc>
          <w:tcPr>
            <w:tcW w:w="1680" w:type="dxa"/>
            <w:vAlign w:val="bottom"/>
          </w:tcPr>
          <w:p>
            <w:pPr>
              <w:ind w:left="500"/>
              <w:spacing w:after="0"/>
              <w:rPr>
                <w:sz w:val="20"/>
                <w:szCs w:val="20"/>
                <w:color w:val="auto"/>
              </w:rPr>
            </w:pPr>
            <w:r>
              <w:rPr>
                <w:rFonts w:ascii="Arial" w:cs="Arial" w:eastAsia="Arial" w:hAnsi="Arial"/>
                <w:sz w:val="13"/>
                <w:szCs w:val="13"/>
                <w:color w:val="auto"/>
              </w:rPr>
              <w:t>TOKYO</w:t>
            </w:r>
          </w:p>
        </w:tc>
      </w:tr>
    </w:tbl>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September 5, 2023, relating to the consolidated financial statements of Brady Corporation, and the effectiveness of Brady Corporation’s internal control over financial reporting, appearing in the Annual Report on Form 10-K of Brady Corporation for the year ended July 31, 2023.</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jpeg"/><Relationship Id="rId24" Type="http://schemas.openxmlformats.org/officeDocument/2006/relationships/image" Target="media/image11.jpeg"/><Relationship Id="rId14" Type="http://schemas.openxmlformats.org/officeDocument/2006/relationships/hyperlink" Target="https://www.sec.gov/ix?doc=/Archives/edgar/data/0000746598/000074659823000058/brc-20230731.htm" TargetMode="External"/><Relationship Id="rId15" Type="http://schemas.openxmlformats.org/officeDocument/2006/relationships/hyperlink" Target="https://www.sec.gov/ix?doc=/Archives/edgar/data/0000746598/000074659823000064/brc-20230901.htm" TargetMode="External"/><Relationship Id="rId16" Type="http://schemas.openxmlformats.org/officeDocument/2006/relationships/hyperlink" Target="https://www.sec.gov/Archives/edgar/data/746598/000074659819000128/brc-20190731xex41.htm" TargetMode="External"/><Relationship Id="rId17" Type="http://schemas.openxmlformats.org/officeDocument/2006/relationships/hyperlink" Target="https://www.sec.gov/Archives/edgar/data/746598/000095012496002295/0000950124-96-002295-index.htm" TargetMode="External"/><Relationship Id="rId18" Type="http://schemas.openxmlformats.org/officeDocument/2006/relationships/hyperlink" Target="https://www.sec.gov/Archives/edgar/data/746598/000074659820000095/exhibit31bylawsasamend.htm" TargetMode="External"/><Relationship Id="rId19" Type="http://schemas.openxmlformats.org/officeDocument/2006/relationships/hyperlink" Target="https://www.sec.gov/Archives/edgar/data/746598/000074659823000064/exhibit101bradycorpo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2023-09-05T14:55:26Z</dcterms:created>
  <dcterms:modified xsi:type="dcterms:W3CDTF">2023-09-05T14:55:26Z</dcterms:modified>
</cp:coreProperties>
</file>