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184"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25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1"/>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34"/>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0"/>
                <w:szCs w:val="20"/>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50"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right="1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9" w:lineRule="exact"/>
        <w:rPr>
          <w:sz w:val="24"/>
          <w:szCs w:val="24"/>
          <w:color w:val="auto"/>
        </w:rPr>
      </w:pPr>
    </w:p>
    <w:p>
      <w:pPr>
        <w:ind w:left="40"/>
        <w:spacing w:after="0"/>
        <w:tabs>
          <w:tab w:leader="none" w:pos="4940" w:val="left"/>
          <w:tab w:leader="none" w:pos="73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40"/>
        <w:spacing w:after="0"/>
        <w:tabs>
          <w:tab w:leader="none" w:pos="4940" w:val="left"/>
          <w:tab w:leader="none" w:pos="7320" w:val="left"/>
        </w:tabs>
        <w:rPr>
          <w:sz w:val="20"/>
          <w:szCs w:val="20"/>
          <w:color w:val="auto"/>
        </w:rPr>
      </w:pPr>
      <w:r>
        <w:rPr>
          <w:rFonts w:ascii="Arial" w:cs="Arial" w:eastAsia="Arial" w:hAnsi="Arial"/>
          <w:sz w:val="14"/>
          <w:szCs w:val="14"/>
          <w:color w:val="auto"/>
        </w:rPr>
        <w:t>Class A Nonvoting Common Stock, par value $0.01 per share</w:t>
      </w:r>
      <w:r>
        <w:rPr>
          <w:sz w:val="20"/>
          <w:szCs w:val="20"/>
          <w:color w:val="auto"/>
        </w:rPr>
        <w:tab/>
      </w:r>
      <w:r>
        <w:rPr>
          <w:rFonts w:ascii="Arial" w:cs="Arial" w:eastAsia="Arial" w:hAnsi="Arial"/>
          <w:sz w:val="14"/>
          <w:szCs w:val="14"/>
          <w:color w:val="auto"/>
        </w:rPr>
        <w:t>BRC</w:t>
      </w:r>
      <w:r>
        <w:rPr>
          <w:sz w:val="20"/>
          <w:szCs w:val="20"/>
          <w:color w:val="auto"/>
        </w:rPr>
        <w:tab/>
      </w:r>
      <w:r>
        <w:rPr>
          <w:rFonts w:ascii="Arial" w:cs="Arial" w:eastAsia="Arial" w:hAnsi="Arial"/>
          <w:sz w:val="13"/>
          <w:szCs w:val="13"/>
          <w:color w:val="auto"/>
        </w:rPr>
        <w:t>New York Stock Exchange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5" w:lineRule="exact"/>
        <w:rPr>
          <w:sz w:val="24"/>
          <w:szCs w:val="24"/>
          <w:color w:val="auto"/>
        </w:rPr>
      </w:pPr>
    </w:p>
    <w:p>
      <w:pPr>
        <w:sectPr>
          <w:pgSz w:w="11900" w:h="16838" w:orient="portrait"/>
          <w:cols w:equalWidth="0" w:num="2">
            <w:col w:w="10020" w:space="260"/>
            <w:col w:w="1140"/>
          </w:cols>
          <w:pgMar w:left="240" w:top="229" w:right="239" w:bottom="1440" w:gutter="0" w:footer="0" w:header="0"/>
          <w:type w:val="continuous"/>
        </w:sectPr>
      </w:pPr>
    </w:p>
    <w:p>
      <w:pPr>
        <w:ind w:right="160"/>
        <w:spacing w:after="0" w:line="273" w:lineRule="auto"/>
        <w:rPr>
          <w:sz w:val="20"/>
          <w:szCs w:val="20"/>
          <w:color w:val="auto"/>
        </w:rPr>
      </w:pPr>
      <w:r>
        <w:rPr>
          <w:rFonts w:ascii="Arial" w:cs="Arial" w:eastAsia="Arial" w:hAnsi="Arial"/>
          <w:sz w:val="14"/>
          <w:szCs w:val="14"/>
          <w:color w:val="auto"/>
        </w:rPr>
        <w:t>As of May 21, 2019, there were 49,284,372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1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240" w:type="dxa"/>
            <w:vAlign w:val="bottom"/>
            <w:gridSpan w:val="14"/>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1340" w:type="dxa"/>
            <w:vAlign w:val="bottom"/>
            <w:gridSpan w:val="3"/>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April 30, 2019</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181,427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162,094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161,282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18,746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15,559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539,167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471,339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99,491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97,945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419,815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42,588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19,638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17,662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1,056,931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64,584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66,538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7,886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44,567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190,927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Long-term obligations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50,303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52,618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61,274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291,333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304,819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w w:val="94"/>
              </w:rPr>
              <w:t>Class A nonvoting common stock—Issued 51,261,487 shares, and outstanding 49,284,372 and 48,393,617 shares,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330,051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325,631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553,454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stock—1,977,115 and 2,867,870 shares, respectively, of Class A nonvoting common stock, at cost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(71,120)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824,544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752,112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1,056,931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INCOME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289,745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298,421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865,367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876,352</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143,996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147,339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433,269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435,513</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432,098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440,839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33,512</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94,691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281,988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299,411</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332,923</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116,273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107,916</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1,303</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40,978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36,979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117,561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106,766</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50,657</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94,645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56,109</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Class A Nonvoting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52,766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51,747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52,499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51,628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53,480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52,610</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56,109</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loss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losses included in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loss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(2,826)</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(3,464)</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94,645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56,109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17,836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19,047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7,581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26,501</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(10,710)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(7,790)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96,902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89,222</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(14,755)</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(14,952)</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(32,110)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20,333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13,637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17,439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(69,012)</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(77,294)</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57,005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181,427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133,944</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238,432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130,903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2019 and July 31, 2018, its results of operations and comprehensive income for the three and nine months ended April 30, 2019 and 2018, and cash flows for the nine months ended April 30, 2019 and 2018. The condensed consolidated balance sheet as of July 31, 2018,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 future impairment of goodwill.</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2016-02, "Leases," which replaces the current lease accounting standards. The update requires, among other items, lessees to recognize the assets and liabilities that arise from most leases on the balance sheet and disclose key information about leasing arrangements. This guidance is effective for annual periods beginning after December 15, 2018, and interim periods within those annual periods. The ASU allows for either a full-retrospective or a modified-retrospective approach and early adoption is permitted. In July 2018, the FASB approved an optional transition method to allow companies to apply the new lease standard as of the adoption date and recognize a cumulative-effect adjustment to beginning retained earnings in the period of adoption.</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has formed a team to implement the new lease standard and has implemented a third-party software program to track and store its leases. The implementation team has been evaluating the Company’s global lease portfolio, determining the reporting requirements of the new standard, and is in the process of implementing changes to its processes and internal controls to support lease accounting and disclosure requirements. The Company expects to record right-of-use assets and lease liabilities as a result of the new lease standard; however, it is still evaluating the magnitude of the impact on its consolidated financial statements. The Company plans to adopt the new standard effective August 1, 2019 using the optional transition method.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which eliminates the transaction and industry-specific revenue recognition guidance and replaced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The Company adopted ASU 2014-09 (and related updates) effective August 1, 2018 using the modified retrospective method to apply this guidance to all contracts at the date of initial application. Results for reporting periods beginning after August 1, 2018 are presented under Topic 606, while comparative prior period amounts have not been restated and continue to be presented under accounting standards in effect in those periods.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applying Topic 606 were not material to the Company's consolidated financial condition, results of operations, cash flows, business processes, controls, or systems. Upon adoption, the Company recorded a cumulative adjustment to the opening balance of retained earnings as of August 1, 2018, which resulted in a decrease to retained earnings of $2,137, net of tax. The adjustment was primarily due to a change in timing of when revenue and the related costs for certain extended service-type warranties are recognized, as required per Topic 606.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C "Revenue Recognition" for additional information and required disclosures under the new standard.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C — Revenue Recognition</w:t>
      </w:r>
    </w:p>
    <w:p>
      <w:pPr>
        <w:spacing w:after="0" w:line="3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revenues are primarily from the sale of identification solutions and workplace safety products that are shipped and billed to customers. All revenue is from contracts with customers and is included in "Net sales" on the condensed consolidated statements of income. The Company considers the purchase orders, which in some cases are governed by master sales or distributor agreements, to be its contracts with customers. For each contract, the Company considers the commitment to transfer products, each of which is distinct, to be its identified performance obligations.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Timing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the Company's revenue is earned and recognized at a point in time through ship-and-bill performance obligations, when control of the product is transferred to the customer, which typically occurs upon shipment or delivery to the customer, depending on freight terms. To determine when control has transferred, the Company considers if there is a present right to payment; and if legal title, physical possession, and the significant risks and rewards of ownership of the asset has transferred to the customer. Once a product has shipped or has been delivered, the customer is able to direct the use of, and obtain substantially all of the remaining benefits from, the asset.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Measurement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 is measured as the amount of consideration the Company expects to be entitled to in exchange for the transfer of product, which is generally the price stated in the contract specific for each item sold, adjusted for the value of expected returns, discounts, rebates, or other allowances offered to the Company's customers as a reduction of the transaction price. Certain discounts and price assurances are fixed and known at the time of sale. Expected returns and other allowances are variable and are estimated using the expected value method based upon historical experience. Rebates offered to customers are retrospective and typically defined in the master sales or distributor agreements, and therefore are recorded using the most likely amount method based on the terms of the contract. Estimated amounts are included in the transaction price to the extent it is probable that a significant reversal of cumulative revenue recognized will not occur when the uncertainty associated with the variable consideration is resolved.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Payment Terms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While the Company’s standard payment terms are net 30 days, the specific payment terms and conditions in its customer contracts vary. In some cases, customers pay for their goods at time of shipment or upon delivery; in other cases, after appropriate credit evaluation, an open credit line is granted and payment is due in arrears. Contracts with payment in arrears are recognized in the condensed consolidated balance sheet as accounts receivable.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Warranties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w:t>
      </w:r>
    </w:p>
    <w:p>
      <w:pPr>
        <w:spacing w:after="0" w:line="10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also sells extended warranty coverage for certain products, which it accounts for as service warranties. In most cases, the extended service warranty is included with the purchase of the product. In applying Topic 606, the Company considers the extended service warranty to be a separate performance obligation in the contract and allocates a portion of the transaction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price to the service warranty based on the estimated stand-alone selling price. Under Topic 606, the extended warranty transaction price is initially recorded as deferred revenue on the consolidated balance sheet and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 The balance of contract liabilities as of April 30, 2019, was $2,791. This also represents the amount of unsatisfied performance obligations related to contracts that extend beyond one year. Of this amount, the Company expects to recognize 48% by the end of fiscal 2020, an additional 25% by the end of fiscal 2021, and the balance thereafter. Upon adoption of Topic 606, at the beginning of fiscal 2019, the contract liability balance was $2,796. The current portion of contract liabilities and the non-current portion are included in “Other current liabilities” and “Other liabilities," respectively, on the consolidated balance sheet. During the three and nine months ended April 30, 2019, the Company recognized revenue of $315 and $937, respectively, that was included in the contract liability balance at the beginning of the period, which was from the amortization of extended service warranties.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the exception of the performance obligations related to the extended service warranties, the Company's contracts have an original expected duration of one year or less. As a result, the Company has elected to use the practical expedient to not disclose its remaining performance obligations for contracts that have an original expected length of one year or less.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applied the portfolio approach to its ship-and-bill contracts that have similar characteristics as it reasonably expects that the effects on the financial statements of applying this guidance to the portfolio of contracts would not differ materially from applying this guidance to the individual contracts within the portfolio.</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 Company’s product sale contracts and standard payment terms have a duration of less than one year, it uses the practical expedient applicable to such contracts and does not consider the time value of money.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use, value-add and other similar taxes assessed by governmental authorities and collected concurrent with revenue-producing activities are excluded from revenue.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shipping and handling activities that occur after control of the related products transfers to the customer as fulfillment activities and are therefore recognized as revenue at time of shipping.</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expenses incremental direct costs of obtaining a contract (e.g., sales commissions) when incurred because the amortization period is generally twelve months or less. Contract costs are expensed in "Selling, general, and administrative expenses" on the condensed consolidated statements of income.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H, "Segment Information," for the Company's disaggregated revenue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D — Additional Balance Sheet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as of April 30, 2019, and July 31, 2018,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30, 2019</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July 31, 2018</w:t>
            </w: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73,133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19,903</w:t>
            </w: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Raw materials and supplies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20,035</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inventories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119,895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113,071</w:t>
            </w:r>
          </w:p>
        </w:tc>
      </w:tr>
      <w:tr>
        <w:trPr>
          <w:trHeight w:val="33"/>
        </w:trPr>
        <w:tc>
          <w:tcPr>
            <w:tcW w:w="8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$274,476 and $280,778 as of April 30, 2019, and July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E — Other Intangible Assets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book value of these assets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July 31, 2018</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Net Book</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8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380"/>
              <w:spacing w:after="0"/>
              <w:rPr>
                <w:sz w:val="20"/>
                <w:szCs w:val="20"/>
                <w:color w:val="auto"/>
              </w:rPr>
            </w:pPr>
            <w:r>
              <w:rPr>
                <w:rFonts w:ascii="Arial" w:cs="Arial" w:eastAsia="Arial" w:hAnsi="Arial"/>
                <w:sz w:val="14"/>
                <w:szCs w:val="14"/>
                <w:color w:val="auto"/>
              </w:rPr>
              <w:t>Customer relationships and other</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52,203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(33,487)</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18,716</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61,944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(38,872)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23,072</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Unamortized other intangible assets: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380"/>
              <w:spacing w:after="0"/>
              <w:rPr>
                <w:sz w:val="20"/>
                <w:szCs w:val="20"/>
                <w:color w:val="auto"/>
              </w:rPr>
            </w:pPr>
            <w:r>
              <w:rPr>
                <w:rFonts w:ascii="Arial" w:cs="Arial" w:eastAsia="Arial" w:hAnsi="Arial"/>
                <w:sz w:val="14"/>
                <w:szCs w:val="14"/>
                <w:color w:val="auto"/>
              </w:rPr>
              <w:t>Trademarks</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19,419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19,419</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19,516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19,516</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71,622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(33,487)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38,135</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81,460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(38,872)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42,588</w:t>
            </w:r>
          </w:p>
        </w:tc>
        <w:tc>
          <w:tcPr>
            <w:tcW w:w="0" w:type="dxa"/>
            <w:vAlign w:val="bottom"/>
          </w:tcPr>
          <w:p>
            <w:pPr>
              <w:spacing w:after="0"/>
              <w:rPr>
                <w:sz w:val="1"/>
                <w:szCs w:val="1"/>
                <w:color w:val="auto"/>
              </w:rPr>
            </w:pPr>
          </w:p>
        </w:tc>
      </w:tr>
      <w:tr>
        <w:trPr>
          <w:trHeight w:val="60"/>
        </w:trPr>
        <w:tc>
          <w:tcPr>
            <w:tcW w:w="288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Amortization expense of intangible assets was $1,443 and $1,620 for the three months ended April 30, 2019 and 2018, respectively, and $4,314 and $4,930 for the nine months ended April 30, 2019 and 2018, respectively. The amortization over each of the next five fiscal years is projected to be $5,708, $5,183, $5,144, $5,002 and $2,025 for the fiscal years ending July 31, 2019, 2020, 2021, 2022 and 2023,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F — Accumulated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(11,188)</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(71,818)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(68,446)</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April 30, 2019, compared to July 31, 2018, was primarily due to the appreciation of the U.S. dollar against certain other currencies during the nine-month period. The foreign currency translation adjustments column in the table above includes the impact of foreign currency translation, including foreign currency translation on long-term intercompany notes and net investment hedges, net of tax. Of the total $857 in amounts reclassified from accumulated other comprehensive loss, the $434 gain on cash flow hedges was reclassified into cost of goods sold, and the $423 gain on post-retirement plans was reclassified into investment and other income on the condensed consolidated statement of income for the nine months ended April 30, 2019.</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April 30, 2018,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(51,041)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(48,146)</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accumulated other comprehensive loss as of April 30, 2018, compared to July 31, 2017, was primarily due to the appreciation of the U.S. dollar against certain other currencies during the nine-month period. The foreign currency translation adjustments column in the table above includes the impact of foreign currency translation, including foreign currency translation on long-term intercompany notes and net investment hedges, net of tax. Of the total $124 in amounts reclassified from accumulated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comprehensive loss, the $310 loss on cash flow hedges was reclassified into cost of goods sold, and the $434 gain on post-retirement plans was reclassified into selling, general and administrative expenses ("SG&amp;A") on the condensed consolidated statement of income for the nine months ended April 30, 2018.</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and nine months ended April 30,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Net Income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6"/>
              </w:rPr>
              <w:t>Income (Numerator for basic and diluted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34,781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94,645</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56,109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7"/>
              </w:rPr>
              <w:t>Numerator for basic and diluted income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34,781</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93,817</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55,294</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w w:val="95"/>
              </w:rPr>
              <w:t>Denominator for basic income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52,766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51,747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52,499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51,628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w w:val="93"/>
              </w:rPr>
              <w:t>Denominator for diluted income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53,480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52,729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53,215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52,610</w:t>
            </w:r>
          </w:p>
        </w:tc>
        <w:tc>
          <w:tcPr>
            <w:tcW w:w="0" w:type="dxa"/>
            <w:vAlign w:val="bottom"/>
          </w:tcPr>
          <w:p>
            <w:pPr>
              <w:spacing w:after="0"/>
              <w:rPr>
                <w:sz w:val="1"/>
                <w:szCs w:val="1"/>
                <w:color w:val="auto"/>
              </w:rPr>
            </w:pPr>
          </w:p>
        </w:tc>
      </w:tr>
      <w:tr>
        <w:trPr>
          <w:trHeight w:val="73"/>
        </w:trPr>
        <w:tc>
          <w:tcPr>
            <w:tcW w:w="5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Income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269,606 and 675,329 shares of Class A Nonvoting Common Stock for the three months ended April 30, 2019 and 2018, respectively, and 407,477 and 705,843 shares for the nine months ended April 30, 2019 and 2018, respectively, were not included in the computation of diluted net income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taxes, and certain corporate administrative expenses are excluded when evaluating segment performance.</w:t>
      </w:r>
    </w:p>
    <w:p>
      <w:pPr>
        <w:sectPr>
          <w:pgSz w:w="11900" w:h="16838" w:orient="portrait"/>
          <w:cols w:equalWidth="0" w:num="1">
            <w:col w:w="11420"/>
          </w:cols>
          <w:pgMar w:left="240" w:top="122"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segment and geographic region for the three and nine months ended April 30,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40"/>
              <w:spacing w:after="0"/>
              <w:rPr>
                <w:sz w:val="20"/>
                <w:szCs w:val="20"/>
                <w:color w:val="auto"/>
              </w:rPr>
            </w:pPr>
            <w:r>
              <w:rPr>
                <w:rFonts w:ascii="Arial" w:cs="Arial" w:eastAsia="Arial" w:hAnsi="Arial"/>
                <w:sz w:val="16"/>
                <w:szCs w:val="16"/>
                <w:color w:val="auto"/>
              </w:rPr>
              <w:t>ID Solutions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412,271</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48,984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145,094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147,623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68,397</w:t>
            </w:r>
          </w:p>
        </w:tc>
        <w:tc>
          <w:tcPr>
            <w:tcW w:w="0" w:type="dxa"/>
            <w:vAlign w:val="bottom"/>
          </w:tcPr>
          <w:p>
            <w:pPr>
              <w:spacing w:after="0"/>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213,979</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212,154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641,283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628,291</w:t>
            </w:r>
          </w:p>
        </w:tc>
        <w:tc>
          <w:tcPr>
            <w:tcW w:w="0" w:type="dxa"/>
            <w:vAlign w:val="bottom"/>
          </w:tcPr>
          <w:p>
            <w:pPr>
              <w:spacing w:after="0"/>
              <w:rPr>
                <w:sz w:val="1"/>
                <w:szCs w:val="1"/>
                <w:color w:val="auto"/>
              </w:rPr>
            </w:pPr>
          </w:p>
        </w:tc>
      </w:tr>
      <w:tr>
        <w:trPr>
          <w:trHeight w:val="73"/>
        </w:trPr>
        <w:tc>
          <w:tcPr>
            <w:tcW w:w="5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Workplace Safety</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Americas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25,778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28,790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74,861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81,747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129,887</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Australia</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11,616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12,631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35,407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36,427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494,018</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87,356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96,094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258,910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277,510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Asia-Pacific</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104,824</w:t>
            </w:r>
          </w:p>
        </w:tc>
        <w:tc>
          <w:tcPr>
            <w:tcW w:w="0" w:type="dxa"/>
            <w:vAlign w:val="bottom"/>
          </w:tcPr>
          <w:p>
            <w:pPr>
              <w:spacing w:after="0"/>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289,745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298,421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865,367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876,352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profit for the three and nine months ended April 30,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2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39,892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36,970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119,311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106,896</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21,037</w:t>
            </w: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45,991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44,507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135,612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127,933</w:t>
            </w: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income before income taxes for the three and nine months ended April 30, 2019 and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45,991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127,933</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1,303</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7"/>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40,978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36,979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117,561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106,766</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April 30, 2019 and July 31, 2018, according to the valuation techniques the Company used to determine their fair values.</w:t>
      </w:r>
    </w:p>
    <w:p>
      <w:pPr>
        <w:spacing w:after="0" w:line="117"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2019</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15,890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15,890</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15,890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16,422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2018</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15,460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J,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nine months ended April 30, 2019. In addition, the Company had no significant measurements of assets or liabilities at fair value on a nonrecurring basis subsequent to their initial recognition during the nine months ended April 30, 2019.</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based on the quoted market prices for similar issues and on the current rates offered for debt of similar maturities was $52,092 and $55,707 at April 30, 2019 and July 31, 2018, respectively, as compared to the carrying value of $50,303 and $52,618 at April 30, 2019 and July 31,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2019 and July 31, 2018, the notional amount of outstanding forward exchange contracts was $10,231 and $32,667, respectively.</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earnings. As of April 30, 2019 and 2018, unrealized gains of $815 and $65 have been included in OCI, respectively. Balances are reclassified from OCI to income when the hedged transactions impact income. For the three months ended April 30, 2019 and 2018, the Company reclassified gains of $292 and losses of $264 from OCI into income, respectively. For the nine months ended April 30, 2019 and 2018, the Company reclassified gains of $579 and losses of $446 from OCI into income, respectively. At April 30, 2019, the U.S. dollar equivalent of these outstanding forward foreign exchange contracts totaled $6,823, including contracts to sell Euros and contracts to buy Mexican pesos.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has designated €45 million of Euro-denominated senior unsecured notes as net investment hedges to hedge portions of the Company's net investment in European operations. The Company’s foreign denominated debt obligations are valued under a market approach using publicized spot prices.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losses of $6 and $49 for the three and nine months ended April 30, 2019, respectively, and gains of $9 and $29 for the three and nine months ended April 30, 2018, respectively, in “Investment and other income” on the condensed consolidated statements of income related to non-designated hedges.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April 30, 2019</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9"/>
              </w:rPr>
              <w:t>April 30, 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50,332</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50,332</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NOTE K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803,381</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34,781</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(7,881)</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2,982</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3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B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April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824,544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752,112</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94,645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94,645</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(12,045)</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18,119</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10,311</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Cumulative adjustment for ASU 2014-09, net of</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tax (Note B)</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$0.64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(31,291)</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$0.62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April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330,051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612,474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(68,446)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824,544</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731,973</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26,000</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(13,056)</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(1,278)</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$0.21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April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327,401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531,135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(76,291)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734,647</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700,140</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56,109</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7,878</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7,581</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3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 $0.62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(29,970)</w:t>
            </w: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B — $0.60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(2,140)</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734,647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income tax rates for the three and nine months ended April 30, 2019, were 15.1% and 19.5%, respectively. The Company expects its ongoing annual effective income tax rate to be in the mid-20 percent range based on its current global business mix. The effective income tax rates for the three and nine months ended April 30, 2019, were lower than the expected income tax rate due to the reversal of certain reserves for uncertain tax positions due to the favorable settlement of such foreign and domestic tax matters, partially offset by an increase in the valuation allowance against foreign tax credit carryforwards.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 income tax rates for the three and nine months ended April 30, 2018, were 29.7% and 47.4%, respectively. The income tax rates were significantly impacted by the recognition of additional tax expense of $21,060 primarily due to the enactment of the Tax Cuts and Jobs Act (the "Tax Reform Act") passed in December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May 21, 2019, the Board of Directors declared a quarterly cash dividend to shareholders of the Company’s Class A and Class B Common Stock of $0.2125 per share payable on July 31, 2019, to shareholders of record at the close of business on July 10,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of which are externally sourced.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and improving our digital capabilities.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the strategy in fiscal 2019:</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in alignment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Executing sustainable efficiency gains within our selling, general, and administrative structures as well as throughout our global operations by making investments in equipment and machinery to drive automation.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and enhancing our digital presence.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nine months ended April 30,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gridSpan w:val="7"/>
          </w:tcPr>
          <w:p>
            <w:pPr>
              <w:ind w:left="40"/>
              <w:spacing w:after="0"/>
              <w:rPr>
                <w:sz w:val="20"/>
                <w:szCs w:val="20"/>
                <w:color w:val="auto"/>
              </w:rPr>
            </w:pPr>
            <w:r>
              <w:rPr>
                <w:rFonts w:ascii="Arial" w:cs="Arial" w:eastAsia="Arial" w:hAnsi="Arial"/>
                <w:sz w:val="16"/>
                <w:szCs w:val="16"/>
                <w:b w:val="1"/>
                <w:bCs w:val="1"/>
                <w:color w:val="auto"/>
                <w:w w:val="91"/>
              </w:rPr>
              <w:t>Three months ended April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6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Nine months ended April 30,</w:t>
            </w:r>
          </w:p>
        </w:tc>
        <w:tc>
          <w:tcPr>
            <w:tcW w:w="8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298,421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865,367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876,352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145,749</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151,082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432,098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440,839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11,437</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11,678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33,837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33,512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94,691</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101,695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281,988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299,411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7"/>
        </w:trPr>
        <w:tc>
          <w:tcPr>
            <w:tcW w:w="3740" w:type="dxa"/>
            <w:vAlign w:val="bottom"/>
          </w:tcPr>
          <w:p>
            <w:pPr>
              <w:ind w:left="11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106,128</w:t>
            </w:r>
          </w:p>
        </w:tc>
        <w:tc>
          <w:tcPr>
            <w:tcW w:w="60" w:type="dxa"/>
            <w:vAlign w:val="bottom"/>
            <w:tcBorders>
              <w:top w:val="single" w:sz="8" w:color="auto"/>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113,373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315,825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332,923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39,621</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116,273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and divestitures.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the Company's businesses and facilitating comparisons of sales performance with prior periods. All analytical commentary within the Results of Operations section regarding the change in sales when compared to prior periods are in reference to organic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Sales for the three months ended April 30, 2019, decreased 2.9% to $289.7 million, compared to $298.4 million in the same period of the prior year, which consisted of organic sales growth of 2.4%, that was more than offset by a decrease from foreign currency translation of 3.8% and a divestiture impact of 1.5%. Organic sales grew 4.0% in the IDS segment and declined 1.6% in the WPS segment during the three months ended April 30, 2019, compared to the same period in the prior year. The IDS segment realized sales growth in the Safety and Facility ID, Product ID, and Wire ID product lines, partially offset by a slight decline in the Healthcare ID product line compared to the prior year. The WPS segment realized a slight decline in sales through the digital channel due to the performance of the business in the Americas. Digital sales increased in both Europe and Australia compared to the same period in the prior year. Sales through the catalog channel continued the trend of a low-single digit decline compared to the same period in the prior year.</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for the nine months ended April 30, 2019, decreased 1.3% to $865.4 million, compared to $876.4 million in the same period of the prior year, which consisted of organic sales growth of 3.1%, that was more than offset by a decrease from foreign currency translation of 2.8% and a divestiture impact of 1.6%. Organic sales grew 4.4% in the IDS segment and declined 0.2% in the WPS segment during the nine months ended April 30, 2019, compared to the same period in the prior year. The IDS segment realized sales growth in the Safety and Facility ID, Product ID, and Wire ID product lines, partially offset by a decline in the Healthcare ID product line compared to the prior year. The WPS segment realized growth in sales through the digital channel and a low-single digit decline in sales through the catalog channel when compared to the same period in the prior year.</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margin decreased 3.5% to $145.7 million for the three months ended April 30, 2019, and decreased 2.0% to $432.1 million for the nine months ended April 30, 2019, compared to $151.1 million and $440.8 million in the same periods of the prior year, respectively. As a percentage of net sales, gross margin decreased to 50.3% for the three months ended April 30, 2019, and 49.9% for the nine months ended April 30, 2019, from 50.6% and 50.3% in the same periods of the prior year, respectively. The decreases in gross margin as a percentage of net sales were primarily due to increased input costs such as freight and personnel costs which were partially mitigated by selected price increases and our ongoing efforts to streamline manufacturing processes and drive operational efficiencies, including increased automation in our manufacturing facilities.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R&amp;D expenses for the three months ended April 30, 2019, decreased 2.1% to $11.4 million, compared to $11.7 million in the same period of the prior year. The decrease in the three-month period was due to the timing of expenditures related to ongoing new product development projects. R&amp;D expenses for the nine months ended April 30, 2019, remained essentially flat at $33.8 million, compared to $33.5 million in the same period of the prior year. The Company remains committed to investing in new product development in connection with our focus on increasing new product sales within our IDS and WPS businesses. Investments in new software and printer updates continue to be the primary focus of R&amp;D expenditures.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Selling, general and administrative expenses ("SG&amp;A") include selling and administrative costs directly attributed to the IDS and WPS segments, as well as certain other corporate administrative expenses including finance, information technology, human resources, and other administrative expenses. SG&amp;A decreased 6.9% to $94.7 million for the three months ended April 30, 2019, and 5.8% to $282.0 million for the nine months ended April 30, 2019, compared to $101.7 million and $299.4 million in the same periods of the prior year, respectively. As a percentage of net sales, SG&amp;A decreased to 32.7% for the three months ended April 30, 2019, and 32.6% for the nine months ended April 30, 2019, from 34.1% and 34.2% in the same periods of the prior year, respectively. Approximately half of the decreases in both the three and nine-month periods were due to the impact of foreign currency translation, and the remainder of the decreases were due to ongoing efficiency activities throughout our SG&amp;A functions and the impact of the sale of a business in the prior year.</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increased 5.1% to $39.6 million for the three months ended April 30, 2019, and 7.7% to $116.3 million for the nine months ended April 30, 2019, compared to $37.7 million and $107.9 million in the same periods of the prior year, respectively. The increases in both the three and nine-month periods were primarily due to increased organic sales and segment profit within the IDS business along with reduced SG&amp;A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ind w:left="20"/>
              <w:spacing w:after="0"/>
              <w:rPr>
                <w:sz w:val="20"/>
                <w:szCs w:val="20"/>
                <w:color w:val="auto"/>
              </w:rPr>
            </w:pPr>
            <w:r>
              <w:rPr>
                <w:rFonts w:ascii="Arial" w:cs="Arial" w:eastAsia="Arial" w:hAnsi="Arial"/>
                <w:sz w:val="16"/>
                <w:szCs w:val="16"/>
                <w:b w:val="1"/>
                <w:bCs w:val="1"/>
                <w:color w:val="auto"/>
                <w:w w:val="95"/>
              </w:rPr>
              <w:t>Three months ended April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6"/>
                <w:szCs w:val="16"/>
                <w:b w:val="1"/>
                <w:bCs w:val="1"/>
                <w:color w:val="auto"/>
                <w:w w:val="92"/>
              </w:rPr>
              <w:t>Nine months ended April 30,</w:t>
            </w:r>
          </w:p>
        </w:tc>
        <w:tc>
          <w:tcPr>
            <w:tcW w:w="10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 Sales</w:t>
            </w: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116,273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107,916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31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10,979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22,916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50,657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94,645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56,109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Investment and other income was $2.1 million and $3.4 million for the three and nine months ended April 30, 2019, compared to $0.0 million and $1.3 million in the same periods of the prior year, respectively. The increases in both the three and nine-month periods were primarily due to an increase in interest income and an increase in the market value of securities held in deferred compensation plans when compared to the same periods in the prior year.</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$0.7 million from $0.8 million for the three months ended April 30, 2019, and decreased to $2.1 million from $2.5 million for the nine months ended April 30, 2019, compared to the same periods in the prior year. For both the three and nine-month periods, the decreases in interest expense were due to the Company's declining principal balances under its outstanding debt agreements.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income tax rate was 15.1% for the three months ended April 30, 2019, compared to 29.7% for the same period in the prior year. The income tax rate was 19.5% for the nine months ended April 30, 2019, compared to 47.4% for the same period of the prior year. Refer to Note L - Income Taxes for additional details regarding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6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April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3"/>
          </w:tcPr>
          <w:p>
            <w:pPr>
              <w:ind w:left="600"/>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40" w:type="dxa"/>
            <w:vAlign w:val="bottom"/>
            <w:gridSpan w:val="2"/>
          </w:tcPr>
          <w:p>
            <w:pPr>
              <w:ind w:left="5600"/>
              <w:spacing w:after="0"/>
              <w:rPr>
                <w:sz w:val="20"/>
                <w:szCs w:val="20"/>
                <w:color w:val="auto"/>
              </w:rPr>
            </w:pPr>
            <w:r>
              <w:rPr>
                <w:rFonts w:ascii="Arial" w:cs="Arial" w:eastAsia="Arial" w:hAnsi="Arial"/>
                <w:sz w:val="16"/>
                <w:szCs w:val="16"/>
                <w:b w:val="1"/>
                <w:bCs w:val="1"/>
                <w:color w:val="auto"/>
                <w:w w:val="89"/>
              </w:rPr>
              <w:t>2019</w:t>
            </w:r>
          </w:p>
        </w:tc>
        <w:tc>
          <w:tcPr>
            <w:tcW w:w="17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ind w:left="6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9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7"/>
        </w:trPr>
        <w:tc>
          <w:tcPr>
            <w:tcW w:w="594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80" w:type="dxa"/>
            <w:vAlign w:val="bottom"/>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594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4980" w:type="dxa"/>
            <w:vAlign w:val="bottom"/>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(12.2)%</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73"/>
        </w:trPr>
        <w:tc>
          <w:tcPr>
            <w:tcW w:w="498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ind w:left="380"/>
              <w:spacing w:after="0"/>
              <w:rPr>
                <w:sz w:val="20"/>
                <w:szCs w:val="20"/>
                <w:color w:val="auto"/>
              </w:rPr>
            </w:pPr>
            <w:r>
              <w:rPr>
                <w:rFonts w:ascii="Arial" w:cs="Arial" w:eastAsia="Arial" w:hAnsi="Arial"/>
                <w:sz w:val="16"/>
                <w:szCs w:val="16"/>
                <w:color w:val="auto"/>
              </w:rPr>
              <w:t>Organic</w:t>
            </w:r>
          </w:p>
        </w:tc>
        <w:tc>
          <w:tcPr>
            <w:tcW w:w="60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37"/>
        </w:trPr>
        <w:tc>
          <w:tcPr>
            <w:tcW w:w="5940" w:type="dxa"/>
            <w:vAlign w:val="bottom"/>
            <w:gridSpan w:val="2"/>
          </w:tcPr>
          <w:p>
            <w:pPr>
              <w:ind w:left="380"/>
              <w:spacing w:after="0"/>
              <w:rPr>
                <w:sz w:val="20"/>
                <w:szCs w:val="20"/>
                <w:color w:val="auto"/>
              </w:rPr>
            </w:pPr>
            <w:r>
              <w:rPr>
                <w:rFonts w:ascii="Arial" w:cs="Arial" w:eastAsia="Arial" w:hAnsi="Arial"/>
                <w:sz w:val="16"/>
                <w:szCs w:val="16"/>
                <w:color w:val="auto"/>
              </w:rPr>
              <w:t>Divestitures</w:t>
            </w: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37"/>
        </w:trPr>
        <w:tc>
          <w:tcPr>
            <w:tcW w:w="5940" w:type="dxa"/>
            <w:vAlign w:val="bottom"/>
            <w:gridSpan w:val="2"/>
          </w:tcPr>
          <w:p>
            <w:pPr>
              <w:ind w:left="380"/>
              <w:spacing w:after="0"/>
              <w:rPr>
                <w:sz w:val="20"/>
                <w:szCs w:val="20"/>
                <w:color w:val="auto"/>
              </w:rPr>
            </w:pPr>
            <w:r>
              <w:rPr>
                <w:rFonts w:ascii="Arial" w:cs="Arial" w:eastAsia="Arial" w:hAnsi="Arial"/>
                <w:sz w:val="16"/>
                <w:szCs w:val="16"/>
                <w:color w:val="auto"/>
              </w:rPr>
              <w:t>Workplace Safety</w:t>
            </w:r>
          </w:p>
        </w:tc>
        <w:tc>
          <w:tcPr>
            <w:tcW w:w="6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IDS sales increased 0.9% for the three months ended April 30, 2019, which consisted of organic sales growth of 4.0% and a decrease from foreign currency translation of 3.1%, compared to the same period in the prior year. IDS sales increased 2.1% for the nine months ended April 30, 2019, which consisted of organic sales growth of 4.4% and a decrease from foreign currency translation of 2.3%, compared to the same period in the prior year.</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the Americas grew in the low-single and mid-single digits for the three and nine months ended April 30, 2019, respectively, compared to the same periods in the prior year. Organic sales growth in the IDS Americas region for the three and nine-month periods was driven by the Safety and Facility ID, Product ID, and Wire ID product lines, partially offset by a decline in the Healthcare ID product line. Organic sales grew in the mid-single digits in the United States for both periods and grew in the low-single and mid-single digits in the rest of the Americas for the three and nine-month periods, respectively. Increased printer and consumables sales throughout the region was a primary driver of the organic sales growth.</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grew in the mid-single digits for both the three and nine months ended April 30, 2019, compared to the same periods in the prior year. The IDS Europe region realized organic sales growth in the Safety and Facility ID and Product ID product lines for both the three and nine months ended April 30, 2019, compared to the same periods in the prior year. Organic sales growth was led by Western Europe for the three-month period, while both Western Europe and emerging geographies grew organic sales for the nine-month period. Increased printer consumables and lockout/tagout device sales throughout the region were primary drivers of the organic sales growth.</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Asia grew in the low-single digits for both the three and nine months ended April 30, 2019, compared to the same periods in the prior year. The IDS Asia region realized organic sales growth in the Product ID, Safety and Facility ID, and Wire ID product lines for both the three and nine months ended April 30, 2019, compared to the same periods in the prior year. Organic sales grew in the low-single digits within China for both the three and nine-month periods and grew in the low-single and mid-single digits in the rest of Asia for the three and nine-month periods, respectively. Increased printer and consumable sales throughout the region was a primary driver of the organic sales growth.</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profit increased to $39.9 million and $119.3 million for the three and nine months ended April 30, 2019, respectively, compared to $37.0 million and $106.9 million for the same periods in the prior year. As a percentage of net sales, segment profit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increased to 18.6% for both the three and nine months ended April 30, 2019, from 17.4% and 17.0% for the same periods in the prior year. The increases in segment profit for both the three and nine-month periods were driven by organic sales growth and efficiency gains throughout SG&amp;A.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WPS sales decreased 12.2% for the three months ended April 30, 2019, which consisted of an organic sales decline of 1.6%, a decrease from foreign currency translation of 5.3%, and a decrease from a divestiture of 5.3%, compared to the same period in the prior year. Sales through the digital channel decreased slightly due to the performance of the Americas business, while sales through the catalog channel decreased in the low-single digits for the three-month period. WPS sales decreased 9.7% for the nine months ended April 30, 2019, which consisted of an organic sales declined of 0.2%, a decrease from foreign currency translation of 3.7%, and a decrease from a divestiture of 5.8%, compared to the same period in the prior year. Sales through the digital channel grew in the low-single digits while sales through the catalog channel declined in the low-single digits for the nine-month period.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WPS business in Europe realized low-single digit organic sales growth for both the three and nine months ended April 30, 2019, compared to the same periods in the prior year. The organic sales growth for both the three and nine-month periods was driven primarily by businesses based in France, Belgium, and Germany due to improvements in website functionality, growth in new customers, and key account management. WPS Europe experienced nearly 15% growth in digital channel sales, while catalog sales remained essentially flat during the three and nine months ended April 30, 2019, compared to the same periods in the prior year.</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Organic sales in the Americas decreased approximately 10% for the three months ended April 30, 2019 and decreased in the high-single digits for the nine months ended April 30, 2019, compared to the same periods in the prior year. </w:t>
      </w:r>
      <w:r>
        <w:rPr>
          <w:rFonts w:ascii="Arial" w:cs="Arial" w:eastAsia="Arial" w:hAnsi="Arial"/>
          <w:sz w:val="16"/>
          <w:szCs w:val="16"/>
          <w:color w:val="222222"/>
        </w:rPr>
        <w:t>WPS Americas continued to experience the negative impact from the</w:t>
      </w:r>
      <w:r>
        <w:rPr>
          <w:rFonts w:ascii="Arial" w:cs="Arial" w:eastAsia="Arial" w:hAnsi="Arial"/>
          <w:sz w:val="16"/>
          <w:szCs w:val="16"/>
          <w:color w:val="auto"/>
        </w:rPr>
        <w:t xml:space="preserve"> </w:t>
      </w:r>
      <w:r>
        <w:rPr>
          <w:rFonts w:ascii="Arial" w:cs="Arial" w:eastAsia="Arial" w:hAnsi="Arial"/>
          <w:sz w:val="16"/>
          <w:szCs w:val="16"/>
          <w:color w:val="222222"/>
        </w:rPr>
        <w:t>digital platform implemented in the prior year and realized a decline in sales for both the three and nine-month periods. The business transitioned to a new digital platform toward the end of the three months ended January 31, 2019 to address this decline. The functionality of the new digital platform is improved compared to the former digital platform, however, sales have not yet returned to the level experienced prior to the initial platform change from last year. Catalog channel sales declined in the mid-single digits for both the three and nine-month periods due to lower response rates to catalog promotions.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grew in the low-single and mid-single digits for the three and nine months ended April 30, 2019, respectively, compared to the same periods in the prior year. The organic sales growth for the nine-month period was driven by both the digital sales and catalog channels. Digital sales primarily drove the growth for the three-month period. The Australian business is growing its customer base, and its diversified product offering continues to expand into additional target markets such as commercial and industrial construction.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$6.1 million from $7.5 million for the three months ended April 30, 2019, and to $16.3 million from $21.0 million for the nine months ended April 30, 2019, compared to the same periods in the prior year. As a percentage of sales, segment profit decreased to 8.0% from 8.7% for the three months ended April 30, 2019, and to 7.3% from 8.5% for the nine months ended April 30, 2019, compared to the same periods in the prior year. The decreases in segment profit were due to the decrease in sales volumes in the North American business, as well as the divestiture of a business in the prior period and foreign currency translation.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$57.0 million and decreased $3.0 million during the nine months ended April 30, 2019 and 2018,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96,902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89,222</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(77,294)</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57,005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(3,041)</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was $96.9 million for the nine months ended April 30, 2019, compared to $89.2 million in the same period of the prior year. The change was driven by an increase in net income adjusted for non-cash items, which was partially offset by an increase in cash used for working capital in support of growth when compared to the same period in the prior year.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$19.3 million for the nine months ended April 30, 2019, compared to $15.0 million in the same period of the prior year. The increase in cash used in investing activities was driven by an increase in capital expenditures for the purchase of manufacturing equipment and facility upgrades.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$18.3 million during the nine months ended April 30, 2019, compared to $77.3 million in the same period of the prior year. The change was primarily due to a decrease of $51.6 million in net credit facility repayments and an increase of $10.3 million in proceeds from stock option exercises when compared to the same period in the prior year.</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25, 2015, the Company and certain of its subsidiaries entered into an unsecured $300 million multi-currency revolving loan agreement with a group of six banks. At the Company's option, and subject to certain conditions, the available amount under the revolving loan agreement may be increased from $300 million to $450 million. As of April 30, 2019, there were no borrowings outstanding on the credit facility, and the maximum outstanding balance during the nine months ended April 30, 2019, was $3.4 million. The Company also had letters of credit outstanding under the loan agreement of $3.3 million as of April 30, 2019, and there was $296.7 million available for future borrowing, which can be increased to $446.7 million at the Company's option, subject to certain conditions. The revolving loan agreement has a final maturity date of September 25, 2020. As such, the borrowing is included in "Long-term obligations" on the condensed consolidated balance sheets.</w:t>
      </w:r>
    </w:p>
    <w:p>
      <w:pPr>
        <w:spacing w:after="0" w:line="1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April 30, 2019, the Company was in compliance with these financial covenants, with the leverage ratio, as defined by the agreements, equal to 0.3 to 1.0 and the interest expense coverage ratio equal to 69.4 to 1.0.</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2019, approximately 54%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2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our 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U.S. Tax Reform Act and any other 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1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2018. There has been no material change in this information since July 31,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1">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2">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21" w:right="1440"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00" w:type="dxa"/>
            <w:vAlign w:val="bottom"/>
            <w:gridSpan w:val="2"/>
          </w:tcPr>
          <w:p>
            <w:pPr>
              <w:jc w:val="center"/>
              <w:ind w:right="3230"/>
              <w:spacing w:after="0"/>
              <w:rPr>
                <w:sz w:val="20"/>
                <w:szCs w:val="20"/>
                <w:color w:val="auto"/>
              </w:rPr>
            </w:pPr>
            <w:r>
              <w:rPr>
                <w:rFonts w:ascii="Arial" w:cs="Arial" w:eastAsia="Arial" w:hAnsi="Arial"/>
                <w:sz w:val="18"/>
                <w:szCs w:val="18"/>
                <w:color w:val="auto"/>
                <w:w w:val="93"/>
              </w:rPr>
              <w:t>SIGNATURES</w:t>
            </w:r>
          </w:p>
        </w:tc>
      </w:tr>
      <w:tr>
        <w:trPr>
          <w:trHeight w:val="378"/>
        </w:trPr>
        <w:tc>
          <w:tcPr>
            <w:tcW w:w="3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Date: May 23, 2019</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280" w:type="dxa"/>
            <w:vAlign w:val="bottom"/>
          </w:tcPr>
          <w:p>
            <w:pPr>
              <w:spacing w:after="0"/>
              <w:rPr>
                <w:sz w:val="20"/>
                <w:szCs w:val="20"/>
                <w:color w:val="auto"/>
              </w:rPr>
            </w:pPr>
            <w:r>
              <w:rPr>
                <w:rFonts w:ascii="Arial" w:cs="Arial" w:eastAsia="Arial" w:hAnsi="Arial"/>
                <w:sz w:val="18"/>
                <w:szCs w:val="18"/>
                <w:color w:val="auto"/>
              </w:rPr>
              <w:t>Date: May 23, 2019</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280" w:type="dxa"/>
            <w:vAlign w:val="bottom"/>
          </w:tcPr>
          <w:p>
            <w:pPr>
              <w:spacing w:after="0"/>
              <w:rPr>
                <w:sz w:val="24"/>
                <w:szCs w:val="24"/>
                <w:color w:val="auto"/>
              </w:rPr>
            </w:pPr>
          </w:p>
        </w:tc>
        <w:tc>
          <w:tcPr>
            <w:tcW w:w="4000" w:type="dxa"/>
            <w:vAlign w:val="bottom"/>
          </w:tcPr>
          <w:p>
            <w:pPr>
              <w:jc w:val="right"/>
              <w:ind w:right="1430"/>
              <w:spacing w:after="0"/>
              <w:rPr>
                <w:sz w:val="20"/>
                <w:szCs w:val="20"/>
                <w:color w:val="auto"/>
              </w:rPr>
            </w:pPr>
            <w:r>
              <w:rPr>
                <w:rFonts w:ascii="Arial" w:cs="Arial" w:eastAsia="Arial" w:hAnsi="Arial"/>
                <w:sz w:val="18"/>
                <w:szCs w:val="18"/>
                <w:color w:val="auto"/>
              </w:rPr>
              <w:t>28</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23,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23,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2019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23,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2019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23,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2019-12-28T11:49:13Z</dcterms:created>
  <dcterms:modified xsi:type="dcterms:W3CDTF">2019-12-28T11:49:13Z</dcterms:modified>
</cp:coreProperties>
</file>