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500" w:type="dxa"/>
        <w:tblCellMar>
          <w:top w:w="0" w:type="dxa"/>
          <w:left w:w="0" w:type="dxa"/>
          <w:bottom w:w="0" w:type="dxa"/>
          <w:right w:w="0" w:type="dxa"/>
        </w:tblCellMar>
      </w:tblPr>
      <w:tr>
        <w:trPr>
          <w:trHeight w:val="253"/>
        </w:trPr>
        <w:tc>
          <w:tcPr>
            <w:tcW w:w="7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620" w:type="dxa"/>
            <w:vAlign w:val="bottom"/>
            <w:gridSpan w:val="2"/>
          </w:tcPr>
          <w:p>
            <w:pPr>
              <w:jc w:val="center"/>
              <w:ind w:right="2072"/>
              <w:spacing w:after="0"/>
              <w:rPr>
                <w:sz w:val="20"/>
                <w:szCs w:val="20"/>
                <w:color w:val="auto"/>
              </w:rPr>
            </w:pPr>
            <w:r>
              <w:rPr>
                <w:rFonts w:ascii="Times New Roman" w:cs="Times New Roman" w:eastAsia="Times New Roman" w:hAnsi="Times New Roman"/>
                <w:sz w:val="22"/>
                <w:szCs w:val="22"/>
                <w:b w:val="1"/>
                <w:bCs w:val="1"/>
                <w:color w:val="auto"/>
                <w:w w:val="96"/>
              </w:rPr>
              <w:t>UNITED STATES</w:t>
            </w:r>
          </w:p>
        </w:tc>
      </w:tr>
      <w:tr>
        <w:trPr>
          <w:trHeight w:val="263"/>
        </w:trPr>
        <w:tc>
          <w:tcPr>
            <w:tcW w:w="760" w:type="dxa"/>
            <w:vAlign w:val="bottom"/>
          </w:tcPr>
          <w:p>
            <w:pPr>
              <w:spacing w:after="0"/>
              <w:rPr>
                <w:sz w:val="22"/>
                <w:szCs w:val="22"/>
                <w:color w:val="auto"/>
              </w:rPr>
            </w:pPr>
          </w:p>
        </w:tc>
        <w:tc>
          <w:tcPr>
            <w:tcW w:w="5840" w:type="dxa"/>
            <w:vAlign w:val="bottom"/>
            <w:gridSpan w:val="3"/>
          </w:tcPr>
          <w:p>
            <w:pPr>
              <w:jc w:val="center"/>
              <w:ind w:right="852"/>
              <w:spacing w:after="0"/>
              <w:rPr>
                <w:sz w:val="20"/>
                <w:szCs w:val="20"/>
                <w:color w:val="auto"/>
              </w:rPr>
            </w:pPr>
            <w:r>
              <w:rPr>
                <w:rFonts w:ascii="Times New Roman" w:cs="Times New Roman" w:eastAsia="Times New Roman" w:hAnsi="Times New Roman"/>
                <w:sz w:val="22"/>
                <w:szCs w:val="22"/>
                <w:b w:val="1"/>
                <w:bCs w:val="1"/>
                <w:color w:val="auto"/>
                <w:w w:val="98"/>
              </w:rPr>
              <w:t>SECURITIES AND EXCHANGE COMMISSION</w:t>
            </w:r>
          </w:p>
        </w:tc>
      </w:tr>
      <w:tr>
        <w:trPr>
          <w:trHeight w:val="190"/>
        </w:trPr>
        <w:tc>
          <w:tcPr>
            <w:tcW w:w="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gridSpan w:val="2"/>
          </w:tcPr>
          <w:p>
            <w:pPr>
              <w:jc w:val="center"/>
              <w:ind w:right="2092"/>
              <w:spacing w:after="0"/>
              <w:rPr>
                <w:sz w:val="20"/>
                <w:szCs w:val="20"/>
                <w:color w:val="auto"/>
              </w:rPr>
            </w:pPr>
            <w:r>
              <w:rPr>
                <w:rFonts w:ascii="Times New Roman" w:cs="Times New Roman" w:eastAsia="Times New Roman" w:hAnsi="Times New Roman"/>
                <w:sz w:val="14"/>
                <w:szCs w:val="14"/>
                <w:b w:val="1"/>
                <w:bCs w:val="1"/>
                <w:color w:val="auto"/>
              </w:rPr>
              <w:t>Washington, D.C. 20549</w:t>
            </w:r>
          </w:p>
        </w:tc>
      </w:tr>
      <w:tr>
        <w:trPr>
          <w:trHeight w:val="217"/>
        </w:trPr>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2100" w:type="dxa"/>
            <w:vAlign w:val="bottom"/>
          </w:tcPr>
          <w:p>
            <w:pPr>
              <w:spacing w:after="0"/>
              <w:rPr>
                <w:sz w:val="18"/>
                <w:szCs w:val="18"/>
                <w:color w:val="auto"/>
              </w:rPr>
            </w:pPr>
          </w:p>
        </w:tc>
      </w:tr>
      <w:tr>
        <w:trPr>
          <w:trHeight w:val="307"/>
        </w:trPr>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20" w:type="dxa"/>
            <w:vAlign w:val="bottom"/>
            <w:gridSpan w:val="2"/>
          </w:tcPr>
          <w:p>
            <w:pPr>
              <w:jc w:val="center"/>
              <w:ind w:right="2072"/>
              <w:spacing w:after="0"/>
              <w:rPr>
                <w:sz w:val="20"/>
                <w:szCs w:val="20"/>
                <w:color w:val="auto"/>
              </w:rPr>
            </w:pPr>
            <w:r>
              <w:rPr>
                <w:rFonts w:ascii="Times New Roman" w:cs="Times New Roman" w:eastAsia="Times New Roman" w:hAnsi="Times New Roman"/>
                <w:sz w:val="22"/>
                <w:szCs w:val="22"/>
                <w:b w:val="1"/>
                <w:bCs w:val="1"/>
                <w:color w:val="auto"/>
                <w:w w:val="97"/>
              </w:rPr>
              <w:t>FORM 8-K</w:t>
            </w:r>
          </w:p>
        </w:tc>
      </w:tr>
      <w:tr>
        <w:trPr>
          <w:trHeight w:val="159"/>
        </w:trPr>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520" w:type="dxa"/>
            <w:vAlign w:val="bottom"/>
            <w:tcBorders>
              <w:bottom w:val="single" w:sz="8" w:color="auto"/>
            </w:tcBorders>
          </w:tcPr>
          <w:p>
            <w:pPr>
              <w:spacing w:after="0"/>
              <w:rPr>
                <w:sz w:val="13"/>
                <w:szCs w:val="13"/>
                <w:color w:val="auto"/>
              </w:rPr>
            </w:pPr>
          </w:p>
        </w:tc>
        <w:tc>
          <w:tcPr>
            <w:tcW w:w="2100" w:type="dxa"/>
            <w:vAlign w:val="bottom"/>
          </w:tcPr>
          <w:p>
            <w:pPr>
              <w:spacing w:after="0"/>
              <w:rPr>
                <w:sz w:val="13"/>
                <w:szCs w:val="13"/>
                <w:color w:val="auto"/>
              </w:rPr>
            </w:pPr>
          </w:p>
        </w:tc>
      </w:tr>
      <w:tr>
        <w:trPr>
          <w:trHeight w:val="246"/>
        </w:trPr>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20" w:type="dxa"/>
            <w:vAlign w:val="bottom"/>
            <w:gridSpan w:val="2"/>
          </w:tcPr>
          <w:p>
            <w:pPr>
              <w:jc w:val="center"/>
              <w:ind w:right="2052"/>
              <w:spacing w:after="0"/>
              <w:rPr>
                <w:sz w:val="20"/>
                <w:szCs w:val="20"/>
                <w:color w:val="auto"/>
              </w:rPr>
            </w:pPr>
            <w:r>
              <w:rPr>
                <w:rFonts w:ascii="Times New Roman" w:cs="Times New Roman" w:eastAsia="Times New Roman" w:hAnsi="Times New Roman"/>
                <w:sz w:val="17"/>
                <w:szCs w:val="17"/>
                <w:b w:val="1"/>
                <w:bCs w:val="1"/>
                <w:color w:val="auto"/>
                <w:w w:val="97"/>
              </w:rPr>
              <w:t>CURRENT REPORT</w:t>
            </w:r>
          </w:p>
        </w:tc>
      </w:tr>
      <w:tr>
        <w:trPr>
          <w:trHeight w:val="263"/>
        </w:trPr>
        <w:tc>
          <w:tcPr>
            <w:tcW w:w="7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620" w:type="dxa"/>
            <w:vAlign w:val="bottom"/>
            <w:gridSpan w:val="2"/>
          </w:tcPr>
          <w:p>
            <w:pPr>
              <w:jc w:val="center"/>
              <w:ind w:right="2072"/>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tc>
      </w:tr>
      <w:tr>
        <w:trPr>
          <w:trHeight w:val="190"/>
        </w:trPr>
        <w:tc>
          <w:tcPr>
            <w:tcW w:w="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gridSpan w:val="2"/>
          </w:tcPr>
          <w:p>
            <w:pPr>
              <w:jc w:val="center"/>
              <w:ind w:right="2072"/>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tc>
      </w:tr>
      <w:tr>
        <w:trPr>
          <w:trHeight w:val="279"/>
        </w:trPr>
        <w:tc>
          <w:tcPr>
            <w:tcW w:w="760" w:type="dxa"/>
            <w:vAlign w:val="bottom"/>
          </w:tcPr>
          <w:p>
            <w:pPr>
              <w:spacing w:after="0"/>
              <w:rPr>
                <w:sz w:val="24"/>
                <w:szCs w:val="24"/>
                <w:color w:val="auto"/>
              </w:rPr>
            </w:pPr>
          </w:p>
        </w:tc>
        <w:tc>
          <w:tcPr>
            <w:tcW w:w="5840" w:type="dxa"/>
            <w:vAlign w:val="bottom"/>
            <w:gridSpan w:val="3"/>
          </w:tcPr>
          <w:p>
            <w:pPr>
              <w:jc w:val="center"/>
              <w:ind w:right="852"/>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May 23, 2019</w:t>
            </w:r>
          </w:p>
        </w:tc>
      </w:tr>
      <w:tr>
        <w:trPr>
          <w:trHeight w:val="208"/>
        </w:trPr>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2100" w:type="dxa"/>
            <w:vAlign w:val="bottom"/>
          </w:tcPr>
          <w:p>
            <w:pPr>
              <w:spacing w:after="0"/>
              <w:rPr>
                <w:sz w:val="18"/>
                <w:szCs w:val="18"/>
                <w:color w:val="auto"/>
              </w:rPr>
            </w:pPr>
          </w:p>
        </w:tc>
      </w:tr>
      <w:tr>
        <w:trPr>
          <w:trHeight w:val="370"/>
        </w:trPr>
        <w:tc>
          <w:tcPr>
            <w:tcW w:w="760" w:type="dxa"/>
            <w:vAlign w:val="bottom"/>
          </w:tcPr>
          <w:p>
            <w:pPr>
              <w:spacing w:after="0"/>
              <w:rPr>
                <w:sz w:val="24"/>
                <w:szCs w:val="24"/>
                <w:color w:val="auto"/>
              </w:rPr>
            </w:pPr>
          </w:p>
        </w:tc>
        <w:tc>
          <w:tcPr>
            <w:tcW w:w="5840" w:type="dxa"/>
            <w:vAlign w:val="bottom"/>
            <w:gridSpan w:val="3"/>
          </w:tcPr>
          <w:p>
            <w:pPr>
              <w:jc w:val="center"/>
              <w:ind w:right="852"/>
              <w:spacing w:after="0"/>
              <w:rPr>
                <w:sz w:val="20"/>
                <w:szCs w:val="20"/>
                <w:color w:val="auto"/>
              </w:rPr>
            </w:pPr>
            <w:r>
              <w:rPr>
                <w:rFonts w:ascii="Times New Roman" w:cs="Times New Roman" w:eastAsia="Times New Roman" w:hAnsi="Times New Roman"/>
                <w:sz w:val="29"/>
                <w:szCs w:val="29"/>
                <w:b w:val="1"/>
                <w:bCs w:val="1"/>
                <w:color w:val="auto"/>
                <w:w w:val="98"/>
              </w:rPr>
              <w:t>BRADY CORPORATION</w:t>
            </w:r>
          </w:p>
        </w:tc>
      </w:tr>
      <w:tr>
        <w:trPr>
          <w:trHeight w:val="159"/>
        </w:trPr>
        <w:tc>
          <w:tcPr>
            <w:tcW w:w="760" w:type="dxa"/>
            <w:vAlign w:val="bottom"/>
          </w:tcPr>
          <w:p>
            <w:pPr>
              <w:spacing w:after="0"/>
              <w:rPr>
                <w:sz w:val="13"/>
                <w:szCs w:val="13"/>
                <w:color w:val="auto"/>
              </w:rPr>
            </w:pPr>
          </w:p>
        </w:tc>
        <w:tc>
          <w:tcPr>
            <w:tcW w:w="5840" w:type="dxa"/>
            <w:vAlign w:val="bottom"/>
            <w:gridSpan w:val="3"/>
          </w:tcPr>
          <w:p>
            <w:pPr>
              <w:jc w:val="center"/>
              <w:ind w:right="852"/>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tc>
      </w:tr>
      <w:tr>
        <w:trPr>
          <w:trHeight w:val="171"/>
        </w:trPr>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c>
          <w:tcPr>
            <w:tcW w:w="2100" w:type="dxa"/>
            <w:vAlign w:val="bottom"/>
          </w:tcPr>
          <w:p>
            <w:pPr>
              <w:spacing w:after="0"/>
              <w:rPr>
                <w:sz w:val="14"/>
                <w:szCs w:val="14"/>
                <w:color w:val="auto"/>
              </w:rPr>
            </w:pPr>
          </w:p>
        </w:tc>
      </w:tr>
      <w:tr>
        <w:trPr>
          <w:trHeight w:val="187"/>
        </w:trPr>
        <w:tc>
          <w:tcPr>
            <w:tcW w:w="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gridSpan w:val="2"/>
          </w:tcPr>
          <w:p>
            <w:pPr>
              <w:jc w:val="center"/>
              <w:ind w:right="2072"/>
              <w:spacing w:after="0"/>
              <w:rPr>
                <w:sz w:val="20"/>
                <w:szCs w:val="20"/>
                <w:color w:val="auto"/>
              </w:rPr>
            </w:pPr>
            <w:r>
              <w:rPr>
                <w:rFonts w:ascii="Times New Roman" w:cs="Times New Roman" w:eastAsia="Times New Roman" w:hAnsi="Times New Roman"/>
                <w:sz w:val="12"/>
                <w:szCs w:val="12"/>
                <w:b w:val="1"/>
                <w:bCs w:val="1"/>
                <w:color w:val="auto"/>
                <w:w w:val="99"/>
              </w:rPr>
              <w:t>Commission File Number 1-14959</w:t>
            </w:r>
          </w:p>
        </w:tc>
      </w:tr>
      <w:tr>
        <w:trPr>
          <w:trHeight w:val="468"/>
        </w:trPr>
        <w:tc>
          <w:tcPr>
            <w:tcW w:w="760" w:type="dxa"/>
            <w:vAlign w:val="bottom"/>
          </w:tcPr>
          <w:p>
            <w:pPr>
              <w:jc w:val="center"/>
              <w:ind w:right="108"/>
              <w:spacing w:after="0"/>
              <w:rPr>
                <w:sz w:val="20"/>
                <w:szCs w:val="20"/>
                <w:color w:val="auto"/>
              </w:rPr>
            </w:pPr>
            <w:r>
              <w:rPr>
                <w:rFonts w:ascii="Times New Roman" w:cs="Times New Roman" w:eastAsia="Times New Roman" w:hAnsi="Times New Roman"/>
                <w:sz w:val="12"/>
                <w:szCs w:val="12"/>
                <w:b w:val="1"/>
                <w:bCs w:val="1"/>
                <w:color w:val="auto"/>
                <w:w w:val="98"/>
              </w:rPr>
              <w:t>Wisconsin</w:t>
            </w:r>
          </w:p>
        </w:tc>
        <w:tc>
          <w:tcPr>
            <w:tcW w:w="5840" w:type="dxa"/>
            <w:vAlign w:val="bottom"/>
            <w:gridSpan w:val="3"/>
          </w:tcPr>
          <w:p>
            <w:pPr>
              <w:jc w:val="center"/>
              <w:ind w:left="4996"/>
              <w:spacing w:after="0"/>
              <w:rPr>
                <w:sz w:val="20"/>
                <w:szCs w:val="20"/>
                <w:color w:val="auto"/>
              </w:rPr>
            </w:pPr>
            <w:r>
              <w:rPr>
                <w:rFonts w:ascii="Times New Roman" w:cs="Times New Roman" w:eastAsia="Times New Roman" w:hAnsi="Times New Roman"/>
                <w:sz w:val="12"/>
                <w:szCs w:val="12"/>
                <w:b w:val="1"/>
                <w:bCs w:val="1"/>
                <w:color w:val="auto"/>
              </w:rPr>
              <w:t>39-0971239</w:t>
            </w:r>
          </w:p>
        </w:tc>
      </w:tr>
      <w:tr>
        <w:trPr>
          <w:trHeight w:val="119"/>
        </w:trPr>
        <w:tc>
          <w:tcPr>
            <w:tcW w:w="760" w:type="dxa"/>
            <w:vAlign w:val="bottom"/>
          </w:tcPr>
          <w:p>
            <w:pPr>
              <w:jc w:val="center"/>
              <w:ind w:right="88"/>
              <w:spacing w:after="0"/>
              <w:rPr>
                <w:sz w:val="20"/>
                <w:szCs w:val="20"/>
                <w:color w:val="auto"/>
              </w:rPr>
            </w:pPr>
            <w:r>
              <w:rPr>
                <w:rFonts w:ascii="Times New Roman" w:cs="Times New Roman" w:eastAsia="Times New Roman" w:hAnsi="Times New Roman"/>
                <w:sz w:val="10"/>
                <w:szCs w:val="10"/>
                <w:b w:val="1"/>
                <w:bCs w:val="1"/>
                <w:color w:val="auto"/>
                <w:w w:val="94"/>
              </w:rPr>
              <w:t>(State of</w:t>
            </w:r>
          </w:p>
        </w:tc>
        <w:tc>
          <w:tcPr>
            <w:tcW w:w="12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100" w:type="dxa"/>
            <w:vAlign w:val="bottom"/>
          </w:tcPr>
          <w:p>
            <w:pPr>
              <w:jc w:val="center"/>
              <w:ind w:left="1292"/>
              <w:spacing w:after="0"/>
              <w:rPr>
                <w:sz w:val="20"/>
                <w:szCs w:val="20"/>
                <w:color w:val="auto"/>
              </w:rPr>
            </w:pPr>
            <w:r>
              <w:rPr>
                <w:rFonts w:ascii="Times New Roman" w:cs="Times New Roman" w:eastAsia="Times New Roman" w:hAnsi="Times New Roman"/>
                <w:sz w:val="10"/>
                <w:szCs w:val="10"/>
                <w:b w:val="1"/>
                <w:bCs w:val="1"/>
                <w:color w:val="auto"/>
                <w:w w:val="98"/>
              </w:rPr>
              <w:t>(IRS Employer</w:t>
            </w:r>
          </w:p>
        </w:tc>
      </w:tr>
      <w:tr>
        <w:trPr>
          <w:trHeight w:val="119"/>
        </w:trPr>
        <w:tc>
          <w:tcPr>
            <w:tcW w:w="760" w:type="dxa"/>
            <w:vAlign w:val="bottom"/>
          </w:tcPr>
          <w:p>
            <w:pPr>
              <w:jc w:val="center"/>
              <w:ind w:right="88"/>
              <w:spacing w:after="0"/>
              <w:rPr>
                <w:sz w:val="20"/>
                <w:szCs w:val="20"/>
                <w:color w:val="auto"/>
              </w:rPr>
            </w:pPr>
            <w:r>
              <w:rPr>
                <w:rFonts w:ascii="Times New Roman" w:cs="Times New Roman" w:eastAsia="Times New Roman" w:hAnsi="Times New Roman"/>
                <w:sz w:val="10"/>
                <w:szCs w:val="10"/>
                <w:b w:val="1"/>
                <w:bCs w:val="1"/>
                <w:color w:val="auto"/>
                <w:w w:val="97"/>
              </w:rPr>
              <w:t>Incorporation)</w:t>
            </w:r>
          </w:p>
        </w:tc>
        <w:tc>
          <w:tcPr>
            <w:tcW w:w="12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100" w:type="dxa"/>
            <w:vAlign w:val="bottom"/>
          </w:tcPr>
          <w:p>
            <w:pPr>
              <w:jc w:val="center"/>
              <w:ind w:left="1292"/>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r>
        <w:trPr>
          <w:trHeight w:val="144"/>
        </w:trPr>
        <w:tc>
          <w:tcPr>
            <w:tcW w:w="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20" w:type="dxa"/>
            <w:vAlign w:val="bottom"/>
            <w:gridSpan w:val="2"/>
          </w:tcPr>
          <w:p>
            <w:pPr>
              <w:jc w:val="center"/>
              <w:ind w:right="2052"/>
              <w:spacing w:after="0"/>
              <w:rPr>
                <w:sz w:val="20"/>
                <w:szCs w:val="20"/>
                <w:color w:val="auto"/>
              </w:rPr>
            </w:pPr>
            <w:r>
              <w:rPr>
                <w:rFonts w:ascii="Times New Roman" w:cs="Times New Roman" w:eastAsia="Times New Roman" w:hAnsi="Times New Roman"/>
                <w:sz w:val="12"/>
                <w:szCs w:val="12"/>
                <w:b w:val="1"/>
                <w:bCs w:val="1"/>
                <w:color w:val="auto"/>
                <w:w w:val="99"/>
              </w:rPr>
              <w:t>6555 West Good Hope Road</w:t>
            </w:r>
          </w:p>
        </w:tc>
      </w:tr>
      <w:tr>
        <w:trPr>
          <w:trHeight w:val="143"/>
        </w:trPr>
        <w:tc>
          <w:tcPr>
            <w:tcW w:w="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20" w:type="dxa"/>
            <w:vAlign w:val="bottom"/>
            <w:gridSpan w:val="2"/>
          </w:tcPr>
          <w:p>
            <w:pPr>
              <w:jc w:val="center"/>
              <w:ind w:right="2052"/>
              <w:spacing w:after="0"/>
              <w:rPr>
                <w:sz w:val="20"/>
                <w:szCs w:val="20"/>
                <w:color w:val="auto"/>
              </w:rPr>
            </w:pPr>
            <w:r>
              <w:rPr>
                <w:rFonts w:ascii="Times New Roman" w:cs="Times New Roman" w:eastAsia="Times New Roman" w:hAnsi="Times New Roman"/>
                <w:sz w:val="12"/>
                <w:szCs w:val="12"/>
                <w:b w:val="1"/>
                <w:bCs w:val="1"/>
                <w:color w:val="auto"/>
                <w:w w:val="99"/>
              </w:rPr>
              <w:t>Milwaukee, Wisconsin 53223</w:t>
            </w:r>
          </w:p>
        </w:tc>
      </w:tr>
      <w:tr>
        <w:trPr>
          <w:trHeight w:val="126"/>
        </w:trPr>
        <w:tc>
          <w:tcPr>
            <w:tcW w:w="7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620" w:type="dxa"/>
            <w:vAlign w:val="bottom"/>
            <w:gridSpan w:val="2"/>
          </w:tcPr>
          <w:p>
            <w:pPr>
              <w:jc w:val="center"/>
              <w:ind w:right="2072"/>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 and Zip Code)</w:t>
            </w:r>
          </w:p>
        </w:tc>
      </w:tr>
      <w:tr>
        <w:trPr>
          <w:trHeight w:val="251"/>
        </w:trPr>
        <w:tc>
          <w:tcPr>
            <w:tcW w:w="760" w:type="dxa"/>
            <w:vAlign w:val="bottom"/>
          </w:tcPr>
          <w:p>
            <w:pPr>
              <w:spacing w:after="0"/>
              <w:rPr>
                <w:sz w:val="21"/>
                <w:szCs w:val="21"/>
                <w:color w:val="auto"/>
              </w:rPr>
            </w:pPr>
          </w:p>
        </w:tc>
        <w:tc>
          <w:tcPr>
            <w:tcW w:w="3740" w:type="dxa"/>
            <w:vAlign w:val="bottom"/>
            <w:gridSpan w:val="2"/>
          </w:tcPr>
          <w:p>
            <w:pPr>
              <w:jc w:val="center"/>
              <w:ind w:left="1116"/>
              <w:spacing w:after="0"/>
              <w:rPr>
                <w:sz w:val="20"/>
                <w:szCs w:val="20"/>
                <w:color w:val="auto"/>
              </w:rPr>
            </w:pPr>
            <w:r>
              <w:rPr>
                <w:rFonts w:ascii="Times New Roman" w:cs="Times New Roman" w:eastAsia="Times New Roman" w:hAnsi="Times New Roman"/>
                <w:sz w:val="12"/>
                <w:szCs w:val="12"/>
                <w:b w:val="1"/>
                <w:bCs w:val="1"/>
                <w:color w:val="auto"/>
                <w:w w:val="98"/>
              </w:rPr>
              <w:t>(414) 358-6600</w:t>
            </w:r>
          </w:p>
        </w:tc>
        <w:tc>
          <w:tcPr>
            <w:tcW w:w="2100" w:type="dxa"/>
            <w:vAlign w:val="bottom"/>
          </w:tcPr>
          <w:p>
            <w:pPr>
              <w:spacing w:after="0"/>
              <w:rPr>
                <w:sz w:val="21"/>
                <w:szCs w:val="21"/>
                <w:color w:val="auto"/>
              </w:rPr>
            </w:pPr>
          </w:p>
        </w:tc>
      </w:tr>
      <w:tr>
        <w:trPr>
          <w:trHeight w:val="127"/>
        </w:trPr>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620" w:type="dxa"/>
            <w:vAlign w:val="bottom"/>
            <w:gridSpan w:val="2"/>
          </w:tcPr>
          <w:p>
            <w:pPr>
              <w:jc w:val="center"/>
              <w:ind w:right="2072"/>
              <w:spacing w:after="0"/>
              <w:rPr>
                <w:sz w:val="20"/>
                <w:szCs w:val="20"/>
                <w:color w:val="auto"/>
              </w:rPr>
            </w:pPr>
            <w:r>
              <w:rPr>
                <w:rFonts w:ascii="Times New Roman" w:cs="Times New Roman" w:eastAsia="Times New Roman" w:hAnsi="Times New Roman"/>
                <w:sz w:val="10"/>
                <w:szCs w:val="10"/>
                <w:b w:val="1"/>
                <w:bCs w:val="1"/>
                <w:color w:val="auto"/>
                <w:w w:val="95"/>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119380</wp:posOffset>
            </wp:positionV>
            <wp:extent cx="160147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1470" cy="57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14" w:lineRule="exact"/>
        <w:rPr>
          <w:sz w:val="24"/>
          <w:szCs w:val="24"/>
          <w:color w:val="auto"/>
        </w:rPr>
      </w:pPr>
    </w:p>
    <w:p>
      <w:pPr>
        <w:ind w:left="700" w:hanging="690"/>
        <w:spacing w:after="0"/>
        <w:tabs>
          <w:tab w:leader="none" w:pos="7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32" w:lineRule="exact"/>
        <w:rPr>
          <w:rFonts w:ascii="MS PGothic" w:cs="MS PGothic" w:eastAsia="MS PGothic" w:hAnsi="MS PGothic"/>
          <w:sz w:val="12"/>
          <w:szCs w:val="12"/>
          <w:color w:val="auto"/>
        </w:rPr>
      </w:pPr>
    </w:p>
    <w:p>
      <w:pPr>
        <w:ind w:left="700" w:hanging="690"/>
        <w:spacing w:after="0"/>
        <w:tabs>
          <w:tab w:leader="none" w:pos="7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32" w:lineRule="exact"/>
        <w:rPr>
          <w:rFonts w:ascii="MS PGothic" w:cs="MS PGothic" w:eastAsia="MS PGothic" w:hAnsi="MS PGothic"/>
          <w:sz w:val="12"/>
          <w:szCs w:val="12"/>
          <w:color w:val="auto"/>
        </w:rPr>
      </w:pPr>
    </w:p>
    <w:p>
      <w:pPr>
        <w:ind w:left="700" w:hanging="690"/>
        <w:spacing w:after="0"/>
        <w:tabs>
          <w:tab w:leader="none" w:pos="7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32" w:lineRule="exact"/>
        <w:rPr>
          <w:rFonts w:ascii="MS PGothic" w:cs="MS PGothic" w:eastAsia="MS PGothic" w:hAnsi="MS PGothic"/>
          <w:sz w:val="12"/>
          <w:szCs w:val="12"/>
          <w:color w:val="auto"/>
        </w:rPr>
      </w:pPr>
    </w:p>
    <w:p>
      <w:pPr>
        <w:ind w:right="5420" w:firstLine="10"/>
        <w:spacing w:after="0" w:line="416" w:lineRule="auto"/>
        <w:tabs>
          <w:tab w:leader="none" w:pos="712"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37"/>
        </w:trPr>
        <w:tc>
          <w:tcPr>
            <w:tcW w:w="6340" w:type="dxa"/>
            <w:vAlign w:val="bottom"/>
            <w:tcBorders>
              <w:top w:val="single" w:sz="8" w:color="auto"/>
              <w:left w:val="single" w:sz="8" w:color="auto"/>
              <w:right w:val="single" w:sz="8" w:color="auto"/>
            </w:tcBorders>
          </w:tcPr>
          <w:p>
            <w:pPr>
              <w:spacing w:after="0"/>
              <w:rPr>
                <w:sz w:val="11"/>
                <w:szCs w:val="11"/>
                <w:color w:val="auto"/>
              </w:rPr>
            </w:pPr>
          </w:p>
        </w:tc>
        <w:tc>
          <w:tcPr>
            <w:tcW w:w="1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Trading</w:t>
            </w:r>
          </w:p>
        </w:tc>
        <w:tc>
          <w:tcPr>
            <w:tcW w:w="3440" w:type="dxa"/>
            <w:vAlign w:val="bottom"/>
            <w:tcBorders>
              <w:top w:val="single" w:sz="8" w:color="auto"/>
              <w:right w:val="single" w:sz="8" w:color="auto"/>
            </w:tcBorders>
          </w:tcPr>
          <w:p>
            <w:pPr>
              <w:spacing w:after="0"/>
              <w:rPr>
                <w:sz w:val="11"/>
                <w:szCs w:val="11"/>
                <w:color w:val="auto"/>
              </w:rPr>
            </w:pPr>
          </w:p>
        </w:tc>
      </w:tr>
      <w:tr>
        <w:trPr>
          <w:trHeight w:val="168"/>
        </w:trPr>
        <w:tc>
          <w:tcPr>
            <w:tcW w:w="6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Symbol</w:t>
            </w:r>
          </w:p>
        </w:tc>
        <w:tc>
          <w:tcPr>
            <w:tcW w:w="3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69"/>
        </w:trPr>
        <w:tc>
          <w:tcPr>
            <w:tcW w:w="6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Class A Nonvoting Common Stock, par value $0.01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BRC</w:t>
            </w:r>
          </w:p>
        </w:tc>
        <w:tc>
          <w:tcPr>
            <w:tcW w:w="3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New York Stock Exchange</w:t>
            </w:r>
          </w:p>
        </w:tc>
      </w:tr>
    </w:tbl>
    <w:p>
      <w:pPr>
        <w:spacing w:after="0" w:line="43" w:lineRule="exact"/>
        <w:rPr>
          <w:sz w:val="24"/>
          <w:szCs w:val="24"/>
          <w:color w:val="auto"/>
        </w:rPr>
      </w:pPr>
    </w:p>
    <w:p>
      <w:pPr>
        <w:ind w:right="640"/>
        <w:spacing w:after="0" w:line="18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an emerging growth company as defined in Rule 405 of the Securities Act of 1933 (17 CFR 230.405) or Rule 12b-2 or the Securities Exchange Act of 1934 (17 CFR 240.12b-2). Emerging growth company </w:t>
      </w:r>
      <w:r>
        <w:rPr>
          <w:rFonts w:ascii="MS PGothic" w:cs="MS PGothic" w:eastAsia="MS PGothic" w:hAnsi="MS PGothic"/>
          <w:sz w:val="12"/>
          <w:szCs w:val="12"/>
          <w:color w:val="auto"/>
        </w:rPr>
        <w:t>☐</w:t>
      </w:r>
    </w:p>
    <w:p>
      <w:pPr>
        <w:spacing w:after="0" w:line="41" w:lineRule="exact"/>
        <w:rPr>
          <w:sz w:val="24"/>
          <w:szCs w:val="24"/>
          <w:color w:val="auto"/>
        </w:rPr>
      </w:pPr>
    </w:p>
    <w:p>
      <w:pPr>
        <w:ind w:right="280"/>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ectPr>
          <w:pgSz w:w="11900" w:h="16838" w:orient="portrait"/>
          <w:cols w:equalWidth="0" w:num="1">
            <w:col w:w="11480"/>
          </w:cols>
          <w:pgMar w:left="220" w:top="531" w:right="199" w:bottom="1440" w:gutter="0" w:footer="0" w:header="0"/>
        </w:sectPr>
      </w:pPr>
    </w:p>
    <w:bookmarkStart w:id="1" w:name="page2"/>
    <w:bookmarkEnd w:id="1"/>
    <w:p>
      <w:pPr>
        <w:ind w:left="20"/>
        <w:spacing w:after="0"/>
        <w:tabs>
          <w:tab w:leader="none" w:pos="700" w:val="left"/>
        </w:tabs>
        <w:rPr>
          <w:sz w:val="20"/>
          <w:szCs w:val="20"/>
          <w:color w:val="auto"/>
        </w:rPr>
      </w:pPr>
      <w:r>
        <w:rPr>
          <w:rFonts w:ascii="Times New Roman" w:cs="Times New Roman" w:eastAsia="Times New Roman" w:hAnsi="Times New Roman"/>
          <w:sz w:val="12"/>
          <w:szCs w:val="12"/>
          <w:color w:val="auto"/>
        </w:rPr>
        <w:t>Item 2.02</w:t>
      </w:r>
      <w:r>
        <w:rPr>
          <w:sz w:val="20"/>
          <w:szCs w:val="20"/>
          <w:color w:val="auto"/>
        </w:rPr>
        <w:tab/>
      </w:r>
      <w:r>
        <w:rPr>
          <w:rFonts w:ascii="Times New Roman" w:cs="Times New Roman" w:eastAsia="Times New Roman" w:hAnsi="Times New Roman"/>
          <w:sz w:val="11"/>
          <w:szCs w:val="11"/>
          <w:color w:val="auto"/>
        </w:rPr>
        <w:t>RESULTS OF OPERATIONS AND FINANCIAL CONDITION</w:t>
      </w:r>
    </w:p>
    <w:p>
      <w:pPr>
        <w:spacing w:after="0" w:line="168" w:lineRule="exact"/>
        <w:rPr>
          <w:sz w:val="20"/>
          <w:szCs w:val="20"/>
          <w:color w:val="auto"/>
        </w:rPr>
      </w:pPr>
    </w:p>
    <w:p>
      <w:pPr>
        <w:ind w:firstLine="432"/>
        <w:spacing w:after="0" w:line="280" w:lineRule="auto"/>
        <w:rPr>
          <w:sz w:val="20"/>
          <w:szCs w:val="20"/>
          <w:color w:val="auto"/>
        </w:rPr>
      </w:pPr>
      <w:r>
        <w:rPr>
          <w:rFonts w:ascii="Times New Roman" w:cs="Times New Roman" w:eastAsia="Times New Roman" w:hAnsi="Times New Roman"/>
          <w:sz w:val="12"/>
          <w:szCs w:val="12"/>
          <w:color w:val="auto"/>
        </w:rPr>
        <w:t>On May 23, 2019, Brady Corporation (the “Company”) issued a press release announcing its fiscal 2019 third quarter financial results. A copy of the press release is being furnished to the Securities and Exchange Commission as Exhibit 99.1 attached hereto and is incorporated herein by reference.</w:t>
      </w:r>
    </w:p>
    <w:p>
      <w:pPr>
        <w:spacing w:after="0" w:line="218" w:lineRule="exact"/>
        <w:rPr>
          <w:sz w:val="20"/>
          <w:szCs w:val="20"/>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12"/>
          <w:szCs w:val="12"/>
          <w:color w:val="auto"/>
        </w:rPr>
        <w:t>Item 7.01</w:t>
      </w:r>
      <w:r>
        <w:rPr>
          <w:sz w:val="20"/>
          <w:szCs w:val="20"/>
          <w:color w:val="auto"/>
        </w:rPr>
        <w:tab/>
      </w:r>
      <w:r>
        <w:rPr>
          <w:rFonts w:ascii="Times New Roman" w:cs="Times New Roman" w:eastAsia="Times New Roman" w:hAnsi="Times New Roman"/>
          <w:sz w:val="11"/>
          <w:szCs w:val="11"/>
          <w:color w:val="auto"/>
        </w:rPr>
        <w:t>REGULATION FD DISCLOSURE</w:t>
      </w:r>
    </w:p>
    <w:p>
      <w:pPr>
        <w:spacing w:after="0" w:line="168" w:lineRule="exact"/>
        <w:rPr>
          <w:sz w:val="20"/>
          <w:szCs w:val="20"/>
          <w:color w:val="auto"/>
        </w:rPr>
      </w:pPr>
    </w:p>
    <w:p>
      <w:pPr>
        <w:ind w:right="20" w:firstLine="432"/>
        <w:spacing w:after="0" w:line="280" w:lineRule="auto"/>
        <w:rPr>
          <w:sz w:val="20"/>
          <w:szCs w:val="20"/>
          <w:color w:val="auto"/>
        </w:rPr>
      </w:pPr>
      <w:r>
        <w:rPr>
          <w:rFonts w:ascii="Times New Roman" w:cs="Times New Roman" w:eastAsia="Times New Roman" w:hAnsi="Times New Roman"/>
          <w:sz w:val="12"/>
          <w:szCs w:val="12"/>
          <w:color w:val="auto"/>
        </w:rPr>
        <w:t>On May 23, 2019, the Company hosted a conference call related to its fiscal 2019 third quarter financial results. A copy of the slides referenced in the conference call, which is also posted on the Corporation’s website, is being furnished to the Securities and Exchange Commission as Exhibit 99.2 attached hereto and is incorporated herein by reference.</w:t>
      </w:r>
    </w:p>
    <w:p>
      <w:pPr>
        <w:spacing w:after="0" w:line="227" w:lineRule="exact"/>
        <w:rPr>
          <w:sz w:val="20"/>
          <w:szCs w:val="20"/>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12"/>
          <w:szCs w:val="12"/>
          <w:color w:val="auto"/>
        </w:rPr>
        <w:t>Item 9.01</w:t>
      </w:r>
      <w:r>
        <w:rPr>
          <w:sz w:val="20"/>
          <w:szCs w:val="20"/>
          <w:color w:val="auto"/>
        </w:rPr>
        <w:tab/>
      </w:r>
      <w:r>
        <w:rPr>
          <w:rFonts w:ascii="Times New Roman" w:cs="Times New Roman" w:eastAsia="Times New Roman" w:hAnsi="Times New Roman"/>
          <w:sz w:val="11"/>
          <w:szCs w:val="11"/>
          <w:color w:val="auto"/>
        </w:rPr>
        <w:t>FINANCIAL STATEMENTS AND EXHIBITS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EXHIBIT</w:t>
            </w:r>
          </w:p>
        </w:tc>
        <w:tc>
          <w:tcPr>
            <w:tcW w:w="560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color w:val="auto"/>
              </w:rPr>
              <w:t>DESCRIPTION</w:t>
            </w:r>
          </w:p>
        </w:tc>
        <w:tc>
          <w:tcPr>
            <w:tcW w:w="0" w:type="dxa"/>
            <w:vAlign w:val="bottom"/>
          </w:tcPr>
          <w:p>
            <w:pPr>
              <w:spacing w:after="0"/>
              <w:rPr>
                <w:sz w:val="1"/>
                <w:szCs w:val="1"/>
                <w:color w:val="auto"/>
              </w:rPr>
            </w:pPr>
          </w:p>
        </w:tc>
      </w:tr>
      <w:tr>
        <w:trPr>
          <w:trHeight w:val="153"/>
        </w:trPr>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NUMBER</w:t>
            </w:r>
          </w:p>
        </w:tc>
        <w:tc>
          <w:tcPr>
            <w:tcW w:w="5600" w:type="dxa"/>
            <w:vAlign w:val="bottom"/>
            <w:tcBorders>
              <w:bottom w:val="single" w:sz="8" w:color="auto"/>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99.1</w:t>
            </w:r>
          </w:p>
        </w:tc>
        <w:tc>
          <w:tcPr>
            <w:tcW w:w="5600" w:type="dxa"/>
            <w:vAlign w:val="bottom"/>
            <w:gridSpan w:val="4"/>
          </w:tcPr>
          <w:p>
            <w:pPr>
              <w:spacing w:after="0"/>
              <w:rPr>
                <w:rFonts w:ascii="Times New Roman" w:cs="Times New Roman" w:eastAsia="Times New Roman" w:hAnsi="Times New Roman"/>
                <w:sz w:val="12"/>
                <w:szCs w:val="12"/>
                <w:color w:val="0000FF"/>
              </w:rPr>
            </w:pPr>
            <w:hyperlink w:anchor="page3">
              <w:r>
                <w:rPr>
                  <w:rFonts w:ascii="Times New Roman" w:cs="Times New Roman" w:eastAsia="Times New Roman" w:hAnsi="Times New Roman"/>
                  <w:sz w:val="12"/>
                  <w:szCs w:val="12"/>
                  <w:color w:val="0000FF"/>
                </w:rPr>
                <w:t>Press Release of Brady Corporation, dated May 23, 2019, relating to third quarter fiscal 2019 financial results.</w:t>
              </w:r>
            </w:hyperlink>
          </w:p>
        </w:tc>
        <w:tc>
          <w:tcPr>
            <w:tcW w:w="0" w:type="dxa"/>
            <w:vAlign w:val="bottom"/>
          </w:tcPr>
          <w:p>
            <w:pPr>
              <w:spacing w:after="0"/>
              <w:rPr>
                <w:sz w:val="1"/>
                <w:szCs w:val="1"/>
                <w:color w:val="auto"/>
              </w:rPr>
            </w:pPr>
          </w:p>
        </w:tc>
      </w:tr>
      <w:tr>
        <w:trPr>
          <w:trHeight w:val="214"/>
        </w:trPr>
        <w:tc>
          <w:tcPr>
            <w:tcW w:w="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99.2</w:t>
            </w:r>
          </w:p>
        </w:tc>
        <w:tc>
          <w:tcPr>
            <w:tcW w:w="5300" w:type="dxa"/>
            <w:vAlign w:val="bottom"/>
            <w:tcBorders>
              <w:top w:val="single" w:sz="8" w:color="0000FF"/>
            </w:tcBorders>
            <w:gridSpan w:val="3"/>
          </w:tcPr>
          <w:p>
            <w:pPr>
              <w:spacing w:after="0"/>
              <w:rPr>
                <w:rFonts w:ascii="Times New Roman" w:cs="Times New Roman" w:eastAsia="Times New Roman" w:hAnsi="Times New Roman"/>
                <w:sz w:val="12"/>
                <w:szCs w:val="12"/>
                <w:color w:val="0000FF"/>
              </w:rPr>
            </w:pPr>
            <w:hyperlink w:anchor="page11">
              <w:r>
                <w:rPr>
                  <w:rFonts w:ascii="Times New Roman" w:cs="Times New Roman" w:eastAsia="Times New Roman" w:hAnsi="Times New Roman"/>
                  <w:sz w:val="12"/>
                  <w:szCs w:val="12"/>
                  <w:color w:val="0000FF"/>
                </w:rPr>
                <w:t>Informational slides provided by Brady Corporation, dated May 23, 2019, relating to third quarter fiscal 2019</w:t>
              </w:r>
            </w:hyperlink>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880" w:type="dxa"/>
            <w:vAlign w:val="bottom"/>
          </w:tcPr>
          <w:p>
            <w:pPr>
              <w:spacing w:after="0"/>
              <w:rPr>
                <w:sz w:val="10"/>
                <w:szCs w:val="10"/>
                <w:color w:val="auto"/>
              </w:rPr>
            </w:pPr>
          </w:p>
        </w:tc>
        <w:tc>
          <w:tcPr>
            <w:tcW w:w="800" w:type="dxa"/>
            <w:vAlign w:val="bottom"/>
            <w:tcBorders>
              <w:top w:val="single" w:sz="8" w:color="0000FF"/>
              <w:bottom w:val="single" w:sz="8" w:color="0000FF"/>
            </w:tcBorders>
          </w:tcPr>
          <w:p>
            <w:pPr>
              <w:spacing w:after="0" w:line="124" w:lineRule="exact"/>
              <w:rPr>
                <w:rFonts w:ascii="Times New Roman" w:cs="Times New Roman" w:eastAsia="Times New Roman" w:hAnsi="Times New Roman"/>
                <w:sz w:val="12"/>
                <w:szCs w:val="12"/>
                <w:color w:val="0000FF"/>
                <w:w w:val="98"/>
              </w:rPr>
            </w:pPr>
            <w:hyperlink w:anchor="page11">
              <w:r>
                <w:rPr>
                  <w:rFonts w:ascii="Times New Roman" w:cs="Times New Roman" w:eastAsia="Times New Roman" w:hAnsi="Times New Roman"/>
                  <w:sz w:val="12"/>
                  <w:szCs w:val="12"/>
                  <w:color w:val="0000FF"/>
                  <w:w w:val="98"/>
                </w:rPr>
                <w:t>financial results.</w:t>
              </w:r>
            </w:hyperlink>
          </w:p>
        </w:tc>
        <w:tc>
          <w:tcPr>
            <w:tcW w:w="4460" w:type="dxa"/>
            <w:vAlign w:val="bottom"/>
            <w:tcBorders>
              <w:top w:val="single" w:sz="8" w:color="0000FF"/>
            </w:tcBorders>
          </w:tcPr>
          <w:p>
            <w:pPr>
              <w:spacing w:after="0"/>
              <w:rPr>
                <w:sz w:val="10"/>
                <w:szCs w:val="10"/>
                <w:color w:val="auto"/>
              </w:rPr>
            </w:pPr>
          </w:p>
        </w:tc>
        <w:tc>
          <w:tcPr>
            <w:tcW w:w="3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2"/>
          <w:szCs w:val="12"/>
          <w:color w:val="auto"/>
        </w:rPr>
        <w:t>SIGNATURE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BRADY CORPORATION</w:t>
      </w:r>
    </w:p>
    <w:p>
      <w:pPr>
        <w:spacing w:after="0" w:line="200" w:lineRule="exact"/>
        <w:rPr>
          <w:sz w:val="20"/>
          <w:szCs w:val="20"/>
          <w:color w:val="auto"/>
        </w:rPr>
      </w:pPr>
    </w:p>
    <w:p>
      <w:pPr>
        <w:spacing w:after="0" w:line="274" w:lineRule="exact"/>
        <w:rPr>
          <w:sz w:val="20"/>
          <w:szCs w:val="20"/>
          <w:color w:val="auto"/>
        </w:rPr>
      </w:pPr>
    </w:p>
    <w:p>
      <w:pPr>
        <w:ind w:left="20"/>
        <w:spacing w:after="0"/>
        <w:tabs>
          <w:tab w:leader="none" w:pos="5960" w:val="left"/>
        </w:tabs>
        <w:rPr>
          <w:sz w:val="20"/>
          <w:szCs w:val="20"/>
          <w:color w:val="auto"/>
        </w:rPr>
      </w:pPr>
      <w:r>
        <w:rPr>
          <w:rFonts w:ascii="Times New Roman" w:cs="Times New Roman" w:eastAsia="Times New Roman" w:hAnsi="Times New Roman"/>
          <w:sz w:val="12"/>
          <w:szCs w:val="12"/>
          <w:color w:val="auto"/>
        </w:rPr>
        <w:t>Date: May 23, 2019</w:t>
      </w:r>
      <w:r>
        <w:rPr>
          <w:sz w:val="20"/>
          <w:szCs w:val="20"/>
          <w:color w:val="auto"/>
        </w:rPr>
        <w:tab/>
      </w:r>
      <w:r>
        <w:rPr>
          <w:rFonts w:ascii="Times New Roman" w:cs="Times New Roman" w:eastAsia="Times New Roman" w:hAnsi="Times New Roman"/>
          <w:sz w:val="11"/>
          <w:szCs w:val="11"/>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22225</wp:posOffset>
            </wp:positionV>
            <wp:extent cx="350012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00120" cy="5715"/>
                    </a:xfrm>
                    <a:prstGeom prst="rect">
                      <a:avLst/>
                    </a:prstGeom>
                    <a:noFill/>
                  </pic:spPr>
                </pic:pic>
              </a:graphicData>
            </a:graphic>
          </wp:anchor>
        </w:drawing>
      </w:r>
    </w:p>
    <w:p>
      <w:pPr>
        <w:spacing w:after="0" w:line="3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Aaron J. Pearce</w:t>
      </w:r>
    </w:p>
    <w:p>
      <w:pPr>
        <w:spacing w:after="0" w:line="4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Chief Financial Officer and Treasurer</w:t>
      </w:r>
    </w:p>
    <w:p>
      <w:pPr>
        <w:sectPr>
          <w:pgSz w:w="11900" w:h="16838" w:orient="portrait"/>
          <w:cols w:equalWidth="0" w:num="1">
            <w:col w:w="11480"/>
          </w:cols>
          <w:pgMar w:left="220" w:top="543" w:right="19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EXHIBIT 99.1</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For More Information: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Investor contact: Ann Thornton 414-438-6887</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Media contact: Kate Venne 414-358-5176</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Brady Corporation Reports Fiscal 2019 Third Quarter Results and Increases its Fiscal 2019 EPS Guidance</w:t>
      </w:r>
    </w:p>
    <w:p>
      <w:pPr>
        <w:spacing w:after="0" w:line="249"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Diluted EPS increased 32.7 percent to $0.65 in the third quarter of fiscal 2019 compared to $0.49 in the same quarter of the prior year.</w:t>
      </w:r>
    </w:p>
    <w:p>
      <w:pPr>
        <w:spacing w:after="0" w:line="7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Income before income taxes increased 10.8 percent to $41.0 million in the third quarter of fiscal 2019 compared to $37.0 million in the third quarter of fiscal 2018.</w:t>
      </w:r>
    </w:p>
    <w:p>
      <w:pPr>
        <w:spacing w:after="0" w:line="7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Sales for the quarter ended April 30, 2019 decreased 2.9 percent. Organic revenues increased 2.4 percent in the third quarter of fiscal 2019.</w:t>
      </w:r>
    </w:p>
    <w:p>
      <w:pPr>
        <w:spacing w:after="0" w:line="7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Diluted EPS guidance for the full year ending July 31, 2019 was increased to a range of $2.35 to $2.40 from the previous range of $2.25 to $2.35.</w:t>
      </w:r>
    </w:p>
    <w:p>
      <w:pPr>
        <w:spacing w:after="0" w:line="283" w:lineRule="exact"/>
        <w:rPr>
          <w:sz w:val="20"/>
          <w:szCs w:val="20"/>
          <w:color w:val="auto"/>
        </w:rPr>
      </w:pPr>
    </w:p>
    <w:p>
      <w:pPr>
        <w:ind w:right="20"/>
        <w:spacing w:after="0" w:line="397" w:lineRule="auto"/>
        <w:rPr>
          <w:sz w:val="20"/>
          <w:szCs w:val="20"/>
          <w:color w:val="auto"/>
        </w:rPr>
      </w:pPr>
      <w:r>
        <w:rPr>
          <w:rFonts w:ascii="Times New Roman" w:cs="Times New Roman" w:eastAsia="Times New Roman" w:hAnsi="Times New Roman"/>
          <w:sz w:val="13"/>
          <w:szCs w:val="13"/>
          <w:color w:val="auto"/>
        </w:rPr>
        <w:t>MILWAUKEE (May 23, 2019)--Brady Corporation (NYSE: BRC) (“Brady” or “Company”), a world leader in identification solutions, today reported its financial results for its fiscal 2019 third quarter ended April 30, 2019.</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Quarter Ended April 30, 2019 Financial Results:</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Income before income taxes increased 10.8 percent, finishing at $41.0 million for the third quarter of fiscal 2019 compared to $37.0 million for the third quarter of fiscal 2018.</w:t>
      </w:r>
    </w:p>
    <w:p>
      <w:pPr>
        <w:spacing w:after="0" w:line="76" w:lineRule="exact"/>
        <w:rPr>
          <w:sz w:val="20"/>
          <w:szCs w:val="20"/>
          <w:color w:val="auto"/>
        </w:rPr>
      </w:pPr>
    </w:p>
    <w:p>
      <w:pPr>
        <w:ind w:right="200" w:firstLine="432"/>
        <w:spacing w:after="0" w:line="361" w:lineRule="auto"/>
        <w:rPr>
          <w:sz w:val="20"/>
          <w:szCs w:val="20"/>
          <w:color w:val="auto"/>
        </w:rPr>
      </w:pPr>
      <w:r>
        <w:rPr>
          <w:rFonts w:ascii="Times New Roman" w:cs="Times New Roman" w:eastAsia="Times New Roman" w:hAnsi="Times New Roman"/>
          <w:sz w:val="13"/>
          <w:szCs w:val="13"/>
          <w:color w:val="auto"/>
        </w:rPr>
        <w:t>Net income for the quarter ended April 30, 2019, was $34.8 million compared to $26.0 million in the same quarter last year. Net income was impacted by a reduced income tax rate of 15.1 percent primarily due to certain audit settlements in the current quarter.</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Earnings per diluted Class A Nonvoting Common Share were $0.65 for the third quarter of fiscal 2019, compared to $0.49 in the same quarter last year.</w:t>
      </w:r>
    </w:p>
    <w:p>
      <w:pPr>
        <w:spacing w:after="0" w:line="76" w:lineRule="exact"/>
        <w:rPr>
          <w:sz w:val="20"/>
          <w:szCs w:val="20"/>
          <w:color w:val="auto"/>
        </w:rPr>
      </w:pPr>
    </w:p>
    <w:p>
      <w:pPr>
        <w:ind w:right="160" w:firstLine="432"/>
        <w:spacing w:after="0" w:line="373" w:lineRule="auto"/>
        <w:rPr>
          <w:sz w:val="20"/>
          <w:szCs w:val="20"/>
          <w:color w:val="auto"/>
        </w:rPr>
      </w:pPr>
      <w:r>
        <w:rPr>
          <w:rFonts w:ascii="Times New Roman" w:cs="Times New Roman" w:eastAsia="Times New Roman" w:hAnsi="Times New Roman"/>
          <w:sz w:val="13"/>
          <w:szCs w:val="13"/>
          <w:color w:val="auto"/>
        </w:rPr>
        <w:t>Sales for the quarter ended April 30, 2019 decreased 2.9 percent, which consisted of organic sales growth of 2.4 percent, a decrease in sales of 3.8 percent from foreign currency translation, and a decline in sales of 1.5 percent from the divestiture of a business during the fourth quarter of fiscal 2018. Sales for the quarter ended April 30, 2019 were $289.7 million compared to $298.4 million in the same quarter last year. By segment, sales increased 0.9 percent in Identification Solutions and decreased 12.2 percent in Workplace Safety, which consisted of organic sales growth of 4.0 percent in Identification Solutions and an organic sales decline of 1.6 percent in Workplace Safety.</w:t>
      </w:r>
    </w:p>
    <w:p>
      <w:pPr>
        <w:sectPr>
          <w:pgSz w:w="11900" w:h="16838" w:orient="portrait"/>
          <w:cols w:equalWidth="0" w:num="1">
            <w:col w:w="11480"/>
          </w:cols>
          <w:pgMar w:left="220" w:top="429" w:right="1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b w:val="1"/>
          <w:bCs w:val="1"/>
          <w:color w:val="auto"/>
        </w:rPr>
        <w:t>Nine-Month Period Ended April 30, 2019 Financial Results:</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Income before income taxes increased 10.1 percent, finishing at $117.6 million for the nine-month period ended April 30, 2019, compared to $106.8 million in the same period last year.</w:t>
      </w:r>
    </w:p>
    <w:p>
      <w:pPr>
        <w:spacing w:after="0" w:line="76" w:lineRule="exact"/>
        <w:rPr>
          <w:sz w:val="20"/>
          <w:szCs w:val="20"/>
          <w:color w:val="auto"/>
        </w:rPr>
      </w:pPr>
    </w:p>
    <w:p>
      <w:pPr>
        <w:ind w:right="100" w:firstLine="432"/>
        <w:spacing w:after="0" w:line="361" w:lineRule="auto"/>
        <w:rPr>
          <w:sz w:val="20"/>
          <w:szCs w:val="20"/>
          <w:color w:val="auto"/>
        </w:rPr>
      </w:pPr>
      <w:r>
        <w:rPr>
          <w:rFonts w:ascii="Times New Roman" w:cs="Times New Roman" w:eastAsia="Times New Roman" w:hAnsi="Times New Roman"/>
          <w:sz w:val="13"/>
          <w:szCs w:val="13"/>
          <w:color w:val="auto"/>
        </w:rPr>
        <w:t>Net income for the nine-month period ended April 30, 2019 was $94.6 million compared to $56.1 million in the same period last year. During the nine-month period ended April 30, 2019, net income was impacted by a reduced income tax rate of 19.5 percent primarily due to certain audit settlements in the current quarter. The prior nine-month period ended April 30, 2018 was impacted by tax charges of $21.1 million primarily related to the passage of the U.S. Tax Cuts and Jobs Act of 2017.</w:t>
      </w:r>
    </w:p>
    <w:p>
      <w:pPr>
        <w:spacing w:after="0" w:line="1" w:lineRule="exact"/>
        <w:rPr>
          <w:sz w:val="20"/>
          <w:szCs w:val="20"/>
          <w:color w:val="auto"/>
        </w:rPr>
      </w:pPr>
    </w:p>
    <w:p>
      <w:pPr>
        <w:ind w:right="60" w:firstLine="432"/>
        <w:spacing w:after="0" w:line="361" w:lineRule="auto"/>
        <w:rPr>
          <w:sz w:val="20"/>
          <w:szCs w:val="20"/>
          <w:color w:val="auto"/>
        </w:rPr>
      </w:pPr>
      <w:r>
        <w:rPr>
          <w:rFonts w:ascii="Times New Roman" w:cs="Times New Roman" w:eastAsia="Times New Roman" w:hAnsi="Times New Roman"/>
          <w:sz w:val="13"/>
          <w:szCs w:val="13"/>
          <w:color w:val="auto"/>
        </w:rPr>
        <w:t>Earnings per diluted Class A Nonvoting Common Share were $1.78 for the nine-month period ended April 30, 2019, compared to $1.07 in the same period last year. During the nine-month period ended April 30, 2018, earnings per diluted Class A Nonvoting Common Share were reduced by approximately $0.40 from tax charges primarily related to the enactment of U.S. tax legislation.</w:t>
      </w:r>
    </w:p>
    <w:p>
      <w:pPr>
        <w:spacing w:after="0" w:line="1" w:lineRule="exact"/>
        <w:rPr>
          <w:sz w:val="20"/>
          <w:szCs w:val="20"/>
          <w:color w:val="auto"/>
        </w:rPr>
      </w:pPr>
    </w:p>
    <w:p>
      <w:pPr>
        <w:ind w:right="160" w:firstLine="432"/>
        <w:spacing w:after="0" w:line="373" w:lineRule="auto"/>
        <w:rPr>
          <w:sz w:val="20"/>
          <w:szCs w:val="20"/>
          <w:color w:val="auto"/>
        </w:rPr>
      </w:pPr>
      <w:r>
        <w:rPr>
          <w:rFonts w:ascii="Times New Roman" w:cs="Times New Roman" w:eastAsia="Times New Roman" w:hAnsi="Times New Roman"/>
          <w:sz w:val="13"/>
          <w:szCs w:val="13"/>
          <w:color w:val="auto"/>
        </w:rPr>
        <w:t>Sales for the nine-month period ended April 30, 2019 decreased 1.3 percent, which consisted of organic sales growth of 3.1 percent, a decrease in sales of 2.8 percent from foreign currency translation, and a decline in sales of 1.6 percent from the divestiture of a business during the fourth quarter of fiscal 2018. Sales for the nine-month period ended April 30, 2019 were $865.4 million compared to $876.4 million in the same period last year. By segment, sales increased 2.1 percent in Identification Solutions and decreased 9.7 percent in Workplace Safety, which consisted of organic sales growth of 4.4 percent in Identification Solutions and an organic sales decline of 0.2 percent in Workplace Safety.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Commentary:</w:t>
      </w:r>
    </w:p>
    <w:p>
      <w:pPr>
        <w:spacing w:after="0" w:line="78" w:lineRule="exact"/>
        <w:rPr>
          <w:sz w:val="20"/>
          <w:szCs w:val="20"/>
          <w:color w:val="auto"/>
        </w:rPr>
      </w:pPr>
    </w:p>
    <w:p>
      <w:pPr>
        <w:ind w:firstLine="432"/>
        <w:spacing w:after="0" w:line="361" w:lineRule="auto"/>
        <w:rPr>
          <w:sz w:val="20"/>
          <w:szCs w:val="20"/>
          <w:color w:val="auto"/>
        </w:rPr>
      </w:pPr>
      <w:r>
        <w:rPr>
          <w:rFonts w:ascii="Times New Roman" w:cs="Times New Roman" w:eastAsia="Times New Roman" w:hAnsi="Times New Roman"/>
          <w:sz w:val="13"/>
          <w:szCs w:val="13"/>
          <w:color w:val="auto"/>
        </w:rPr>
        <w:t>“Our continued focus on organic sales growth through the development of innovative new products that generate value for our customers and solve their problems while providing strong customer service is working as we posted our eighth consecutive quarter of organic sales growth,” said Brady’s President and Chief Executive Officer, J. Michael Nauman. “Organic sales growth along with the execution of sustainable efficiency gains throughout our SG&amp;A structure is once again the driver of our year-over-year pre-tax income growth. We remain committed to our investments in automation in our manufacturing facilities, our digital presence, and in the development of innovative new products. We’re taking actions today that we believe will result in continued long-term improvement in our financial results and will drive shareholder value.”</w:t>
      </w:r>
    </w:p>
    <w:p>
      <w:pPr>
        <w:spacing w:after="0" w:line="1" w:lineRule="exact"/>
        <w:rPr>
          <w:sz w:val="20"/>
          <w:szCs w:val="20"/>
          <w:color w:val="auto"/>
        </w:rPr>
      </w:pPr>
    </w:p>
    <w:p>
      <w:pPr>
        <w:ind w:firstLine="432"/>
        <w:spacing w:after="0" w:line="379" w:lineRule="auto"/>
        <w:rPr>
          <w:sz w:val="20"/>
          <w:szCs w:val="20"/>
          <w:color w:val="auto"/>
        </w:rPr>
      </w:pPr>
      <w:r>
        <w:rPr>
          <w:rFonts w:ascii="Times New Roman" w:cs="Times New Roman" w:eastAsia="Times New Roman" w:hAnsi="Times New Roman"/>
          <w:sz w:val="13"/>
          <w:szCs w:val="13"/>
          <w:color w:val="auto"/>
        </w:rPr>
        <w:t>“Our balance sheet and cash position are strong. We have over $238 million of cash on hand and are in a net cash position of $188.1 million at April 30, 2019,” said Brady’s Chief Financial Officer, Aaron Pearce. “We generated $52.7 million of cash flow from operating activities this quarter, we invested $5.4 million in capital expenditures, and we returned $11.2 million to our shareholders in the form of dividends. Our balance sheet provides significant flexibility to invest in growth opportunities while returning cash to our shareholders through dividends and opportunistic share buybacks.”</w:t>
      </w:r>
    </w:p>
    <w:p>
      <w:pPr>
        <w:sectPr>
          <w:pgSz w:w="11900" w:h="16838" w:orient="portrait"/>
          <w:cols w:equalWidth="0" w:num="1">
            <w:col w:w="11460"/>
          </w:cols>
          <w:pgMar w:left="220" w:top="672" w:right="2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color w:val="auto"/>
        </w:rPr>
        <w:t>Fiscal 2019 Guidance:</w:t>
      </w:r>
    </w:p>
    <w:p>
      <w:pPr>
        <w:spacing w:after="0" w:line="78" w:lineRule="exact"/>
        <w:rPr>
          <w:sz w:val="20"/>
          <w:szCs w:val="20"/>
          <w:color w:val="auto"/>
        </w:rPr>
      </w:pPr>
    </w:p>
    <w:p>
      <w:pPr>
        <w:ind w:right="240" w:firstLine="432"/>
        <w:spacing w:after="0" w:line="379" w:lineRule="auto"/>
        <w:rPr>
          <w:sz w:val="20"/>
          <w:szCs w:val="20"/>
          <w:color w:val="auto"/>
        </w:rPr>
      </w:pPr>
      <w:r>
        <w:rPr>
          <w:rFonts w:ascii="Times New Roman" w:cs="Times New Roman" w:eastAsia="Times New Roman" w:hAnsi="Times New Roman"/>
          <w:sz w:val="13"/>
          <w:szCs w:val="13"/>
          <w:color w:val="auto"/>
        </w:rPr>
        <w:t>The Company is increasing its full year fiscal 2019 Earnings per diluted Class A Nonvoting Common Share guidance from its previous range of $2.25 to $2.35 to a range of $2.35 to $2.40. Included in this guidance is organic sales growth of approximately 3.0 percent, a fourth quarter income tax rate in the mid-20 percent range, depreciation and amortization expense of approximately $24 million, and capital expenditures of approximately $28 to $30 million during the year ending July 31, 2019. This guidance is based upon foreign exchange rates as of April 30, 2019.</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 xml:space="preserve">A webcast regarding Brady’s fiscal 2019 third quarter financial results will be available at </w:t>
      </w:r>
      <w:r>
        <w:rPr>
          <w:rFonts w:ascii="Times New Roman" w:cs="Times New Roman" w:eastAsia="Times New Roman" w:hAnsi="Times New Roman"/>
          <w:sz w:val="13"/>
          <w:szCs w:val="13"/>
          <w:u w:val="single" w:color="auto"/>
          <w:color w:val="0000FF"/>
        </w:rPr>
        <w:t>www.bradycorp.com/investors</w:t>
      </w:r>
      <w:r>
        <w:rPr>
          <w:rFonts w:ascii="Times New Roman" w:cs="Times New Roman" w:eastAsia="Times New Roman" w:hAnsi="Times New Roman"/>
          <w:sz w:val="13"/>
          <w:szCs w:val="13"/>
          <w:color w:val="auto"/>
        </w:rPr>
        <w:t xml:space="preserve"> beginning at 9:30 a.m. Central Time today.</w:t>
      </w:r>
    </w:p>
    <w:p>
      <w:pPr>
        <w:spacing w:after="0" w:line="283" w:lineRule="exact"/>
        <w:rPr>
          <w:sz w:val="20"/>
          <w:szCs w:val="20"/>
          <w:color w:val="auto"/>
        </w:rPr>
      </w:pPr>
    </w:p>
    <w:p>
      <w:pPr>
        <w:ind w:firstLine="432"/>
        <w:spacing w:after="0" w:line="370" w:lineRule="auto"/>
        <w:rPr>
          <w:sz w:val="20"/>
          <w:szCs w:val="20"/>
          <w:color w:val="auto"/>
        </w:rPr>
      </w:pPr>
      <w:r>
        <w:rPr>
          <w:rFonts w:ascii="Times New Roman" w:cs="Times New Roman" w:eastAsia="Times New Roman" w:hAnsi="Times New Roman"/>
          <w:sz w:val="13"/>
          <w:szCs w:val="13"/>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2018, employed approximately 6,200 people in its worldwide businesses. Brady’s fiscal 2018 sales were approximately $1.17 billion. Brady stock trades on the New York Stock Exchange under the symbol BRC. More information is available on the Internet at </w:t>
      </w:r>
      <w:r>
        <w:rPr>
          <w:rFonts w:ascii="Times New Roman" w:cs="Times New Roman" w:eastAsia="Times New Roman" w:hAnsi="Times New Roman"/>
          <w:sz w:val="13"/>
          <w:szCs w:val="13"/>
          <w:u w:val="single" w:color="auto"/>
          <w:color w:val="0000FF"/>
        </w:rPr>
        <w:t>www.bradycorp.com</w:t>
      </w:r>
      <w:r>
        <w:rPr>
          <w:rFonts w:ascii="Times New Roman" w:cs="Times New Roman" w:eastAsia="Times New Roman" w:hAnsi="Times New Roman"/>
          <w:sz w:val="13"/>
          <w:szCs w:val="13"/>
          <w:color w:val="0000FF"/>
        </w:rPr>
        <w:t>.</w:t>
      </w:r>
    </w:p>
    <w:p>
      <w:pPr>
        <w:sectPr>
          <w:pgSz w:w="11900" w:h="16838" w:orient="portrait"/>
          <w:cols w:equalWidth="0" w:num="1">
            <w:col w:w="11460"/>
          </w:cols>
          <w:pgMar w:left="220" w:top="672" w:right="2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3"/>
          <w:szCs w:val="13"/>
          <w:color w:val="auto"/>
        </w:rPr>
        <w:t>###</w:t>
      </w:r>
    </w:p>
    <w:p>
      <w:pPr>
        <w:spacing w:after="0" w:line="187"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2"/>
          <w:szCs w:val="12"/>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our ability to compete effectively or to successfully execute our strategy; Brady’s ability to develop technologically advanced products that meet customer demands; difficulties in protecting our websites, networks, and systems against security breaches; decreased demand for our products; Brady’s ability to retain large customers; extensive regulations by U.S. and non-U.S. governmental and self-regulatory entities; risks associated with the loss of key employees; divestitures and contingent liabilities from divestitures; Brady’s ability to properly identify, integrate, and grow acquired companies; litigation, including product liability claims; Brady’s ability to execute facility consolidations and maintain acceptable operational service metrics; foreign currency fluctuations; the impact of the Tax Reform Act and any other changes in tax legislation and tax rates; potential write-offs of Brady’s substantial intangible assets; differing interests of voting and non-voting shareholders; Brady’s ability to meet certain financial covenants required by our debt agreements;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2018.</w:t>
      </w:r>
    </w:p>
    <w:p>
      <w:pPr>
        <w:sectPr>
          <w:pgSz w:w="11900" w:h="16838" w:orient="portrait"/>
          <w:cols w:equalWidth="0" w:num="1">
            <w:col w:w="11460"/>
          </w:cols>
          <w:pgMar w:left="220" w:top="467" w:right="2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STATEMENTS OF INCOME</w:t>
      </w: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 except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5"/>
          </w:tcPr>
          <w:p>
            <w:pPr>
              <w:ind w:left="60"/>
              <w:spacing w:after="0"/>
              <w:rPr>
                <w:sz w:val="20"/>
                <w:szCs w:val="20"/>
                <w:color w:val="auto"/>
              </w:rPr>
            </w:pPr>
            <w:r>
              <w:rPr>
                <w:rFonts w:ascii="Times New Roman" w:cs="Times New Roman" w:eastAsia="Times New Roman" w:hAnsi="Times New Roman"/>
                <w:sz w:val="11"/>
                <w:szCs w:val="11"/>
                <w:color w:val="auto"/>
              </w:rPr>
              <w:t>Three months ended April 30,</w:t>
            </w:r>
          </w:p>
        </w:tc>
        <w:tc>
          <w:tcPr>
            <w:tcW w:w="140" w:type="dxa"/>
            <w:vAlign w:val="bottom"/>
          </w:tcPr>
          <w:p>
            <w:pPr>
              <w:spacing w:after="0"/>
              <w:rPr>
                <w:sz w:val="12"/>
                <w:szCs w:val="12"/>
                <w:color w:val="auto"/>
              </w:rPr>
            </w:pPr>
          </w:p>
        </w:tc>
        <w:tc>
          <w:tcPr>
            <w:tcW w:w="1520" w:type="dxa"/>
            <w:vAlign w:val="bottom"/>
            <w:gridSpan w:val="4"/>
          </w:tcPr>
          <w:p>
            <w:pPr>
              <w:jc w:val="right"/>
              <w:ind w:right="146"/>
              <w:spacing w:after="0"/>
              <w:rPr>
                <w:sz w:val="20"/>
                <w:szCs w:val="20"/>
                <w:color w:val="auto"/>
              </w:rPr>
            </w:pPr>
            <w:r>
              <w:rPr>
                <w:rFonts w:ascii="Times New Roman" w:cs="Times New Roman" w:eastAsia="Times New Roman" w:hAnsi="Times New Roman"/>
                <w:sz w:val="11"/>
                <w:szCs w:val="11"/>
                <w:color w:val="auto"/>
              </w:rPr>
              <w:t>Nine months ended April 30,</w:t>
            </w:r>
          </w:p>
        </w:tc>
      </w:tr>
      <w:tr>
        <w:trPr>
          <w:trHeight w:val="22"/>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47"/>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2019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2018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2019</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2018</w:t>
            </w: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4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289,745</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298,421</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865,367</w:t>
            </w:r>
          </w:p>
        </w:tc>
        <w:tc>
          <w:tcPr>
            <w:tcW w:w="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876,352</w:t>
            </w:r>
          </w:p>
        </w:tc>
      </w:tr>
      <w:tr>
        <w:trPr>
          <w:trHeight w:val="158"/>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goods sold</w:t>
            </w:r>
          </w:p>
        </w:tc>
        <w:tc>
          <w:tcPr>
            <w:tcW w:w="12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143,996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147,339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433,269</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435,513</w:t>
            </w: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4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Gross margin</w:t>
            </w: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145,749</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151,082</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432,098</w:t>
            </w:r>
          </w:p>
        </w:tc>
        <w:tc>
          <w:tcPr>
            <w:tcW w:w="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440,839</w:t>
            </w:r>
          </w:p>
        </w:tc>
      </w:tr>
      <w:tr>
        <w:trPr>
          <w:trHeight w:val="158"/>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expenses: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Research and development</w:t>
            </w: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11,437</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11,678</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33,837</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33,512</w:t>
            </w:r>
          </w:p>
        </w:tc>
      </w:tr>
      <w:tr>
        <w:trPr>
          <w:trHeight w:val="158"/>
        </w:trPr>
        <w:tc>
          <w:tcPr>
            <w:tcW w:w="31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12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94,691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101,695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281,988</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299,411</w:t>
            </w: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4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shd w:val="clear" w:color="auto" w:fill="CCEEFF"/>
              </w:rPr>
              <w:t>Total operating expenses</w:t>
            </w: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106,128</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113,373</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315,825</w:t>
            </w:r>
          </w:p>
        </w:tc>
        <w:tc>
          <w:tcPr>
            <w:tcW w:w="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332,923</w:t>
            </w:r>
          </w:p>
        </w:tc>
      </w:tr>
      <w:tr>
        <w:trPr>
          <w:trHeight w:val="144"/>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shd w:val="clear" w:color="auto" w:fill="CCEEFF"/>
              </w:rPr>
              <w:t>Operating income</w:t>
            </w: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39,621</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37,709</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116,273</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107,916</w:t>
            </w:r>
          </w:p>
        </w:tc>
      </w:tr>
      <w:tr>
        <w:trPr>
          <w:trHeight w:val="144"/>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shd w:val="clear" w:color="auto" w:fill="CCEEFF"/>
              </w:rPr>
              <w:t>Other income (expense):</w:t>
            </w: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r>
      <w:tr>
        <w:trPr>
          <w:trHeight w:val="158"/>
        </w:trPr>
        <w:tc>
          <w:tcPr>
            <w:tcW w:w="31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Investment and other income</w:t>
            </w:r>
          </w:p>
        </w:tc>
        <w:tc>
          <w:tcPr>
            <w:tcW w:w="12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2,065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3,425</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1,303</w:t>
            </w: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shd w:val="clear" w:color="auto" w:fill="CCEEFF"/>
              </w:rPr>
              <w:t>Interest expense</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(708)</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(2,137)</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(2,453)</w:t>
            </w:r>
          </w:p>
        </w:tc>
      </w:tr>
      <w:tr>
        <w:trPr>
          <w:trHeight w:val="133"/>
        </w:trPr>
        <w:tc>
          <w:tcPr>
            <w:tcW w:w="3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r>
      <w:tr>
        <w:trPr>
          <w:trHeight w:val="16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shd w:val="clear" w:color="auto" w:fill="CCEEFF"/>
              </w:rPr>
              <w:t>Income before income taxes</w:t>
            </w: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40,978</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36,979</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117,561</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106,766</w:t>
            </w:r>
          </w:p>
        </w:tc>
      </w:tr>
      <w:tr>
        <w:trPr>
          <w:trHeight w:val="144"/>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8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shd w:val="clear" w:color="auto" w:fill="CCEEFF"/>
              </w:rPr>
              <w:t>Income tax expense</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6,197</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10,979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22,916</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50,657</w:t>
            </w:r>
          </w:p>
        </w:tc>
      </w:tr>
      <w:tr>
        <w:trPr>
          <w:trHeight w:val="133"/>
        </w:trPr>
        <w:tc>
          <w:tcPr>
            <w:tcW w:w="3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r>
      <w:tr>
        <w:trPr>
          <w:trHeight w:val="178"/>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shd w:val="clear" w:color="auto" w:fill="CCEEFF"/>
              </w:rPr>
              <w:t>Net income</w:t>
            </w: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34,781</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26,000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94,645</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56,109</w:t>
            </w:r>
          </w:p>
        </w:tc>
      </w:tr>
      <w:tr>
        <w:trPr>
          <w:trHeight w:val="144"/>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4"/>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58"/>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 per Class A Nonvoting Common Share:</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shd w:val="clear" w:color="auto" w:fill="CCEEFF"/>
              </w:rPr>
              <w:t>Basic</w:t>
            </w:r>
          </w:p>
        </w:tc>
        <w:tc>
          <w:tcPr>
            <w:tcW w:w="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0.66</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0.50</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1.80</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1.09</w:t>
            </w:r>
          </w:p>
        </w:tc>
      </w:tr>
      <w:tr>
        <w:trPr>
          <w:trHeight w:val="158"/>
        </w:trPr>
        <w:tc>
          <w:tcPr>
            <w:tcW w:w="31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Diluted</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0.65</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0.49</w:t>
            </w:r>
          </w:p>
        </w:tc>
        <w:tc>
          <w:tcPr>
            <w:tcW w:w="8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1.78</w:t>
            </w:r>
          </w:p>
        </w:tc>
        <w:tc>
          <w:tcPr>
            <w:tcW w:w="6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1.07</w:t>
            </w: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shd w:val="clear" w:color="auto" w:fill="CCEEFF"/>
              </w:rPr>
              <w:t>Dividends</w:t>
            </w:r>
          </w:p>
        </w:tc>
        <w:tc>
          <w:tcPr>
            <w:tcW w:w="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0.21</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0.21</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0.64</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0.62</w:t>
            </w:r>
          </w:p>
        </w:tc>
      </w:tr>
      <w:tr>
        <w:trPr>
          <w:trHeight w:val="144"/>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shd w:val="clear" w:color="auto" w:fill="CCEEFF"/>
              </w:rPr>
              <w:t>Net income per Class B Voting Common Share:</w:t>
            </w: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r>
      <w:tr>
        <w:trPr>
          <w:trHeight w:val="158"/>
        </w:trPr>
        <w:tc>
          <w:tcPr>
            <w:tcW w:w="31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Basic</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0.66</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0.50</w:t>
            </w:r>
          </w:p>
        </w:tc>
        <w:tc>
          <w:tcPr>
            <w:tcW w:w="8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1.79</w:t>
            </w:r>
          </w:p>
        </w:tc>
        <w:tc>
          <w:tcPr>
            <w:tcW w:w="6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1.07</w:t>
            </w: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shd w:val="clear" w:color="auto" w:fill="CCEEFF"/>
              </w:rPr>
              <w:t>Diluted</w:t>
            </w:r>
          </w:p>
        </w:tc>
        <w:tc>
          <w:tcPr>
            <w:tcW w:w="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0.65</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0.49</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1.76</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1.05</w:t>
            </w:r>
          </w:p>
        </w:tc>
      </w:tr>
      <w:tr>
        <w:trPr>
          <w:trHeight w:val="158"/>
        </w:trPr>
        <w:tc>
          <w:tcPr>
            <w:tcW w:w="31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Dividends</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0.21</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0.21</w:t>
            </w:r>
          </w:p>
        </w:tc>
        <w:tc>
          <w:tcPr>
            <w:tcW w:w="8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0.62</w:t>
            </w:r>
          </w:p>
        </w:tc>
        <w:tc>
          <w:tcPr>
            <w:tcW w:w="6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0.61</w:t>
            </w: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44"/>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58"/>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Weighted average common shares outstanding (in thousands):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shd w:val="clear" w:color="auto" w:fill="CCEEFF"/>
              </w:rPr>
              <w:t>Basic</w:t>
            </w: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52,766</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51,747</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52,499</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51,628</w:t>
            </w:r>
          </w:p>
        </w:tc>
      </w:tr>
      <w:tr>
        <w:trPr>
          <w:trHeight w:val="158"/>
        </w:trPr>
        <w:tc>
          <w:tcPr>
            <w:tcW w:w="31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Diluted</w:t>
            </w:r>
          </w:p>
        </w:tc>
        <w:tc>
          <w:tcPr>
            <w:tcW w:w="12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53,480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52,729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53,215</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52,610</w:t>
            </w:r>
          </w:p>
        </w:tc>
      </w:tr>
    </w:tbl>
    <w:p>
      <w:pPr>
        <w:sectPr>
          <w:pgSz w:w="11900" w:h="16838" w:orient="portrait"/>
          <w:cols w:equalWidth="0" w:num="1">
            <w:col w:w="10239"/>
          </w:cols>
          <w:pgMar w:left="220" w:top="435"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BALANCE SHEETS</w:t>
      </w:r>
    </w:p>
    <w:p>
      <w:pPr>
        <w:spacing w:after="0"/>
        <w:rPr>
          <w:sz w:val="20"/>
          <w:szCs w:val="20"/>
          <w:color w:val="auto"/>
        </w:rPr>
      </w:pPr>
      <w:r>
        <w:rPr>
          <w:rFonts w:ascii="Times New Roman" w:cs="Times New Roman" w:eastAsia="Times New Roman" w:hAnsi="Times New Roman"/>
          <w:sz w:val="11"/>
          <w:szCs w:val="11"/>
          <w:b w:val="1"/>
          <w:bCs w:val="1"/>
          <w:color w:val="auto"/>
        </w:rPr>
        <w:t>(Dollars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w w:val="99"/>
              </w:rPr>
              <w:t>April 30, 2019</w:t>
            </w:r>
          </w:p>
        </w:tc>
        <w:tc>
          <w:tcPr>
            <w:tcW w:w="120" w:type="dxa"/>
            <w:vAlign w:val="bottom"/>
          </w:tcPr>
          <w:p>
            <w:pPr>
              <w:spacing w:after="0"/>
              <w:rPr>
                <w:sz w:val="12"/>
                <w:szCs w:val="12"/>
                <w:color w:val="auto"/>
              </w:rPr>
            </w:pPr>
          </w:p>
        </w:tc>
        <w:tc>
          <w:tcPr>
            <w:tcW w:w="8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July 31, 2018</w:t>
            </w:r>
          </w:p>
        </w:tc>
      </w:tr>
      <w:tr>
        <w:trPr>
          <w:trHeight w:val="22"/>
        </w:trPr>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38"/>
        </w:trPr>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w w:val="97"/>
              </w:rPr>
              <w:t>(Unaudited)</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31"/>
        </w:trPr>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60"/>
        </w:trPr>
        <w:tc>
          <w:tcPr>
            <w:tcW w:w="4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ASSETS</w:t>
            </w:r>
          </w:p>
        </w:tc>
        <w:tc>
          <w:tcPr>
            <w:tcW w:w="2020" w:type="dxa"/>
            <w:vAlign w:val="bottom"/>
            <w:tcBorders>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r>
      <w:tr>
        <w:trPr>
          <w:trHeight w:val="149"/>
        </w:trPr>
        <w:tc>
          <w:tcPr>
            <w:tcW w:w="4440" w:type="dxa"/>
            <w:vAlign w:val="bottom"/>
            <w:gridSpan w:val="7"/>
          </w:tcPr>
          <w:p>
            <w:pPr>
              <w:ind w:left="20"/>
              <w:spacing w:after="0"/>
              <w:rPr>
                <w:sz w:val="20"/>
                <w:szCs w:val="20"/>
                <w:color w:val="auto"/>
              </w:rPr>
            </w:pPr>
            <w:r>
              <w:rPr>
                <w:rFonts w:ascii="Times New Roman" w:cs="Times New Roman" w:eastAsia="Times New Roman" w:hAnsi="Times New Roman"/>
                <w:sz w:val="11"/>
                <w:szCs w:val="11"/>
                <w:color w:val="auto"/>
              </w:rPr>
              <w:t>Current assets:</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31"/>
        </w:trPr>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60"/>
        </w:trPr>
        <w:tc>
          <w:tcPr>
            <w:tcW w:w="4440" w:type="dxa"/>
            <w:vAlign w:val="bottom"/>
            <w:tcBorders>
              <w:bottom w:val="single" w:sz="8" w:color="CCEEFF"/>
            </w:tcBorders>
            <w:gridSpan w:val="7"/>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238,432</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181,427</w:t>
            </w:r>
          </w:p>
        </w:tc>
      </w:tr>
      <w:tr>
        <w:trPr>
          <w:trHeight w:val="158"/>
        </w:trPr>
        <w:tc>
          <w:tcPr>
            <w:tcW w:w="4440" w:type="dxa"/>
            <w:vAlign w:val="bottom"/>
            <w:gridSpan w:val="7"/>
          </w:tcPr>
          <w:p>
            <w:pPr>
              <w:ind w:left="240"/>
              <w:spacing w:after="0"/>
              <w:rPr>
                <w:sz w:val="20"/>
                <w:szCs w:val="20"/>
                <w:color w:val="auto"/>
              </w:rPr>
            </w:pPr>
            <w:r>
              <w:rPr>
                <w:rFonts w:ascii="Times New Roman" w:cs="Times New Roman" w:eastAsia="Times New Roman" w:hAnsi="Times New Roman"/>
                <w:sz w:val="11"/>
                <w:szCs w:val="11"/>
                <w:color w:val="auto"/>
              </w:rPr>
              <w:t>Accounts receivable—net</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162,094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161,282</w:t>
            </w:r>
          </w:p>
        </w:tc>
      </w:tr>
      <w:tr>
        <w:trPr>
          <w:trHeight w:val="22"/>
        </w:trPr>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0"/>
        </w:trPr>
        <w:tc>
          <w:tcPr>
            <w:tcW w:w="4440" w:type="dxa"/>
            <w:vAlign w:val="bottom"/>
            <w:tcBorders>
              <w:bottom w:val="single" w:sz="8" w:color="CCEEFF"/>
            </w:tcBorders>
            <w:gridSpan w:val="7"/>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Inventories</w:t>
            </w: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119,895</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113,071</w:t>
            </w:r>
          </w:p>
        </w:tc>
      </w:tr>
      <w:tr>
        <w:trPr>
          <w:trHeight w:val="158"/>
        </w:trPr>
        <w:tc>
          <w:tcPr>
            <w:tcW w:w="4440" w:type="dxa"/>
            <w:vAlign w:val="bottom"/>
            <w:gridSpan w:val="7"/>
          </w:tcPr>
          <w:p>
            <w:pPr>
              <w:ind w:left="24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18,746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15,559</w:t>
            </w:r>
          </w:p>
        </w:tc>
      </w:tr>
      <w:tr>
        <w:trPr>
          <w:trHeight w:val="22"/>
        </w:trPr>
        <w:tc>
          <w:tcPr>
            <w:tcW w:w="4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40"/>
        </w:trPr>
        <w:tc>
          <w:tcPr>
            <w:tcW w:w="420" w:type="dxa"/>
            <w:vAlign w:val="bottom"/>
            <w:tcBorders>
              <w:bottom w:val="single" w:sz="8" w:color="CCEEFF"/>
            </w:tcBorders>
            <w:shd w:val="clear" w:color="auto" w:fill="CCEEFF"/>
          </w:tcPr>
          <w:p>
            <w:pPr>
              <w:spacing w:after="0"/>
              <w:rPr>
                <w:sz w:val="12"/>
                <w:szCs w:val="12"/>
                <w:color w:val="auto"/>
              </w:rPr>
            </w:pPr>
          </w:p>
        </w:tc>
        <w:tc>
          <w:tcPr>
            <w:tcW w:w="1600" w:type="dxa"/>
            <w:vAlign w:val="bottom"/>
            <w:tcBorders>
              <w:bottom w:val="single" w:sz="8" w:color="CCEEFF"/>
            </w:tcBorders>
            <w:gridSpan w:val="3"/>
            <w:shd w:val="clear" w:color="auto" w:fill="CCEEFF"/>
          </w:tcPr>
          <w:p>
            <w:pPr>
              <w:ind w:left="40"/>
              <w:spacing w:after="0" w:line="124" w:lineRule="exact"/>
              <w:rPr>
                <w:sz w:val="20"/>
                <w:szCs w:val="20"/>
                <w:color w:val="auto"/>
              </w:rPr>
            </w:pPr>
            <w:r>
              <w:rPr>
                <w:rFonts w:ascii="Times New Roman" w:cs="Times New Roman" w:eastAsia="Times New Roman" w:hAnsi="Times New Roman"/>
                <w:sz w:val="11"/>
                <w:szCs w:val="11"/>
                <w:color w:val="auto"/>
                <w:shd w:val="clear" w:color="auto" w:fill="CCEEFF"/>
              </w:rPr>
              <w:t>Total current assets</w:t>
            </w:r>
          </w:p>
        </w:tc>
        <w:tc>
          <w:tcPr>
            <w:tcW w:w="1380" w:type="dxa"/>
            <w:vAlign w:val="bottom"/>
            <w:tcBorders>
              <w:bottom w:val="single" w:sz="8" w:color="CCEEFF"/>
            </w:tcBorders>
            <w:gridSpan w:val="2"/>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539,167</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471,339</w:t>
            </w:r>
          </w:p>
        </w:tc>
      </w:tr>
      <w:tr>
        <w:trPr>
          <w:trHeight w:val="158"/>
        </w:trPr>
        <w:tc>
          <w:tcPr>
            <w:tcW w:w="4440" w:type="dxa"/>
            <w:vAlign w:val="bottom"/>
            <w:gridSpan w:val="7"/>
          </w:tcPr>
          <w:p>
            <w:pPr>
              <w:ind w:left="20"/>
              <w:spacing w:after="0"/>
              <w:rPr>
                <w:sz w:val="20"/>
                <w:szCs w:val="20"/>
                <w:color w:val="auto"/>
              </w:rPr>
            </w:pPr>
            <w:r>
              <w:rPr>
                <w:rFonts w:ascii="Times New Roman" w:cs="Times New Roman" w:eastAsia="Times New Roman" w:hAnsi="Times New Roman"/>
                <w:sz w:val="11"/>
                <w:szCs w:val="11"/>
                <w:color w:val="auto"/>
              </w:rPr>
              <w:t>Property, plant and equipment—net</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99,491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97,945</w:t>
            </w:r>
          </w:p>
        </w:tc>
      </w:tr>
      <w:tr>
        <w:trPr>
          <w:trHeight w:val="22"/>
        </w:trPr>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0"/>
        </w:trPr>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1"/>
                <w:shd w:val="clear" w:color="auto" w:fill="CCEEFF"/>
              </w:rPr>
              <w:t>Goodwill</w:t>
            </w:r>
          </w:p>
        </w:tc>
        <w:tc>
          <w:tcPr>
            <w:tcW w:w="5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360" w:type="dxa"/>
            <w:vAlign w:val="bottom"/>
            <w:tcBorders>
              <w:bottom w:val="single" w:sz="8" w:color="CCEEFF"/>
            </w:tcBorders>
            <w:gridSpan w:val="3"/>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412,378</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419,815</w:t>
            </w:r>
          </w:p>
        </w:tc>
      </w:tr>
      <w:tr>
        <w:trPr>
          <w:trHeight w:val="158"/>
        </w:trPr>
        <w:tc>
          <w:tcPr>
            <w:tcW w:w="4440" w:type="dxa"/>
            <w:vAlign w:val="bottom"/>
            <w:gridSpan w:val="7"/>
          </w:tcPr>
          <w:p>
            <w:pPr>
              <w:ind w:left="20"/>
              <w:spacing w:after="0"/>
              <w:rPr>
                <w:sz w:val="20"/>
                <w:szCs w:val="20"/>
                <w:color w:val="auto"/>
              </w:rPr>
            </w:pPr>
            <w:r>
              <w:rPr>
                <w:rFonts w:ascii="Times New Roman" w:cs="Times New Roman" w:eastAsia="Times New Roman" w:hAnsi="Times New Roman"/>
                <w:sz w:val="11"/>
                <w:szCs w:val="11"/>
                <w:color w:val="auto"/>
              </w:rPr>
              <w:t>Other intangible assets</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38,135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42,588</w:t>
            </w:r>
          </w:p>
        </w:tc>
      </w:tr>
      <w:tr>
        <w:trPr>
          <w:trHeight w:val="22"/>
        </w:trPr>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0"/>
        </w:trPr>
        <w:tc>
          <w:tcPr>
            <w:tcW w:w="1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6"/>
                <w:shd w:val="clear" w:color="auto" w:fill="CCEEFF"/>
              </w:rPr>
              <w:t>Deferred income taxes</w:t>
            </w:r>
          </w:p>
        </w:tc>
        <w:tc>
          <w:tcPr>
            <w:tcW w:w="40" w:type="dxa"/>
            <w:vAlign w:val="bottom"/>
            <w:tcBorders>
              <w:bottom w:val="single" w:sz="8" w:color="CCEEFF"/>
            </w:tcBorders>
            <w:shd w:val="clear" w:color="auto" w:fill="CCEEFF"/>
          </w:tcPr>
          <w:p>
            <w:pPr>
              <w:spacing w:after="0"/>
              <w:rPr>
                <w:sz w:val="13"/>
                <w:szCs w:val="13"/>
                <w:color w:val="auto"/>
              </w:rPr>
            </w:pPr>
          </w:p>
        </w:tc>
        <w:tc>
          <w:tcPr>
            <w:tcW w:w="2360" w:type="dxa"/>
            <w:vAlign w:val="bottom"/>
            <w:tcBorders>
              <w:bottom w:val="single" w:sz="8" w:color="CCEEFF"/>
            </w:tcBorders>
            <w:gridSpan w:val="3"/>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7,068</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7,582</w:t>
            </w:r>
          </w:p>
        </w:tc>
      </w:tr>
      <w:tr>
        <w:trPr>
          <w:trHeight w:val="158"/>
        </w:trPr>
        <w:tc>
          <w:tcPr>
            <w:tcW w:w="4440" w:type="dxa"/>
            <w:vAlign w:val="bottom"/>
            <w:gridSpan w:val="7"/>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19,638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17,662</w:t>
            </w:r>
          </w:p>
        </w:tc>
      </w:tr>
      <w:tr>
        <w:trPr>
          <w:trHeight w:val="22"/>
        </w:trPr>
        <w:tc>
          <w:tcPr>
            <w:tcW w:w="4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5"/>
        </w:trPr>
        <w:tc>
          <w:tcPr>
            <w:tcW w:w="444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1,115,877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1,056,931</w:t>
            </w:r>
          </w:p>
        </w:tc>
      </w:tr>
      <w:tr>
        <w:trPr>
          <w:trHeight w:val="95"/>
        </w:trPr>
        <w:tc>
          <w:tcPr>
            <w:tcW w:w="420" w:type="dxa"/>
            <w:vAlign w:val="bottom"/>
            <w:tcBorders>
              <w:top w:val="single" w:sz="8" w:color="CCEEFF"/>
            </w:tcBorders>
          </w:tcPr>
          <w:p>
            <w:pPr>
              <w:spacing w:after="0"/>
              <w:rPr>
                <w:sz w:val="8"/>
                <w:szCs w:val="8"/>
                <w:color w:val="auto"/>
              </w:rPr>
            </w:pPr>
          </w:p>
        </w:tc>
        <w:tc>
          <w:tcPr>
            <w:tcW w:w="580" w:type="dxa"/>
            <w:vAlign w:val="bottom"/>
            <w:tcBorders>
              <w:top w:val="single" w:sz="8" w:color="CCEEFF"/>
            </w:tcBorders>
          </w:tcPr>
          <w:p>
            <w:pPr>
              <w:spacing w:after="0"/>
              <w:rPr>
                <w:sz w:val="8"/>
                <w:szCs w:val="8"/>
                <w:color w:val="auto"/>
              </w:rPr>
            </w:pPr>
          </w:p>
        </w:tc>
        <w:tc>
          <w:tcPr>
            <w:tcW w:w="3440" w:type="dxa"/>
            <w:vAlign w:val="bottom"/>
            <w:tcBorders>
              <w:top w:val="single" w:sz="8" w:color="CCEEFF"/>
            </w:tcBorders>
            <w:gridSpan w:val="5"/>
          </w:tcPr>
          <w:p>
            <w:pPr>
              <w:jc w:val="center"/>
              <w:ind w:right="1000"/>
              <w:spacing w:after="0" w:line="95" w:lineRule="exact"/>
              <w:rPr>
                <w:sz w:val="20"/>
                <w:szCs w:val="20"/>
                <w:color w:val="auto"/>
              </w:rPr>
            </w:pPr>
            <w:r>
              <w:rPr>
                <w:rFonts w:ascii="Times New Roman" w:cs="Times New Roman" w:eastAsia="Times New Roman" w:hAnsi="Times New Roman"/>
                <w:sz w:val="11"/>
                <w:szCs w:val="11"/>
                <w:b w:val="1"/>
                <w:bCs w:val="1"/>
                <w:color w:val="auto"/>
                <w:w w:val="98"/>
              </w:rPr>
              <w:t>LIABILITIES AND STOCKHOLDERS’ EQUITY</w:t>
            </w:r>
          </w:p>
        </w:tc>
        <w:tc>
          <w:tcPr>
            <w:tcW w:w="1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r>
      <w:tr>
        <w:trPr>
          <w:trHeight w:val="52"/>
        </w:trPr>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160"/>
        </w:trPr>
        <w:tc>
          <w:tcPr>
            <w:tcW w:w="444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liabilities:</w:t>
            </w: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r>
      <w:tr>
        <w:trPr>
          <w:trHeight w:val="158"/>
        </w:trPr>
        <w:tc>
          <w:tcPr>
            <w:tcW w:w="4440" w:type="dxa"/>
            <w:vAlign w:val="bottom"/>
            <w:gridSpan w:val="7"/>
          </w:tcPr>
          <w:p>
            <w:pPr>
              <w:ind w:left="240"/>
              <w:spacing w:after="0"/>
              <w:rPr>
                <w:sz w:val="20"/>
                <w:szCs w:val="20"/>
                <w:color w:val="auto"/>
              </w:rPr>
            </w:pPr>
            <w:r>
              <w:rPr>
                <w:rFonts w:ascii="Times New Roman" w:cs="Times New Roman" w:eastAsia="Times New Roman" w:hAnsi="Times New Roman"/>
                <w:sz w:val="11"/>
                <w:szCs w:val="11"/>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64,584</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66,538</w:t>
            </w:r>
          </w:p>
        </w:tc>
      </w:tr>
      <w:tr>
        <w:trPr>
          <w:trHeight w:val="22"/>
        </w:trPr>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0"/>
        </w:trPr>
        <w:tc>
          <w:tcPr>
            <w:tcW w:w="4440" w:type="dxa"/>
            <w:vAlign w:val="bottom"/>
            <w:tcBorders>
              <w:bottom w:val="single" w:sz="8" w:color="CCEEFF"/>
            </w:tcBorders>
            <w:gridSpan w:val="7"/>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Wages and amounts withheld from employees</w:t>
            </w: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52,849</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67,619</w:t>
            </w:r>
          </w:p>
        </w:tc>
      </w:tr>
      <w:tr>
        <w:trPr>
          <w:trHeight w:val="158"/>
        </w:trPr>
        <w:tc>
          <w:tcPr>
            <w:tcW w:w="4440" w:type="dxa"/>
            <w:vAlign w:val="bottom"/>
            <w:gridSpan w:val="7"/>
          </w:tcPr>
          <w:p>
            <w:pPr>
              <w:ind w:left="240"/>
              <w:spacing w:after="0"/>
              <w:rPr>
                <w:sz w:val="20"/>
                <w:szCs w:val="20"/>
                <w:color w:val="auto"/>
              </w:rPr>
            </w:pPr>
            <w:r>
              <w:rPr>
                <w:rFonts w:ascii="Times New Roman" w:cs="Times New Roman" w:eastAsia="Times New Roman" w:hAnsi="Times New Roman"/>
                <w:sz w:val="11"/>
                <w:szCs w:val="11"/>
                <w:color w:val="auto"/>
              </w:rPr>
              <w:t>Taxes, other than income taxes</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7,886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8,318</w:t>
            </w:r>
          </w:p>
        </w:tc>
      </w:tr>
      <w:tr>
        <w:trPr>
          <w:trHeight w:val="22"/>
        </w:trPr>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0"/>
        </w:trPr>
        <w:tc>
          <w:tcPr>
            <w:tcW w:w="4440" w:type="dxa"/>
            <w:vAlign w:val="bottom"/>
            <w:tcBorders>
              <w:bottom w:val="single" w:sz="8" w:color="CCEEFF"/>
            </w:tcBorders>
            <w:gridSpan w:val="7"/>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Accrued income taxes</w:t>
            </w: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4,378</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3,885</w:t>
            </w:r>
          </w:p>
        </w:tc>
      </w:tr>
      <w:tr>
        <w:trPr>
          <w:trHeight w:val="158"/>
        </w:trPr>
        <w:tc>
          <w:tcPr>
            <w:tcW w:w="4440" w:type="dxa"/>
            <w:vAlign w:val="bottom"/>
            <w:gridSpan w:val="7"/>
          </w:tcPr>
          <w:p>
            <w:pPr>
              <w:ind w:left="24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48,169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44,567</w:t>
            </w:r>
          </w:p>
        </w:tc>
      </w:tr>
      <w:tr>
        <w:trPr>
          <w:trHeight w:val="22"/>
        </w:trPr>
        <w:tc>
          <w:tcPr>
            <w:tcW w:w="4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40"/>
        </w:trPr>
        <w:tc>
          <w:tcPr>
            <w:tcW w:w="420" w:type="dxa"/>
            <w:vAlign w:val="bottom"/>
            <w:tcBorders>
              <w:bottom w:val="single" w:sz="8" w:color="CCEEFF"/>
            </w:tcBorders>
            <w:shd w:val="clear" w:color="auto" w:fill="CCEEFF"/>
          </w:tcPr>
          <w:p>
            <w:pPr>
              <w:spacing w:after="0"/>
              <w:rPr>
                <w:sz w:val="12"/>
                <w:szCs w:val="12"/>
                <w:color w:val="auto"/>
              </w:rPr>
            </w:pPr>
          </w:p>
        </w:tc>
        <w:tc>
          <w:tcPr>
            <w:tcW w:w="4020" w:type="dxa"/>
            <w:vAlign w:val="bottom"/>
            <w:tcBorders>
              <w:bottom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177,866</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190,927</w:t>
            </w:r>
          </w:p>
        </w:tc>
      </w:tr>
      <w:tr>
        <w:trPr>
          <w:trHeight w:val="158"/>
        </w:trPr>
        <w:tc>
          <w:tcPr>
            <w:tcW w:w="4440" w:type="dxa"/>
            <w:vAlign w:val="bottom"/>
            <w:gridSpan w:val="7"/>
          </w:tcPr>
          <w:p>
            <w:pPr>
              <w:ind w:left="20"/>
              <w:spacing w:after="0"/>
              <w:rPr>
                <w:sz w:val="20"/>
                <w:szCs w:val="20"/>
                <w:color w:val="auto"/>
              </w:rPr>
            </w:pPr>
            <w:r>
              <w:rPr>
                <w:rFonts w:ascii="Times New Roman" w:cs="Times New Roman" w:eastAsia="Times New Roman" w:hAnsi="Times New Roman"/>
                <w:sz w:val="11"/>
                <w:szCs w:val="11"/>
                <w:color w:val="auto"/>
              </w:rPr>
              <w:t>Long-term obligations</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50,303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52,618</w:t>
            </w:r>
          </w:p>
        </w:tc>
      </w:tr>
      <w:tr>
        <w:trPr>
          <w:trHeight w:val="22"/>
        </w:trPr>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0"/>
        </w:trPr>
        <w:tc>
          <w:tcPr>
            <w:tcW w:w="444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liabilities</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63,164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61,274</w:t>
            </w:r>
          </w:p>
        </w:tc>
      </w:tr>
      <w:tr>
        <w:trPr>
          <w:trHeight w:val="138"/>
        </w:trPr>
        <w:tc>
          <w:tcPr>
            <w:tcW w:w="420" w:type="dxa"/>
            <w:vAlign w:val="bottom"/>
          </w:tcPr>
          <w:p>
            <w:pPr>
              <w:spacing w:after="0"/>
              <w:rPr>
                <w:sz w:val="12"/>
                <w:szCs w:val="12"/>
                <w:color w:val="auto"/>
              </w:rPr>
            </w:pPr>
          </w:p>
        </w:tc>
        <w:tc>
          <w:tcPr>
            <w:tcW w:w="4020" w:type="dxa"/>
            <w:vAlign w:val="bottom"/>
            <w:gridSpan w:val="6"/>
          </w:tcPr>
          <w:p>
            <w:pPr>
              <w:ind w:left="40"/>
              <w:spacing w:after="0"/>
              <w:rPr>
                <w:sz w:val="20"/>
                <w:szCs w:val="20"/>
                <w:color w:val="auto"/>
              </w:rPr>
            </w:pPr>
            <w:r>
              <w:rPr>
                <w:rFonts w:ascii="Times New Roman" w:cs="Times New Roman" w:eastAsia="Times New Roman" w:hAnsi="Times New Roman"/>
                <w:sz w:val="11"/>
                <w:szCs w:val="11"/>
                <w:color w:val="auto"/>
              </w:rPr>
              <w:t>Total liabilities</w:t>
            </w: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291,333</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304,819</w:t>
            </w:r>
          </w:p>
        </w:tc>
      </w:tr>
      <w:tr>
        <w:trPr>
          <w:trHeight w:val="22"/>
        </w:trPr>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0"/>
        </w:trPr>
        <w:tc>
          <w:tcPr>
            <w:tcW w:w="444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Stockholders’ equity:</w:t>
            </w: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r>
      <w:tr>
        <w:trPr>
          <w:trHeight w:val="144"/>
        </w:trPr>
        <w:tc>
          <w:tcPr>
            <w:tcW w:w="4440" w:type="dxa"/>
            <w:vAlign w:val="bottom"/>
            <w:gridSpan w:val="7"/>
          </w:tcPr>
          <w:p>
            <w:pPr>
              <w:ind w:left="240"/>
              <w:spacing w:after="0"/>
              <w:rPr>
                <w:sz w:val="20"/>
                <w:szCs w:val="20"/>
                <w:color w:val="auto"/>
              </w:rPr>
            </w:pPr>
            <w:r>
              <w:rPr>
                <w:rFonts w:ascii="Times New Roman" w:cs="Times New Roman" w:eastAsia="Times New Roman" w:hAnsi="Times New Roman"/>
                <w:sz w:val="11"/>
                <w:szCs w:val="11"/>
                <w:color w:val="auto"/>
              </w:rPr>
              <w:t>Class A nonvoting common stock—Issued 51,261,487 shares, and outstanding 49,284,372 and</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0"/>
        </w:trPr>
        <w:tc>
          <w:tcPr>
            <w:tcW w:w="4440" w:type="dxa"/>
            <w:vAlign w:val="bottom"/>
            <w:gridSpan w:val="7"/>
          </w:tcPr>
          <w:p>
            <w:pPr>
              <w:ind w:left="240"/>
              <w:spacing w:after="0"/>
              <w:rPr>
                <w:sz w:val="20"/>
                <w:szCs w:val="20"/>
                <w:color w:val="auto"/>
              </w:rPr>
            </w:pPr>
            <w:r>
              <w:rPr>
                <w:rFonts w:ascii="Times New Roman" w:cs="Times New Roman" w:eastAsia="Times New Roman" w:hAnsi="Times New Roman"/>
                <w:sz w:val="11"/>
                <w:szCs w:val="11"/>
                <w:color w:val="auto"/>
              </w:rPr>
              <w:t>48,393,617 shares, respectively</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w:t>
            </w:r>
          </w:p>
        </w:tc>
      </w:tr>
      <w:tr>
        <w:trPr>
          <w:trHeight w:val="22"/>
        </w:trPr>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0"/>
        </w:trPr>
        <w:tc>
          <w:tcPr>
            <w:tcW w:w="4440" w:type="dxa"/>
            <w:vAlign w:val="bottom"/>
            <w:tcBorders>
              <w:bottom w:val="single" w:sz="8" w:color="CCEEFF"/>
            </w:tcBorders>
            <w:gridSpan w:val="7"/>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Class B voting common stock—Issued and outstanding, 3,538,628 shares</w:t>
            </w: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r>
      <w:tr>
        <w:trPr>
          <w:trHeight w:val="158"/>
        </w:trPr>
        <w:tc>
          <w:tcPr>
            <w:tcW w:w="4440" w:type="dxa"/>
            <w:vAlign w:val="bottom"/>
            <w:gridSpan w:val="7"/>
          </w:tcPr>
          <w:p>
            <w:pPr>
              <w:ind w:left="24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330,051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325,631</w:t>
            </w:r>
          </w:p>
        </w:tc>
      </w:tr>
      <w:tr>
        <w:trPr>
          <w:trHeight w:val="22"/>
        </w:trPr>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0"/>
        </w:trPr>
        <w:tc>
          <w:tcPr>
            <w:tcW w:w="4440" w:type="dxa"/>
            <w:vAlign w:val="bottom"/>
            <w:tcBorders>
              <w:bottom w:val="single" w:sz="8" w:color="CCEEFF"/>
            </w:tcBorders>
            <w:gridSpan w:val="7"/>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Retained earnings</w:t>
            </w: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612,474</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553,454</w:t>
            </w:r>
          </w:p>
        </w:tc>
      </w:tr>
      <w:tr>
        <w:trPr>
          <w:trHeight w:val="144"/>
        </w:trPr>
        <w:tc>
          <w:tcPr>
            <w:tcW w:w="4440" w:type="dxa"/>
            <w:vAlign w:val="bottom"/>
            <w:gridSpan w:val="7"/>
          </w:tcPr>
          <w:p>
            <w:pPr>
              <w:ind w:left="240"/>
              <w:spacing w:after="0"/>
              <w:rPr>
                <w:sz w:val="20"/>
                <w:szCs w:val="20"/>
                <w:color w:val="auto"/>
              </w:rPr>
            </w:pPr>
            <w:r>
              <w:rPr>
                <w:rFonts w:ascii="Times New Roman" w:cs="Times New Roman" w:eastAsia="Times New Roman" w:hAnsi="Times New Roman"/>
                <w:sz w:val="11"/>
                <w:szCs w:val="11"/>
                <w:color w:val="auto"/>
              </w:rPr>
              <w:t>Treasury stock—1,977,115 and 2,867,870 shares, respectively of Class A nonvoting common</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0"/>
        </w:trPr>
        <w:tc>
          <w:tcPr>
            <w:tcW w:w="4440" w:type="dxa"/>
            <w:vAlign w:val="bottom"/>
            <w:gridSpan w:val="7"/>
          </w:tcPr>
          <w:p>
            <w:pPr>
              <w:ind w:left="240"/>
              <w:spacing w:after="0"/>
              <w:rPr>
                <w:sz w:val="20"/>
                <w:szCs w:val="20"/>
                <w:color w:val="auto"/>
              </w:rPr>
            </w:pPr>
            <w:r>
              <w:rPr>
                <w:rFonts w:ascii="Times New Roman" w:cs="Times New Roman" w:eastAsia="Times New Roman" w:hAnsi="Times New Roman"/>
                <w:sz w:val="11"/>
                <w:szCs w:val="11"/>
                <w:color w:val="auto"/>
              </w:rPr>
              <w:t>stock, at cost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(50,083)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(71,120)</w:t>
            </w:r>
          </w:p>
        </w:tc>
      </w:tr>
      <w:tr>
        <w:trPr>
          <w:trHeight w:val="22"/>
        </w:trPr>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0"/>
        </w:trPr>
        <w:tc>
          <w:tcPr>
            <w:tcW w:w="4440" w:type="dxa"/>
            <w:vAlign w:val="bottom"/>
            <w:tcBorders>
              <w:bottom w:val="single" w:sz="8" w:color="CCEEFF"/>
            </w:tcBorders>
            <w:gridSpan w:val="7"/>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(68,446)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(56,401)</w:t>
            </w:r>
          </w:p>
        </w:tc>
      </w:tr>
      <w:tr>
        <w:trPr>
          <w:trHeight w:val="138"/>
        </w:trPr>
        <w:tc>
          <w:tcPr>
            <w:tcW w:w="420" w:type="dxa"/>
            <w:vAlign w:val="bottom"/>
          </w:tcPr>
          <w:p>
            <w:pPr>
              <w:spacing w:after="0"/>
              <w:rPr>
                <w:sz w:val="12"/>
                <w:szCs w:val="12"/>
                <w:color w:val="auto"/>
              </w:rPr>
            </w:pPr>
          </w:p>
        </w:tc>
        <w:tc>
          <w:tcPr>
            <w:tcW w:w="4020" w:type="dxa"/>
            <w:vAlign w:val="bottom"/>
            <w:gridSpan w:val="6"/>
          </w:tcPr>
          <w:p>
            <w:pPr>
              <w:ind w:left="4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824,544</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752,112</w:t>
            </w:r>
          </w:p>
        </w:tc>
      </w:tr>
      <w:tr>
        <w:trPr>
          <w:trHeight w:val="22"/>
        </w:trPr>
        <w:tc>
          <w:tcPr>
            <w:tcW w:w="4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40"/>
        </w:trPr>
        <w:tc>
          <w:tcPr>
            <w:tcW w:w="444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1,115,877</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1,056,931</w:t>
            </w:r>
          </w:p>
        </w:tc>
      </w:tr>
      <w:tr>
        <w:trPr>
          <w:trHeight w:val="27"/>
        </w:trPr>
        <w:tc>
          <w:tcPr>
            <w:tcW w:w="4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r>
    </w:tbl>
    <w:p>
      <w:pPr>
        <w:sectPr>
          <w:pgSz w:w="11900" w:h="16838" w:orient="portrait"/>
          <w:cols w:equalWidth="0" w:num="1">
            <w:col w:w="10239"/>
          </w:cols>
          <w:pgMar w:left="220" w:top="435" w:right="1440" w:bottom="1440" w:gutter="0" w:footer="0" w:header="0"/>
        </w:sectPr>
      </w:pPr>
    </w:p>
    <w:bookmarkStart w:id="8" w:name="page9"/>
    <w:bookmarkEnd w:id="8"/>
    <w:p>
      <w:pPr>
        <w:ind w:right="1540"/>
        <w:spacing w:after="0" w:line="254" w:lineRule="auto"/>
        <w:rPr>
          <w:sz w:val="20"/>
          <w:szCs w:val="20"/>
          <w:color w:val="auto"/>
        </w:rPr>
      </w:pPr>
      <w:r>
        <w:rPr>
          <w:rFonts w:ascii="Times New Roman" w:cs="Times New Roman" w:eastAsia="Times New Roman" w:hAnsi="Times New Roman"/>
          <w:sz w:val="11"/>
          <w:szCs w:val="11"/>
          <w:b w:val="1"/>
          <w:bCs w:val="1"/>
          <w:color w:val="auto"/>
        </w:rPr>
        <w:t>BRADY CORPORATION AND SUBSIDIARIES CONSOLIDATED STATEMENTS OF CASH FLOWS (Unaudited;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283845</wp:posOffset>
            </wp:positionV>
            <wp:extent cx="4117975" cy="120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17975" cy="12001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Operating activities: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4117975" cy="114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17975" cy="114300"/>
                    </a:xfrm>
                    <a:prstGeom prst="rect">
                      <a:avLst/>
                    </a:prstGeom>
                    <a:noFill/>
                  </pic:spPr>
                </pic:pic>
              </a:graphicData>
            </a:graphic>
          </wp:anchor>
        </w:drawing>
      </w:r>
    </w:p>
    <w:p>
      <w:pPr>
        <w:spacing w:after="0" w:line="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Adjustments to reconcile net income to net cash provided by operating activities:</w:t>
      </w:r>
    </w:p>
    <w:p>
      <w:pPr>
        <w:spacing w:after="0" w:line="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4117975" cy="114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17975" cy="114300"/>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Non-cash portion of stock-based compensation expense</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4117975" cy="114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17975" cy="114300"/>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Changes in operating assets and liabilities:</w:t>
      </w:r>
    </w:p>
    <w:p>
      <w:pPr>
        <w:spacing w:after="0" w:line="5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1"/>
          <w:szCs w:val="11"/>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4117975" cy="114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17975" cy="114300"/>
                    </a:xfrm>
                    <a:prstGeom prst="rect">
                      <a:avLst/>
                    </a:prstGeom>
                    <a:noFill/>
                  </pic:spPr>
                </pic:pic>
              </a:graphicData>
            </a:graphic>
          </wp:anchor>
        </w:drawing>
      </w:r>
    </w:p>
    <w:p>
      <w:pPr>
        <w:spacing w:after="0" w:line="3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1"/>
          <w:szCs w:val="11"/>
          <w:color w:val="auto"/>
        </w:rPr>
        <w:t>Inventories</w:t>
      </w:r>
    </w:p>
    <w:p>
      <w:pPr>
        <w:spacing w:after="0" w:line="5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1"/>
          <w:szCs w:val="11"/>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4117975" cy="114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17975" cy="114300"/>
                    </a:xfrm>
                    <a:prstGeom prst="rect">
                      <a:avLst/>
                    </a:prstGeom>
                    <a:noFill/>
                  </pic:spPr>
                </pic:pic>
              </a:graphicData>
            </a:graphic>
          </wp:anchor>
        </w:drawing>
      </w:r>
    </w:p>
    <w:p>
      <w:pPr>
        <w:spacing w:after="0" w:line="3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1"/>
          <w:szCs w:val="11"/>
          <w:color w:val="auto"/>
        </w:rPr>
        <w:t>Accounts payable and accrued liabilities</w:t>
      </w:r>
    </w:p>
    <w:p>
      <w:pPr>
        <w:spacing w:after="0" w:line="5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1"/>
          <w:szCs w:val="11"/>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4117975" cy="114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17975" cy="114300"/>
                    </a:xfrm>
                    <a:prstGeom prst="rect">
                      <a:avLst/>
                    </a:prstGeom>
                    <a:noFill/>
                  </pic:spPr>
                </pic:pic>
              </a:graphicData>
            </a:graphic>
          </wp:anchor>
        </w:drawing>
      </w:r>
    </w:p>
    <w:p>
      <w:pPr>
        <w:spacing w:after="0" w:line="3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1"/>
          <w:szCs w:val="1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148590</wp:posOffset>
            </wp:positionV>
            <wp:extent cx="4117975" cy="114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17975" cy="114300"/>
                    </a:xfrm>
                    <a:prstGeom prst="rect">
                      <a:avLst/>
                    </a:prstGeom>
                    <a:noFill/>
                  </pic:spPr>
                </pic:pic>
              </a:graphicData>
            </a:graphic>
          </wp:anchor>
        </w:drawing>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Investing activities: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Purchases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4117975" cy="114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17975" cy="114300"/>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shd w:val="clear" w:color="auto" w:fill="CCEEFF"/>
        </w:rPr>
        <w:t>Other</w:t>
      </w:r>
    </w:p>
    <w:p>
      <w:pPr>
        <w:spacing w:after="0" w:line="5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1"/>
          <w:szCs w:val="1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4117975"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17975" cy="120015"/>
                    </a:xfrm>
                    <a:prstGeom prst="rect">
                      <a:avLst/>
                    </a:prstGeom>
                    <a:noFill/>
                  </pic:spPr>
                </pic:pic>
              </a:graphicData>
            </a:graphic>
          </wp:anchor>
        </w:drawing>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4117975" cy="114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17975" cy="114300"/>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shd w:val="clear" w:color="auto" w:fill="CCEEFF"/>
        </w:rPr>
        <w:t>Payment of dividends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4117975" cy="114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17975" cy="114300"/>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Proceeds from borrowing on credit facilities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Repayment of borrowing on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4117975" cy="114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17975" cy="114300"/>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Other</w:t>
      </w:r>
    </w:p>
    <w:p>
      <w:pPr>
        <w:spacing w:after="0" w:line="5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1"/>
          <w:szCs w:val="11"/>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4117975"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17975" cy="120015"/>
                    </a:xfrm>
                    <a:prstGeom prst="rect">
                      <a:avLst/>
                    </a:prstGeom>
                    <a:noFill/>
                  </pic:spPr>
                </pic:pic>
              </a:graphicData>
            </a:graphic>
          </wp:anchor>
        </w:drawing>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4117975" cy="1257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17975" cy="125730"/>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4117975" cy="114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17975" cy="11430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154305</wp:posOffset>
            </wp:positionV>
            <wp:extent cx="4117975"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17975"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1"/>
          <w:szCs w:val="11"/>
          <w:color w:val="auto"/>
        </w:rPr>
        <w:t>Nine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22860</wp:posOffset>
            </wp:positionV>
            <wp:extent cx="106362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63625" cy="571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80" w:type="dxa"/>
            <w:vAlign w:val="bottom"/>
          </w:tcPr>
          <w:p>
            <w:pPr>
              <w:spacing w:after="0"/>
              <w:rPr>
                <w:sz w:val="12"/>
                <w:szCs w:val="12"/>
                <w:color w:val="auto"/>
              </w:rPr>
            </w:pPr>
          </w:p>
        </w:tc>
        <w:tc>
          <w:tcPr>
            <w:tcW w:w="6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2019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2018</w:t>
            </w:r>
          </w:p>
        </w:tc>
      </w:tr>
      <w:tr>
        <w:trPr>
          <w:trHeight w:val="22"/>
        </w:trPr>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327"/>
        </w:trPr>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94,645</w:t>
            </w:r>
          </w:p>
        </w:tc>
        <w:tc>
          <w:tcPr>
            <w:tcW w:w="80" w:type="dxa"/>
            <w:vAlign w:val="bottom"/>
          </w:tcPr>
          <w:p>
            <w:pPr>
              <w:spacing w:after="0"/>
              <w:rPr>
                <w:sz w:val="24"/>
                <w:szCs w:val="24"/>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56,109</w:t>
            </w:r>
          </w:p>
        </w:tc>
      </w:tr>
      <w:tr>
        <w:trPr>
          <w:trHeight w:val="360"/>
        </w:trPr>
        <w:tc>
          <w:tcPr>
            <w:tcW w:w="18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17,836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19,047</w:t>
            </w:r>
          </w:p>
        </w:tc>
      </w:tr>
      <w:tr>
        <w:trPr>
          <w:trHeight w:val="180"/>
        </w:trPr>
        <w:tc>
          <w:tcPr>
            <w:tcW w:w="180" w:type="dxa"/>
            <w:vAlign w:val="bottom"/>
          </w:tcPr>
          <w:p>
            <w:pPr>
              <w:spacing w:after="0"/>
              <w:rPr>
                <w:sz w:val="15"/>
                <w:szCs w:val="15"/>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10,311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7,581</w:t>
            </w:r>
          </w:p>
        </w:tc>
      </w:tr>
      <w:tr>
        <w:trPr>
          <w:trHeight w:val="180"/>
        </w:trPr>
        <w:tc>
          <w:tcPr>
            <w:tcW w:w="180" w:type="dxa"/>
            <w:vAlign w:val="bottom"/>
          </w:tcPr>
          <w:p>
            <w:pPr>
              <w:spacing w:after="0"/>
              <w:rPr>
                <w:sz w:val="15"/>
                <w:szCs w:val="15"/>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3,796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26,501</w:t>
            </w:r>
          </w:p>
        </w:tc>
      </w:tr>
      <w:tr>
        <w:trPr>
          <w:trHeight w:val="360"/>
        </w:trPr>
        <w:tc>
          <w:tcPr>
            <w:tcW w:w="18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332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(10,710)</w:t>
            </w:r>
          </w:p>
        </w:tc>
      </w:tr>
      <w:tr>
        <w:trPr>
          <w:trHeight w:val="180"/>
        </w:trPr>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(9,254)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(7,790)</w:t>
            </w:r>
          </w:p>
        </w:tc>
      </w:tr>
      <w:tr>
        <w:trPr>
          <w:trHeight w:val="180"/>
        </w:trPr>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480</w:t>
            </w:r>
          </w:p>
        </w:tc>
      </w:tr>
      <w:tr>
        <w:trPr>
          <w:trHeight w:val="180"/>
        </w:trPr>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(19,176)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w:t>
            </w:r>
          </w:p>
        </w:tc>
      </w:tr>
      <w:tr>
        <w:trPr>
          <w:trHeight w:val="180"/>
        </w:trPr>
        <w:tc>
          <w:tcPr>
            <w:tcW w:w="180" w:type="dxa"/>
            <w:vAlign w:val="bottom"/>
          </w:tcPr>
          <w:p>
            <w:pPr>
              <w:spacing w:after="0"/>
              <w:rPr>
                <w:sz w:val="15"/>
                <w:szCs w:val="15"/>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616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(1,863)</w:t>
            </w:r>
          </w:p>
        </w:tc>
      </w:tr>
      <w:tr>
        <w:trPr>
          <w:trHeight w:val="22"/>
        </w:trPr>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38"/>
        </w:trPr>
        <w:tc>
          <w:tcPr>
            <w:tcW w:w="18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96,902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89,222</w:t>
            </w:r>
          </w:p>
        </w:tc>
      </w:tr>
      <w:tr>
        <w:trPr>
          <w:trHeight w:val="549"/>
        </w:trPr>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(17,528)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(14,755)</w:t>
            </w:r>
          </w:p>
        </w:tc>
      </w:tr>
      <w:tr>
        <w:trPr>
          <w:trHeight w:val="180"/>
        </w:trPr>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w:t>
            </w:r>
          </w:p>
        </w:tc>
      </w:tr>
      <w:tr>
        <w:trPr>
          <w:trHeight w:val="22"/>
        </w:trPr>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38"/>
        </w:trPr>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(19,338)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(14,952)</w:t>
            </w:r>
          </w:p>
        </w:tc>
      </w:tr>
      <w:tr>
        <w:trPr>
          <w:trHeight w:val="549"/>
        </w:trPr>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(33,488)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(32,110)</w:t>
            </w:r>
          </w:p>
        </w:tc>
      </w:tr>
      <w:tr>
        <w:trPr>
          <w:trHeight w:val="180"/>
        </w:trPr>
        <w:tc>
          <w:tcPr>
            <w:tcW w:w="180" w:type="dxa"/>
            <w:vAlign w:val="bottom"/>
          </w:tcPr>
          <w:p>
            <w:pPr>
              <w:spacing w:after="0"/>
              <w:rPr>
                <w:sz w:val="15"/>
                <w:szCs w:val="15"/>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20,333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10,011</w:t>
            </w:r>
          </w:p>
        </w:tc>
      </w:tr>
      <w:tr>
        <w:trPr>
          <w:trHeight w:val="180"/>
        </w:trPr>
        <w:tc>
          <w:tcPr>
            <w:tcW w:w="180" w:type="dxa"/>
            <w:vAlign w:val="bottom"/>
          </w:tcPr>
          <w:p>
            <w:pPr>
              <w:spacing w:after="0"/>
              <w:rPr>
                <w:sz w:val="15"/>
                <w:szCs w:val="15"/>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13,637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17,439</w:t>
            </w:r>
          </w:p>
        </w:tc>
      </w:tr>
      <w:tr>
        <w:trPr>
          <w:trHeight w:val="180"/>
        </w:trPr>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(13,568)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(69,012)</w:t>
            </w:r>
          </w:p>
        </w:tc>
      </w:tr>
      <w:tr>
        <w:trPr>
          <w:trHeight w:val="180"/>
        </w:trPr>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(5,185)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(3,622)</w:t>
            </w:r>
          </w:p>
        </w:tc>
      </w:tr>
      <w:tr>
        <w:trPr>
          <w:trHeight w:val="22"/>
        </w:trPr>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38"/>
        </w:trPr>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(18,271)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(77,294)</w:t>
            </w:r>
          </w:p>
        </w:tc>
      </w:tr>
      <w:tr>
        <w:trPr>
          <w:trHeight w:val="369"/>
        </w:trPr>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r>
      <w:tr>
        <w:trPr>
          <w:trHeight w:val="22"/>
        </w:trPr>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336"/>
        </w:trPr>
        <w:tc>
          <w:tcPr>
            <w:tcW w:w="18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57,005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(3,041)</w:t>
            </w:r>
          </w:p>
        </w:tc>
      </w:tr>
      <w:tr>
        <w:trPr>
          <w:trHeight w:val="180"/>
        </w:trPr>
        <w:tc>
          <w:tcPr>
            <w:tcW w:w="180" w:type="dxa"/>
            <w:vAlign w:val="bottom"/>
          </w:tcPr>
          <w:p>
            <w:pPr>
              <w:spacing w:after="0"/>
              <w:rPr>
                <w:sz w:val="15"/>
                <w:szCs w:val="15"/>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181,427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133,944</w:t>
            </w:r>
          </w:p>
        </w:tc>
      </w:tr>
      <w:tr>
        <w:trPr>
          <w:trHeight w:val="22"/>
        </w:trPr>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4080" w:space="720"/>
            <w:col w:w="5439"/>
          </w:cols>
          <w:pgMar w:left="220" w:top="435" w:right="1440" w:bottom="1440" w:gutter="0" w:footer="0" w:header="0"/>
        </w:sectPr>
      </w:pPr>
    </w:p>
    <w:p>
      <w:pPr>
        <w:ind w:left="20"/>
        <w:spacing w:after="0"/>
        <w:tabs>
          <w:tab w:leader="none" w:pos="4800" w:val="left"/>
          <w:tab w:leader="none" w:pos="5180" w:val="left"/>
          <w:tab w:leader="none" w:pos="5680" w:val="left"/>
          <w:tab w:leader="none" w:pos="6060" w:val="left"/>
        </w:tabs>
        <w:rPr>
          <w:sz w:val="20"/>
          <w:szCs w:val="20"/>
          <w:color w:val="auto"/>
        </w:rPr>
      </w:pPr>
      <w:r>
        <w:rPr>
          <w:rFonts w:ascii="Times New Roman" w:cs="Times New Roman" w:eastAsia="Times New Roman" w:hAnsi="Times New Roman"/>
          <w:sz w:val="11"/>
          <w:szCs w:val="11"/>
          <w:color w:val="auto"/>
        </w:rPr>
        <w:t>Cash and cash equivalents, end of period</w:t>
      </w:r>
      <w:r>
        <w:rPr>
          <w:sz w:val="20"/>
          <w:szCs w:val="20"/>
          <w:color w:val="auto"/>
        </w:rPr>
        <w:tab/>
      </w:r>
      <w:r>
        <w:rPr>
          <w:rFonts w:ascii="Times New Roman" w:cs="Times New Roman" w:eastAsia="Times New Roman" w:hAnsi="Times New Roman"/>
          <w:sz w:val="11"/>
          <w:szCs w:val="11"/>
          <w:color w:val="auto"/>
        </w:rPr>
        <w:t>$</w:t>
      </w:r>
      <w:r>
        <w:rPr>
          <w:sz w:val="20"/>
          <w:szCs w:val="20"/>
          <w:color w:val="auto"/>
        </w:rPr>
        <w:tab/>
      </w:r>
      <w:r>
        <w:rPr>
          <w:rFonts w:ascii="Times New Roman" w:cs="Times New Roman" w:eastAsia="Times New Roman" w:hAnsi="Times New Roman"/>
          <w:sz w:val="11"/>
          <w:szCs w:val="11"/>
          <w:color w:val="auto"/>
        </w:rPr>
        <w:t>238,432</w:t>
        <w:tab/>
        <w:t>$</w:t>
      </w:r>
      <w:r>
        <w:rPr>
          <w:sz w:val="20"/>
          <w:szCs w:val="20"/>
          <w:color w:val="auto"/>
        </w:rPr>
        <w:tab/>
      </w:r>
      <w:r>
        <w:rPr>
          <w:rFonts w:ascii="Times New Roman" w:cs="Times New Roman" w:eastAsia="Times New Roman" w:hAnsi="Times New Roman"/>
          <w:sz w:val="10"/>
          <w:szCs w:val="10"/>
          <w:color w:val="auto"/>
        </w:rPr>
        <w:t>130,903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34290</wp:posOffset>
            </wp:positionV>
            <wp:extent cx="106362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63625" cy="5715"/>
                    </a:xfrm>
                    <a:prstGeom prst="rect">
                      <a:avLst/>
                    </a:prstGeom>
                    <a:noFill/>
                  </pic:spPr>
                </pic:pic>
              </a:graphicData>
            </a:graphic>
          </wp:anchor>
        </w:drawing>
      </w:r>
    </w:p>
    <w:p>
      <w:pPr>
        <w:sectPr>
          <w:pgSz w:w="11900" w:h="16838" w:orient="portrait"/>
          <w:cols w:equalWidth="0" w:num="1">
            <w:col w:w="10239"/>
          </w:cols>
          <w:pgMar w:left="220" w:top="435" w:right="1440" w:bottom="1440" w:gutter="0" w:footer="0" w:header="0"/>
          <w:type w:val="continuous"/>
        </w:sectPr>
      </w:pPr>
    </w:p>
    <w:bookmarkStart w:id="9" w:name="page10"/>
    <w:bookmarkEnd w:id="9"/>
    <w:p>
      <w:pPr>
        <w:ind w:right="340"/>
        <w:spacing w:after="0" w:line="254" w:lineRule="auto"/>
        <w:rPr>
          <w:sz w:val="20"/>
          <w:szCs w:val="20"/>
          <w:color w:val="auto"/>
        </w:rPr>
      </w:pPr>
      <w:r>
        <w:rPr>
          <w:rFonts w:ascii="Times New Roman" w:cs="Times New Roman" w:eastAsia="Times New Roman" w:hAnsi="Times New Roman"/>
          <w:sz w:val="11"/>
          <w:szCs w:val="11"/>
          <w:b w:val="1"/>
          <w:bCs w:val="1"/>
          <w:color w:val="auto"/>
        </w:rPr>
        <w:t>BRADY CORPORATION AND SUBSIDIARIES SEGMENT INFORMATION (Unaudited; Dollars in thousands)</w:t>
      </w: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NET SALES</w:t>
      </w:r>
    </w:p>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ID Solutions</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Workplace Safety</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Total</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SALES INFORMATION</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i w:val="1"/>
          <w:iCs w:val="1"/>
          <w:color w:val="auto"/>
          <w:shd w:val="clear" w:color="auto" w:fill="CCEEFF"/>
        </w:rPr>
        <w:t>ID Solutions</w:t>
      </w:r>
    </w:p>
    <w:p>
      <w:pPr>
        <w:spacing w:after="0" w:line="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Organic</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shd w:val="clear" w:color="auto" w:fill="CCEEFF"/>
        </w:rPr>
        <w:t>Currency</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Total</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i w:val="1"/>
          <w:iCs w:val="1"/>
          <w:color w:val="auto"/>
          <w:shd w:val="clear" w:color="auto" w:fill="CCEEFF"/>
        </w:rPr>
        <w:t>Workplace Safety</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Organic</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shd w:val="clear" w:color="auto" w:fill="CCEEFF"/>
        </w:rPr>
        <w:t>Currency</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Divestitures</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Total</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Total Company</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Organic</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Currency</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Divestitures</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Total</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SEGMENT PROFIT</w:t>
      </w:r>
    </w:p>
    <w:p>
      <w:pPr>
        <w:spacing w:after="0" w:line="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shd w:val="clear" w:color="auto" w:fill="CCEEFF"/>
        </w:rPr>
        <w:t>ID Solutions</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Workplace Safety</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shd w:val="clear" w:color="auto" w:fill="CCEEFF"/>
        </w:rPr>
        <w:t>Total</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b w:val="1"/>
          <w:bCs w:val="1"/>
          <w:color w:val="auto"/>
        </w:rPr>
        <w:t>SEGMENT PROFIT AS A PERCENT OF NET SALES</w:t>
      </w:r>
    </w:p>
    <w:p>
      <w:pPr>
        <w:spacing w:after="0" w:line="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ID Solutions</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Workplace Safety</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Total segment profit</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Unallocated amounts:</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Administrative costs</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Investment and other income</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shd w:val="clear" w:color="auto" w:fill="CCEEFF"/>
        </w:rPr>
        <w:t>Interest expense</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Income before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160" w:type="dxa"/>
            <w:vAlign w:val="bottom"/>
          </w:tcPr>
          <w:p>
            <w:pPr>
              <w:spacing w:after="0"/>
              <w:rPr>
                <w:sz w:val="12"/>
                <w:szCs w:val="12"/>
                <w:color w:val="auto"/>
              </w:rPr>
            </w:pPr>
          </w:p>
        </w:tc>
        <w:tc>
          <w:tcPr>
            <w:tcW w:w="1700" w:type="dxa"/>
            <w:vAlign w:val="bottom"/>
            <w:gridSpan w:val="5"/>
          </w:tcPr>
          <w:p>
            <w:pPr>
              <w:ind w:left="80"/>
              <w:spacing w:after="0"/>
              <w:rPr>
                <w:sz w:val="20"/>
                <w:szCs w:val="20"/>
                <w:color w:val="auto"/>
              </w:rPr>
            </w:pPr>
            <w:r>
              <w:rPr>
                <w:rFonts w:ascii="Times New Roman" w:cs="Times New Roman" w:eastAsia="Times New Roman" w:hAnsi="Times New Roman"/>
                <w:sz w:val="11"/>
                <w:szCs w:val="11"/>
                <w:color w:val="auto"/>
              </w:rPr>
              <w:t>Three months ended April 30,</w:t>
            </w:r>
          </w:p>
        </w:tc>
        <w:tc>
          <w:tcPr>
            <w:tcW w:w="160" w:type="dxa"/>
            <w:vAlign w:val="bottom"/>
          </w:tcPr>
          <w:p>
            <w:pPr>
              <w:spacing w:after="0"/>
              <w:rPr>
                <w:sz w:val="12"/>
                <w:szCs w:val="12"/>
                <w:color w:val="auto"/>
              </w:rPr>
            </w:pPr>
          </w:p>
        </w:tc>
        <w:tc>
          <w:tcPr>
            <w:tcW w:w="1620" w:type="dxa"/>
            <w:vAlign w:val="bottom"/>
            <w:gridSpan w:val="4"/>
          </w:tcPr>
          <w:p>
            <w:pPr>
              <w:jc w:val="right"/>
              <w:ind w:right="206"/>
              <w:spacing w:after="0"/>
              <w:rPr>
                <w:sz w:val="20"/>
                <w:szCs w:val="20"/>
                <w:color w:val="auto"/>
              </w:rPr>
            </w:pPr>
            <w:r>
              <w:rPr>
                <w:rFonts w:ascii="Times New Roman" w:cs="Times New Roman" w:eastAsia="Times New Roman" w:hAnsi="Times New Roman"/>
                <w:sz w:val="11"/>
                <w:szCs w:val="11"/>
                <w:color w:val="auto"/>
              </w:rPr>
              <w:t>Nine months ended April 30,</w:t>
            </w:r>
          </w:p>
        </w:tc>
      </w:tr>
      <w:tr>
        <w:trPr>
          <w:trHeight w:val="22"/>
        </w:trPr>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47"/>
        </w:trPr>
        <w:tc>
          <w:tcPr>
            <w:tcW w:w="160" w:type="dxa"/>
            <w:vAlign w:val="bottom"/>
          </w:tcPr>
          <w:p>
            <w:pPr>
              <w:spacing w:after="0"/>
              <w:rPr>
                <w:sz w:val="12"/>
                <w:szCs w:val="12"/>
                <w:color w:val="auto"/>
              </w:rPr>
            </w:pPr>
          </w:p>
        </w:tc>
        <w:tc>
          <w:tcPr>
            <w:tcW w:w="72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2019</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2018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2019</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2018</w:t>
            </w:r>
          </w:p>
        </w:tc>
      </w:tr>
      <w:tr>
        <w:trPr>
          <w:trHeight w:val="22"/>
        </w:trPr>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27"/>
        </w:trPr>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213,979</w:t>
            </w:r>
          </w:p>
        </w:tc>
        <w:tc>
          <w:tcPr>
            <w:tcW w:w="60" w:type="dxa"/>
            <w:vAlign w:val="bottom"/>
          </w:tcPr>
          <w:p>
            <w:pPr>
              <w:spacing w:after="0"/>
              <w:rPr>
                <w:sz w:val="24"/>
                <w:szCs w:val="24"/>
                <w:color w:val="auto"/>
              </w:rPr>
            </w:pP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212,154</w:t>
            </w:r>
          </w:p>
        </w:tc>
        <w:tc>
          <w:tcPr>
            <w:tcW w:w="80" w:type="dxa"/>
            <w:vAlign w:val="bottom"/>
          </w:tcPr>
          <w:p>
            <w:pPr>
              <w:spacing w:after="0"/>
              <w:rPr>
                <w:sz w:val="24"/>
                <w:szCs w:val="24"/>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641,283</w:t>
            </w:r>
          </w:p>
        </w:tc>
        <w:tc>
          <w:tcPr>
            <w:tcW w:w="60" w:type="dxa"/>
            <w:vAlign w:val="bottom"/>
          </w:tcPr>
          <w:p>
            <w:pPr>
              <w:spacing w:after="0"/>
              <w:rPr>
                <w:sz w:val="24"/>
                <w:szCs w:val="24"/>
                <w:color w:val="auto"/>
              </w:rPr>
            </w:pP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628,291</w:t>
            </w:r>
          </w:p>
        </w:tc>
      </w:tr>
      <w:tr>
        <w:trPr>
          <w:trHeight w:val="180"/>
        </w:trPr>
        <w:tc>
          <w:tcPr>
            <w:tcW w:w="160" w:type="dxa"/>
            <w:vAlign w:val="bottom"/>
          </w:tcPr>
          <w:p>
            <w:pPr>
              <w:spacing w:after="0"/>
              <w:rPr>
                <w:sz w:val="15"/>
                <w:szCs w:val="15"/>
                <w:color w:val="auto"/>
              </w:rPr>
            </w:pPr>
          </w:p>
        </w:tc>
        <w:tc>
          <w:tcPr>
            <w:tcW w:w="7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75,766</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86,267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224,084</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248,061</w:t>
            </w:r>
          </w:p>
        </w:tc>
      </w:tr>
      <w:tr>
        <w:trPr>
          <w:trHeight w:val="22"/>
        </w:trPr>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38"/>
        </w:trPr>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289,745</w:t>
            </w:r>
          </w:p>
        </w:tc>
        <w:tc>
          <w:tcPr>
            <w:tcW w:w="60" w:type="dxa"/>
            <w:vAlign w:val="bottom"/>
          </w:tcPr>
          <w:p>
            <w:pPr>
              <w:spacing w:after="0"/>
              <w:rPr>
                <w:sz w:val="12"/>
                <w:szCs w:val="12"/>
                <w:color w:val="auto"/>
              </w:rPr>
            </w:pP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298,421</w:t>
            </w:r>
          </w:p>
        </w:tc>
        <w:tc>
          <w:tcPr>
            <w:tcW w:w="8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865,367</w:t>
            </w:r>
          </w:p>
        </w:tc>
        <w:tc>
          <w:tcPr>
            <w:tcW w:w="60" w:type="dxa"/>
            <w:vAlign w:val="bottom"/>
          </w:tcPr>
          <w:p>
            <w:pPr>
              <w:spacing w:after="0"/>
              <w:rPr>
                <w:sz w:val="12"/>
                <w:szCs w:val="12"/>
                <w:color w:val="auto"/>
              </w:rPr>
            </w:pP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876,352</w:t>
            </w:r>
          </w:p>
        </w:tc>
      </w:tr>
      <w:tr>
        <w:trPr>
          <w:trHeight w:val="29"/>
        </w:trPr>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-1795145</wp:posOffset>
            </wp:positionH>
            <wp:positionV relativeFrom="paragraph">
              <wp:posOffset>-480060</wp:posOffset>
            </wp:positionV>
            <wp:extent cx="4106545"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106545" cy="12001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-245110</wp:posOffset>
            </wp:positionV>
            <wp:extent cx="4106545" cy="114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06545" cy="11430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-10795</wp:posOffset>
            </wp:positionV>
            <wp:extent cx="4106545" cy="1314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106545" cy="13144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234315</wp:posOffset>
            </wp:positionV>
            <wp:extent cx="4106545" cy="114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06545" cy="11430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4.0 %</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4.4 %</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3.7 %</w:t>
            </w:r>
          </w:p>
        </w:tc>
      </w:tr>
      <w:tr>
        <w:trPr>
          <w:trHeight w:val="180"/>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3.0 %</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0.9 %</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2.1 %</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6.7 %</w:t>
            </w:r>
          </w:p>
        </w:tc>
      </w:tr>
      <w:tr>
        <w:trPr>
          <w:trHeight w:val="29"/>
        </w:trPr>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338"/>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80"/>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5.7 %</w:t>
            </w:r>
          </w:p>
        </w:tc>
      </w:tr>
      <w:tr>
        <w:trPr>
          <w:trHeight w:val="180"/>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3"/>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5.6 %</w:t>
            </w:r>
          </w:p>
        </w:tc>
      </w:tr>
      <w:tr>
        <w:trPr>
          <w:trHeight w:val="29"/>
        </w:trPr>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338"/>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2.7 %</w:t>
            </w:r>
          </w:p>
        </w:tc>
      </w:tr>
      <w:tr>
        <w:trPr>
          <w:trHeight w:val="180"/>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3.6 %</w:t>
            </w:r>
          </w:p>
        </w:tc>
      </w:tr>
      <w:tr>
        <w:trPr>
          <w:trHeight w:val="180"/>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3"/>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6.3 %</w:t>
            </w:r>
          </w:p>
        </w:tc>
      </w:tr>
      <w:tr>
        <w:trPr>
          <w:trHeight w:val="29"/>
        </w:trPr>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527"/>
        </w:trPr>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39,892</w:t>
            </w:r>
          </w:p>
        </w:tc>
        <w:tc>
          <w:tcPr>
            <w:tcW w:w="60" w:type="dxa"/>
            <w:vAlign w:val="bottom"/>
          </w:tcPr>
          <w:p>
            <w:pPr>
              <w:spacing w:after="0"/>
              <w:rPr>
                <w:sz w:val="24"/>
                <w:szCs w:val="24"/>
                <w:color w:val="auto"/>
              </w:rPr>
            </w:pP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36,970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119,311</w:t>
            </w:r>
          </w:p>
        </w:tc>
        <w:tc>
          <w:tcPr>
            <w:tcW w:w="60" w:type="dxa"/>
            <w:vAlign w:val="bottom"/>
          </w:tcPr>
          <w:p>
            <w:pPr>
              <w:spacing w:after="0"/>
              <w:rPr>
                <w:sz w:val="24"/>
                <w:szCs w:val="24"/>
                <w:color w:val="auto"/>
              </w:rPr>
            </w:pP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106,896</w:t>
            </w:r>
          </w:p>
        </w:tc>
      </w:tr>
      <w:tr>
        <w:trPr>
          <w:trHeight w:val="180"/>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6,099</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7,537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16,301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21,037</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38"/>
        </w:trPr>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45,991</w:t>
            </w:r>
          </w:p>
        </w:tc>
        <w:tc>
          <w:tcPr>
            <w:tcW w:w="60" w:type="dxa"/>
            <w:vAlign w:val="bottom"/>
          </w:tcPr>
          <w:p>
            <w:pPr>
              <w:spacing w:after="0"/>
              <w:rPr>
                <w:sz w:val="12"/>
                <w:szCs w:val="12"/>
                <w:color w:val="auto"/>
              </w:rPr>
            </w:pP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44,507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135,612</w:t>
            </w:r>
          </w:p>
        </w:tc>
        <w:tc>
          <w:tcPr>
            <w:tcW w:w="60" w:type="dxa"/>
            <w:vAlign w:val="bottom"/>
          </w:tcPr>
          <w:p>
            <w:pPr>
              <w:spacing w:after="0"/>
              <w:rPr>
                <w:sz w:val="12"/>
                <w:szCs w:val="12"/>
                <w:color w:val="auto"/>
              </w:rPr>
            </w:pP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127,933</w:t>
            </w:r>
          </w:p>
        </w:tc>
      </w:tr>
      <w:tr>
        <w:trPr>
          <w:trHeight w:val="29"/>
        </w:trPr>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52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17.0 %</w:t>
            </w:r>
          </w:p>
        </w:tc>
      </w:tr>
      <w:tr>
        <w:trPr>
          <w:trHeight w:val="180"/>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8.0 %</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7.3 %</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8.5 %</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15.9 %</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15.7 %</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14.6 %</w:t>
            </w:r>
          </w:p>
        </w:tc>
      </w:tr>
      <w:tr>
        <w:trPr>
          <w:trHeight w:val="29"/>
        </w:trPr>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r>
      <w:tr>
        <w:trPr>
          <w:trHeight w:val="39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6"/>
          </w:tcPr>
          <w:p>
            <w:pPr>
              <w:ind w:left="80"/>
              <w:spacing w:after="0"/>
              <w:rPr>
                <w:sz w:val="20"/>
                <w:szCs w:val="20"/>
                <w:color w:val="auto"/>
              </w:rPr>
            </w:pPr>
            <w:r>
              <w:rPr>
                <w:rFonts w:ascii="Times New Roman" w:cs="Times New Roman" w:eastAsia="Times New Roman" w:hAnsi="Times New Roman"/>
                <w:sz w:val="11"/>
                <w:szCs w:val="11"/>
                <w:color w:val="auto"/>
              </w:rPr>
              <w:t>Three months ended April 30,</w:t>
            </w:r>
          </w:p>
        </w:tc>
        <w:tc>
          <w:tcPr>
            <w:tcW w:w="180" w:type="dxa"/>
            <w:vAlign w:val="bottom"/>
          </w:tcPr>
          <w:p>
            <w:pPr>
              <w:spacing w:after="0"/>
              <w:rPr>
                <w:sz w:val="24"/>
                <w:szCs w:val="24"/>
                <w:color w:val="auto"/>
              </w:rPr>
            </w:pPr>
          </w:p>
        </w:tc>
        <w:tc>
          <w:tcPr>
            <w:tcW w:w="1600" w:type="dxa"/>
            <w:vAlign w:val="bottom"/>
            <w:gridSpan w:val="5"/>
          </w:tcPr>
          <w:p>
            <w:pPr>
              <w:jc w:val="right"/>
              <w:ind w:right="186"/>
              <w:spacing w:after="0"/>
              <w:rPr>
                <w:sz w:val="20"/>
                <w:szCs w:val="20"/>
                <w:color w:val="auto"/>
              </w:rPr>
            </w:pPr>
            <w:r>
              <w:rPr>
                <w:rFonts w:ascii="Times New Roman" w:cs="Times New Roman" w:eastAsia="Times New Roman" w:hAnsi="Times New Roman"/>
                <w:sz w:val="11"/>
                <w:szCs w:val="11"/>
                <w:color w:val="auto"/>
              </w:rPr>
              <w:t>Nine months ended April 30,</w:t>
            </w:r>
          </w:p>
        </w:tc>
      </w:tr>
      <w:tr>
        <w:trPr>
          <w:trHeight w:val="22"/>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2019</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2018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2019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2018</w:t>
            </w:r>
          </w:p>
        </w:tc>
      </w:tr>
      <w:tr>
        <w:trPr>
          <w:trHeight w:val="22"/>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38"/>
        </w:trPr>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45,991</w:t>
            </w:r>
          </w:p>
        </w:tc>
        <w:tc>
          <w:tcPr>
            <w:tcW w:w="60" w:type="dxa"/>
            <w:vAlign w:val="bottom"/>
          </w:tcPr>
          <w:p>
            <w:pPr>
              <w:spacing w:after="0"/>
              <w:rPr>
                <w:sz w:val="12"/>
                <w:szCs w:val="12"/>
                <w:color w:val="auto"/>
              </w:rPr>
            </w:pP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44,507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135,612</w:t>
            </w:r>
          </w:p>
        </w:tc>
        <w:tc>
          <w:tcPr>
            <w:tcW w:w="60" w:type="dxa"/>
            <w:vAlign w:val="bottom"/>
          </w:tcPr>
          <w:p>
            <w:pPr>
              <w:spacing w:after="0"/>
              <w:rPr>
                <w:sz w:val="12"/>
                <w:szCs w:val="12"/>
                <w:color w:val="auto"/>
              </w:rPr>
            </w:pP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127,933</w:t>
            </w:r>
          </w:p>
        </w:tc>
      </w:tr>
      <w:tr>
        <w:trPr>
          <w:trHeight w:val="360"/>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(6,370)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(6,798)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(19,339)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(20,017)</w:t>
            </w:r>
          </w:p>
        </w:tc>
      </w:tr>
      <w:tr>
        <w:trPr>
          <w:trHeight w:val="180"/>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2,065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3,425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1,303</w:t>
            </w:r>
          </w:p>
        </w:tc>
      </w:tr>
      <w:tr>
        <w:trPr>
          <w:trHeight w:val="180"/>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(708)</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(2,453)</w:t>
            </w:r>
          </w:p>
        </w:tc>
      </w:tr>
      <w:tr>
        <w:trPr>
          <w:trHeight w:val="22"/>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38"/>
        </w:trPr>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40,978</w:t>
            </w:r>
          </w:p>
        </w:tc>
        <w:tc>
          <w:tcPr>
            <w:tcW w:w="60" w:type="dxa"/>
            <w:vAlign w:val="bottom"/>
          </w:tcPr>
          <w:p>
            <w:pPr>
              <w:spacing w:after="0"/>
              <w:rPr>
                <w:sz w:val="12"/>
                <w:szCs w:val="12"/>
                <w:color w:val="auto"/>
              </w:rPr>
            </w:pP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36,979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117,561</w:t>
            </w:r>
          </w:p>
        </w:tc>
        <w:tc>
          <w:tcPr>
            <w:tcW w:w="60" w:type="dxa"/>
            <w:vAlign w:val="bottom"/>
          </w:tcPr>
          <w:p>
            <w:pPr>
              <w:spacing w:after="0"/>
              <w:rPr>
                <w:sz w:val="12"/>
                <w:szCs w:val="12"/>
                <w:color w:val="auto"/>
              </w:rPr>
            </w:pP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106,766</w:t>
            </w:r>
          </w:p>
        </w:tc>
      </w:tr>
      <w:tr>
        <w:trPr>
          <w:trHeight w:val="29"/>
        </w:trPr>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-1795145</wp:posOffset>
            </wp:positionH>
            <wp:positionV relativeFrom="paragraph">
              <wp:posOffset>-3700145</wp:posOffset>
            </wp:positionV>
            <wp:extent cx="4106545" cy="114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106545" cy="11430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-3465195</wp:posOffset>
            </wp:positionV>
            <wp:extent cx="4106545" cy="1257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106545" cy="12573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-3225165</wp:posOffset>
            </wp:positionV>
            <wp:extent cx="4106545" cy="114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106545" cy="11430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-2996565</wp:posOffset>
            </wp:positionV>
            <wp:extent cx="4106545"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106545" cy="12001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-2750185</wp:posOffset>
            </wp:positionV>
            <wp:extent cx="4106545" cy="1143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106545" cy="11430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-2521585</wp:posOffset>
            </wp:positionV>
            <wp:extent cx="4106545" cy="114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106545" cy="11430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-2287270</wp:posOffset>
            </wp:positionV>
            <wp:extent cx="4106545" cy="1314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106545" cy="13144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-2040890</wp:posOffset>
            </wp:positionV>
            <wp:extent cx="4106545" cy="1143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106545" cy="11430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-1812290</wp:posOffset>
            </wp:positionV>
            <wp:extent cx="4106545"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106545" cy="12001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-1560830</wp:posOffset>
            </wp:positionV>
            <wp:extent cx="4106545" cy="1143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106545" cy="11430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-1332230</wp:posOffset>
            </wp:positionV>
            <wp:extent cx="4106545" cy="1143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106545" cy="11430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-702945</wp:posOffset>
            </wp:positionV>
            <wp:extent cx="4112260" cy="1143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112260" cy="11430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-474345</wp:posOffset>
            </wp:positionV>
            <wp:extent cx="4112260" cy="1143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112260" cy="11430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-245110</wp:posOffset>
            </wp:positionV>
            <wp:extent cx="4112260" cy="1143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112260" cy="114300"/>
                    </a:xfrm>
                    <a:prstGeom prst="rect">
                      <a:avLst/>
                    </a:prstGeom>
                    <a:noFill/>
                  </pic:spPr>
                </pic:pic>
              </a:graphicData>
            </a:graphic>
          </wp:anchor>
        </w:drawing>
      </w:r>
    </w:p>
    <w:p>
      <w:pPr>
        <w:sectPr>
          <w:pgSz w:w="11900" w:h="16838" w:orient="portrait"/>
          <w:cols w:equalWidth="0" w:num="2">
            <w:col w:w="2600" w:space="220"/>
            <w:col w:w="7419"/>
          </w:cols>
          <w:pgMar w:left="220" w:top="435" w:right="1440"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271780</wp:posOffset>
            </wp:positionV>
            <wp:extent cx="7244715" cy="59690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74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4715" cy="5974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2019-12-28T11:41:57Z</dcterms:created>
  <dcterms:modified xsi:type="dcterms:W3CDTF">2019-12-28T11:41:57Z</dcterms:modified>
</cp:coreProperties>
</file>