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47625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tbl>
      <w:tblPr>
        <w:tblLayout w:type="fixed"/>
        <w:tblInd w:w="1620" w:type="dxa"/>
        <w:tblCellMar>
          <w:top w:w="0" w:type="dxa"/>
          <w:left w:w="0" w:type="dxa"/>
          <w:bottom w:w="0" w:type="dxa"/>
          <w:right w:w="0" w:type="dxa"/>
        </w:tblCellMar>
      </w:tblPr>
      <w:tr>
        <w:trPr>
          <w:trHeight w:val="352"/>
        </w:trPr>
        <w:tc>
          <w:tcPr>
            <w:tcW w:w="2340" w:type="dxa"/>
            <w:vAlign w:val="bottom"/>
          </w:tcPr>
          <w:p>
            <w:pPr>
              <w:spacing w:after="0"/>
              <w:rPr>
                <w:sz w:val="24"/>
                <w:szCs w:val="24"/>
                <w:color w:val="auto"/>
              </w:rPr>
            </w:pPr>
          </w:p>
        </w:tc>
        <w:tc>
          <w:tcPr>
            <w:tcW w:w="5280" w:type="dxa"/>
            <w:vAlign w:val="bottom"/>
            <w:gridSpan w:val="3"/>
          </w:tcPr>
          <w:p>
            <w:pPr>
              <w:jc w:val="center"/>
              <w:ind w:right="1852"/>
              <w:spacing w:after="0"/>
              <w:rPr>
                <w:sz w:val="20"/>
                <w:szCs w:val="20"/>
                <w:color w:val="auto"/>
              </w:rPr>
            </w:pPr>
            <w:r>
              <w:rPr>
                <w:rFonts w:ascii="Times New Roman" w:cs="Times New Roman" w:eastAsia="Times New Roman" w:hAnsi="Times New Roman"/>
                <w:sz w:val="29"/>
                <w:szCs w:val="29"/>
                <w:b w:val="1"/>
                <w:bCs w:val="1"/>
                <w:color w:val="auto"/>
                <w:w w:val="98"/>
              </w:rPr>
              <w:t>BRADY CORPORATION</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(Exact name of registrant as specified in its charter)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r>
        <w:trPr>
          <w:trHeight w:val="28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5"/>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5280" w:type="dxa"/>
            <w:vAlign w:val="bottom"/>
            <w:gridSpan w:val="3"/>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3"/>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0"/>
                <w:szCs w:val="10"/>
                <w:color w:val="auto"/>
                <w:w w:val="95"/>
              </w:rPr>
              <w:t>(State or other jurisdiction of incorporation or organization)</w:t>
            </w:r>
          </w:p>
        </w:tc>
        <w:tc>
          <w:tcPr>
            <w:tcW w:w="4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360" w:type="dxa"/>
            <w:vAlign w:val="bottom"/>
          </w:tcPr>
          <w:p>
            <w:pPr>
              <w:jc w:val="center"/>
              <w:ind w:left="992"/>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72"/>
        </w:trPr>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4"/>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(Address of principal executive offices and Zip Code)</w:t>
            </w:r>
          </w:p>
        </w:tc>
      </w:tr>
      <w:tr>
        <w:trPr>
          <w:trHeight w:val="246"/>
        </w:trPr>
        <w:tc>
          <w:tcPr>
            <w:tcW w:w="2340" w:type="dxa"/>
            <w:vAlign w:val="bottom"/>
          </w:tcPr>
          <w:p>
            <w:pPr>
              <w:spacing w:after="0"/>
              <w:rPr>
                <w:sz w:val="21"/>
                <w:szCs w:val="21"/>
                <w:color w:val="auto"/>
              </w:rPr>
            </w:pPr>
          </w:p>
        </w:tc>
        <w:tc>
          <w:tcPr>
            <w:tcW w:w="2920" w:type="dxa"/>
            <w:vAlign w:val="bottom"/>
            <w:gridSpan w:val="2"/>
          </w:tcPr>
          <w:p>
            <w:pPr>
              <w:jc w:val="center"/>
              <w:ind w:left="352"/>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60" w:type="dxa"/>
            <w:vAlign w:val="bottom"/>
          </w:tcPr>
          <w:p>
            <w:pPr>
              <w:spacing w:after="0"/>
              <w:rPr>
                <w:sz w:val="21"/>
                <w:szCs w:val="21"/>
                <w:color w:val="auto"/>
              </w:rPr>
            </w:pP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0"/>
                <w:szCs w:val="10"/>
                <w:color w:val="auto"/>
                <w:w w:val="94"/>
              </w:rPr>
              <w:t>(Registrant’s Telephone Number)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60"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February 21, 2025, Brady Corporation (the “Company”) issued a press release announcing its fiscal 2025 second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February 21, 2025, the Company hosted a conference call related to its fiscal 2025 second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79"/>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5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of Brady Corporation, dated February 21, 2025, relating to fiscal 2025 second quarter financial results.</w:t>
            </w:r>
          </w:p>
        </w:tc>
        <w:tc>
          <w:tcPr>
            <w:tcW w:w="4280" w:type="dxa"/>
            <w:vAlign w:val="bottom"/>
            <w:gridSpan w:val="2"/>
          </w:tcPr>
          <w:p>
            <w:pPr>
              <w:spacing w:after="0"/>
              <w:rPr>
                <w:sz w:val="15"/>
                <w:szCs w:val="15"/>
                <w:color w:val="auto"/>
              </w:rPr>
            </w:pPr>
          </w:p>
        </w:tc>
      </w:tr>
      <w:tr>
        <w:trPr>
          <w:trHeight w:val="196"/>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6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Informational slides provided by Brady Corporation, dated February 21, 2025, relating to fiscal 2025 second quarter financial results.</w:t>
            </w:r>
          </w:p>
        </w:tc>
        <w:tc>
          <w:tcPr>
            <w:tcW w:w="3500" w:type="dxa"/>
            <w:vAlign w:val="bottom"/>
          </w:tcPr>
          <w:p>
            <w:pPr>
              <w:spacing w:after="0"/>
              <w:rPr>
                <w:sz w:val="17"/>
                <w:szCs w:val="17"/>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21, 2025</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10795</wp:posOffset>
            </wp:positionV>
            <wp:extent cx="2423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2025 Second Quarter Results and Raises the Low End of its Fiscal 2025 Adjusted Diluted EPS Guidance</w:t>
      </w:r>
    </w:p>
    <w:p>
      <w:pPr>
        <w:spacing w:after="0" w:line="195"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increased 10.6 percent. Organic sales increased 2.6 percent, acquisitions increased sales 10.2 percent and foreign currency translation decreased sales 2.2 percent.</w:t>
      </w:r>
    </w:p>
    <w:p>
      <w:pPr>
        <w:spacing w:after="0" w:line="55" w:lineRule="exact"/>
        <w:rPr>
          <w:rFonts w:ascii="Arial" w:cs="Arial" w:eastAsia="Arial" w:hAnsi="Arial"/>
          <w:sz w:val="14"/>
          <w:szCs w:val="14"/>
          <w:color w:val="auto"/>
        </w:rPr>
      </w:pPr>
    </w:p>
    <w:p>
      <w:pPr>
        <w:ind w:left="420" w:right="20" w:hanging="212"/>
        <w:spacing w:after="0" w:line="310"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Diluted EPS decreased 7.8 percent to $0.83 in the second quarter of fiscal 2025 compared to $0.90 in the same quarter of the prior year. Adjusted Diluted EPS* increased 7.5 percent to $1.00 in the second quarter of fiscal 2025 compared to $0.93 in the same quarter of the prior year.</w:t>
      </w:r>
    </w:p>
    <w:p>
      <w:pPr>
        <w:spacing w:after="0" w:line="1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Net cash provided by operating activities increased to $39.6 million in the second quarter of fiscal 2025 compared to $36.1 million in the second quarter of last year.</w:t>
      </w:r>
    </w:p>
    <w:p>
      <w:pPr>
        <w:spacing w:after="0" w:line="55" w:lineRule="exact"/>
        <w:rPr>
          <w:rFonts w:ascii="Times New Roman" w:cs="Times New Roman" w:eastAsia="Times New Roman" w:hAnsi="Times New Roman"/>
          <w:sz w:val="14"/>
          <w:szCs w:val="14"/>
          <w:color w:val="auto"/>
        </w:rPr>
      </w:pPr>
    </w:p>
    <w:p>
      <w:pPr>
        <w:ind w:left="420" w:hanging="212"/>
        <w:spacing w:after="0" w:line="349"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low end of Adjusted Diluted EPS* Guidance was raised for the full year ending July 31, 2025 from the previous range of $4.40 to $4.70 per share to the new range of $4.45 to $4.70 per share. GAAP earnings per diluted Class A Nonvoting Common share guidance for the year ending July 31, 2025 was updated to reflect facility closure and other reorganization costs to $3.99 to $4.24 per share.</w:t>
      </w:r>
    </w:p>
    <w:p>
      <w:pPr>
        <w:spacing w:after="0" w:line="116"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13"/>
          <w:szCs w:val="13"/>
          <w:color w:val="auto"/>
        </w:rPr>
        <w:t>MILWAUKEE (February 21, 2025) -- Brady Corporation (NYSE: BRC) (“Brady” or “Company”), a world leader in identification solutions, today reported its financial results for its fiscal 2025 second quarter ended January 31,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January 31, 2025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quarter ended January 31, 2025 increased 10.6 percent, which consisted of organic sales growth of 2.6 percent, growth of 10.2 percent from acquisitions and a decline of 2.2 percent from foreign currency translation. Sales for the quarter ended January 31, 2025 were $356.7 million compared to $322.6 million in the same quarter last year. By region, sales increased 10.5 percent in the Americas &amp; Asia and sales increased 10.7 percent in Europe &amp; Australia, which consisted of organic sales growth of 4.3 percent in the Americas &amp; Asia and an organic sales decline of 0.8 percent in Europe &amp; Australia.</w:t>
      </w:r>
    </w:p>
    <w:p>
      <w:pPr>
        <w:spacing w:after="0" w:line="1" w:lineRule="exact"/>
        <w:rPr>
          <w:sz w:val="20"/>
          <w:szCs w:val="20"/>
          <w:color w:val="auto"/>
        </w:rPr>
      </w:pPr>
    </w:p>
    <w:p>
      <w:pPr>
        <w:jc w:val="both"/>
        <w:ind w:firstLine="432"/>
        <w:spacing w:after="0" w:line="337" w:lineRule="auto"/>
        <w:rPr>
          <w:sz w:val="20"/>
          <w:szCs w:val="20"/>
          <w:color w:val="auto"/>
        </w:rPr>
      </w:pPr>
      <w:r>
        <w:rPr>
          <w:rFonts w:ascii="Times New Roman" w:cs="Times New Roman" w:eastAsia="Times New Roman" w:hAnsi="Times New Roman"/>
          <w:sz w:val="13"/>
          <w:szCs w:val="13"/>
          <w:color w:val="auto"/>
        </w:rPr>
        <w:t>Income before income taxes decreased 6.8 percent to $52.0 million in the quarter ended January 31, 2025, compared to $55.8 million in the same quarter last year. Adjusted Income Before Income Taxes* in the quarter ended January 31, 2025, which was adjusted for amortization expense and facility closure and other reorganization costs of $10.3 million, was $62.4 million, an increase of 7.2 percent compared to the second quarter of last year. Adjusted Income Before Income Taxes* in the quarter ended January 31, 2024, which was adjusted for amortization expense of $2.4 million, was $58.2 million.</w:t>
      </w:r>
    </w:p>
    <w:p>
      <w:pPr>
        <w:jc w:val="both"/>
        <w:ind w:firstLine="432"/>
        <w:spacing w:after="0" w:line="382" w:lineRule="auto"/>
        <w:rPr>
          <w:sz w:val="20"/>
          <w:szCs w:val="20"/>
          <w:color w:val="auto"/>
        </w:rPr>
      </w:pPr>
      <w:r>
        <w:rPr>
          <w:rFonts w:ascii="Times New Roman" w:cs="Times New Roman" w:eastAsia="Times New Roman" w:hAnsi="Times New Roman"/>
          <w:sz w:val="13"/>
          <w:szCs w:val="13"/>
          <w:color w:val="auto"/>
        </w:rPr>
        <w:t>Net income for the quarter ended January 31, 2025 was $40.3 million compared to $43.6 million in the same quarter last year. Adjusted Net Income* in the quarter ended January 31, 2025 was $48.1 million compared to $45.4 million in the same quarter last year. Earnings per diluted Class A Nonvoting Common Share was $0.83</w:t>
      </w:r>
    </w:p>
    <w:p>
      <w:pPr>
        <w:sectPr>
          <w:pgSz w:w="11900" w:h="16838" w:orient="portrait"/>
          <w:cols w:equalWidth="0" w:num="1">
            <w:col w:w="11300"/>
          </w:cols>
          <w:pgMar w:left="300" w:top="636"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auto"/>
        </w:rPr>
        <w:t>compared to $0.90 in the same quarter last year. Adjusted Diluted EPS* in the quarter ended January 31, 2025 was $1.00 compared to $0.93 in the same quarter last year.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Six-Month Period Ended January 31, 2025 Financial Results:</w:t>
      </w:r>
    </w:p>
    <w:p>
      <w:pPr>
        <w:spacing w:after="0" w:line="51" w:lineRule="exact"/>
        <w:rPr>
          <w:sz w:val="20"/>
          <w:szCs w:val="20"/>
          <w:color w:val="auto"/>
        </w:rPr>
      </w:pPr>
    </w:p>
    <w:p>
      <w:pPr>
        <w:jc w:val="both"/>
        <w:ind w:firstLine="432"/>
        <w:spacing w:after="0" w:line="328" w:lineRule="auto"/>
        <w:rPr>
          <w:sz w:val="20"/>
          <w:szCs w:val="20"/>
          <w:color w:val="auto"/>
        </w:rPr>
      </w:pPr>
      <w:r>
        <w:rPr>
          <w:rFonts w:ascii="Times New Roman" w:cs="Times New Roman" w:eastAsia="Times New Roman" w:hAnsi="Times New Roman"/>
          <w:sz w:val="13"/>
          <w:szCs w:val="13"/>
          <w:color w:val="auto"/>
        </w:rPr>
        <w:t>Sales for the six-month period ended January 31, 2025 increased 12.1 percent, which consisted of organic sales growth of 3.1 percent, growth of 10.0 percent from acquisitions, a decline of 0.5 percent from foreign currency translation and a decline of 0.5 percent from divestitures. Sales for the six months ended January 31, 2025 were $733.7 million compared to $654.6 million in the same period last year. By region, sales increased 10.6 percent in the Americas &amp; Asia and sales increased 15.0 percent in Europe &amp; Australia, which consisted of organic growth of 4.7 percent in the Americas &amp; Asia and flat organic sales in Europe &amp; Australia.</w:t>
      </w:r>
    </w:p>
    <w:p>
      <w:pPr>
        <w:spacing w:after="0" w:line="2"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Income before income taxes decreased 3.8 percent to $110.8 million in the six-month period ended January 31, 2025, compared to $115.2 million in the same period last year. Adjusted Income Before Income Taxes* in the six-month period ended January 31, 2025, which was adjusted for amortization expense, facility closure and other reorganization costs and acquisition-related charges of $20.1 million, was $130.9 million, an increase of 9.2 percent compared to the same period last year. Adjusted Income Before Income Taxes* in the six-month period ended January 31, 2024, which was adjusted for amortization expense of $4.7 million, was $119.9 million.</w:t>
      </w:r>
    </w:p>
    <w:p>
      <w:pPr>
        <w:spacing w:after="0" w:line="1" w:lineRule="exact"/>
        <w:rPr>
          <w:sz w:val="20"/>
          <w:szCs w:val="20"/>
          <w:color w:val="auto"/>
        </w:rPr>
      </w:pPr>
    </w:p>
    <w:p>
      <w:pPr>
        <w:jc w:val="both"/>
        <w:ind w:firstLine="432"/>
        <w:spacing w:after="0" w:line="357" w:lineRule="auto"/>
        <w:rPr>
          <w:sz w:val="20"/>
          <w:szCs w:val="20"/>
          <w:color w:val="auto"/>
        </w:rPr>
      </w:pPr>
      <w:r>
        <w:rPr>
          <w:rFonts w:ascii="Times New Roman" w:cs="Times New Roman" w:eastAsia="Times New Roman" w:hAnsi="Times New Roman"/>
          <w:sz w:val="13"/>
          <w:szCs w:val="13"/>
          <w:color w:val="auto"/>
        </w:rPr>
        <w:t>Net income in the six-month period ended January 31, 2025 was $87.1 million compared to $90.9 million in the same period last year. Adjusted Net Income* in the six-month period ended January 31, 2025 was $102.3 million compared to $94.5 million in the same period last year. Earnings per diluted Class A Nonvoting Common Share was $1.81 compared to $1.86 in the same period last year. Adjusted Diluted EPS* in the six-month period ended January 31, 2025 was $2.12 compared to $1.94 in the same period last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60"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“Our investments in research and development continue to drive the introduction of new products such as our i7500 high-speed printer, which was launched this quarter. It creates value for our customers by using our LabelSense</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3"/>
          <w:szCs w:val="13"/>
          <w:color w:val="auto"/>
        </w:rPr>
        <w:t xml:space="preserve"> technology to enable rapid material changeover with zero waste,” said Brady’s President and Chief Executive Officer, Russell R. Shaller. “On a regional basis, the Americas and Asia region performed well with another quarter of strong organic sales growth and improvement in segment profit. Brady has a clear roadmap defined using our R&amp;D to create innovative products while continuing to improve our operational efficiency.”</w:t>
      </w:r>
    </w:p>
    <w:p>
      <w:pPr>
        <w:spacing w:after="0" w:line="3"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“We generated adjusted EPS of $1.00 this quarter, which represented 7.5 percent growth compared to the second quarter of last year,” said Brady’s Chief Financial Officer, Ann Thornton. “This performance was driven by organic sales growth and a continued focus on long-term operational efficiency opportunities. Our balance sheet is strong and our net cash position increased to $50.8 million this quarter, which provides us with the flexibility to fully fund our organic and inorganic opportunities, and return funds to our shareholders through dividends and share buybacks. We believe we are positioned to continue to deliver improved long-term financial results to our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2025 Guidance:</w:t>
      </w:r>
    </w:p>
    <w:p>
      <w:pPr>
        <w:spacing w:after="0" w:line="60" w:lineRule="exact"/>
        <w:rPr>
          <w:sz w:val="20"/>
          <w:szCs w:val="20"/>
          <w:color w:val="auto"/>
        </w:rPr>
      </w:pPr>
    </w:p>
    <w:p>
      <w:pPr>
        <w:jc w:val="both"/>
        <w:ind w:firstLine="432"/>
        <w:spacing w:after="0" w:line="367" w:lineRule="auto"/>
        <w:rPr>
          <w:sz w:val="20"/>
          <w:szCs w:val="20"/>
          <w:color w:val="auto"/>
        </w:rPr>
      </w:pPr>
      <w:r>
        <w:rPr>
          <w:rFonts w:ascii="Times New Roman" w:cs="Times New Roman" w:eastAsia="Times New Roman" w:hAnsi="Times New Roman"/>
          <w:sz w:val="13"/>
          <w:szCs w:val="13"/>
          <w:color w:val="auto"/>
        </w:rPr>
        <w:t>The Company raised the low end of its Adjusted Diluted EPS* guidance for the year ending July 31, 2025 from $4.40 to $4.70 per share to $4.45 to $4.70 per share. The Company’s GAAP earnings per diluted Class A</w:t>
      </w:r>
    </w:p>
    <w:p>
      <w:pPr>
        <w:sectPr>
          <w:pgSz w:w="11900" w:h="16838" w:orient="portrait"/>
          <w:cols w:equalWidth="0" w:num="1">
            <w:col w:w="11300"/>
          </w:cols>
          <w:pgMar w:left="300" w:top="674"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color w:val="auto"/>
        </w:rPr>
        <w:t>Nonvoting Common Share guidance for the year ending July 31, 2025 was updated for facility closure and other reorganization costs incurred to date to $3.99 to $4.24 per share, from $4.02 to $4.32 per share.</w:t>
      </w:r>
    </w:p>
    <w:p>
      <w:pPr>
        <w:spacing w:after="0" w:line="49" w:lineRule="exact"/>
        <w:rPr>
          <w:sz w:val="20"/>
          <w:szCs w:val="20"/>
          <w:color w:val="auto"/>
        </w:rPr>
      </w:pPr>
    </w:p>
    <w:p>
      <w:pPr>
        <w:jc w:val="both"/>
        <w:ind w:firstLine="432"/>
        <w:spacing w:after="0" w:line="367" w:lineRule="auto"/>
        <w:rPr>
          <w:sz w:val="20"/>
          <w:szCs w:val="20"/>
          <w:color w:val="auto"/>
        </w:rPr>
      </w:pPr>
      <w:r>
        <w:rPr>
          <w:rFonts w:ascii="Times New Roman" w:cs="Times New Roman" w:eastAsia="Times New Roman" w:hAnsi="Times New Roman"/>
          <w:sz w:val="13"/>
          <w:szCs w:val="13"/>
          <w:color w:val="auto"/>
        </w:rPr>
        <w:t>The assumptions included in fiscal 2025 guidance include a full-year income tax rate of approximately 21 percent, depreciation and amortization expense of approximately $40 million, and capital expenditures of approximately $35 million. Fiscal 2025 guidance is based upon foreign currency exchange rates as of January 31, 2025 and assumes economic growth.</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2025 second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11"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2024, employed approximately 5,700 people in its worldwide businesses. Brady’s fiscal 2024 sales were approximately $1.34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firstLine="424"/>
        <w:spacing w:after="0" w:line="353" w:lineRule="auto"/>
        <w:tabs>
          <w:tab w:leader="none" w:pos="53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Income Before Income Taxes, Adjusted Net Income, and Adjusted Diluted EPS are non-GAAP measures. See appendix for more information on these measures, including reconciliations to the most directly comparable GAAP measures.</w:t>
      </w:r>
    </w:p>
    <w:p>
      <w:pPr>
        <w:sectPr>
          <w:pgSz w:w="11900" w:h="16838" w:orient="portrait"/>
          <w:cols w:equalWidth="0" w:num="1">
            <w:col w:w="11300"/>
          </w:cols>
          <w:pgMar w:left="300" w:top="665"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w:t>
      </w:r>
    </w:p>
    <w:p>
      <w:pPr>
        <w:jc w:val="both"/>
        <w:spacing w:after="0" w:line="239" w:lineRule="auto"/>
        <w:rPr>
          <w:sz w:val="20"/>
          <w:szCs w:val="20"/>
          <w:color w:val="auto"/>
        </w:rPr>
      </w:pPr>
      <w:r>
        <w:rPr>
          <w:rFonts w:ascii="Times New Roman" w:cs="Times New Roman" w:eastAsia="Times New Roman" w:hAnsi="Times New Roman"/>
          <w:sz w:val="12"/>
          <w:szCs w:val="12"/>
          <w:color w:val="auto"/>
        </w:rPr>
        <w:t>from those expressed or implied by such forward-looking statements. For Brady, uncertainties arise from: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global climate change and environmental regulations; litigation, including product liability claims;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356,675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322,624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733,740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654,607</w:t>
            </w:r>
          </w:p>
        </w:tc>
      </w:tr>
      <w:tr>
        <w:trPr>
          <w:trHeight w:val="142"/>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180,832</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160,541</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368,208</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320,805</w:t>
            </w:r>
          </w:p>
        </w:tc>
      </w:tr>
      <w:tr>
        <w:trPr>
          <w:trHeight w:val="135"/>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175,843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162,083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365,532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333,802</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18,723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16,832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37,644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32,534</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105,886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91,325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217,732</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187,612</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124,609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108,157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255,376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220,146</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51,234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53,926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110,156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113,656</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3,122</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(2,668)</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(1,556)</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52,047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55,820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110,847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115,222</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12,192</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23,730</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24,353</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40,334</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43,628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87,117</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90,869</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0.84</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0.84</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47,851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48,374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47,792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48,440</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48,306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48,725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48,261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48,768</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January 31, 2025</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2024</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138,452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$9,227 and $6,749,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201,973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185,486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181,810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152,729</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14,080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11,382</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536,315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599,715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199,075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195,758</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661,288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589,611</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108,456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51,839</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16,587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42,135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38,504</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24,844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24,546</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1,588,700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1,515,569</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84,691</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69,551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77,954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18,794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14,061</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13,382</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83,699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67,170</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282,350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264,682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87,687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90,935</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27,546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25,342</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70,649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67,952</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468,232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448,911</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44,241,601 and 44,042,462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356,531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353,654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1,238,275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1,174,025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stock—7,019,886 and 7,219,025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(343,059)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(351,947)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(131,827)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(109,622)</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1,120,468</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1,066,658</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1,588,700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1,515,569</w:t>
            </w:r>
          </w:p>
        </w:tc>
      </w:tr>
    </w:tbl>
    <w:p>
      <w:pPr>
        <w:sectPr>
          <w:pgSz w:w="11900" w:h="16838" w:orient="portrait"/>
          <w:cols w:equalWidth="0" w:num="1">
            <w:col w:w="11300"/>
          </w:cols>
          <w:pgMar w:left="300" w:top="56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87,117</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90,869</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20,096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15,008</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5,263</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(3,640)</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(5,030)</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10,078</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(1,187)</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(41,650)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(9,754)</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(4,203)</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63,000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98,351</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(14,423)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(60,832)</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(137,348)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(151,718)</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(60,832)</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(22,867)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(22,694)</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(2,362)</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(21,797)</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agreement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159,373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69,145</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agreement</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(162,621)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(70,771)</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(22,343)</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(42,964)</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(2,227)</w:t>
            </w:r>
          </w:p>
        </w:tc>
      </w:tr>
      <w:tr>
        <w:trPr>
          <w:trHeight w:val="153"/>
        </w:trPr>
        <w:tc>
          <w:tcPr>
            <w:tcW w:w="8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Net decrease in cash and cash equivalents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(111,666)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(7,672)</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151,532</w:t>
            </w:r>
          </w:p>
        </w:tc>
      </w:tr>
      <w:tr>
        <w:trPr>
          <w:trHeight w:val="153"/>
        </w:trPr>
        <w:tc>
          <w:tcPr>
            <w:tcW w:w="8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138,452</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143,860</w:t>
            </w: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r>
      <w:tr>
        <w:trPr>
          <w:trHeight w:val="126"/>
        </w:trPr>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233,846</w:t>
            </w:r>
          </w:p>
        </w:tc>
        <w:tc>
          <w:tcPr>
            <w:tcW w:w="100" w:type="dxa"/>
            <w:vAlign w:val="bottom"/>
          </w:tcPr>
          <w:p>
            <w:pPr>
              <w:spacing w:after="0"/>
              <w:rPr>
                <w:sz w:val="12"/>
                <w:szCs w:val="12"/>
                <w:color w:val="auto"/>
              </w:rPr>
            </w:pP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211,643</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479,274</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433,269</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122,829</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110,981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254,466</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221,338</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356,675</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322,624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733,740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654,607</w:t>
            </w:r>
          </w:p>
        </w:tc>
      </w:tr>
      <w:tr>
        <w:trPr>
          <w:trHeight w:val="153"/>
        </w:trPr>
        <w:tc>
          <w:tcPr>
            <w:tcW w:w="5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26"/>
        </w:trPr>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2.0 %</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3.3 %</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5.3 %</w:t>
            </w:r>
          </w:p>
        </w:tc>
      </w:tr>
      <w:tr>
        <w:trPr>
          <w:trHeight w:val="121"/>
        </w:trPr>
        <w:tc>
          <w:tcPr>
            <w:tcW w:w="538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51"/>
        </w:trPr>
        <w:tc>
          <w:tcPr>
            <w:tcW w:w="5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0.9 %</w:t>
            </w:r>
          </w:p>
        </w:tc>
      </w:tr>
      <w:tr>
        <w:trPr>
          <w:trHeight w:val="153"/>
        </w:trPr>
        <w:tc>
          <w:tcPr>
            <w:tcW w:w="5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4"/>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45,986</w:t>
            </w:r>
          </w:p>
        </w:tc>
        <w:tc>
          <w:tcPr>
            <w:tcW w:w="100" w:type="dxa"/>
            <w:vAlign w:val="bottom"/>
          </w:tcPr>
          <w:p>
            <w:pPr>
              <w:spacing w:after="0"/>
              <w:rPr>
                <w:sz w:val="12"/>
                <w:szCs w:val="12"/>
                <w:color w:val="auto"/>
              </w:rPr>
            </w:pPr>
          </w:p>
        </w:tc>
        <w:tc>
          <w:tcPr>
            <w:tcW w:w="9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43,895</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100,886</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93,792</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11,378</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15,054</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24,492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31,798</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57,364</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58,949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125,378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125,590</w:t>
            </w:r>
          </w:p>
        </w:tc>
      </w:tr>
      <w:tr>
        <w:trPr>
          <w:trHeight w:val="126"/>
        </w:trPr>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21.6 %</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9.3 %</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13.6 %</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9.6 %</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14.4 %</w:t>
            </w:r>
          </w:p>
        </w:tc>
      </w:tr>
      <w:tr>
        <w:trPr>
          <w:trHeight w:val="135"/>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16.1 %</w:t>
            </w: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18.3 %</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19.2 %</w:t>
            </w:r>
          </w:p>
        </w:tc>
      </w:tr>
      <w:tr>
        <w:trPr>
          <w:trHeight w:val="20"/>
        </w:trPr>
        <w:tc>
          <w:tcPr>
            <w:tcW w:w="53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469"/>
        </w:trPr>
        <w:tc>
          <w:tcPr>
            <w:tcW w:w="53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57,364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58,949</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125,378</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125,590</w:t>
            </w:r>
          </w:p>
        </w:tc>
      </w:tr>
      <w:tr>
        <w:trPr>
          <w:trHeight w:val="142"/>
        </w:trPr>
        <w:tc>
          <w:tcPr>
            <w:tcW w:w="538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(6,130)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(5,023)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(15,222)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(11,934)</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2,125</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2,684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3,359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3,122</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(1,312)</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(790)</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(2,668)</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(1,556)</w:t>
            </w:r>
          </w:p>
        </w:tc>
      </w:tr>
      <w:tr>
        <w:trPr>
          <w:trHeight w:val="135"/>
        </w:trPr>
        <w:tc>
          <w:tcPr>
            <w:tcW w:w="538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52,047</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55,820</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110,847</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115,222</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Before Income Taxes: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Before Income Taxes."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52,047</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55,820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110,847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115,222</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4,719</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5,654</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Before Income Taxes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62,372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58,184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130,944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119,941</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Tax Expense: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Tax Expense."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11,713</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23,730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24,353</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Tax Expense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14,251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12,740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28,666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25,447</w:t>
            </w:r>
          </w:p>
        </w:tc>
      </w:tr>
    </w:tbl>
    <w:p>
      <w:pPr>
        <w:sectPr>
          <w:pgSz w:w="11900" w:h="16838" w:orient="portrait"/>
          <w:cols w:equalWidth="0" w:num="1">
            <w:col w:w="11300"/>
          </w:cols>
          <w:pgMar w:left="300" w:top="55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Net Income."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40,334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43,628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87,117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90,869</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3,546</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3,625</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Net Income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48,121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45,444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102,278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94,494</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Diluted EPS."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2025</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0.83</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96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0.93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2025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w:t>
            </w:r>
          </w:p>
        </w:tc>
      </w:tr>
      <w:tr>
        <w:trPr>
          <w:trHeight w:val="142"/>
        </w:trPr>
        <w:tc>
          <w:tcPr>
            <w:tcW w:w="8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0.29</w:t>
            </w:r>
          </w:p>
        </w:tc>
      </w:tr>
      <w:tr>
        <w:trPr>
          <w:trHeight w:val="146"/>
        </w:trPr>
        <w:tc>
          <w:tcPr>
            <w:tcW w:w="8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0.08</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4.45</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4.70</w:t>
            </w:r>
          </w:p>
        </w:tc>
      </w:tr>
    </w:tbl>
    <w:p>
      <w:pPr>
        <w:sectPr>
          <w:pgSz w:w="11900" w:h="16838" w:orient="portrait"/>
          <w:cols w:equalWidth="0" w:num="1">
            <w:col w:w="11300"/>
          </w:cols>
          <w:pgMar w:left="300" w:top="665"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2025-02-21T06:19:26Z</dcterms:created>
  <dcterms:modified xsi:type="dcterms:W3CDTF">2025-02-21T06:19:26Z</dcterms:modified>
</cp:coreProperties>
</file>