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Shaller Russell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17,416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143,264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8,184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77.11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135,080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which vested upon achievement of certain financial performance goals over a three-year period. Each restricted stock unit was settled solely by delivery of one share of Class A Common Stock.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to cover taxes on 17,416 restricted stock units that vested on September 3,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09/04/2025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46159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2025-09-04T12:26:09Z</dcterms:created>
  <dcterms:modified xsi:type="dcterms:W3CDTF">2025-09-04T12:26:09Z</dcterms:modified>
</cp:coreProperties>
</file>