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5763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76389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JAEHNERT FRANK M</w:t>
        </w:r>
      </w:hyperlink>
    </w:p>
    <w:p>
      <w:pPr>
        <w:spacing w:after="0" w:line="31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08/01/2008</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7" w:right="680" w:hanging="7"/>
        <w:spacing w:after="0" w:line="251"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2" w:lineRule="exact"/>
        <w:rPr>
          <w:sz w:val="24"/>
          <w:szCs w:val="24"/>
          <w:color w:val="auto"/>
        </w:rPr>
      </w:pPr>
    </w:p>
    <w:tbl>
      <w:tblPr>
        <w:tblLayout w:type="fixed"/>
        <w:tblInd w:w="207"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47"/>
        <w:spacing w:after="0"/>
        <w:rPr>
          <w:sz w:val="20"/>
          <w:szCs w:val="20"/>
          <w:color w:val="auto"/>
        </w:rPr>
      </w:pPr>
      <w:r>
        <w:rPr>
          <w:rFonts w:ascii="Arial" w:cs="Arial" w:eastAsia="Arial" w:hAnsi="Arial"/>
          <w:sz w:val="17"/>
          <w:szCs w:val="17"/>
          <w:color w:val="0000FF"/>
        </w:rPr>
        <w:t>President &amp; CEO</w:t>
      </w:r>
    </w:p>
    <w:p>
      <w:pPr>
        <w:spacing w:after="0" w:line="266" w:lineRule="exact"/>
        <w:rPr>
          <w:sz w:val="24"/>
          <w:szCs w:val="24"/>
          <w:color w:val="auto"/>
        </w:rPr>
      </w:pPr>
    </w:p>
    <w:p>
      <w:pPr>
        <w:sectPr>
          <w:pgSz w:w="11900" w:h="16838" w:orient="portrait"/>
          <w:cols w:equalWidth="0" w:num="3">
            <w:col w:w="3340" w:space="720"/>
            <w:col w:w="3253" w:space="720"/>
            <w:col w:w="3487"/>
          </w:cols>
          <w:pgMar w:left="240" w:top="224" w:right="139" w:bottom="1440" w:gutter="0" w:footer="0" w:header="0"/>
          <w:type w:val="continuous"/>
        </w:sectPr>
      </w:pP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280" w:type="dxa"/>
            <w:vAlign w:val="bottom"/>
            <w:shd w:val="clear" w:color="auto" w:fill="9A9A9A"/>
          </w:tcPr>
          <w:p>
            <w:pPr>
              <w:spacing w:after="0"/>
              <w:rPr>
                <w:sz w:val="2"/>
                <w:szCs w:val="2"/>
                <w:color w:val="auto"/>
              </w:rPr>
            </w:pPr>
          </w:p>
        </w:tc>
        <w:tc>
          <w:tcPr>
            <w:tcW w:w="60" w:type="dxa"/>
            <w:vAlign w:val="bottom"/>
            <w:vMerge w:val="restart"/>
          </w:tcPr>
          <w:p>
            <w:pPr>
              <w:spacing w:after="0"/>
              <w:rPr>
                <w:sz w:val="2"/>
                <w:szCs w:val="2"/>
                <w:color w:val="auto"/>
              </w:rPr>
            </w:pPr>
          </w:p>
        </w:tc>
        <w:tc>
          <w:tcPr>
            <w:tcW w:w="3720" w:type="dxa"/>
            <w:vAlign w:val="bottom"/>
            <w:gridSpan w:val="6"/>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840" w:type="dxa"/>
            <w:vAlign w:val="bottom"/>
            <w:gridSpan w:val="10"/>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3720" w:type="dxa"/>
            <w:vAlign w:val="bottom"/>
            <w:gridSpan w:val="6"/>
            <w:vMerge w:val="continue"/>
          </w:tcPr>
          <w:p>
            <w:pPr>
              <w:spacing w:after="0"/>
              <w:rPr>
                <w:sz w:val="10"/>
                <w:szCs w:val="10"/>
                <w:color w:val="auto"/>
              </w:rPr>
            </w:pPr>
          </w:p>
        </w:tc>
        <w:tc>
          <w:tcPr>
            <w:tcW w:w="38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gridSpan w:val="3"/>
          </w:tcPr>
          <w:p>
            <w:pPr>
              <w:ind w:left="160"/>
              <w:spacing w:after="0" w:line="168" w:lineRule="exact"/>
              <w:rPr>
                <w:sz w:val="20"/>
                <w:szCs w:val="20"/>
                <w:color w:val="auto"/>
              </w:rPr>
            </w:pPr>
            <w:r>
              <w:rPr>
                <w:rFonts w:ascii="Arial" w:cs="Arial" w:eastAsia="Arial" w:hAnsi="Arial"/>
                <w:sz w:val="17"/>
                <w:szCs w:val="17"/>
                <w:color w:val="0000FF"/>
                <w:w w:val="91"/>
              </w:rPr>
              <w:t>08/01/2008</w:t>
            </w: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spacing w:after="0"/>
              <w:rPr>
                <w:sz w:val="20"/>
                <w:szCs w:val="20"/>
                <w:color w:val="auto"/>
              </w:rPr>
            </w:pPr>
            <w:r>
              <w:rPr>
                <w:rFonts w:ascii="Arial" w:cs="Arial" w:eastAsia="Arial" w:hAnsi="Arial"/>
                <w:sz w:val="17"/>
                <w:szCs w:val="17"/>
                <w:color w:val="0000FF"/>
              </w:rPr>
              <w:t>MILWAUKEE   WI</w:t>
            </w:r>
          </w:p>
        </w:tc>
        <w:tc>
          <w:tcPr>
            <w:tcW w:w="840" w:type="dxa"/>
            <w:vAlign w:val="bottom"/>
          </w:tcPr>
          <w:p>
            <w:pPr>
              <w:spacing w:after="0"/>
              <w:rPr>
                <w:sz w:val="20"/>
                <w:szCs w:val="20"/>
                <w:color w:val="auto"/>
              </w:rPr>
            </w:pPr>
          </w:p>
        </w:tc>
        <w:tc>
          <w:tcPr>
            <w:tcW w:w="1280" w:type="dxa"/>
            <w:vAlign w:val="bottom"/>
          </w:tcPr>
          <w:p>
            <w:pPr>
              <w:ind w:left="40"/>
              <w:spacing w:after="0"/>
              <w:rPr>
                <w:sz w:val="20"/>
                <w:szCs w:val="20"/>
                <w:color w:val="auto"/>
              </w:rPr>
            </w:pPr>
            <w:r>
              <w:rPr>
                <w:rFonts w:ascii="Arial" w:cs="Arial" w:eastAsia="Arial" w:hAnsi="Arial"/>
                <w:sz w:val="17"/>
                <w:szCs w:val="17"/>
                <w:color w:val="0000FF"/>
              </w:rPr>
              <w:t>53223</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40" w:type="dxa"/>
            <w:vAlign w:val="bottom"/>
            <w:gridSpan w:val="10"/>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280" w:type="dxa"/>
            <w:vAlign w:val="bottom"/>
            <w:tcBorders>
              <w:top w:val="single" w:sz="8" w:color="EEEEEE"/>
            </w:tcBorders>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0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60" w:type="dxa"/>
            <w:vAlign w:val="bottom"/>
            <w:vMerge w:val="restart"/>
          </w:tcPr>
          <w:p>
            <w:pPr>
              <w:ind w:left="460"/>
              <w:spacing w:after="0"/>
              <w:rPr>
                <w:sz w:val="20"/>
                <w:szCs w:val="20"/>
                <w:color w:val="auto"/>
              </w:rPr>
            </w:pPr>
            <w:r>
              <w:rPr>
                <w:rFonts w:ascii="Arial" w:cs="Arial" w:eastAsia="Arial" w:hAnsi="Arial"/>
                <w:sz w:val="13"/>
                <w:szCs w:val="13"/>
                <w:color w:val="auto"/>
                <w:w w:val="97"/>
              </w:rPr>
              <w:t>(State)</w:t>
            </w:r>
          </w:p>
        </w:tc>
        <w:tc>
          <w:tcPr>
            <w:tcW w:w="840" w:type="dxa"/>
            <w:vAlign w:val="bottom"/>
          </w:tcPr>
          <w:p>
            <w:pPr>
              <w:spacing w:after="0"/>
              <w:rPr>
                <w:sz w:val="13"/>
                <w:szCs w:val="13"/>
                <w:color w:val="auto"/>
              </w:rPr>
            </w:pPr>
          </w:p>
        </w:tc>
        <w:tc>
          <w:tcPr>
            <w:tcW w:w="12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360" w:type="dxa"/>
            <w:vAlign w:val="bottom"/>
            <w:tcBorders>
              <w:bottom w:val="single" w:sz="8" w:color="2C2C2C"/>
            </w:tcBorders>
            <w:gridSpan w:val="7"/>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3"/>
          </w:tcPr>
          <w:p>
            <w:pPr>
              <w:jc w:val="center"/>
              <w:ind w:left="514"/>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40" w:type="dxa"/>
            <w:vAlign w:val="bottom"/>
          </w:tcPr>
          <w:p>
            <w:pPr>
              <w:spacing w:after="0"/>
              <w:rPr>
                <w:sz w:val="15"/>
                <w:szCs w:val="15"/>
                <w:color w:val="auto"/>
              </w:rPr>
            </w:pP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ind w:left="720"/>
              <w:spacing w:after="0" w:line="130"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760" w:type="dxa"/>
            <w:vAlign w:val="bottom"/>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7"/>
              </w:rPr>
              <w:t>5,446.3248</w:t>
            </w:r>
            <w:r>
              <w:rPr>
                <w:rFonts w:ascii="Arial" w:cs="Arial" w:eastAsia="Arial" w:hAnsi="Arial"/>
                <w:sz w:val="22"/>
                <w:szCs w:val="22"/>
                <w:color w:val="008000"/>
                <w:w w:val="87"/>
                <w:vertAlign w:val="superscript"/>
              </w:rPr>
              <w:t>(1)</w:t>
            </w:r>
          </w:p>
        </w:tc>
        <w:tc>
          <w:tcPr>
            <w:tcW w:w="300" w:type="dxa"/>
            <w:vAlign w:val="bottom"/>
          </w:tcPr>
          <w:p>
            <w:pPr>
              <w:spacing w:after="0"/>
              <w:rPr>
                <w:sz w:val="24"/>
                <w:szCs w:val="24"/>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00" w:type="dxa"/>
            <w:vAlign w:val="bottom"/>
            <w:tcBorders>
              <w:top w:val="single" w:sz="8" w:color="2C2C2C"/>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(2)</w:t>
            </w:r>
          </w:p>
        </w:tc>
        <w:tc>
          <w:tcPr>
            <w:tcW w:w="1760" w:type="dxa"/>
            <w:vAlign w:val="bottom"/>
            <w:tcBorders>
              <w:top w:val="single" w:sz="8" w:color="2C2C2C"/>
              <w:bottom w:val="single" w:sz="8" w:color="2C2C2C"/>
            </w:tcBorders>
            <w:gridSpan w:val="3"/>
          </w:tcPr>
          <w:p>
            <w:pPr>
              <w:jc w:val="right"/>
              <w:ind w:right="98"/>
              <w:spacing w:after="0"/>
              <w:rPr>
                <w:sz w:val="20"/>
                <w:szCs w:val="20"/>
                <w:color w:val="auto"/>
              </w:rPr>
            </w:pPr>
            <w:r>
              <w:rPr>
                <w:rFonts w:ascii="Arial" w:cs="Arial" w:eastAsia="Arial" w:hAnsi="Arial"/>
                <w:sz w:val="17"/>
                <w:szCs w:val="17"/>
                <w:color w:val="0000FF"/>
              </w:rPr>
              <w:t>08/01/2008</w:t>
            </w:r>
          </w:p>
        </w:tc>
        <w:tc>
          <w:tcPr>
            <w:tcW w:w="48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6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0000FF"/>
                <w:w w:val="93"/>
              </w:rPr>
              <w:t>5,000</w:t>
            </w:r>
          </w:p>
        </w:tc>
        <w:tc>
          <w:tcPr>
            <w:tcW w:w="600" w:type="dxa"/>
            <w:vAlign w:val="bottom"/>
            <w:tcBorders>
              <w:top w:val="single" w:sz="8" w:color="2C2C2C"/>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700" w:type="dxa"/>
            <w:vAlign w:val="bottom"/>
            <w:tcBorders>
              <w:top w:val="single" w:sz="8" w:color="2C2C2C"/>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36.1633</w:t>
            </w:r>
          </w:p>
        </w:tc>
        <w:tc>
          <w:tcPr>
            <w:tcW w:w="132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6,543.369</w:t>
            </w:r>
          </w:p>
        </w:tc>
        <w:tc>
          <w:tcPr>
            <w:tcW w:w="30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(2)</w:t>
            </w:r>
          </w:p>
        </w:tc>
        <w:tc>
          <w:tcPr>
            <w:tcW w:w="1760" w:type="dxa"/>
            <w:vAlign w:val="bottom"/>
            <w:tcBorders>
              <w:bottom w:val="single" w:sz="8" w:color="2C2C2C"/>
            </w:tcBorders>
            <w:gridSpan w:val="3"/>
          </w:tcPr>
          <w:p>
            <w:pPr>
              <w:jc w:val="right"/>
              <w:ind w:right="98"/>
              <w:spacing w:after="0"/>
              <w:rPr>
                <w:sz w:val="20"/>
                <w:szCs w:val="20"/>
                <w:color w:val="auto"/>
              </w:rPr>
            </w:pPr>
            <w:r>
              <w:rPr>
                <w:rFonts w:ascii="Arial" w:cs="Arial" w:eastAsia="Arial" w:hAnsi="Arial"/>
                <w:sz w:val="17"/>
                <w:szCs w:val="17"/>
                <w:color w:val="0000FF"/>
              </w:rPr>
              <w:t>08/01/2008</w:t>
            </w:r>
          </w:p>
        </w:tc>
        <w:tc>
          <w:tcPr>
            <w:tcW w:w="4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5,000</w:t>
            </w:r>
          </w:p>
        </w:tc>
        <w:tc>
          <w:tcPr>
            <w:tcW w:w="6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36.1633</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1,543.369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6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tcPr>
          <w:p>
            <w:pPr>
              <w:ind w:left="28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120"/>
              <w:spacing w:after="0"/>
              <w:rPr>
                <w:sz w:val="20"/>
                <w:szCs w:val="20"/>
                <w:color w:val="auto"/>
              </w:rPr>
            </w:pPr>
            <w:r>
              <w:rPr>
                <w:rFonts w:ascii="Arial" w:cs="Arial" w:eastAsia="Arial" w:hAnsi="Arial"/>
                <w:sz w:val="12"/>
                <w:szCs w:val="12"/>
                <w:b w:val="1"/>
                <w:bCs w:val="1"/>
                <w:color w:val="auto"/>
              </w:rPr>
              <w:t>4.</w:t>
            </w:r>
          </w:p>
        </w:tc>
        <w:tc>
          <w:tcPr>
            <w:tcW w:w="48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2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860" w:type="dxa"/>
            <w:vAlign w:val="bottom"/>
            <w:vMerge w:val="restart"/>
          </w:tcPr>
          <w:p>
            <w:pPr>
              <w:jc w:val="right"/>
              <w:ind w:right="340"/>
              <w:spacing w:after="0"/>
              <w:rPr>
                <w:sz w:val="20"/>
                <w:szCs w:val="20"/>
                <w:color w:val="auto"/>
              </w:rPr>
            </w:pPr>
            <w:r>
              <w:rPr>
                <w:rFonts w:ascii="Arial" w:cs="Arial" w:eastAsia="Arial" w:hAnsi="Arial"/>
                <w:sz w:val="11"/>
                <w:szCs w:val="11"/>
                <w:color w:val="008000"/>
              </w:rPr>
              <w:t>(3)</w:t>
            </w:r>
          </w:p>
        </w:tc>
        <w:tc>
          <w:tcPr>
            <w:tcW w:w="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vMerge w:val="restart"/>
          </w:tcPr>
          <w:p>
            <w:pPr>
              <w:jc w:val="right"/>
              <w:ind w:right="259"/>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0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640" w:type="dxa"/>
            <w:vAlign w:val="bottom"/>
            <w:vMerge w:val="restart"/>
          </w:tcPr>
          <w:p>
            <w:pPr>
              <w:jc w:val="right"/>
              <w:ind w:right="189"/>
              <w:spacing w:after="0"/>
              <w:rPr>
                <w:sz w:val="20"/>
                <w:szCs w:val="20"/>
                <w:color w:val="auto"/>
              </w:rPr>
            </w:pPr>
            <w:r>
              <w:rPr>
                <w:rFonts w:ascii="Arial" w:cs="Arial" w:eastAsia="Arial" w:hAnsi="Arial"/>
                <w:sz w:val="17"/>
                <w:szCs w:val="17"/>
                <w:color w:val="0000FF"/>
              </w:rPr>
              <w:t>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00" w:type="dxa"/>
            <w:vAlign w:val="bottom"/>
            <w:gridSpan w:val="2"/>
          </w:tcPr>
          <w:p>
            <w:pPr>
              <w:ind w:left="60"/>
              <w:spacing w:after="0" w:line="146" w:lineRule="exact"/>
              <w:rPr>
                <w:sz w:val="20"/>
                <w:szCs w:val="20"/>
                <w:color w:val="auto"/>
              </w:rPr>
            </w:pPr>
            <w:r>
              <w:rPr>
                <w:rFonts w:ascii="Arial" w:cs="Arial" w:eastAsia="Arial" w:hAnsi="Arial"/>
                <w:sz w:val="13"/>
                <w:szCs w:val="13"/>
                <w:color w:val="0000FF"/>
                <w:w w:val="97"/>
              </w:rPr>
              <w:t>Compensation</w:t>
            </w:r>
          </w:p>
        </w:tc>
        <w:tc>
          <w:tcPr>
            <w:tcW w:w="86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00" w:type="dxa"/>
            <w:vAlign w:val="bottom"/>
          </w:tcPr>
          <w:p>
            <w:pPr>
              <w:ind w:left="80"/>
              <w:spacing w:after="0" w:line="146" w:lineRule="exact"/>
              <w:rPr>
                <w:sz w:val="20"/>
                <w:szCs w:val="20"/>
                <w:color w:val="auto"/>
              </w:rPr>
            </w:pPr>
            <w:r>
              <w:rPr>
                <w:rFonts w:ascii="Arial" w:cs="Arial" w:eastAsia="Arial" w:hAnsi="Arial"/>
                <w:sz w:val="13"/>
                <w:szCs w:val="13"/>
                <w:color w:val="0000FF"/>
                <w:w w:val="94"/>
              </w:rPr>
              <w:t>Common</w:t>
            </w: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0000FF"/>
              </w:rPr>
              <w:t>60,023.4805</w:t>
            </w: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640" w:type="dxa"/>
            <w:vAlign w:val="bottom"/>
            <w:vMerge w:val="restart"/>
          </w:tcPr>
          <w:p>
            <w:pPr>
              <w:jc w:val="right"/>
              <w:ind w:right="29"/>
              <w:spacing w:after="0"/>
              <w:rPr>
                <w:sz w:val="20"/>
                <w:szCs w:val="20"/>
                <w:color w:val="auto"/>
              </w:rPr>
            </w:pPr>
            <w:r>
              <w:rPr>
                <w:rFonts w:ascii="Arial" w:cs="Arial" w:eastAsia="Arial" w:hAnsi="Arial"/>
                <w:sz w:val="17"/>
                <w:szCs w:val="17"/>
                <w:color w:val="0000FF"/>
              </w:rPr>
              <w:t>5,000</w:t>
            </w:r>
          </w:p>
        </w:tc>
        <w:tc>
          <w:tcPr>
            <w:tcW w:w="60" w:type="dxa"/>
            <w:vAlign w:val="bottom"/>
          </w:tcPr>
          <w:p>
            <w:pPr>
              <w:spacing w:after="0"/>
              <w:rPr>
                <w:sz w:val="16"/>
                <w:szCs w:val="16"/>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0000FF"/>
              </w:rPr>
              <w:t>Option to Buy</w:t>
            </w:r>
          </w:p>
        </w:tc>
        <w:tc>
          <w:tcPr>
            <w:tcW w:w="860" w:type="dxa"/>
            <w:vAlign w:val="bottom"/>
          </w:tcPr>
          <w:p>
            <w:pPr>
              <w:jc w:val="center"/>
              <w:ind w:righ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10.1719</w:t>
            </w:r>
          </w:p>
        </w:tc>
        <w:tc>
          <w:tcPr>
            <w:tcW w:w="840" w:type="dxa"/>
            <w:vAlign w:val="bottom"/>
          </w:tcPr>
          <w:p>
            <w:pPr>
              <w:jc w:val="right"/>
              <w:spacing w:after="0"/>
              <w:rPr>
                <w:sz w:val="20"/>
                <w:szCs w:val="20"/>
                <w:color w:val="auto"/>
              </w:rPr>
            </w:pPr>
            <w:r>
              <w:rPr>
                <w:rFonts w:ascii="Arial" w:cs="Arial" w:eastAsia="Arial" w:hAnsi="Arial"/>
                <w:sz w:val="13"/>
                <w:szCs w:val="13"/>
                <w:color w:val="0000FF"/>
              </w:rPr>
              <w:t>08/01/2008</w:t>
            </w: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ind w:right="78"/>
              <w:spacing w:after="0"/>
              <w:rPr>
                <w:sz w:val="20"/>
                <w:szCs w:val="20"/>
                <w:color w:val="auto"/>
              </w:rPr>
            </w:pPr>
            <w:r>
              <w:rPr>
                <w:rFonts w:ascii="Arial" w:cs="Arial" w:eastAsia="Arial" w:hAnsi="Arial"/>
                <w:sz w:val="13"/>
                <w:szCs w:val="13"/>
                <w:color w:val="0000FF"/>
              </w:rPr>
              <w:t>M</w:t>
            </w:r>
          </w:p>
        </w:tc>
        <w:tc>
          <w:tcPr>
            <w:tcW w:w="480" w:type="dxa"/>
            <w:vAlign w:val="bottom"/>
          </w:tcPr>
          <w:p>
            <w:pPr>
              <w:spacing w:after="0"/>
              <w:rPr>
                <w:sz w:val="13"/>
                <w:szCs w:val="13"/>
                <w:color w:val="auto"/>
              </w:rPr>
            </w:pPr>
          </w:p>
        </w:tc>
        <w:tc>
          <w:tcPr>
            <w:tcW w:w="640" w:type="dxa"/>
            <w:vAlign w:val="bottom"/>
          </w:tcPr>
          <w:p>
            <w:pPr>
              <w:ind w:left="300"/>
              <w:spacing w:after="0"/>
              <w:rPr>
                <w:sz w:val="20"/>
                <w:szCs w:val="20"/>
                <w:color w:val="auto"/>
              </w:rPr>
            </w:pPr>
            <w:r>
              <w:rPr>
                <w:rFonts w:ascii="Arial" w:cs="Arial" w:eastAsia="Arial" w:hAnsi="Arial"/>
                <w:sz w:val="13"/>
                <w:szCs w:val="13"/>
                <w:color w:val="0000FF"/>
                <w:w w:val="98"/>
              </w:rPr>
              <w:t>5,000</w:t>
            </w:r>
          </w:p>
        </w:tc>
        <w:tc>
          <w:tcPr>
            <w:tcW w:w="820" w:type="dxa"/>
            <w:vAlign w:val="bottom"/>
          </w:tcPr>
          <w:p>
            <w:pPr>
              <w:jc w:val="right"/>
              <w:ind w:right="19"/>
              <w:spacing w:after="0"/>
              <w:rPr>
                <w:sz w:val="20"/>
                <w:szCs w:val="20"/>
                <w:color w:val="auto"/>
              </w:rPr>
            </w:pPr>
            <w:r>
              <w:rPr>
                <w:rFonts w:ascii="Arial" w:cs="Arial" w:eastAsia="Arial" w:hAnsi="Arial"/>
                <w:sz w:val="13"/>
                <w:szCs w:val="13"/>
                <w:color w:val="0000FF"/>
              </w:rPr>
              <w:t>08/03/1998</w:t>
            </w:r>
          </w:p>
        </w:tc>
        <w:tc>
          <w:tcPr>
            <w:tcW w:w="760" w:type="dxa"/>
            <w:vAlign w:val="bottom"/>
          </w:tcPr>
          <w:p>
            <w:pPr>
              <w:jc w:val="center"/>
              <w:spacing w:after="0"/>
              <w:rPr>
                <w:sz w:val="20"/>
                <w:szCs w:val="20"/>
                <w:color w:val="auto"/>
              </w:rPr>
            </w:pPr>
            <w:r>
              <w:rPr>
                <w:rFonts w:ascii="Arial" w:cs="Arial" w:eastAsia="Arial" w:hAnsi="Arial"/>
                <w:sz w:val="13"/>
                <w:szCs w:val="13"/>
                <w:color w:val="0000FF"/>
                <w:w w:val="92"/>
              </w:rPr>
              <w:t>08/03/2008</w:t>
            </w:r>
          </w:p>
        </w:tc>
        <w:tc>
          <w:tcPr>
            <w:tcW w:w="600" w:type="dxa"/>
            <w:vAlign w:val="bottom"/>
          </w:tcPr>
          <w:p>
            <w:pPr>
              <w:ind w:left="80"/>
              <w:spacing w:after="0"/>
              <w:rPr>
                <w:sz w:val="20"/>
                <w:szCs w:val="20"/>
                <w:color w:val="auto"/>
              </w:rPr>
            </w:pPr>
            <w:r>
              <w:rPr>
                <w:rFonts w:ascii="Arial" w:cs="Arial" w:eastAsia="Arial" w:hAnsi="Arial"/>
                <w:sz w:val="13"/>
                <w:szCs w:val="13"/>
                <w:color w:val="0000FF"/>
                <w:w w:val="94"/>
              </w:rPr>
              <w:t>Common</w:t>
            </w:r>
          </w:p>
        </w:tc>
        <w:tc>
          <w:tcPr>
            <w:tcW w:w="6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20" w:type="dxa"/>
            <w:vAlign w:val="bottom"/>
          </w:tcPr>
          <w:p>
            <w:pPr>
              <w:jc w:val="right"/>
              <w:ind w:right="79"/>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7260"/>
        <w:spacing w:after="0"/>
        <w:rPr>
          <w:sz w:val="20"/>
          <w:szCs w:val="20"/>
          <w:color w:val="auto"/>
        </w:rPr>
      </w:pPr>
      <w:r>
        <w:rPr>
          <w:rFonts w:ascii="Arial" w:cs="Arial" w:eastAsia="Arial" w:hAnsi="Arial"/>
          <w:sz w:val="13"/>
          <w:szCs w:val="13"/>
          <w:color w:val="0000FF"/>
        </w:rPr>
        <w:t>Stock</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that reporting person is the beneficiary for Section 16 or any other purpose.</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filing amends the option to buy orginally filed on 8/1/2008 and corrects the total amount of non-derivative Class A Common stock shares held by the filer.</w:t>
      </w:r>
    </w:p>
    <w:p>
      <w:pPr>
        <w:spacing w:after="0" w:line="49" w:lineRule="exact"/>
        <w:rPr>
          <w:rFonts w:ascii="Arial" w:cs="Arial" w:eastAsia="Arial" w:hAnsi="Arial"/>
          <w:sz w:val="13"/>
          <w:szCs w:val="13"/>
          <w:color w:val="008000"/>
        </w:rPr>
      </w:pPr>
    </w:p>
    <w:p>
      <w:pPr>
        <w:ind w:left="40" w:right="320" w:firstLine="6"/>
        <w:spacing w:after="0" w:line="29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deferred compensation stock units were acquired under the Brady Corporation employee deferred compensation plan. Each deferred compensation unit is the economic equivalent of one share of Class A Common Stock. The deferred compensation units become payable in shares of Brady's Class A Common Stock upon the reporting persons cessation of service as an employee of Brady Corporation.</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9" w:lineRule="auto"/>
        <w:rPr>
          <w:sz w:val="20"/>
          <w:szCs w:val="20"/>
          <w:color w:val="auto"/>
        </w:rPr>
      </w:pPr>
      <w:r>
        <w:rPr>
          <w:rFonts w:ascii="Arial" w:cs="Arial" w:eastAsia="Arial" w:hAnsi="Arial"/>
          <w:sz w:val="17"/>
          <w:szCs w:val="17"/>
          <w:color w:val="0000FF"/>
        </w:rPr>
        <w:t xml:space="preserve">Barbara Bolens as Attorney-In-  </w:t>
      </w:r>
      <w:r>
        <w:rPr>
          <w:rFonts w:ascii="Arial" w:cs="Arial" w:eastAsia="Arial" w:hAnsi="Arial"/>
          <w:sz w:val="34"/>
          <w:szCs w:val="34"/>
          <w:color w:val="0000FF"/>
          <w:vertAlign w:val="subscript"/>
        </w:rPr>
        <w:t>08/15/2008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-27940</wp:posOffset>
            </wp:positionV>
            <wp:extent cx="13798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-17145</wp:posOffset>
            </wp:positionV>
            <wp:extent cx="188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5809615</wp:posOffset>
            </wp:positionH>
            <wp:positionV relativeFrom="paragraph">
              <wp:posOffset>-85090</wp:posOffset>
            </wp:positionV>
            <wp:extent cx="4997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745" cy="8255"/>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2019-12-18T13:13:06Z</dcterms:created>
  <dcterms:modified xsi:type="dcterms:W3CDTF">2019-12-18T13:13:06Z</dcterms:modified>
</cp:coreProperties>
</file>