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September 10, 2009</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Commission File Number 1-14959</w:t>
      </w:r>
    </w:p>
    <w:p>
      <w:pPr>
        <w:sectPr>
          <w:pgSz w:w="11900" w:h="16838" w:orient="portrait"/>
          <w:cols w:equalWidth="0" w:num="1">
            <w:col w:w="11300"/>
          </w:cols>
          <w:pgMar w:left="240" w:top="522" w:right="359" w:bottom="1440" w:gutter="0" w:footer="0" w:header="0"/>
        </w:sectPr>
      </w:pPr>
    </w:p>
    <w:p>
      <w:pPr>
        <w:spacing w:after="0" w:line="225" w:lineRule="exact"/>
        <w:rPr>
          <w:sz w:val="24"/>
          <w:szCs w:val="24"/>
          <w:color w:val="auto"/>
        </w:rPr>
      </w:pPr>
    </w:p>
    <w:p>
      <w:pPr>
        <w:jc w:val="center"/>
        <w:ind w:right="1320"/>
        <w:spacing w:after="0"/>
        <w:rPr>
          <w:sz w:val="20"/>
          <w:szCs w:val="20"/>
          <w:color w:val="auto"/>
        </w:rPr>
      </w:pPr>
      <w:r>
        <w:rPr>
          <w:rFonts w:ascii="Arial" w:cs="Arial" w:eastAsia="Arial" w:hAnsi="Arial"/>
          <w:sz w:val="18"/>
          <w:szCs w:val="18"/>
          <w:color w:val="auto"/>
        </w:rPr>
        <w:t>Wisconsin</w:t>
      </w:r>
    </w:p>
    <w:p>
      <w:pPr>
        <w:spacing w:after="0" w:line="23" w:lineRule="exact"/>
        <w:rPr>
          <w:sz w:val="24"/>
          <w:szCs w:val="24"/>
          <w:color w:val="auto"/>
        </w:rPr>
      </w:pPr>
    </w:p>
    <w:p>
      <w:pPr>
        <w:jc w:val="center"/>
        <w:ind w:right="132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1360"/>
        <w:spacing w:after="0"/>
        <w:rPr>
          <w:sz w:val="20"/>
          <w:szCs w:val="20"/>
          <w:color w:val="auto"/>
        </w:rPr>
      </w:pPr>
      <w:r>
        <w:rPr>
          <w:rFonts w:ascii="Arial" w:cs="Arial" w:eastAsia="Arial" w:hAnsi="Arial"/>
          <w:sz w:val="18"/>
          <w:szCs w:val="18"/>
          <w:color w:val="auto"/>
        </w:rPr>
        <w:t>39-0971239</w:t>
      </w:r>
    </w:p>
    <w:p>
      <w:pPr>
        <w:spacing w:after="0" w:line="23" w:lineRule="exact"/>
        <w:rPr>
          <w:sz w:val="24"/>
          <w:szCs w:val="24"/>
          <w:color w:val="auto"/>
        </w:rPr>
      </w:pPr>
    </w:p>
    <w:p>
      <w:pPr>
        <w:jc w:val="center"/>
        <w:ind w:right="136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740" w:space="720"/>
            <w:col w:w="3840"/>
          </w:cols>
          <w:pgMar w:left="240" w:top="522" w:right="359" w:bottom="1440" w:gutter="0" w:footer="0" w:header="0"/>
          <w:type w:val="continuous"/>
        </w:sectPr>
      </w:pPr>
    </w:p>
    <w:p>
      <w:pPr>
        <w:spacing w:after="0" w:line="22"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6555 West Good Hope Road</w:t>
      </w:r>
    </w:p>
    <w:p>
      <w:pPr>
        <w:spacing w:after="0" w:line="23"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Milwaukee, Wisconsin 53223</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(Address of Principal Executive Offices and Zip Code)</w:t>
      </w:r>
    </w:p>
    <w:p>
      <w:pPr>
        <w:sectPr>
          <w:pgSz w:w="11900" w:h="16838" w:orient="portrait"/>
          <w:cols w:equalWidth="0" w:num="1">
            <w:col w:w="11300"/>
          </w:cols>
          <w:pgMar w:left="240" w:top="522" w:right="359" w:bottom="1440" w:gutter="0" w:footer="0" w:header="0"/>
          <w:type w:val="continuous"/>
        </w:sectPr>
      </w:pPr>
    </w:p>
    <w:p>
      <w:pPr>
        <w:spacing w:after="0" w:line="234" w:lineRule="exact"/>
        <w:rPr>
          <w:sz w:val="24"/>
          <w:szCs w:val="24"/>
          <w:color w:val="auto"/>
        </w:rPr>
      </w:pPr>
    </w:p>
    <w:p>
      <w:pPr>
        <w:ind w:left="5580" w:hanging="428"/>
        <w:spacing w:after="0"/>
        <w:tabs>
          <w:tab w:leader="none" w:pos="5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358-6600</w:t>
      </w:r>
    </w:p>
    <w:p>
      <w:pPr>
        <w:spacing w:after="0" w:line="23" w:lineRule="exact"/>
        <w:rPr>
          <w:rFonts w:ascii="Arial" w:cs="Arial" w:eastAsia="Arial" w:hAnsi="Arial"/>
          <w:sz w:val="18"/>
          <w:szCs w:val="18"/>
          <w:color w:val="auto"/>
        </w:rPr>
      </w:pPr>
    </w:p>
    <w:p>
      <w:pPr>
        <w:ind w:left="4520"/>
        <w:spacing w:after="0"/>
        <w:rPr>
          <w:rFonts w:ascii="Arial" w:cs="Arial" w:eastAsia="Arial" w:hAnsi="Arial"/>
          <w:sz w:val="18"/>
          <w:szCs w:val="18"/>
          <w:color w:val="auto"/>
        </w:rPr>
      </w:pPr>
      <w:r>
        <w:rPr>
          <w:rFonts w:ascii="Arial" w:cs="Arial" w:eastAsia="Arial" w:hAnsi="Arial"/>
          <w:sz w:val="18"/>
          <w:szCs w:val="18"/>
          <w:color w:val="auto"/>
        </w:rPr>
        <w:t>(Registrant’s Telephone Number)</w:t>
      </w:r>
    </w:p>
    <w:p>
      <w:pPr>
        <w:spacing w:after="0" w:line="10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117" w:lineRule="exact"/>
        <w:rPr>
          <w:sz w:val="20"/>
          <w:szCs w:val="20"/>
          <w:color w:val="auto"/>
        </w:rPr>
      </w:pPr>
    </w:p>
    <w:p>
      <w:pPr>
        <w:jc w:val="both"/>
        <w:ind w:firstLine="225"/>
        <w:spacing w:after="0" w:line="342" w:lineRule="auto"/>
        <w:rPr>
          <w:sz w:val="20"/>
          <w:szCs w:val="20"/>
          <w:color w:val="auto"/>
        </w:rPr>
      </w:pPr>
      <w:r>
        <w:rPr>
          <w:rFonts w:ascii="Arial" w:cs="Arial" w:eastAsia="Arial" w:hAnsi="Arial"/>
          <w:sz w:val="16"/>
          <w:szCs w:val="16"/>
          <w:color w:val="auto"/>
        </w:rPr>
        <w:t>On September 11, 2009, Brady Corporation (the “Corporation”) issued a press release announcing its fiscal 2009 fourth quarter financial results. A copy of the press release is being furnished to the Securities and Exchange Commission as Exhibit 99.1 attached hereto and is incorporated herein by reference.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Item 7.01 REGULATION FD DISCLOSURE</w:t>
      </w:r>
    </w:p>
    <w:p>
      <w:pPr>
        <w:spacing w:after="0" w:line="117"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8"/>
          <w:szCs w:val="18"/>
          <w:color w:val="auto"/>
        </w:rPr>
        <w:t>During the Corporation’s fourth quarter earnings conference call, on September 11, 2009, the Corporation provided additional guidance for fiscal 2010 and stated that the forecasted revenues for fiscal 2010 are expected to be flat with fiscal 2009 revenues.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8.01 OTHER EVENTS</w:t>
      </w:r>
    </w:p>
    <w:p>
      <w:pPr>
        <w:spacing w:after="0" w:line="117" w:lineRule="exact"/>
        <w:rPr>
          <w:sz w:val="20"/>
          <w:szCs w:val="20"/>
          <w:color w:val="auto"/>
        </w:rPr>
      </w:pPr>
    </w:p>
    <w:p>
      <w:pPr>
        <w:ind w:left="140"/>
        <w:spacing w:after="0"/>
        <w:rPr>
          <w:sz w:val="20"/>
          <w:szCs w:val="20"/>
          <w:color w:val="auto"/>
        </w:rPr>
      </w:pPr>
      <w:r>
        <w:rPr>
          <w:rFonts w:ascii="Arial" w:cs="Arial" w:eastAsia="Arial" w:hAnsi="Arial"/>
          <w:sz w:val="18"/>
          <w:szCs w:val="18"/>
          <w:u w:val="single" w:color="auto"/>
          <w:color w:val="auto"/>
        </w:rPr>
        <w:t>Increase in Annual Dividend</w:t>
      </w:r>
    </w:p>
    <w:p>
      <w:pPr>
        <w:spacing w:after="0" w:line="117" w:lineRule="exact"/>
        <w:rPr>
          <w:sz w:val="20"/>
          <w:szCs w:val="20"/>
          <w:color w:val="auto"/>
        </w:rPr>
      </w:pPr>
    </w:p>
    <w:p>
      <w:pPr>
        <w:jc w:val="both"/>
        <w:ind w:right="20" w:firstLine="225"/>
        <w:spacing w:after="0" w:line="312" w:lineRule="auto"/>
        <w:rPr>
          <w:sz w:val="20"/>
          <w:szCs w:val="20"/>
          <w:color w:val="auto"/>
        </w:rPr>
      </w:pPr>
      <w:r>
        <w:rPr>
          <w:rFonts w:ascii="Arial" w:cs="Arial" w:eastAsia="Arial" w:hAnsi="Arial"/>
          <w:sz w:val="16"/>
          <w:szCs w:val="16"/>
          <w:color w:val="auto"/>
        </w:rPr>
        <w:t>On September 10, 2009, the Corporation announced that its Board of Directors had increased the annual cash dividend on its Class A Common Stock from $0.68 to $0.70 per share. A quarterly dividend in the amount of $0.175 per share will be paid on October 30, 2009, to shareholders of record as of the close of business on October 9, 2009. A copy of the press release regarding the dividend is attached hereto as Exhibit 99.2 and is incorporated herein by reference.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Director Compensation</w:t>
      </w:r>
    </w:p>
    <w:p>
      <w:pPr>
        <w:spacing w:after="0" w:line="117"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color w:val="auto"/>
        </w:rPr>
        <w:t>On September 10, 2009, the Corporation’s Board of Directors authorized an increase in compensation paid to its non-management Directors. Pursuant to the Board action, the annual cash retainer paid to non-management Directors will increase from $35,000 to $45,000 effective at the annual Board of Directors meeting to be held on November 19, 2009, and the annual grant of stock options to each non-management Director will increase from 6,000 shares to 8,400 shares effective with the annual grant on September 25, 2009. The remaining components of director compensation remain unchanged.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filed as Exhibits to this Report.</w:t>
      </w:r>
    </w:p>
    <w:p>
      <w:pPr>
        <w:spacing w:after="0" w:line="221" w:lineRule="exact"/>
        <w:rPr>
          <w:sz w:val="20"/>
          <w:szCs w:val="20"/>
          <w:color w:val="auto"/>
        </w:rPr>
      </w:pPr>
    </w:p>
    <w:p>
      <w:pPr>
        <w:spacing w:after="0"/>
        <w:tabs>
          <w:tab w:leader="none" w:pos="5620" w:val="left"/>
        </w:tabs>
        <w:rPr>
          <w:sz w:val="20"/>
          <w:szCs w:val="20"/>
          <w:color w:val="auto"/>
        </w:rPr>
      </w:pPr>
      <w:r>
        <w:rPr>
          <w:rFonts w:ascii="Arial" w:cs="Arial" w:eastAsia="Arial" w:hAnsi="Arial"/>
          <w:sz w:val="14"/>
          <w:szCs w:val="14"/>
          <w:color w:val="auto"/>
        </w:rPr>
        <w:t>Exhibit No.</w:t>
      </w:r>
      <w:r>
        <w:rPr>
          <w:sz w:val="20"/>
          <w:szCs w:val="20"/>
          <w:color w:val="auto"/>
        </w:rPr>
        <w:tab/>
      </w:r>
      <w:r>
        <w:rPr>
          <w:rFonts w:ascii="Arial" w:cs="Arial" w:eastAsia="Arial" w:hAnsi="Arial"/>
          <w:sz w:val="13"/>
          <w:szCs w:val="13"/>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p>
      <w:pPr>
        <w:ind w:left="300"/>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Brady Corporation, dated September 11, 2009, relating to fourth quarter fiscal 2009 financial results.</w:t>
      </w:r>
    </w:p>
    <w:p>
      <w:pPr>
        <w:spacing w:after="0" w:line="225" w:lineRule="exact"/>
        <w:rPr>
          <w:sz w:val="20"/>
          <w:szCs w:val="20"/>
          <w:color w:val="auto"/>
        </w:rPr>
      </w:pPr>
    </w:p>
    <w:p>
      <w:pPr>
        <w:ind w:left="300"/>
        <w:spacing w:after="0"/>
        <w:tabs>
          <w:tab w:leader="none" w:pos="11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Press Release of Brady Corporation, dated September 10, 2009, related to increase in quarterly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BRADY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11, 2009</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5715</wp:posOffset>
            </wp:positionV>
            <wp:extent cx="2992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Thomas J. Felmer</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Senior Vice President &amp;</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62"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ind w:left="3900"/>
              <w:spacing w:after="0"/>
              <w:rPr>
                <w:sz w:val="20"/>
                <w:szCs w:val="20"/>
                <w:color w:val="auto"/>
              </w:rPr>
            </w:pPr>
            <w:r>
              <w:rPr>
                <w:rFonts w:ascii="Arial" w:cs="Arial" w:eastAsia="Arial" w:hAnsi="Arial"/>
                <w:sz w:val="18"/>
                <w:szCs w:val="18"/>
                <w:color w:val="auto"/>
              </w:rPr>
              <w:t>EXHIBIT INDEX</w:t>
            </w:r>
          </w:p>
        </w:tc>
      </w:tr>
      <w:tr>
        <w:trPr>
          <w:trHeight w:val="346"/>
        </w:trPr>
        <w:tc>
          <w:tcPr>
            <w:tcW w:w="920" w:type="dxa"/>
            <w:vAlign w:val="bottom"/>
          </w:tcPr>
          <w:p>
            <w:pPr>
              <w:jc w:val="right"/>
              <w:ind w:right="259"/>
              <w:spacing w:after="0"/>
              <w:rPr>
                <w:sz w:val="20"/>
                <w:szCs w:val="20"/>
                <w:color w:val="auto"/>
              </w:rPr>
            </w:pPr>
            <w:r>
              <w:rPr>
                <w:rFonts w:ascii="Arial" w:cs="Arial" w:eastAsia="Arial" w:hAnsi="Arial"/>
                <w:sz w:val="14"/>
                <w:szCs w:val="14"/>
                <w:color w:val="auto"/>
              </w:rPr>
              <w:t>EXHIBIT</w:t>
            </w:r>
          </w:p>
        </w:tc>
        <w:tc>
          <w:tcPr>
            <w:tcW w:w="240" w:type="dxa"/>
            <w:vAlign w:val="bottom"/>
          </w:tcPr>
          <w:p>
            <w:pPr>
              <w:spacing w:after="0"/>
              <w:rPr>
                <w:sz w:val="24"/>
                <w:szCs w:val="24"/>
                <w:color w:val="auto"/>
              </w:rPr>
            </w:pPr>
          </w:p>
        </w:tc>
        <w:tc>
          <w:tcPr>
            <w:tcW w:w="10260" w:type="dxa"/>
            <w:vAlign w:val="bottom"/>
          </w:tcPr>
          <w:p>
            <w:pPr>
              <w:spacing w:after="0"/>
              <w:rPr>
                <w:sz w:val="24"/>
                <w:szCs w:val="24"/>
                <w:color w:val="auto"/>
              </w:rPr>
            </w:pPr>
          </w:p>
        </w:tc>
      </w:tr>
      <w:tr>
        <w:trPr>
          <w:trHeight w:val="167"/>
        </w:trPr>
        <w:tc>
          <w:tcPr>
            <w:tcW w:w="9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color w:val="auto"/>
                <w:w w:val="98"/>
              </w:rPr>
              <w:t>NUMBER</w:t>
            </w:r>
          </w:p>
        </w:tc>
        <w:tc>
          <w:tcPr>
            <w:tcW w:w="240" w:type="dxa"/>
            <w:vAlign w:val="bottom"/>
          </w:tcPr>
          <w:p>
            <w:pPr>
              <w:spacing w:after="0"/>
              <w:rPr>
                <w:sz w:val="14"/>
                <w:szCs w:val="14"/>
                <w:color w:val="auto"/>
              </w:rPr>
            </w:pPr>
          </w:p>
        </w:tc>
        <w:tc>
          <w:tcPr>
            <w:tcW w:w="10260" w:type="dxa"/>
            <w:vAlign w:val="bottom"/>
            <w:tcBorders>
              <w:bottom w:val="single" w:sz="8" w:color="auto"/>
            </w:tcBorders>
          </w:tcPr>
          <w:p>
            <w:pPr>
              <w:ind w:left="4660"/>
              <w:spacing w:after="0"/>
              <w:rPr>
                <w:sz w:val="20"/>
                <w:szCs w:val="20"/>
                <w:color w:val="auto"/>
              </w:rPr>
            </w:pPr>
            <w:r>
              <w:rPr>
                <w:rFonts w:ascii="Arial" w:cs="Arial" w:eastAsia="Arial" w:hAnsi="Arial"/>
                <w:sz w:val="14"/>
                <w:szCs w:val="14"/>
                <w:color w:val="auto"/>
              </w:rPr>
              <w:t>DESCRIPTION</w:t>
            </w:r>
          </w:p>
        </w:tc>
      </w:tr>
      <w:tr>
        <w:trPr>
          <w:trHeight w:val="426"/>
        </w:trPr>
        <w:tc>
          <w:tcPr>
            <w:tcW w:w="920" w:type="dxa"/>
            <w:vAlign w:val="bottom"/>
          </w:tcPr>
          <w:p>
            <w:pPr>
              <w:jc w:val="right"/>
              <w:ind w:right="219"/>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Press Release of Brady Corporation, dated September 11, 2009, relating to fourth quarter fiscal 2009 financial results.</w:t>
            </w:r>
          </w:p>
        </w:tc>
      </w:tr>
      <w:tr>
        <w:trPr>
          <w:trHeight w:val="432"/>
        </w:trPr>
        <w:tc>
          <w:tcPr>
            <w:tcW w:w="920" w:type="dxa"/>
            <w:vAlign w:val="bottom"/>
          </w:tcPr>
          <w:p>
            <w:pPr>
              <w:jc w:val="right"/>
              <w:ind w:right="219"/>
              <w:spacing w:after="0"/>
              <w:rPr>
                <w:sz w:val="20"/>
                <w:szCs w:val="20"/>
                <w:color w:val="auto"/>
              </w:rPr>
            </w:pPr>
            <w:r>
              <w:rPr>
                <w:rFonts w:ascii="Arial" w:cs="Arial" w:eastAsia="Arial" w:hAnsi="Arial"/>
                <w:sz w:val="18"/>
                <w:szCs w:val="18"/>
                <w:color w:val="auto"/>
              </w:rPr>
              <w:t>99.2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Press Release of Brady Corporation, dated September 10, 2009, related to increase in quarterly dividend.</w:t>
            </w:r>
          </w:p>
        </w:tc>
      </w:tr>
    </w:tbl>
    <w:p>
      <w:pPr>
        <w:sectPr>
          <w:pgSz w:w="11900" w:h="16838" w:orient="portrait"/>
          <w:cols w:equalWidth="0" w:num="1">
            <w:col w:w="11420"/>
          </w:cols>
          <w:pgMar w:left="240" w:top="962"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 Barbara Bolens 414-438-6940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 contact: Carole Herbstreit 414-438-6882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reports earnings for fiscal 2009 fourth quarter and year end</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MILWAUKEE (September 11, 2009)—Brady Corporation (NYSE:BRC) today reported results for its fiscal 2009 fourth quarter and fiscal year ended July 31, 2009.</w:t>
      </w:r>
    </w:p>
    <w:p>
      <w:pPr>
        <w:spacing w:after="0" w:line="62" w:lineRule="exact"/>
        <w:rPr>
          <w:sz w:val="20"/>
          <w:szCs w:val="20"/>
          <w:color w:val="auto"/>
        </w:rPr>
      </w:pPr>
    </w:p>
    <w:p>
      <w:pPr>
        <w:ind w:right="560" w:firstLine="225"/>
        <w:spacing w:after="0" w:line="264" w:lineRule="auto"/>
        <w:rPr>
          <w:sz w:val="20"/>
          <w:szCs w:val="20"/>
          <w:color w:val="auto"/>
        </w:rPr>
      </w:pPr>
      <w:r>
        <w:rPr>
          <w:rFonts w:ascii="Arial" w:cs="Arial" w:eastAsia="Arial" w:hAnsi="Arial"/>
          <w:sz w:val="18"/>
          <w:szCs w:val="18"/>
          <w:color w:val="auto"/>
        </w:rPr>
        <w:t>Sales in the fiscal 2009 fourth quarter were $287.2 million compared to $396.8 million in the fourth quarter of fiscal 2008. Organic sales declined 23 percent, acquisition growth was flat, and foreign currency translation reduced sales by 5 percent. Regionally, organic sales were down 25 percent in Europe, 24 percent in the Americas, and 15 percent in Asia/Pacific.</w:t>
      </w:r>
    </w:p>
    <w:p>
      <w:pPr>
        <w:spacing w:after="0" w:line="73" w:lineRule="exact"/>
        <w:rPr>
          <w:sz w:val="20"/>
          <w:szCs w:val="20"/>
          <w:color w:val="auto"/>
        </w:rPr>
      </w:pPr>
    </w:p>
    <w:p>
      <w:pPr>
        <w:ind w:right="80" w:firstLine="225"/>
        <w:spacing w:after="0" w:line="308" w:lineRule="auto"/>
        <w:rPr>
          <w:sz w:val="20"/>
          <w:szCs w:val="20"/>
          <w:color w:val="auto"/>
        </w:rPr>
      </w:pPr>
      <w:r>
        <w:rPr>
          <w:rFonts w:ascii="Arial" w:cs="Arial" w:eastAsia="Arial" w:hAnsi="Arial"/>
          <w:sz w:val="17"/>
          <w:szCs w:val="17"/>
          <w:color w:val="auto"/>
        </w:rPr>
        <w:t>Net income for the fiscal 2009 fourth quarter was $19.2 million or $0.37 per diluted Class A Common share, compared to $34.8 million or $0.64 per share in the fourth quarter of fiscal 2008. Results included cost-reduction charges of $3.4 million after tax in the quarter or $0.06 per share.</w:t>
      </w:r>
    </w:p>
    <w:p>
      <w:pPr>
        <w:spacing w:after="0" w:line="38" w:lineRule="exact"/>
        <w:rPr>
          <w:sz w:val="20"/>
          <w:szCs w:val="20"/>
          <w:color w:val="auto"/>
        </w:rPr>
      </w:pPr>
    </w:p>
    <w:p>
      <w:pPr>
        <w:jc w:val="both"/>
        <w:ind w:right="420" w:firstLine="225"/>
        <w:spacing w:after="0" w:line="312" w:lineRule="auto"/>
        <w:rPr>
          <w:sz w:val="20"/>
          <w:szCs w:val="20"/>
          <w:color w:val="auto"/>
        </w:rPr>
      </w:pPr>
      <w:r>
        <w:rPr>
          <w:rFonts w:ascii="Arial" w:cs="Arial" w:eastAsia="Arial" w:hAnsi="Arial"/>
          <w:sz w:val="16"/>
          <w:szCs w:val="16"/>
          <w:color w:val="auto"/>
        </w:rPr>
        <w:t>Brady’s fiscal 2009 net sales were $1.209 billion compared to $1.523 billion in sales in fiscal 2008. Organic sales were down 16 percent, acquisitions added 1 percent to sales results, and foreign currency translation reduced sales by 5 percent. Net income for fiscal 2009, including after-tax restructuring charges of $20.2 million or $0.38 per share, was $70.1 million or $1.33 per share compared to $132.2 million or $2.41 per share in fiscal 2008.</w:t>
      </w:r>
    </w:p>
    <w:p>
      <w:pPr>
        <w:spacing w:after="0" w:line="39" w:lineRule="exact"/>
        <w:rPr>
          <w:sz w:val="20"/>
          <w:szCs w:val="20"/>
          <w:color w:val="auto"/>
        </w:rPr>
      </w:pPr>
    </w:p>
    <w:p>
      <w:pPr>
        <w:jc w:val="both"/>
        <w:ind w:firstLine="225"/>
        <w:spacing w:after="0" w:line="288" w:lineRule="auto"/>
        <w:rPr>
          <w:sz w:val="20"/>
          <w:szCs w:val="20"/>
          <w:color w:val="auto"/>
        </w:rPr>
      </w:pPr>
      <w:r>
        <w:rPr>
          <w:rFonts w:ascii="Arial" w:cs="Arial" w:eastAsia="Arial" w:hAnsi="Arial"/>
          <w:sz w:val="16"/>
          <w:szCs w:val="16"/>
          <w:color w:val="auto"/>
        </w:rPr>
        <w:t>“After a strong first quarter, the global economic downturn caused a 27 percent drop in our sales over the balance of the year. Despite this, we were able to earn $90 million in net income excluding restructuring charges and generate $126 million in cash flow from operations,” said Brady President and CEO Frank M. Jaehnert. “In the second quarter, we took quick and aggressive actions to adjust our cost structure, including a more than 20 percent workforce reduction.</w:t>
      </w:r>
    </w:p>
    <w:p>
      <w:pPr>
        <w:ind w:right="80"/>
        <w:spacing w:after="0" w:line="302" w:lineRule="auto"/>
        <w:rPr>
          <w:sz w:val="20"/>
          <w:szCs w:val="20"/>
          <w:color w:val="auto"/>
        </w:rPr>
      </w:pPr>
      <w:r>
        <w:rPr>
          <w:rFonts w:ascii="Arial" w:cs="Arial" w:eastAsia="Arial" w:hAnsi="Arial"/>
          <w:sz w:val="16"/>
          <w:szCs w:val="16"/>
          <w:color w:val="auto"/>
        </w:rPr>
        <w:t>We also continued to invest for our future and position the company for growth going forward by focusing on new product development, acquisition strategy, e-business opportunities and continued productivity improvement initiatives like the Brady Business Performance System. We believe that these strategic investments along with our reduced cost structure position us well for the current economic climate as well as for future economic recovery.”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354330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right="120" w:firstLine="225"/>
        <w:spacing w:after="0" w:line="255" w:lineRule="auto"/>
        <w:rPr>
          <w:sz w:val="20"/>
          <w:szCs w:val="20"/>
          <w:color w:val="auto"/>
        </w:rPr>
      </w:pPr>
      <w:r>
        <w:rPr>
          <w:rFonts w:ascii="Arial" w:cs="Arial" w:eastAsia="Arial" w:hAnsi="Arial"/>
          <w:sz w:val="18"/>
          <w:szCs w:val="18"/>
          <w:color w:val="auto"/>
        </w:rPr>
        <w:t>“We expect that the challenges of the global recession will continue into at least the first half of fiscal 2010. As a result, we expect current fiscal year net income to be between $85 and 95 million and earnings per diluted share of between $1.60 and $1.80. This guidance is based on current exchange rates and assumes that sales will continue at or near current levels through the first half of our fiscal year, followed by modest growth in the second half of the year, resulting in a greater increase in earnings in the second half due to our reduced cost structure,” said Brady Chief Financial Officer Thomas J. Felmer. “Our guidance also excludes additional expected aftertax restructuring charges of approximately $11 million ($15 million pretax) or $0.21 per share, which will result in annualized aftertax savings of $11 million ($15 million pretax), with $7 million ($10 million pretax) in savings in the second half of fiscal 2010 and the balance in fiscal 2011.</w:t>
      </w:r>
    </w:p>
    <w:p>
      <w:pPr>
        <w:spacing w:after="0" w:line="81" w:lineRule="exact"/>
        <w:rPr>
          <w:sz w:val="20"/>
          <w:szCs w:val="20"/>
          <w:color w:val="auto"/>
        </w:rPr>
      </w:pPr>
    </w:p>
    <w:p>
      <w:pPr>
        <w:ind w:right="320" w:firstLine="225"/>
        <w:spacing w:after="0" w:line="264" w:lineRule="auto"/>
        <w:rPr>
          <w:sz w:val="20"/>
          <w:szCs w:val="20"/>
          <w:color w:val="auto"/>
        </w:rPr>
      </w:pPr>
      <w:r>
        <w:rPr>
          <w:rFonts w:ascii="Arial" w:cs="Arial" w:eastAsia="Arial" w:hAnsi="Arial"/>
          <w:sz w:val="18"/>
          <w:szCs w:val="18"/>
          <w:color w:val="auto"/>
        </w:rPr>
        <w:t>“Fiscal 2009 restructuring and other cost-related actions resulted in approximately $100 million in cost reductions, $60 million of which is expected to carry through fiscal 2010, with the remaining costs expected to return starting in the first quarter. We also expect capital expenditures in fiscal 2010 of approximately $25 million, with depreciation and amortization consistent with fiscal 2009 levels.”</w:t>
      </w:r>
    </w:p>
    <w:p>
      <w:pPr>
        <w:spacing w:after="0" w:line="73" w:lineRule="exact"/>
        <w:rPr>
          <w:sz w:val="20"/>
          <w:szCs w:val="20"/>
          <w:color w:val="auto"/>
        </w:rPr>
      </w:pPr>
    </w:p>
    <w:p>
      <w:pPr>
        <w:ind w:left="240" w:right="620" w:hanging="9"/>
        <w:spacing w:after="0" w:line="361" w:lineRule="auto"/>
        <w:rPr>
          <w:sz w:val="20"/>
          <w:szCs w:val="20"/>
          <w:color w:val="auto"/>
        </w:rPr>
      </w:pPr>
      <w:r>
        <w:rPr>
          <w:rFonts w:ascii="Arial" w:cs="Arial" w:eastAsia="Arial" w:hAnsi="Arial"/>
          <w:sz w:val="16"/>
          <w:szCs w:val="16"/>
          <w:color w:val="auto"/>
        </w:rPr>
        <w:t>A Webcast regarding fiscal 2009 results will be available at www.investor.bradycorp.com beginning at 9:30 a.m. Central Daylight Time today. Brady Corporation is an international manufacturer and marketer of complete solutions that identify and protect premises, products and people. Its</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products include high-performance labels and signs, safety devices, printing systems and software, and precision die-cut materials. Founded in 1914, the company has more than 500,000 customers in electronics, telecommunications, manufacturing, electrical, construction, education, medical and a variety of other industries. Brady is headquartered in Milwaukee and employs approximately 7,000 people at operations in the Americas, Europe and Asia/Pacific. More information is available on the Internet at </w:t>
      </w:r>
      <w:r>
        <w:rPr>
          <w:rFonts w:ascii="Arial" w:cs="Arial" w:eastAsia="Arial" w:hAnsi="Arial"/>
          <w:sz w:val="18"/>
          <w:szCs w:val="18"/>
          <w:u w:val="single" w:color="auto"/>
          <w:color w:val="auto"/>
        </w:rPr>
        <w:t>www.bradycorp.com</w:t>
      </w:r>
      <w:r>
        <w:rPr>
          <w:rFonts w:ascii="Arial" w:cs="Arial" w:eastAsia="Arial" w:hAnsi="Arial"/>
          <w:sz w:val="18"/>
          <w:szCs w:val="18"/>
          <w:color w:val="auto"/>
        </w:rPr>
        <w:t>.</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Brady believes that certain statements in this news release are “forward-looking statements” within the meaning of the Private Securities Litigation Reform Act of 1995. All statements related to future, not past, events included in this news release,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news release,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retain significant contracts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371475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 w:name="page7"/>
    <w:bookmarkEnd w:id="6"/>
    <w:p>
      <w:pPr>
        <w:spacing w:after="0" w:line="270" w:lineRule="auto"/>
        <w:rPr>
          <w:sz w:val="20"/>
          <w:szCs w:val="20"/>
          <w:color w:val="auto"/>
        </w:rPr>
      </w:pPr>
      <w:r>
        <w:rPr>
          <w:rFonts w:ascii="Arial" w:cs="Arial" w:eastAsia="Arial" w:hAnsi="Arial"/>
          <w:sz w:val="17"/>
          <w:szCs w:val="17"/>
          <w:color w:val="auto"/>
        </w:rPr>
        <w:t>customers; future competition; Brady’s ability to develop and successfully market new products; changes in the supply of, or price for, parts and components; increased price pressure from suppliers and customers; interruptions to sources of supply; environmental, health and safety compliance costs and liabilities; Brady’s ability to realize cost savings from operating initiatives; Brady’s ability to attract and retain key talent; difficulties associated with exports; risks associated with international operations; fluctuations in currency rates versus the US dollar; technology changes; potential write-offs of Brady’s substantial intangible assets; risks associated with obtaining governmental approvals and maintaining regulatory compliance for new and existing products; business interruptions due to implementing business systems;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II of Brady’s Annual Report on Form 10-K for the period ended July 31, 2008. These uncertainties may cause Brady’s actual future results to be materially different than those expressed in its forward-looking statements. Brady does not undertake to update its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377190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4"/>
                <w:szCs w:val="14"/>
                <w:color w:val="auto"/>
                <w:w w:val="92"/>
              </w:rPr>
              <w:t>(Unaudited)</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4"/>
          </w:tcPr>
          <w:p>
            <w:pPr>
              <w:jc w:val="right"/>
              <w:ind w:right="160"/>
              <w:spacing w:after="0" w:line="142" w:lineRule="exact"/>
              <w:rPr>
                <w:sz w:val="20"/>
                <w:szCs w:val="20"/>
                <w:color w:val="auto"/>
              </w:rPr>
            </w:pPr>
            <w:r>
              <w:rPr>
                <w:rFonts w:ascii="Arial" w:cs="Arial" w:eastAsia="Arial" w:hAnsi="Arial"/>
                <w:sz w:val="14"/>
                <w:szCs w:val="14"/>
                <w:color w:val="auto"/>
                <w:w w:val="92"/>
              </w:rPr>
              <w:t>Three Months Ended July 31,</w:t>
            </w:r>
          </w:p>
        </w:tc>
        <w:tc>
          <w:tcPr>
            <w:tcW w:w="6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4"/>
          </w:tcPr>
          <w:p>
            <w:pPr>
              <w:jc w:val="right"/>
              <w:ind w:right="240"/>
              <w:spacing w:after="0" w:line="142" w:lineRule="exact"/>
              <w:rPr>
                <w:sz w:val="20"/>
                <w:szCs w:val="20"/>
                <w:color w:val="auto"/>
              </w:rPr>
            </w:pPr>
            <w:r>
              <w:rPr>
                <w:rFonts w:ascii="Arial" w:cs="Arial" w:eastAsia="Arial" w:hAnsi="Arial"/>
                <w:sz w:val="14"/>
                <w:szCs w:val="14"/>
                <w:color w:val="auto"/>
                <w:w w:val="94"/>
              </w:rPr>
              <w:t>Twelve Months Ended July 31,</w:t>
            </w:r>
          </w:p>
        </w:tc>
        <w:tc>
          <w:tcPr>
            <w:tcW w:w="6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jc w:val="center"/>
              <w:spacing w:after="0" w:line="123" w:lineRule="exact"/>
              <w:rPr>
                <w:sz w:val="20"/>
                <w:szCs w:val="20"/>
                <w:color w:val="auto"/>
              </w:rPr>
            </w:pPr>
            <w:r>
              <w:rPr>
                <w:rFonts w:ascii="Arial" w:cs="Arial" w:eastAsia="Arial" w:hAnsi="Arial"/>
                <w:sz w:val="14"/>
                <w:szCs w:val="14"/>
                <w:color w:val="auto"/>
                <w:w w:val="86"/>
              </w:rPr>
              <w:t>Percentage</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4"/>
                <w:szCs w:val="14"/>
                <w:color w:val="auto"/>
                <w:w w:val="89"/>
              </w:rPr>
              <w:t>Percentage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2008</w:t>
            </w:r>
          </w:p>
        </w:tc>
        <w:tc>
          <w:tcPr>
            <w:tcW w:w="6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Change</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2009</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2008</w:t>
            </w:r>
          </w:p>
        </w:tc>
        <w:tc>
          <w:tcPr>
            <w:tcW w:w="640" w:type="dxa"/>
            <w:vAlign w:val="bottom"/>
          </w:tcPr>
          <w:p>
            <w:pPr>
              <w:spacing w:after="0"/>
              <w:rPr>
                <w:sz w:val="14"/>
                <w:szCs w:val="14"/>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Change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287,203</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396,849</w:t>
            </w:r>
          </w:p>
        </w:tc>
        <w:tc>
          <w:tcPr>
            <w:tcW w:w="6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1,208,702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1,523,016</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Cost of products sold</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151,081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204,920</w:t>
            </w:r>
          </w:p>
        </w:tc>
        <w:tc>
          <w:tcPr>
            <w:tcW w:w="6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-26.3%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631,119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778,821</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136,122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191,929</w:t>
            </w:r>
          </w:p>
        </w:tc>
        <w:tc>
          <w:tcPr>
            <w:tcW w:w="6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577,583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744,195</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432"/>
        </w:trPr>
        <w:tc>
          <w:tcPr>
            <w:tcW w:w="35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11,284</w:t>
            </w:r>
          </w:p>
        </w:tc>
        <w:tc>
          <w:tcPr>
            <w:tcW w:w="6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34,181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40,607</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94,404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126,325</w:t>
            </w:r>
          </w:p>
        </w:tc>
        <w:tc>
          <w:tcPr>
            <w:tcW w:w="6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-25.3%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397,180</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495,904</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25,849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5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105,833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137,609</w:t>
            </w:r>
          </w:p>
        </w:tc>
        <w:tc>
          <w:tcPr>
            <w:tcW w:w="6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-23.1%</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457,210</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536,511</w:t>
            </w:r>
          </w:p>
        </w:tc>
        <w:tc>
          <w:tcPr>
            <w:tcW w:w="6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30,289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54,320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120,373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207,684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432"/>
        </w:trPr>
        <w:tc>
          <w:tcPr>
            <w:tcW w:w="3560" w:type="dxa"/>
            <w:vAlign w:val="bottom"/>
            <w:gridSpan w:val="2"/>
          </w:tcPr>
          <w:p>
            <w:pPr>
              <w:spacing w:after="0"/>
              <w:rPr>
                <w:sz w:val="20"/>
                <w:szCs w:val="20"/>
                <w:color w:val="auto"/>
              </w:rPr>
            </w:pPr>
            <w:r>
              <w:rPr>
                <w:rFonts w:ascii="Arial" w:cs="Arial" w:eastAsia="Arial" w:hAnsi="Arial"/>
                <w:sz w:val="18"/>
                <w:szCs w:val="18"/>
                <w:color w:val="auto"/>
              </w:rPr>
              <w:t>Other income and (expense):</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and other income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6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4,888</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(5,919)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(5,956)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(24,901)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(26,385)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25,027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49,945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97,272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186,187</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418"/>
        </w:trPr>
        <w:tc>
          <w:tcPr>
            <w:tcW w:w="3560" w:type="dxa"/>
            <w:vAlign w:val="bottom"/>
            <w:gridSpan w:val="2"/>
          </w:tcPr>
          <w:p>
            <w:pPr>
              <w:spacing w:after="0"/>
              <w:rPr>
                <w:sz w:val="20"/>
                <w:szCs w:val="20"/>
                <w:color w:val="auto"/>
              </w:rPr>
            </w:pPr>
            <w:r>
              <w:rPr>
                <w:rFonts w:ascii="Arial" w:cs="Arial" w:eastAsia="Arial" w:hAnsi="Arial"/>
                <w:sz w:val="18"/>
                <w:szCs w:val="18"/>
                <w:color w:val="auto"/>
              </w:rPr>
              <w:t>Income taxes (2009 Q4 Restructuring —</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$1.6 million)</w:t>
            </w: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5,825</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15,170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-61.6%</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27,150</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53,999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19,202</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34,775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70,122</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132,188</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rPr>
                <w:sz w:val="20"/>
                <w:szCs w:val="20"/>
                <w:color w:val="auto"/>
              </w:rPr>
            </w:pPr>
            <w:r>
              <w:rPr>
                <w:rFonts w:ascii="Arial" w:cs="Arial" w:eastAsia="Arial" w:hAnsi="Arial"/>
                <w:sz w:val="18"/>
                <w:szCs w:val="18"/>
                <w:color w:val="auto"/>
              </w:rPr>
              <w:t>Per Class A Nonvoting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5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0.37</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0.65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2.45</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Diluted 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0.37</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0.64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-42.2%</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1.33</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2.41</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0.15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0.68</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0.60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432"/>
        </w:trPr>
        <w:tc>
          <w:tcPr>
            <w:tcW w:w="3560" w:type="dxa"/>
            <w:vAlign w:val="bottom"/>
            <w:gridSpan w:val="2"/>
          </w:tcPr>
          <w:p>
            <w:pPr>
              <w:spacing w:after="0"/>
              <w:rPr>
                <w:sz w:val="20"/>
                <w:szCs w:val="20"/>
                <w:color w:val="auto"/>
              </w:rPr>
            </w:pPr>
            <w:r>
              <w:rPr>
                <w:rFonts w:ascii="Arial" w:cs="Arial" w:eastAsia="Arial" w:hAnsi="Arial"/>
                <w:sz w:val="18"/>
                <w:szCs w:val="18"/>
                <w:color w:val="auto"/>
              </w:rPr>
              <w:t>Per Class B Voting Common Share:</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0.37</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0.65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2.43</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Diluted 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0.37</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0.64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-42.2%</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1.31</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2.39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0.15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0.66</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0.58</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418"/>
        </w:trPr>
        <w:tc>
          <w:tcPr>
            <w:tcW w:w="3560" w:type="dxa"/>
            <w:vAlign w:val="bottom"/>
            <w:gridSpan w:val="2"/>
          </w:tcPr>
          <w:p>
            <w:pPr>
              <w:spacing w:after="0"/>
              <w:rPr>
                <w:sz w:val="20"/>
                <w:szCs w:val="20"/>
                <w:color w:val="auto"/>
              </w:rPr>
            </w:pPr>
            <w:r>
              <w:rPr>
                <w:rFonts w:ascii="Arial" w:cs="Arial" w:eastAsia="Arial" w:hAnsi="Arial"/>
                <w:sz w:val="18"/>
                <w:szCs w:val="18"/>
                <w:color w:val="auto"/>
              </w:rPr>
              <w:t>Weighted average common shares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outstanding (in Thousands):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52,308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53,790</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52,559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54,168</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52,583</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54,514</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52,866</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54,873</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7"/>
        </w:trPr>
        <w:tc>
          <w:tcPr>
            <w:tcW w:w="20" w:type="dxa"/>
            <w:vAlign w:val="bottom"/>
          </w:tcPr>
          <w:p>
            <w:pPr>
              <w:spacing w:after="0"/>
              <w:rPr>
                <w:sz w:val="24"/>
                <w:szCs w:val="24"/>
                <w:color w:val="auto"/>
              </w:rPr>
            </w:pPr>
          </w:p>
        </w:tc>
        <w:tc>
          <w:tcPr>
            <w:tcW w:w="35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 w:name="page9"/>
    <w:bookmarkEnd w:id="8"/>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color w:val="auto"/>
              </w:rPr>
              <w:t>(Unaudited)</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15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July 31, 2009</w:t>
            </w:r>
          </w:p>
        </w:tc>
        <w:tc>
          <w:tcPr>
            <w:tcW w:w="8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July 31,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ind w:left="536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188,156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Accounts receivable, less allowance for losses ($7,931 and $10,059, respectively)</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191,189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262,461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Finished products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53,244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75,665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Work-in-process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13,159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Raw materials and supplies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27,405</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inventories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93,808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36,274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43,650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960" w:type="dxa"/>
            <w:vAlign w:val="bottom"/>
          </w:tcPr>
          <w:p>
            <w:pPr>
              <w:ind w:left="40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Pr>
          <w:p>
            <w:pPr>
              <w:spacing w:after="0"/>
              <w:rPr>
                <w:sz w:val="20"/>
                <w:szCs w:val="20"/>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509,427</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699,085</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8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751,173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789,107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intangible assets, net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115,754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36,374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18,551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21,381</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other assets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921,852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981,222</w:t>
            </w:r>
          </w:p>
        </w:tc>
        <w:tc>
          <w:tcPr>
            <w:tcW w:w="0" w:type="dxa"/>
            <w:vAlign w:val="bottom"/>
          </w:tcPr>
          <w:p>
            <w:pPr>
              <w:spacing w:after="0"/>
              <w:rPr>
                <w:sz w:val="1"/>
                <w:szCs w:val="1"/>
                <w:color w:val="auto"/>
              </w:rPr>
            </w:pPr>
          </w:p>
        </w:tc>
      </w:tr>
      <w:tr>
        <w:trPr>
          <w:trHeight w:val="432"/>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Property, plant and equipment:</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Land</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6,335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Buildings and improvements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96,968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Machinery and equipment</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283,301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282,232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Construction in progress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7,869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394,473</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393,408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accumulated depreciation</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242,485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223,202</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Net property, plant and equipment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151,988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170,206</w:t>
            </w:r>
          </w:p>
        </w:tc>
        <w:tc>
          <w:tcPr>
            <w:tcW w:w="0" w:type="dxa"/>
            <w:vAlign w:val="bottom"/>
          </w:tcPr>
          <w:p>
            <w:pPr>
              <w:spacing w:after="0"/>
              <w:rPr>
                <w:sz w:val="1"/>
                <w:szCs w:val="1"/>
                <w:color w:val="auto"/>
              </w:rPr>
            </w:pPr>
          </w:p>
        </w:tc>
      </w:tr>
      <w:tr>
        <w:trPr>
          <w:trHeight w:val="439"/>
        </w:trPr>
        <w:tc>
          <w:tcPr>
            <w:tcW w:w="20" w:type="dxa"/>
            <w:vAlign w:val="bottom"/>
            <w:vMerge w:val="restart"/>
          </w:tcPr>
          <w:p>
            <w:pPr>
              <w:spacing w:after="0"/>
              <w:rPr>
                <w:sz w:val="24"/>
                <w:szCs w:val="24"/>
                <w:color w:val="auto"/>
              </w:rPr>
            </w:pPr>
          </w:p>
        </w:tc>
        <w:tc>
          <w:tcPr>
            <w:tcW w:w="89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1,583,267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1,850,513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vMerge w:val="restart"/>
          </w:tcPr>
          <w:p>
            <w:pPr>
              <w:ind w:left="3480"/>
              <w:spacing w:after="0"/>
              <w:rPr>
                <w:sz w:val="20"/>
                <w:szCs w:val="20"/>
                <w:color w:val="auto"/>
              </w:rPr>
            </w:pPr>
            <w:r>
              <w:rPr>
                <w:rFonts w:ascii="Arial" w:cs="Arial" w:eastAsia="Arial" w:hAnsi="Arial"/>
                <w:sz w:val="18"/>
                <w:szCs w:val="18"/>
                <w:b w:val="1"/>
                <w:bCs w:val="1"/>
                <w:color w:val="auto"/>
              </w:rPr>
              <w:t>LIABILITIES AND STOCKHOLDERS’ INVESTMENT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83,793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118,209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Wages and amounts withheld from employees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36,313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Taxes, other than income taxes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6,262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income taxes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5,964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45,247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54,810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maturities on long-term debt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44,893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21,431</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222,472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308,561</w:t>
            </w:r>
          </w:p>
        </w:tc>
        <w:tc>
          <w:tcPr>
            <w:tcW w:w="0" w:type="dxa"/>
            <w:vAlign w:val="bottom"/>
          </w:tcPr>
          <w:p>
            <w:pPr>
              <w:spacing w:after="0"/>
              <w:rPr>
                <w:sz w:val="1"/>
                <w:szCs w:val="1"/>
                <w:color w:val="auto"/>
              </w:rPr>
            </w:pPr>
          </w:p>
        </w:tc>
      </w:tr>
      <w:tr>
        <w:trPr>
          <w:trHeight w:val="432"/>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Long-term obligations, less current maturities</w:t>
            </w:r>
          </w:p>
        </w:tc>
        <w:tc>
          <w:tcPr>
            <w:tcW w:w="100" w:type="dxa"/>
            <w:vAlign w:val="bottom"/>
          </w:tcPr>
          <w:p>
            <w:pPr>
              <w:spacing w:after="0"/>
              <w:rPr>
                <w:sz w:val="24"/>
                <w:szCs w:val="2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346,457</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457,143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63,246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63,001</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632,175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828,705</w:t>
            </w:r>
          </w:p>
        </w:tc>
        <w:tc>
          <w:tcPr>
            <w:tcW w:w="0" w:type="dxa"/>
            <w:vAlign w:val="bottom"/>
          </w:tcPr>
          <w:p>
            <w:pPr>
              <w:spacing w:after="0"/>
              <w:rPr>
                <w:sz w:val="1"/>
                <w:szCs w:val="1"/>
                <w:color w:val="auto"/>
              </w:rPr>
            </w:pPr>
          </w:p>
        </w:tc>
      </w:tr>
      <w:tr>
        <w:trPr>
          <w:trHeight w:val="432"/>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Stockholders’ investment:</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60" w:type="dxa"/>
            <w:vAlign w:val="bottom"/>
          </w:tcPr>
          <w:p>
            <w:pPr>
              <w:ind w:left="400"/>
              <w:spacing w:after="0" w:line="201" w:lineRule="exact"/>
              <w:rPr>
                <w:sz w:val="20"/>
                <w:szCs w:val="20"/>
                <w:color w:val="auto"/>
              </w:rPr>
            </w:pPr>
            <w:r>
              <w:rPr>
                <w:rFonts w:ascii="Arial" w:cs="Arial" w:eastAsia="Arial" w:hAnsi="Arial"/>
                <w:sz w:val="18"/>
                <w:szCs w:val="18"/>
                <w:color w:val="auto"/>
                <w:w w:val="98"/>
              </w:rPr>
              <w:t>Class A nonvoting common stock — Issued 51,261,487 and 51,261,487 shares, respectively and outstanding</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600"/>
              <w:spacing w:after="0"/>
              <w:rPr>
                <w:sz w:val="20"/>
                <w:szCs w:val="20"/>
                <w:color w:val="auto"/>
              </w:rPr>
            </w:pPr>
            <w:r>
              <w:rPr>
                <w:rFonts w:ascii="Arial" w:cs="Arial" w:eastAsia="Arial" w:hAnsi="Arial"/>
                <w:sz w:val="18"/>
                <w:szCs w:val="18"/>
                <w:color w:val="auto"/>
              </w:rPr>
              <w:t>48,780,560 and 50,005,296 shares, respectively</w:t>
            </w:r>
          </w:p>
        </w:tc>
        <w:tc>
          <w:tcPr>
            <w:tcW w:w="100" w:type="dxa"/>
            <w:vAlign w:val="bottom"/>
          </w:tcPr>
          <w:p>
            <w:pPr>
              <w:spacing w:after="0"/>
              <w:rPr>
                <w:sz w:val="20"/>
                <w:szCs w:val="20"/>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Class B voting common stock — Issued and outstanding, 3,538,628 shares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298,466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292,769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931" w:right="2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retained in the business</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673,342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639,059</w:t>
            </w:r>
          </w:p>
        </w:tc>
      </w:tr>
      <w:tr>
        <w:trPr>
          <w:trHeight w:val="216"/>
        </w:trPr>
        <w:tc>
          <w:tcPr>
            <w:tcW w:w="8980" w:type="dxa"/>
            <w:vAlign w:val="bottom"/>
          </w:tcPr>
          <w:p>
            <w:pPr>
              <w:ind w:left="220"/>
              <w:spacing w:after="0"/>
              <w:rPr>
                <w:sz w:val="20"/>
                <w:szCs w:val="20"/>
                <w:color w:val="auto"/>
              </w:rPr>
            </w:pPr>
            <w:r>
              <w:rPr>
                <w:rFonts w:ascii="Arial" w:cs="Arial" w:eastAsia="Arial" w:hAnsi="Arial"/>
                <w:sz w:val="18"/>
                <w:szCs w:val="18"/>
                <w:color w:val="auto"/>
              </w:rPr>
              <w:t>Treasury stock - 2,270,927 and 1,046,191 shares, respectively of Class A nonvoting common stock, at cost</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(69,823)</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(33,234)</w:t>
            </w: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53,051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128,161</w:t>
            </w:r>
          </w:p>
        </w:tc>
      </w:tr>
      <w:tr>
        <w:trPr>
          <w:trHeight w:val="216"/>
        </w:trPr>
        <w:tc>
          <w:tcPr>
            <w:tcW w:w="8980" w:type="dxa"/>
            <w:vAlign w:val="bottom"/>
          </w:tcPr>
          <w:p>
            <w:pPr>
              <w:ind w:left="220"/>
              <w:spacing w:after="0"/>
              <w:rPr>
                <w:sz w:val="20"/>
                <w:szCs w:val="20"/>
                <w:color w:val="auto"/>
              </w:rPr>
            </w:pPr>
            <w:r>
              <w:rPr>
                <w:rFonts w:ascii="Arial" w:cs="Arial" w:eastAsia="Arial" w:hAnsi="Arial"/>
                <w:sz w:val="18"/>
                <w:szCs w:val="18"/>
                <w:color w:val="auto"/>
              </w:rPr>
              <w:t>Other</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(4,492)</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(5,495)</w:t>
            </w:r>
          </w:p>
        </w:tc>
      </w:tr>
      <w:tr>
        <w:trPr>
          <w:trHeight w:val="223"/>
        </w:trPr>
        <w:tc>
          <w:tcPr>
            <w:tcW w:w="89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9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stockholders’ investment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951,092</w:t>
            </w:r>
          </w:p>
        </w:tc>
        <w:tc>
          <w:tcPr>
            <w:tcW w:w="6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1,021,808</w:t>
            </w:r>
          </w:p>
        </w:tc>
        <w:tc>
          <w:tcPr>
            <w:tcW w:w="100" w:type="dxa"/>
            <w:vAlign w:val="bottom"/>
            <w:shd w:val="clear" w:color="auto" w:fill="CCEEFF"/>
          </w:tcPr>
          <w:p>
            <w:pPr>
              <w:spacing w:after="0"/>
              <w:rPr>
                <w:sz w:val="18"/>
                <w:szCs w:val="18"/>
                <w:color w:val="auto"/>
              </w:rPr>
            </w:pPr>
          </w:p>
        </w:tc>
      </w:tr>
      <w:tr>
        <w:trPr>
          <w:trHeight w:val="439"/>
        </w:trPr>
        <w:tc>
          <w:tcPr>
            <w:tcW w:w="89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$ 1,583,267</w:t>
            </w:r>
          </w:p>
        </w:tc>
        <w:tc>
          <w:tcPr>
            <w:tcW w:w="66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$ 1,850,513</w:t>
            </w:r>
          </w:p>
        </w:tc>
      </w:tr>
      <w:tr>
        <w:trPr>
          <w:trHeight w:val="20"/>
        </w:trPr>
        <w:tc>
          <w:tcPr>
            <w:tcW w:w="89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6"/>
        </w:trPr>
        <w:tc>
          <w:tcPr>
            <w:tcW w:w="898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6" w:lineRule="exact"/>
        <w:rPr>
          <w:sz w:val="20"/>
          <w:szCs w:val="20"/>
          <w:color w:val="auto"/>
        </w:rPr>
      </w:pPr>
    </w:p>
    <w:p>
      <w:pPr>
        <w:jc w:val="center"/>
        <w:ind w:left="7640"/>
        <w:spacing w:after="0"/>
        <w:rPr>
          <w:sz w:val="20"/>
          <w:szCs w:val="20"/>
          <w:color w:val="auto"/>
        </w:rPr>
      </w:pPr>
      <w:r>
        <w:rPr>
          <w:rFonts w:ascii="Arial" w:cs="Arial" w:eastAsia="Arial" w:hAnsi="Arial"/>
          <w:sz w:val="14"/>
          <w:szCs w:val="14"/>
          <w:color w:val="auto"/>
        </w:rPr>
        <w:t>(Unaudited)</w:t>
      </w:r>
    </w:p>
    <w:p>
      <w:pPr>
        <w:jc w:val="center"/>
        <w:ind w:left="7640"/>
        <w:spacing w:after="0" w:line="221" w:lineRule="auto"/>
        <w:rPr>
          <w:sz w:val="20"/>
          <w:szCs w:val="20"/>
          <w:color w:val="auto"/>
        </w:rPr>
      </w:pPr>
      <w:r>
        <w:rPr>
          <w:rFonts w:ascii="Arial" w:cs="Arial" w:eastAsia="Arial" w:hAnsi="Arial"/>
          <w:sz w:val="14"/>
          <w:szCs w:val="14"/>
          <w:color w:val="auto"/>
        </w:rPr>
        <w:t>Twelve Months Ended</w:t>
      </w:r>
    </w:p>
    <w:p>
      <w:pPr>
        <w:jc w:val="center"/>
        <w:ind w:left="7640"/>
        <w:spacing w:after="0" w:line="231" w:lineRule="auto"/>
        <w:rPr>
          <w:sz w:val="20"/>
          <w:szCs w:val="20"/>
          <w:color w:val="auto"/>
        </w:rPr>
      </w:pPr>
      <w:r>
        <w:rPr>
          <w:rFonts w:ascii="Arial" w:cs="Arial" w:eastAsia="Arial" w:hAnsi="Arial"/>
          <w:sz w:val="14"/>
          <w:szCs w:val="14"/>
          <w:color w:val="auto"/>
        </w:rPr>
        <w:t>July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0"/>
              <w:spacing w:after="0" w:line="142" w:lineRule="exact"/>
              <w:rPr>
                <w:sz w:val="20"/>
                <w:szCs w:val="20"/>
                <w:color w:val="auto"/>
              </w:rPr>
            </w:pPr>
            <w:r>
              <w:rPr>
                <w:rFonts w:ascii="Arial" w:cs="Arial" w:eastAsia="Arial" w:hAnsi="Arial"/>
                <w:sz w:val="14"/>
                <w:szCs w:val="14"/>
                <w:color w:val="auto"/>
              </w:rPr>
              <w:t>2009</w:t>
            </w:r>
          </w:p>
        </w:tc>
        <w:tc>
          <w:tcPr>
            <w:tcW w:w="3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color w:val="auto"/>
              </w:rPr>
              <w:t>2008</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0"/>
              <w:spacing w:after="0" w:line="142" w:lineRule="exact"/>
              <w:rPr>
                <w:sz w:val="20"/>
                <w:szCs w:val="20"/>
                <w:color w:val="auto"/>
              </w:rPr>
            </w:pPr>
            <w:r>
              <w:rPr>
                <w:rFonts w:ascii="Arial" w:cs="Arial" w:eastAsia="Arial" w:hAnsi="Arial"/>
                <w:sz w:val="14"/>
                <w:szCs w:val="14"/>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70,122</w:t>
            </w:r>
          </w:p>
        </w:tc>
        <w:tc>
          <w:tcPr>
            <w:tcW w:w="1360" w:type="dxa"/>
            <w:vAlign w:val="bottom"/>
            <w:gridSpan w:val="3"/>
          </w:tcPr>
          <w:p>
            <w:pPr>
              <w:jc w:val="right"/>
              <w:ind w:right="360"/>
              <w:spacing w:after="0"/>
              <w:rPr>
                <w:sz w:val="20"/>
                <w:szCs w:val="20"/>
                <w:color w:val="auto"/>
              </w:rPr>
            </w:pPr>
            <w:r>
              <w:rPr>
                <w:rFonts w:ascii="Arial" w:cs="Arial" w:eastAsia="Arial" w:hAnsi="Arial"/>
                <w:sz w:val="18"/>
                <w:szCs w:val="18"/>
                <w:color w:val="auto"/>
              </w:rPr>
              <w:t>$ 132,188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109,388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54,851</w:t>
            </w:r>
          </w:p>
        </w:tc>
        <w:tc>
          <w:tcPr>
            <w:tcW w:w="1360" w:type="dxa"/>
            <w:vAlign w:val="bottom"/>
            <w:gridSpan w:val="3"/>
          </w:tcPr>
          <w:p>
            <w:pPr>
              <w:jc w:val="right"/>
              <w:ind w:right="360"/>
              <w:spacing w:after="0"/>
              <w:rPr>
                <w:sz w:val="20"/>
                <w:szCs w:val="20"/>
                <w:color w:val="auto"/>
              </w:rPr>
            </w:pPr>
            <w:r>
              <w:rPr>
                <w:rFonts w:ascii="Arial" w:cs="Arial" w:eastAsia="Arial" w:hAnsi="Arial"/>
                <w:sz w:val="18"/>
                <w:szCs w:val="18"/>
                <w:color w:val="auto"/>
              </w:rPr>
              <w:t>60,587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53,856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(8,640)</w:t>
            </w: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Loss (gain) on disposal of property, plant &amp; equipment</w:t>
            </w:r>
          </w:p>
        </w:tc>
        <w:tc>
          <w:tcPr>
            <w:tcW w:w="1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383</w:t>
            </w:r>
          </w:p>
        </w:tc>
        <w:tc>
          <w:tcPr>
            <w:tcW w:w="1360" w:type="dxa"/>
            <w:vAlign w:val="bottom"/>
            <w:gridSpan w:val="3"/>
          </w:tcPr>
          <w:p>
            <w:pPr>
              <w:jc w:val="right"/>
              <w:ind w:right="360"/>
              <w:spacing w:after="0"/>
              <w:rPr>
                <w:sz w:val="20"/>
                <w:szCs w:val="20"/>
                <w:color w:val="auto"/>
              </w:rPr>
            </w:pPr>
            <w:r>
              <w:rPr>
                <w:rFonts w:ascii="Arial" w:cs="Arial" w:eastAsia="Arial" w:hAnsi="Arial"/>
                <w:sz w:val="18"/>
                <w:szCs w:val="18"/>
                <w:color w:val="auto"/>
              </w:rPr>
              <w:t>1,672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portion of stock-based compensation expense</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7,731</w:t>
            </w:r>
          </w:p>
        </w:tc>
        <w:tc>
          <w:tcPr>
            <w:tcW w:w="3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10,228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Non-cash portion of restructuring charges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2,469</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 (net of effects of business acquisitions):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0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53,389</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(3,704)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34,749</w:t>
            </w: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16,224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0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(2,423)</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(629)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 and accrued liabilities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(78,684)</w:t>
            </w: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18,641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00"/>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(9,673)</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(8,492)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3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340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20" w:type="dxa"/>
            <w:vAlign w:val="bottom"/>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126,645</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225,554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136,018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Acquisition of businesses, net of cash acquired</w:t>
            </w:r>
          </w:p>
        </w:tc>
        <w:tc>
          <w:tcPr>
            <w:tcW w:w="1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(29,346)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(159,475)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of contingent consideration</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(1,405)</w:t>
            </w: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(5,798)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Purchases of short-term investments</w:t>
            </w:r>
          </w:p>
        </w:tc>
        <w:tc>
          <w:tcPr>
            <w:tcW w:w="1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(10,350)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(68,100)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of short-term investments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29,550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(24,027)</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(26,407)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(51,940)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Purchase price adjustment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Net settlement of foreign currency contract</w:t>
            </w:r>
          </w:p>
        </w:tc>
        <w:tc>
          <w:tcPr>
            <w:tcW w:w="1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property, plant and equipment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796</w:t>
            </w: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880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2,078</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2,263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(9,184)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(19,044)</w:t>
            </w: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(39,208)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(237,039)</w:t>
            </w:r>
          </w:p>
        </w:tc>
        <w:tc>
          <w:tcPr>
            <w:tcW w:w="0" w:type="dxa"/>
            <w:vAlign w:val="bottom"/>
          </w:tcPr>
          <w:p>
            <w:pPr>
              <w:spacing w:after="0"/>
              <w:rPr>
                <w:sz w:val="1"/>
                <w:szCs w:val="1"/>
                <w:color w:val="auto"/>
              </w:rPr>
            </w:pPr>
          </w:p>
        </w:tc>
      </w:tr>
      <w:tr>
        <w:trPr>
          <w:trHeight w:val="432"/>
        </w:trPr>
        <w:tc>
          <w:tcPr>
            <w:tcW w:w="774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of dividends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(35,839)</w:t>
            </w: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(32,464)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1,683</w:t>
            </w:r>
          </w:p>
        </w:tc>
        <w:tc>
          <w:tcPr>
            <w:tcW w:w="380" w:type="dxa"/>
            <w:vAlign w:val="bottom"/>
          </w:tcPr>
          <w:p>
            <w:pPr>
              <w:spacing w:after="0"/>
              <w:rPr>
                <w:sz w:val="18"/>
                <w:szCs w:val="18"/>
                <w:color w:val="auto"/>
              </w:rPr>
            </w:pPr>
          </w:p>
        </w:tc>
        <w:tc>
          <w:tcPr>
            <w:tcW w:w="1360" w:type="dxa"/>
            <w:vAlign w:val="bottom"/>
            <w:gridSpan w:val="3"/>
          </w:tcPr>
          <w:p>
            <w:pPr>
              <w:jc w:val="right"/>
              <w:ind w:right="360"/>
              <w:spacing w:after="0"/>
              <w:rPr>
                <w:sz w:val="20"/>
                <w:szCs w:val="20"/>
                <w:color w:val="auto"/>
              </w:rPr>
            </w:pPr>
            <w:r>
              <w:rPr>
                <w:rFonts w:ascii="Arial" w:cs="Arial" w:eastAsia="Arial" w:hAnsi="Arial"/>
                <w:sz w:val="18"/>
                <w:szCs w:val="18"/>
                <w:color w:val="auto"/>
              </w:rPr>
              <w:t>14,500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Principal payments on debt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(87,224)</w:t>
            </w: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(39,443)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(110,870)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Proceeds from issuance of debt</w:t>
            </w:r>
          </w:p>
        </w:tc>
        <w:tc>
          <w:tcPr>
            <w:tcW w:w="1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360"/>
              <w:spacing w:after="0"/>
              <w:rPr>
                <w:sz w:val="20"/>
                <w:szCs w:val="20"/>
                <w:color w:val="auto"/>
              </w:rPr>
            </w:pPr>
            <w:r>
              <w:rPr>
                <w:rFonts w:ascii="Arial" w:cs="Arial" w:eastAsia="Arial" w:hAnsi="Arial"/>
                <w:sz w:val="18"/>
                <w:szCs w:val="18"/>
                <w:color w:val="auto"/>
              </w:rPr>
              <w:t>18,000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259,300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treasury stock</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(40,267)</w:t>
            </w: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(42,175)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Excess income tax benefit from the exercise of stock options &amp; deferred comp</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1,336</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4,638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4,303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(used in) provided by financing activities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(160,311)</w:t>
            </w: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(76,944)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129,421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(17,489)</w:t>
            </w:r>
          </w:p>
        </w:tc>
        <w:tc>
          <w:tcPr>
            <w:tcW w:w="1360" w:type="dxa"/>
            <w:vAlign w:val="bottom"/>
            <w:gridSpan w:val="3"/>
          </w:tcPr>
          <w:p>
            <w:pPr>
              <w:jc w:val="right"/>
              <w:ind w:right="360"/>
              <w:spacing w:after="0"/>
              <w:rPr>
                <w:sz w:val="20"/>
                <w:szCs w:val="20"/>
                <w:color w:val="auto"/>
              </w:rPr>
            </w:pPr>
            <w:r>
              <w:rPr>
                <w:rFonts w:ascii="Arial" w:cs="Arial" w:eastAsia="Arial" w:hAnsi="Arial"/>
                <w:sz w:val="18"/>
                <w:szCs w:val="18"/>
                <w:color w:val="auto"/>
              </w:rPr>
              <w:t>6,107</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(70,199)</w:t>
            </w: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115,509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258,355</w:t>
            </w:r>
          </w:p>
        </w:tc>
        <w:tc>
          <w:tcPr>
            <w:tcW w:w="380" w:type="dxa"/>
            <w:vAlign w:val="bottom"/>
          </w:tcPr>
          <w:p>
            <w:pPr>
              <w:spacing w:after="0"/>
              <w:rPr>
                <w:sz w:val="18"/>
                <w:szCs w:val="18"/>
                <w:color w:val="auto"/>
              </w:rPr>
            </w:pPr>
          </w:p>
        </w:tc>
        <w:tc>
          <w:tcPr>
            <w:tcW w:w="1360" w:type="dxa"/>
            <w:vAlign w:val="bottom"/>
            <w:gridSpan w:val="3"/>
          </w:tcPr>
          <w:p>
            <w:pPr>
              <w:jc w:val="right"/>
              <w:ind w:right="360"/>
              <w:spacing w:after="0"/>
              <w:rPr>
                <w:sz w:val="20"/>
                <w:szCs w:val="20"/>
                <w:color w:val="auto"/>
              </w:rPr>
            </w:pPr>
            <w:r>
              <w:rPr>
                <w:rFonts w:ascii="Arial" w:cs="Arial" w:eastAsia="Arial" w:hAnsi="Arial"/>
                <w:sz w:val="18"/>
                <w:szCs w:val="18"/>
                <w:color w:val="auto"/>
              </w:rPr>
              <w:t>142,846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113,008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7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188,156</w:t>
            </w:r>
          </w:p>
        </w:tc>
        <w:tc>
          <w:tcPr>
            <w:tcW w:w="3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258,355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142,846</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period for:</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Interest, net of capitalized interest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21,899</w:t>
            </w:r>
          </w:p>
        </w:tc>
        <w:tc>
          <w:tcPr>
            <w:tcW w:w="1360" w:type="dxa"/>
            <w:vAlign w:val="bottom"/>
            <w:gridSpan w:val="3"/>
          </w:tcPr>
          <w:p>
            <w:pPr>
              <w:jc w:val="right"/>
              <w:ind w:right="360"/>
              <w:spacing w:after="0"/>
              <w:rPr>
                <w:sz w:val="20"/>
                <w:szCs w:val="20"/>
                <w:color w:val="auto"/>
              </w:rPr>
            </w:pPr>
            <w:r>
              <w:rPr>
                <w:rFonts w:ascii="Arial" w:cs="Arial" w:eastAsia="Arial" w:hAnsi="Arial"/>
                <w:sz w:val="18"/>
                <w:szCs w:val="18"/>
                <w:color w:val="auto"/>
              </w:rPr>
              <w:t>26,308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net of refunds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32,995</w:t>
            </w: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51,834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49,233</w:t>
            </w:r>
          </w:p>
        </w:tc>
        <w:tc>
          <w:tcPr>
            <w:tcW w:w="0" w:type="dxa"/>
            <w:vAlign w:val="bottom"/>
          </w:tcPr>
          <w:p>
            <w:pPr>
              <w:spacing w:after="0"/>
              <w:rPr>
                <w:sz w:val="1"/>
                <w:szCs w:val="1"/>
                <w:color w:val="auto"/>
              </w:rPr>
            </w:pPr>
          </w:p>
        </w:tc>
      </w:tr>
      <w:tr>
        <w:trPr>
          <w:trHeight w:val="432"/>
        </w:trPr>
        <w:tc>
          <w:tcPr>
            <w:tcW w:w="774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Fair value of assets acquired, net of cash</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21,508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Liabilities assumed</w:t>
            </w:r>
          </w:p>
        </w:tc>
        <w:tc>
          <w:tcPr>
            <w:tcW w:w="1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(9,038)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(33,248)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16,876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105,325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ind w:left="800"/>
              <w:spacing w:after="0"/>
              <w:rPr>
                <w:sz w:val="20"/>
                <w:szCs w:val="20"/>
                <w:color w:val="auto"/>
              </w:rPr>
            </w:pPr>
            <w:r>
              <w:rPr>
                <w:rFonts w:ascii="Arial" w:cs="Arial" w:eastAsia="Arial" w:hAnsi="Arial"/>
                <w:sz w:val="18"/>
                <w:szCs w:val="18"/>
                <w:color w:val="auto"/>
              </w:rPr>
              <w:t>Net cash paid for acquisitions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29,346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159,475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20" w:type="dxa"/>
            <w:vAlign w:val="bottom"/>
          </w:tcPr>
          <w:p>
            <w:pPr>
              <w:spacing w:after="0"/>
              <w:rPr>
                <w:sz w:val="24"/>
                <w:szCs w:val="24"/>
                <w:color w:val="auto"/>
              </w:rPr>
            </w:pPr>
          </w:p>
        </w:tc>
        <w:tc>
          <w:tcPr>
            <w:tcW w:w="77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Information by regional segment for the three and twelve months ended July 31, 2009 and 2008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4"/>
          </w:tcPr>
          <w:p>
            <w:pPr>
              <w:jc w:val="right"/>
              <w:ind w:right="520"/>
              <w:spacing w:after="0"/>
              <w:rPr>
                <w:sz w:val="20"/>
                <w:szCs w:val="20"/>
                <w:color w:val="auto"/>
              </w:rPr>
            </w:pPr>
            <w:r>
              <w:rPr>
                <w:rFonts w:ascii="Arial" w:cs="Arial" w:eastAsia="Arial" w:hAnsi="Arial"/>
                <w:sz w:val="14"/>
                <w:szCs w:val="14"/>
                <w:color w:val="auto"/>
              </w:rPr>
              <w:t>Corporate and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80"/>
              <w:spacing w:after="0"/>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(in thousands)</w:t>
            </w:r>
          </w:p>
        </w:tc>
        <w:tc>
          <w:tcPr>
            <w:tcW w:w="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w w:val="95"/>
              </w:rPr>
              <w:t>Americas</w:t>
            </w:r>
          </w:p>
        </w:tc>
        <w:tc>
          <w:tcPr>
            <w:tcW w:w="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Europe</w:t>
            </w:r>
          </w:p>
        </w:tc>
        <w:tc>
          <w:tcPr>
            <w:tcW w:w="340" w:type="dxa"/>
            <w:vAlign w:val="bottom"/>
          </w:tcPr>
          <w:p>
            <w:pPr>
              <w:spacing w:after="0"/>
              <w:rPr>
                <w:sz w:val="14"/>
                <w:szCs w:val="14"/>
                <w:color w:val="auto"/>
              </w:rPr>
            </w:pPr>
          </w:p>
        </w:tc>
        <w:tc>
          <w:tcPr>
            <w:tcW w:w="1100" w:type="dxa"/>
            <w:vAlign w:val="bottom"/>
            <w:tcBorders>
              <w:bottom w:val="single" w:sz="8" w:color="auto"/>
            </w:tcBorders>
            <w:gridSpan w:val="4"/>
          </w:tcPr>
          <w:p>
            <w:pPr>
              <w:jc w:val="right"/>
              <w:ind w:right="112"/>
              <w:spacing w:after="0"/>
              <w:rPr>
                <w:sz w:val="20"/>
                <w:szCs w:val="20"/>
                <w:color w:val="auto"/>
              </w:rPr>
            </w:pPr>
            <w:r>
              <w:rPr>
                <w:rFonts w:ascii="Arial" w:cs="Arial" w:eastAsia="Arial" w:hAnsi="Arial"/>
                <w:sz w:val="14"/>
                <w:szCs w:val="14"/>
                <w:color w:val="auto"/>
              </w:rPr>
              <w:t>Asia-Pacific</w:t>
            </w:r>
          </w:p>
        </w:tc>
        <w:tc>
          <w:tcPr>
            <w:tcW w:w="340" w:type="dxa"/>
            <w:vAlign w:val="bottom"/>
            <w:gridSpan w:val="2"/>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color w:val="auto"/>
                <w:w w:val="90"/>
              </w:rPr>
              <w:t>Total Region</w:t>
            </w:r>
          </w:p>
        </w:tc>
        <w:tc>
          <w:tcPr>
            <w:tcW w:w="360" w:type="dxa"/>
            <w:vAlign w:val="bottom"/>
            <w:gridSpan w:val="2"/>
          </w:tcPr>
          <w:p>
            <w:pPr>
              <w:spacing w:after="0"/>
              <w:rPr>
                <w:sz w:val="14"/>
                <w:szCs w:val="14"/>
                <w:color w:val="auto"/>
              </w:rPr>
            </w:pPr>
          </w:p>
        </w:tc>
        <w:tc>
          <w:tcPr>
            <w:tcW w:w="1200" w:type="dxa"/>
            <w:vAlign w:val="bottom"/>
            <w:tcBorders>
              <w:bottom w:val="single" w:sz="8" w:color="auto"/>
            </w:tcBorders>
            <w:gridSpan w:val="3"/>
          </w:tcPr>
          <w:p>
            <w:pPr>
              <w:jc w:val="right"/>
              <w:ind w:right="171"/>
              <w:spacing w:after="0"/>
              <w:rPr>
                <w:sz w:val="20"/>
                <w:szCs w:val="20"/>
                <w:color w:val="auto"/>
              </w:rPr>
            </w:pPr>
            <w:r>
              <w:rPr>
                <w:rFonts w:ascii="Arial" w:cs="Arial" w:eastAsia="Arial" w:hAnsi="Arial"/>
                <w:sz w:val="14"/>
                <w:szCs w:val="14"/>
                <w:color w:val="auto"/>
              </w:rPr>
              <w:t>Eliminations</w:t>
            </w: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color w:val="auto"/>
              </w:rPr>
              <w:t>Company</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80" w:type="dxa"/>
            <w:vAlign w:val="bottom"/>
            <w:gridSpan w:val="2"/>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SALES TO EXTERNAL</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CUSTOMERS</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tcBorders>
              <w:right w:val="single" w:sz="8" w:color="CCEEFF"/>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July 31, 2009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86"/>
              </w:rPr>
              <w:t>124,867</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86,567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75,769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287,203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71"/>
              <w:spacing w:after="0"/>
              <w:rPr>
                <w:sz w:val="20"/>
                <w:szCs w:val="20"/>
                <w:color w:val="auto"/>
              </w:rPr>
            </w:pPr>
            <w:r>
              <w:rPr>
                <w:rFonts w:ascii="Arial" w:cs="Arial" w:eastAsia="Arial" w:hAnsi="Arial"/>
                <w:sz w:val="18"/>
                <w:szCs w:val="18"/>
                <w:color w:val="auto"/>
              </w:rPr>
              <w:t>287,203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ind w:left="200"/>
              <w:spacing w:after="0"/>
              <w:rPr>
                <w:sz w:val="20"/>
                <w:szCs w:val="20"/>
                <w:color w:val="auto"/>
              </w:rPr>
            </w:pPr>
            <w:r>
              <w:rPr>
                <w:rFonts w:ascii="Arial" w:cs="Arial" w:eastAsia="Arial" w:hAnsi="Arial"/>
                <w:sz w:val="18"/>
                <w:szCs w:val="18"/>
                <w:color w:val="auto"/>
              </w:rPr>
              <w:t>July 31, 2008</w:t>
            </w:r>
          </w:p>
        </w:tc>
        <w:tc>
          <w:tcPr>
            <w:tcW w:w="240" w:type="dxa"/>
            <w:vAlign w:val="bottom"/>
          </w:tcPr>
          <w:p>
            <w:pPr>
              <w:spacing w:after="0"/>
              <w:rPr>
                <w:sz w:val="18"/>
                <w:szCs w:val="18"/>
                <w:color w:val="auto"/>
              </w:rPr>
            </w:pPr>
          </w:p>
        </w:tc>
        <w:tc>
          <w:tcPr>
            <w:tcW w:w="840" w:type="dxa"/>
            <w:vAlign w:val="bottom"/>
          </w:tcPr>
          <w:p>
            <w:pPr>
              <w:jc w:val="right"/>
              <w:ind w:right="171"/>
              <w:spacing w:after="0"/>
              <w:rPr>
                <w:sz w:val="20"/>
                <w:szCs w:val="20"/>
                <w:color w:val="auto"/>
              </w:rPr>
            </w:pPr>
            <w:r>
              <w:rPr>
                <w:rFonts w:ascii="Arial" w:cs="Arial" w:eastAsia="Arial" w:hAnsi="Arial"/>
                <w:sz w:val="18"/>
                <w:szCs w:val="18"/>
                <w:color w:val="auto"/>
                <w:w w:val="86"/>
              </w:rPr>
              <w:t>169,303</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91"/>
              <w:spacing w:after="0"/>
              <w:rPr>
                <w:sz w:val="20"/>
                <w:szCs w:val="20"/>
                <w:color w:val="auto"/>
              </w:rPr>
            </w:pPr>
            <w:r>
              <w:rPr>
                <w:rFonts w:ascii="Arial" w:cs="Arial" w:eastAsia="Arial" w:hAnsi="Arial"/>
                <w:sz w:val="18"/>
                <w:szCs w:val="18"/>
                <w:color w:val="auto"/>
                <w:w w:val="86"/>
              </w:rPr>
              <w:t>131,765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95,781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170"/>
              <w:spacing w:after="0"/>
              <w:rPr>
                <w:sz w:val="20"/>
                <w:szCs w:val="20"/>
                <w:color w:val="auto"/>
              </w:rPr>
            </w:pPr>
            <w:r>
              <w:rPr>
                <w:rFonts w:ascii="Arial" w:cs="Arial" w:eastAsia="Arial" w:hAnsi="Arial"/>
                <w:sz w:val="18"/>
                <w:szCs w:val="18"/>
                <w:color w:val="auto"/>
              </w:rPr>
              <w:t>396,849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3"/>
          </w:tcPr>
          <w:p>
            <w:pPr>
              <w:jc w:val="right"/>
              <w:ind w:right="71"/>
              <w:spacing w:after="0"/>
              <w:rPr>
                <w:sz w:val="20"/>
                <w:szCs w:val="20"/>
                <w:color w:val="auto"/>
              </w:rPr>
            </w:pPr>
            <w:r>
              <w:rPr>
                <w:rFonts w:ascii="Arial" w:cs="Arial" w:eastAsia="Arial" w:hAnsi="Arial"/>
                <w:sz w:val="18"/>
                <w:szCs w:val="18"/>
                <w:color w:val="auto"/>
              </w:rPr>
              <w:t>396,849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July 31, 2007</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86"/>
              </w:rPr>
              <w:t>169,063</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86"/>
              </w:rPr>
              <w:t>114,037</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79,665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362,765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71"/>
              <w:spacing w:after="0"/>
              <w:rPr>
                <w:sz w:val="20"/>
                <w:szCs w:val="20"/>
                <w:color w:val="auto"/>
              </w:rPr>
            </w:pPr>
            <w:r>
              <w:rPr>
                <w:rFonts w:ascii="Arial" w:cs="Arial" w:eastAsia="Arial" w:hAnsi="Arial"/>
                <w:sz w:val="18"/>
                <w:szCs w:val="18"/>
                <w:color w:val="auto"/>
              </w:rPr>
              <w:t>362,765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800" w:type="dxa"/>
            <w:vAlign w:val="bottom"/>
            <w:gridSpan w:val="3"/>
          </w:tcPr>
          <w:p>
            <w:pPr>
              <w:spacing w:after="0"/>
              <w:rPr>
                <w:sz w:val="20"/>
                <w:szCs w:val="20"/>
                <w:color w:val="auto"/>
              </w:rPr>
            </w:pPr>
            <w:r>
              <w:rPr>
                <w:rFonts w:ascii="Arial" w:cs="Arial" w:eastAsia="Arial" w:hAnsi="Arial"/>
                <w:sz w:val="18"/>
                <w:szCs w:val="18"/>
                <w:color w:val="auto"/>
              </w:rPr>
              <w:t>Twelve months ended:</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July 31, 2009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86"/>
              </w:rPr>
              <w:t>534,440</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86"/>
              </w:rPr>
              <w:t>367,156</w:t>
            </w: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$307,106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70"/>
              <w:spacing w:after="0"/>
              <w:rPr>
                <w:sz w:val="20"/>
                <w:szCs w:val="20"/>
                <w:color w:val="auto"/>
              </w:rPr>
            </w:pPr>
            <w:r>
              <w:rPr>
                <w:rFonts w:ascii="Arial" w:cs="Arial" w:eastAsia="Arial" w:hAnsi="Arial"/>
                <w:sz w:val="18"/>
                <w:szCs w:val="18"/>
                <w:color w:val="auto"/>
              </w:rPr>
              <w:t>$1,208,702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91"/>
              <w:spacing w:after="0"/>
              <w:rPr>
                <w:sz w:val="20"/>
                <w:szCs w:val="20"/>
                <w:color w:val="auto"/>
              </w:rPr>
            </w:pPr>
            <w:r>
              <w:rPr>
                <w:rFonts w:ascii="Arial" w:cs="Arial" w:eastAsia="Arial" w:hAnsi="Arial"/>
                <w:sz w:val="18"/>
                <w:szCs w:val="18"/>
                <w:color w:val="auto"/>
              </w:rPr>
              <w:t>$1,208,702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ind w:left="200"/>
              <w:spacing w:after="0"/>
              <w:rPr>
                <w:sz w:val="20"/>
                <w:szCs w:val="20"/>
                <w:color w:val="auto"/>
              </w:rPr>
            </w:pPr>
            <w:r>
              <w:rPr>
                <w:rFonts w:ascii="Arial" w:cs="Arial" w:eastAsia="Arial" w:hAnsi="Arial"/>
                <w:sz w:val="18"/>
                <w:szCs w:val="18"/>
                <w:color w:val="auto"/>
              </w:rPr>
              <w:t>July 31, 2008</w:t>
            </w:r>
          </w:p>
        </w:tc>
        <w:tc>
          <w:tcPr>
            <w:tcW w:w="240" w:type="dxa"/>
            <w:vAlign w:val="bottom"/>
          </w:tcPr>
          <w:p>
            <w:pPr>
              <w:spacing w:after="0"/>
              <w:rPr>
                <w:sz w:val="18"/>
                <w:szCs w:val="18"/>
                <w:color w:val="auto"/>
              </w:rPr>
            </w:pPr>
          </w:p>
        </w:tc>
        <w:tc>
          <w:tcPr>
            <w:tcW w:w="840" w:type="dxa"/>
            <w:vAlign w:val="bottom"/>
          </w:tcPr>
          <w:p>
            <w:pPr>
              <w:jc w:val="right"/>
              <w:ind w:right="171"/>
              <w:spacing w:after="0"/>
              <w:rPr>
                <w:sz w:val="20"/>
                <w:szCs w:val="20"/>
                <w:color w:val="auto"/>
              </w:rPr>
            </w:pPr>
            <w:r>
              <w:rPr>
                <w:rFonts w:ascii="Arial" w:cs="Arial" w:eastAsia="Arial" w:hAnsi="Arial"/>
                <w:sz w:val="18"/>
                <w:szCs w:val="18"/>
                <w:color w:val="auto"/>
                <w:w w:val="86"/>
              </w:rPr>
              <w:t>667,106</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91"/>
              <w:spacing w:after="0"/>
              <w:rPr>
                <w:sz w:val="20"/>
                <w:szCs w:val="20"/>
                <w:color w:val="auto"/>
              </w:rPr>
            </w:pPr>
            <w:r>
              <w:rPr>
                <w:rFonts w:ascii="Arial" w:cs="Arial" w:eastAsia="Arial" w:hAnsi="Arial"/>
                <w:sz w:val="18"/>
                <w:szCs w:val="18"/>
                <w:color w:val="auto"/>
                <w:w w:val="86"/>
              </w:rPr>
              <w:t>496,715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359,195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170"/>
              <w:spacing w:after="0"/>
              <w:rPr>
                <w:sz w:val="20"/>
                <w:szCs w:val="20"/>
                <w:color w:val="auto"/>
              </w:rPr>
            </w:pPr>
            <w:r>
              <w:rPr>
                <w:rFonts w:ascii="Arial" w:cs="Arial" w:eastAsia="Arial" w:hAnsi="Arial"/>
                <w:sz w:val="18"/>
                <w:szCs w:val="18"/>
                <w:color w:val="auto"/>
                <w:w w:val="87"/>
              </w:rPr>
              <w:t>1,523,016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3"/>
          </w:tcPr>
          <w:p>
            <w:pPr>
              <w:jc w:val="right"/>
              <w:ind w:right="91"/>
              <w:spacing w:after="0"/>
              <w:rPr>
                <w:sz w:val="20"/>
                <w:szCs w:val="20"/>
                <w:color w:val="auto"/>
              </w:rPr>
            </w:pPr>
            <w:r>
              <w:rPr>
                <w:rFonts w:ascii="Arial" w:cs="Arial" w:eastAsia="Arial" w:hAnsi="Arial"/>
                <w:sz w:val="18"/>
                <w:szCs w:val="18"/>
                <w:color w:val="auto"/>
                <w:w w:val="87"/>
              </w:rPr>
              <w:t>1,523,016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July 31, 2007</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86"/>
              </w:rPr>
              <w:t>609,855</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86"/>
              </w:rPr>
              <w:t>416,514</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336,262</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w w:val="87"/>
              </w:rPr>
              <w:t>1,362,631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91"/>
              <w:spacing w:after="0"/>
              <w:rPr>
                <w:sz w:val="20"/>
                <w:szCs w:val="20"/>
                <w:color w:val="auto"/>
              </w:rPr>
            </w:pPr>
            <w:r>
              <w:rPr>
                <w:rFonts w:ascii="Arial" w:cs="Arial" w:eastAsia="Arial" w:hAnsi="Arial"/>
                <w:sz w:val="18"/>
                <w:szCs w:val="18"/>
                <w:color w:val="auto"/>
                <w:w w:val="87"/>
              </w:rPr>
              <w:t>1,362,631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2800" w:type="dxa"/>
            <w:vAlign w:val="bottom"/>
            <w:gridSpan w:val="3"/>
          </w:tcPr>
          <w:p>
            <w:pPr>
              <w:spacing w:after="0"/>
              <w:rPr>
                <w:sz w:val="20"/>
                <w:szCs w:val="20"/>
                <w:color w:val="auto"/>
              </w:rPr>
            </w:pPr>
            <w:r>
              <w:rPr>
                <w:rFonts w:ascii="Arial" w:cs="Arial" w:eastAsia="Arial" w:hAnsi="Arial"/>
                <w:sz w:val="18"/>
                <w:szCs w:val="18"/>
                <w:b w:val="1"/>
                <w:bCs w:val="1"/>
                <w:color w:val="auto"/>
              </w:rPr>
              <w:t>SALES GROWTH</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80" w:type="dxa"/>
            <w:vAlign w:val="bottom"/>
            <w:gridSpan w:val="2"/>
          </w:tcPr>
          <w:p>
            <w:pPr>
              <w:ind w:left="200"/>
              <w:spacing w:after="0"/>
              <w:rPr>
                <w:sz w:val="20"/>
                <w:szCs w:val="20"/>
                <w:color w:val="auto"/>
              </w:rPr>
            </w:pPr>
            <w:r>
              <w:rPr>
                <w:rFonts w:ascii="Arial" w:cs="Arial" w:eastAsia="Arial" w:hAnsi="Arial"/>
                <w:sz w:val="18"/>
                <w:szCs w:val="18"/>
                <w:b w:val="1"/>
                <w:bCs w:val="1"/>
                <w:color w:val="auto"/>
              </w:rPr>
              <w:t>INFORMATION</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Three months ended July 31,</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2009:</w:t>
            </w:r>
          </w:p>
        </w:tc>
        <w:tc>
          <w:tcPr>
            <w:tcW w:w="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tcBorders>
              <w:right w:val="single" w:sz="8" w:color="CCEEFF"/>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ind w:left="400"/>
              <w:spacing w:after="0"/>
              <w:rPr>
                <w:sz w:val="20"/>
                <w:szCs w:val="20"/>
                <w:color w:val="auto"/>
              </w:rPr>
            </w:pPr>
            <w:r>
              <w:rPr>
                <w:rFonts w:ascii="Arial" w:cs="Arial" w:eastAsia="Arial" w:hAnsi="Arial"/>
                <w:sz w:val="18"/>
                <w:szCs w:val="18"/>
                <w:color w:val="auto"/>
              </w:rPr>
              <w:t>Base</w:t>
            </w:r>
          </w:p>
        </w:tc>
        <w:tc>
          <w:tcPr>
            <w:tcW w:w="240" w:type="dxa"/>
            <w:vAlign w:val="bottom"/>
          </w:tcPr>
          <w:p>
            <w:pPr>
              <w:spacing w:after="0"/>
              <w:rPr>
                <w:sz w:val="18"/>
                <w:szCs w:val="18"/>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-24.5%</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-25.0%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3"/>
          </w:tcPr>
          <w:p>
            <w:pPr>
              <w:jc w:val="right"/>
              <w:ind w:right="52"/>
              <w:spacing w:after="0"/>
              <w:rPr>
                <w:sz w:val="20"/>
                <w:szCs w:val="20"/>
                <w:color w:val="auto"/>
              </w:rPr>
            </w:pPr>
            <w:r>
              <w:rPr>
                <w:rFonts w:ascii="Arial" w:cs="Arial" w:eastAsia="Arial" w:hAnsi="Arial"/>
                <w:sz w:val="18"/>
                <w:szCs w:val="18"/>
                <w:color w:val="auto"/>
              </w:rPr>
              <w:t>-15.0%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30"/>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Currency</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-9.3%</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-5.9%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4"/>
              </w:rPr>
              <w:t>-5.3%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ind w:left="400"/>
              <w:spacing w:after="0"/>
              <w:rPr>
                <w:sz w:val="20"/>
                <w:szCs w:val="20"/>
                <w:color w:val="auto"/>
              </w:rPr>
            </w:pPr>
            <w:r>
              <w:rPr>
                <w:rFonts w:ascii="Arial" w:cs="Arial" w:eastAsia="Arial" w:hAnsi="Arial"/>
                <w:sz w:val="18"/>
                <w:szCs w:val="18"/>
                <w:color w:val="auto"/>
              </w:rPr>
              <w:t>Acquisitions</w:t>
            </w:r>
          </w:p>
        </w:tc>
        <w:tc>
          <w:tcPr>
            <w:tcW w:w="240" w:type="dxa"/>
            <w:vAlign w:val="bottom"/>
          </w:tcPr>
          <w:p>
            <w:pPr>
              <w:spacing w:after="0"/>
              <w:rPr>
                <w:sz w:val="18"/>
                <w:szCs w:val="18"/>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3"/>
          </w:tcPr>
          <w:p>
            <w:pPr>
              <w:jc w:val="right"/>
              <w:ind w:right="52"/>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97"/>
              </w:rPr>
              <w:t>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-26.2%</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-34.3%</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-20.9%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800" w:type="dxa"/>
            <w:vAlign w:val="bottom"/>
            <w:gridSpan w:val="3"/>
          </w:tcPr>
          <w:p>
            <w:pPr>
              <w:spacing w:after="0"/>
              <w:rPr>
                <w:sz w:val="20"/>
                <w:szCs w:val="20"/>
                <w:color w:val="auto"/>
              </w:rPr>
            </w:pPr>
            <w:r>
              <w:rPr>
                <w:rFonts w:ascii="Arial" w:cs="Arial" w:eastAsia="Arial" w:hAnsi="Arial"/>
                <w:sz w:val="18"/>
                <w:szCs w:val="18"/>
                <w:color w:val="auto"/>
              </w:rPr>
              <w:t>Twelve months ended July 31,</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60" w:type="dxa"/>
            <w:vAlign w:val="bottom"/>
            <w:gridSpan w:val="2"/>
          </w:tcPr>
          <w:p>
            <w:pPr>
              <w:ind w:left="220"/>
              <w:spacing w:after="0"/>
              <w:rPr>
                <w:sz w:val="20"/>
                <w:szCs w:val="20"/>
                <w:color w:val="auto"/>
              </w:rPr>
            </w:pPr>
            <w:r>
              <w:rPr>
                <w:rFonts w:ascii="Arial" w:cs="Arial" w:eastAsia="Arial" w:hAnsi="Arial"/>
                <w:sz w:val="18"/>
                <w:szCs w:val="18"/>
                <w:color w:val="auto"/>
              </w:rPr>
              <w:t>2009:</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Base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-18.5%</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-18.1%</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-10.3%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ind w:left="400"/>
              <w:spacing w:after="0"/>
              <w:rPr>
                <w:sz w:val="20"/>
                <w:szCs w:val="20"/>
                <w:color w:val="auto"/>
              </w:rPr>
            </w:pPr>
            <w:r>
              <w:rPr>
                <w:rFonts w:ascii="Arial" w:cs="Arial" w:eastAsia="Arial" w:hAnsi="Arial"/>
                <w:sz w:val="18"/>
                <w:szCs w:val="18"/>
                <w:color w:val="auto"/>
              </w:rPr>
              <w:t>Currency</w:t>
            </w:r>
          </w:p>
        </w:tc>
        <w:tc>
          <w:tcPr>
            <w:tcW w:w="240" w:type="dxa"/>
            <w:vAlign w:val="bottom"/>
          </w:tcPr>
          <w:p>
            <w:pPr>
              <w:spacing w:after="0"/>
              <w:rPr>
                <w:sz w:val="18"/>
                <w:szCs w:val="18"/>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-9.4%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3"/>
          </w:tcPr>
          <w:p>
            <w:pPr>
              <w:jc w:val="right"/>
              <w:ind w:right="52"/>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4"/>
              </w:rPr>
              <w:t>-4.8%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Acquisitions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0.0%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0.6%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gridSpan w:val="2"/>
          </w:tcPr>
          <w:p>
            <w:pPr>
              <w:ind w:left="60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-19.9%</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-26.1%</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3"/>
          </w:tcPr>
          <w:p>
            <w:pPr>
              <w:jc w:val="right"/>
              <w:ind w:right="52"/>
              <w:spacing w:after="0"/>
              <w:rPr>
                <w:sz w:val="20"/>
                <w:szCs w:val="20"/>
                <w:color w:val="auto"/>
              </w:rPr>
            </w:pPr>
            <w:r>
              <w:rPr>
                <w:rFonts w:ascii="Arial" w:cs="Arial" w:eastAsia="Arial" w:hAnsi="Arial"/>
                <w:sz w:val="18"/>
                <w:szCs w:val="18"/>
                <w:color w:val="auto"/>
              </w:rPr>
              <w:t>-14.5%</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3"/>
          </w:tcPr>
          <w:p>
            <w:pPr>
              <w:jc w:val="right"/>
              <w:ind w:right="30"/>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SEGMENT PROFIT (LOSS)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July 31, 2009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28,300</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22,018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9,072</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59,390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3"/>
            <w:shd w:val="clear" w:color="auto" w:fill="CCEEFF"/>
          </w:tcPr>
          <w:p>
            <w:pPr>
              <w:jc w:val="right"/>
              <w:ind w:right="251"/>
              <w:spacing w:after="0"/>
              <w:rPr>
                <w:sz w:val="20"/>
                <w:szCs w:val="20"/>
                <w:color w:val="auto"/>
              </w:rPr>
            </w:pPr>
            <w:r>
              <w:rPr>
                <w:rFonts w:ascii="Arial" w:cs="Arial" w:eastAsia="Arial" w:hAnsi="Arial"/>
                <w:sz w:val="18"/>
                <w:szCs w:val="18"/>
                <w:color w:val="auto"/>
              </w:rPr>
              <w:t>$(1,320)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0"/>
              </w:rPr>
              <w:t>58,070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ind w:left="200"/>
              <w:spacing w:after="0"/>
              <w:rPr>
                <w:sz w:val="20"/>
                <w:szCs w:val="20"/>
                <w:color w:val="auto"/>
              </w:rPr>
            </w:pPr>
            <w:r>
              <w:rPr>
                <w:rFonts w:ascii="Arial" w:cs="Arial" w:eastAsia="Arial" w:hAnsi="Arial"/>
                <w:sz w:val="18"/>
                <w:szCs w:val="18"/>
                <w:color w:val="auto"/>
              </w:rPr>
              <w:t>July 31, 2008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1"/>
              <w:spacing w:after="0"/>
              <w:rPr>
                <w:sz w:val="20"/>
                <w:szCs w:val="20"/>
                <w:color w:val="auto"/>
              </w:rPr>
            </w:pPr>
            <w:r>
              <w:rPr>
                <w:rFonts w:ascii="Arial" w:cs="Arial" w:eastAsia="Arial" w:hAnsi="Arial"/>
                <w:sz w:val="18"/>
                <w:szCs w:val="18"/>
                <w:color w:val="auto"/>
              </w:rPr>
              <w:t>41,212</w:t>
            </w:r>
          </w:p>
        </w:tc>
        <w:tc>
          <w:tcPr>
            <w:tcW w:w="3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1"/>
              <w:spacing w:after="0"/>
              <w:rPr>
                <w:sz w:val="20"/>
                <w:szCs w:val="20"/>
                <w:color w:val="auto"/>
              </w:rPr>
            </w:pPr>
            <w:r>
              <w:rPr>
                <w:rFonts w:ascii="Arial" w:cs="Arial" w:eastAsia="Arial" w:hAnsi="Arial"/>
                <w:sz w:val="18"/>
                <w:szCs w:val="18"/>
                <w:color w:val="auto"/>
              </w:rPr>
              <w:t>38,214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15,129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70"/>
              <w:spacing w:after="0"/>
              <w:rPr>
                <w:sz w:val="20"/>
                <w:szCs w:val="20"/>
                <w:color w:val="auto"/>
              </w:rPr>
            </w:pPr>
            <w:r>
              <w:rPr>
                <w:rFonts w:ascii="Arial" w:cs="Arial" w:eastAsia="Arial" w:hAnsi="Arial"/>
                <w:sz w:val="18"/>
                <w:szCs w:val="18"/>
                <w:color w:val="auto"/>
              </w:rPr>
              <w:t>94,555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right"/>
              <w:ind w:right="251"/>
              <w:spacing w:after="0"/>
              <w:rPr>
                <w:sz w:val="20"/>
                <w:szCs w:val="20"/>
                <w:color w:val="auto"/>
              </w:rPr>
            </w:pPr>
            <w:r>
              <w:rPr>
                <w:rFonts w:ascii="Arial" w:cs="Arial" w:eastAsia="Arial" w:hAnsi="Arial"/>
                <w:sz w:val="18"/>
                <w:szCs w:val="18"/>
                <w:color w:val="auto"/>
              </w:rPr>
              <w:t>$(2,648)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71"/>
              <w:spacing w:after="0"/>
              <w:rPr>
                <w:sz w:val="20"/>
                <w:szCs w:val="20"/>
                <w:color w:val="auto"/>
              </w:rPr>
            </w:pPr>
            <w:r>
              <w:rPr>
                <w:rFonts w:ascii="Arial" w:cs="Arial" w:eastAsia="Arial" w:hAnsi="Arial"/>
                <w:sz w:val="18"/>
                <w:szCs w:val="18"/>
                <w:color w:val="auto"/>
                <w:w w:val="90"/>
              </w:rPr>
              <w:t>91,907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gridSpan w:val="2"/>
            <w:shd w:val="clear" w:color="auto" w:fill="CCEEFF"/>
          </w:tcPr>
          <w:p>
            <w:pPr>
              <w:ind w:left="600"/>
              <w:spacing w:after="0" w:line="201" w:lineRule="exact"/>
              <w:rPr>
                <w:sz w:val="20"/>
                <w:szCs w:val="20"/>
                <w:color w:val="auto"/>
              </w:rPr>
            </w:pPr>
            <w:r>
              <w:rPr>
                <w:rFonts w:ascii="Arial" w:cs="Arial" w:eastAsia="Arial" w:hAnsi="Arial"/>
                <w:sz w:val="18"/>
                <w:szCs w:val="18"/>
                <w:i w:val="1"/>
                <w:iCs w:val="1"/>
                <w:color w:val="auto"/>
              </w:rPr>
              <w:t>Percentage increase</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gridSpan w:val="2"/>
            <w:shd w:val="clear" w:color="auto" w:fill="CCEEFF"/>
          </w:tcPr>
          <w:p>
            <w:pPr>
              <w:ind w:left="800"/>
              <w:spacing w:after="0"/>
              <w:rPr>
                <w:sz w:val="20"/>
                <w:szCs w:val="20"/>
                <w:color w:val="auto"/>
              </w:rPr>
            </w:pPr>
            <w:r>
              <w:rPr>
                <w:rFonts w:ascii="Arial" w:cs="Arial" w:eastAsia="Arial" w:hAnsi="Arial"/>
                <w:sz w:val="18"/>
                <w:szCs w:val="18"/>
                <w:i w:val="1"/>
                <w:iCs w:val="1"/>
                <w:color w:val="auto"/>
              </w:rPr>
              <w:t>(decrease)</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-31.3%</w:t>
            </w:r>
          </w:p>
        </w:tc>
        <w:tc>
          <w:tcPr>
            <w:tcW w:w="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-42.4%</w:t>
            </w: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-40.0%</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-37.2%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tcBorders>
              <w:right w:val="single" w:sz="8" w:color="CCEEFF"/>
            </w:tcBorders>
            <w:gridSpan w:val="3"/>
            <w:shd w:val="clear" w:color="auto" w:fill="CCEEFF"/>
          </w:tcPr>
          <w:p>
            <w:pPr>
              <w:jc w:val="right"/>
              <w:ind w:right="151"/>
              <w:spacing w:after="0"/>
              <w:rPr>
                <w:sz w:val="20"/>
                <w:szCs w:val="20"/>
                <w:color w:val="auto"/>
              </w:rPr>
            </w:pPr>
            <w:r>
              <w:rPr>
                <w:rFonts w:ascii="Arial" w:cs="Arial" w:eastAsia="Arial" w:hAnsi="Arial"/>
                <w:sz w:val="18"/>
                <w:szCs w:val="18"/>
                <w:color w:val="auto"/>
              </w:rPr>
              <w:t>-50.2%</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800" w:type="dxa"/>
            <w:vAlign w:val="bottom"/>
            <w:gridSpan w:val="3"/>
          </w:tcPr>
          <w:p>
            <w:pPr>
              <w:spacing w:after="0"/>
              <w:rPr>
                <w:sz w:val="20"/>
                <w:szCs w:val="20"/>
                <w:color w:val="auto"/>
              </w:rPr>
            </w:pPr>
            <w:r>
              <w:rPr>
                <w:rFonts w:ascii="Arial" w:cs="Arial" w:eastAsia="Arial" w:hAnsi="Arial"/>
                <w:sz w:val="18"/>
                <w:szCs w:val="18"/>
                <w:color w:val="auto"/>
              </w:rPr>
              <w:t>Twelve months ended:</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July 31, 2009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86"/>
              </w:rPr>
              <w:t>114,404</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99,875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42,575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256,854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3"/>
            <w:shd w:val="clear" w:color="auto" w:fill="CCEEFF"/>
          </w:tcPr>
          <w:p>
            <w:pPr>
              <w:jc w:val="right"/>
              <w:ind w:right="251"/>
              <w:spacing w:after="0"/>
              <w:rPr>
                <w:sz w:val="20"/>
                <w:szCs w:val="20"/>
                <w:color w:val="auto"/>
              </w:rPr>
            </w:pPr>
            <w:r>
              <w:rPr>
                <w:rFonts w:ascii="Arial" w:cs="Arial" w:eastAsia="Arial" w:hAnsi="Arial"/>
                <w:sz w:val="18"/>
                <w:szCs w:val="18"/>
                <w:color w:val="auto"/>
              </w:rPr>
              <w:t>$(7,952)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71"/>
              <w:spacing w:after="0"/>
              <w:rPr>
                <w:sz w:val="20"/>
                <w:szCs w:val="20"/>
                <w:color w:val="auto"/>
              </w:rPr>
            </w:pPr>
            <w:r>
              <w:rPr>
                <w:rFonts w:ascii="Arial" w:cs="Arial" w:eastAsia="Arial" w:hAnsi="Arial"/>
                <w:sz w:val="18"/>
                <w:szCs w:val="18"/>
                <w:color w:val="auto"/>
              </w:rPr>
              <w:t>248,902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ind w:left="200"/>
              <w:spacing w:after="0"/>
              <w:rPr>
                <w:sz w:val="20"/>
                <w:szCs w:val="20"/>
                <w:color w:val="auto"/>
              </w:rPr>
            </w:pPr>
            <w:r>
              <w:rPr>
                <w:rFonts w:ascii="Arial" w:cs="Arial" w:eastAsia="Arial" w:hAnsi="Arial"/>
                <w:sz w:val="18"/>
                <w:szCs w:val="18"/>
                <w:color w:val="auto"/>
              </w:rPr>
              <w:t>July 31, 2008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1"/>
              <w:spacing w:after="0"/>
              <w:rPr>
                <w:sz w:val="20"/>
                <w:szCs w:val="20"/>
                <w:color w:val="auto"/>
              </w:rPr>
            </w:pPr>
            <w:r>
              <w:rPr>
                <w:rFonts w:ascii="Arial" w:cs="Arial" w:eastAsia="Arial" w:hAnsi="Arial"/>
                <w:sz w:val="18"/>
                <w:szCs w:val="18"/>
                <w:color w:val="auto"/>
                <w:w w:val="86"/>
              </w:rPr>
              <w:t>157,523</w:t>
            </w:r>
          </w:p>
        </w:tc>
        <w:tc>
          <w:tcPr>
            <w:tcW w:w="3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1"/>
              <w:spacing w:after="0"/>
              <w:rPr>
                <w:sz w:val="20"/>
                <w:szCs w:val="20"/>
                <w:color w:val="auto"/>
              </w:rPr>
            </w:pPr>
            <w:r>
              <w:rPr>
                <w:rFonts w:ascii="Arial" w:cs="Arial" w:eastAsia="Arial" w:hAnsi="Arial"/>
                <w:sz w:val="18"/>
                <w:szCs w:val="18"/>
                <w:color w:val="auto"/>
                <w:w w:val="86"/>
              </w:rPr>
              <w:t>135,426</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58,234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70"/>
              <w:spacing w:after="0"/>
              <w:rPr>
                <w:sz w:val="20"/>
                <w:szCs w:val="20"/>
                <w:color w:val="auto"/>
              </w:rPr>
            </w:pPr>
            <w:r>
              <w:rPr>
                <w:rFonts w:ascii="Arial" w:cs="Arial" w:eastAsia="Arial" w:hAnsi="Arial"/>
                <w:sz w:val="18"/>
                <w:szCs w:val="18"/>
                <w:color w:val="auto"/>
              </w:rPr>
              <w:t>351,183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right"/>
              <w:ind w:right="251"/>
              <w:spacing w:after="0"/>
              <w:rPr>
                <w:sz w:val="20"/>
                <w:szCs w:val="20"/>
                <w:color w:val="auto"/>
              </w:rPr>
            </w:pPr>
            <w:r>
              <w:rPr>
                <w:rFonts w:ascii="Arial" w:cs="Arial" w:eastAsia="Arial" w:hAnsi="Arial"/>
                <w:sz w:val="18"/>
                <w:szCs w:val="18"/>
                <w:color w:val="auto"/>
              </w:rPr>
              <w:t>$(9,048)</w:t>
            </w:r>
          </w:p>
        </w:tc>
        <w:tc>
          <w:tcPr>
            <w:tcW w:w="3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71"/>
              <w:spacing w:after="0"/>
              <w:rPr>
                <w:sz w:val="20"/>
                <w:szCs w:val="20"/>
                <w:color w:val="auto"/>
              </w:rPr>
            </w:pPr>
            <w:r>
              <w:rPr>
                <w:rFonts w:ascii="Arial" w:cs="Arial" w:eastAsia="Arial" w:hAnsi="Arial"/>
                <w:sz w:val="18"/>
                <w:szCs w:val="18"/>
                <w:color w:val="auto"/>
              </w:rPr>
              <w:t>342,135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gridSpan w:val="2"/>
            <w:shd w:val="clear" w:color="auto" w:fill="CCEEFF"/>
          </w:tcPr>
          <w:p>
            <w:pPr>
              <w:ind w:left="600"/>
              <w:spacing w:after="0" w:line="201" w:lineRule="exact"/>
              <w:rPr>
                <w:sz w:val="20"/>
                <w:szCs w:val="20"/>
                <w:color w:val="auto"/>
              </w:rPr>
            </w:pPr>
            <w:r>
              <w:rPr>
                <w:rFonts w:ascii="Arial" w:cs="Arial" w:eastAsia="Arial" w:hAnsi="Arial"/>
                <w:sz w:val="18"/>
                <w:szCs w:val="18"/>
                <w:i w:val="1"/>
                <w:iCs w:val="1"/>
                <w:color w:val="auto"/>
              </w:rPr>
              <w:t>Percentage increase</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gridSpan w:val="2"/>
            <w:shd w:val="clear" w:color="auto" w:fill="CCEEFF"/>
          </w:tcPr>
          <w:p>
            <w:pPr>
              <w:ind w:left="800"/>
              <w:spacing w:after="0"/>
              <w:rPr>
                <w:sz w:val="20"/>
                <w:szCs w:val="20"/>
                <w:color w:val="auto"/>
              </w:rPr>
            </w:pPr>
            <w:r>
              <w:rPr>
                <w:rFonts w:ascii="Arial" w:cs="Arial" w:eastAsia="Arial" w:hAnsi="Arial"/>
                <w:sz w:val="18"/>
                <w:szCs w:val="18"/>
                <w:i w:val="1"/>
                <w:iCs w:val="1"/>
                <w:color w:val="auto"/>
              </w:rPr>
              <w:t>(decrease)</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-27.4%</w:t>
            </w:r>
          </w:p>
        </w:tc>
        <w:tc>
          <w:tcPr>
            <w:tcW w:w="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-26.3%</w:t>
            </w: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-26.9%</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tcBorders>
              <w:right w:val="single" w:sz="8" w:color="CCEEFF"/>
            </w:tcBorders>
            <w:gridSpan w:val="3"/>
            <w:shd w:val="clear" w:color="auto" w:fill="CCEEFF"/>
          </w:tcPr>
          <w:p>
            <w:pPr>
              <w:jc w:val="right"/>
              <w:ind w:right="151"/>
              <w:spacing w:after="0"/>
              <w:rPr>
                <w:sz w:val="20"/>
                <w:szCs w:val="20"/>
                <w:color w:val="auto"/>
              </w:rPr>
            </w:pPr>
            <w:r>
              <w:rPr>
                <w:rFonts w:ascii="Arial" w:cs="Arial" w:eastAsia="Arial" w:hAnsi="Arial"/>
                <w:sz w:val="18"/>
                <w:szCs w:val="18"/>
                <w:color w:val="auto"/>
              </w:rPr>
              <w:t>-12.1%</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20" w:type="dxa"/>
            <w:vAlign w:val="bottom"/>
            <w:gridSpan w:val="6"/>
          </w:tcPr>
          <w:p>
            <w:pPr>
              <w:spacing w:after="0"/>
              <w:rPr>
                <w:sz w:val="20"/>
                <w:szCs w:val="20"/>
                <w:color w:val="auto"/>
              </w:rPr>
            </w:pPr>
            <w:r>
              <w:rPr>
                <w:rFonts w:ascii="Arial" w:cs="Arial" w:eastAsia="Arial" w:hAnsi="Arial"/>
                <w:sz w:val="18"/>
                <w:szCs w:val="18"/>
                <w:b w:val="1"/>
                <w:bCs w:val="1"/>
                <w:color w:val="auto"/>
              </w:rPr>
              <w:t xml:space="preserve">NET INCOME RECONCILIATION </w:t>
            </w:r>
            <w:r>
              <w:rPr>
                <w:rFonts w:ascii="Arial" w:cs="Arial" w:eastAsia="Arial" w:hAnsi="Arial"/>
                <w:sz w:val="18"/>
                <w:szCs w:val="18"/>
                <w:color w:val="auto"/>
              </w:rPr>
              <w:t>(in thousands)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gridSpan w:val="9"/>
          </w:tcPr>
          <w:p>
            <w:pPr>
              <w:jc w:val="right"/>
              <w:ind w:right="720"/>
              <w:spacing w:after="0"/>
              <w:rPr>
                <w:sz w:val="20"/>
                <w:szCs w:val="20"/>
                <w:color w:val="auto"/>
              </w:rPr>
            </w:pPr>
            <w:r>
              <w:rPr>
                <w:rFonts w:ascii="Arial" w:cs="Arial" w:eastAsia="Arial" w:hAnsi="Arial"/>
                <w:sz w:val="14"/>
                <w:szCs w:val="14"/>
                <w:color w:val="auto"/>
              </w:rPr>
              <w:t>Three months ended:</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7"/>
          </w:tcPr>
          <w:p>
            <w:pPr>
              <w:jc w:val="right"/>
              <w:ind w:right="560"/>
              <w:spacing w:after="0"/>
              <w:rPr>
                <w:sz w:val="20"/>
                <w:szCs w:val="20"/>
                <w:color w:val="auto"/>
              </w:rPr>
            </w:pPr>
            <w:r>
              <w:rPr>
                <w:rFonts w:ascii="Arial" w:cs="Arial" w:eastAsia="Arial" w:hAnsi="Arial"/>
                <w:sz w:val="14"/>
                <w:szCs w:val="14"/>
                <w:color w:val="auto"/>
              </w:rPr>
              <w:t>Twelve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Borders>
              <w:top w:val="single" w:sz="8" w:color="auto"/>
            </w:tcBorders>
            <w:gridSpan w:val="4"/>
          </w:tcPr>
          <w:p>
            <w:pPr>
              <w:jc w:val="right"/>
              <w:ind w:right="80"/>
              <w:spacing w:after="0" w:line="142" w:lineRule="exact"/>
              <w:rPr>
                <w:sz w:val="20"/>
                <w:szCs w:val="20"/>
                <w:color w:val="auto"/>
              </w:rPr>
            </w:pPr>
            <w:r>
              <w:rPr>
                <w:rFonts w:ascii="Arial" w:cs="Arial" w:eastAsia="Arial" w:hAnsi="Arial"/>
                <w:sz w:val="14"/>
                <w:szCs w:val="14"/>
                <w:color w:val="auto"/>
                <w:w w:val="88"/>
              </w:rPr>
              <w:t>July 31, 2009</w:t>
            </w:r>
          </w:p>
        </w:tc>
        <w:tc>
          <w:tcPr>
            <w:tcW w:w="2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4"/>
          </w:tcPr>
          <w:p>
            <w:pPr>
              <w:ind w:left="340"/>
              <w:spacing w:after="0" w:line="142" w:lineRule="exact"/>
              <w:rPr>
                <w:sz w:val="20"/>
                <w:szCs w:val="20"/>
                <w:color w:val="auto"/>
              </w:rPr>
            </w:pPr>
            <w:r>
              <w:rPr>
                <w:rFonts w:ascii="Arial" w:cs="Arial" w:eastAsia="Arial" w:hAnsi="Arial"/>
                <w:sz w:val="14"/>
                <w:szCs w:val="14"/>
                <w:color w:val="auto"/>
                <w:w w:val="88"/>
              </w:rPr>
              <w:t>July 31, 2008</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July 31, 2009</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1"/>
              </w:rPr>
              <w:t>July 31,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Total profit for reportable segments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59,390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94,555</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256,854</w:t>
            </w:r>
          </w:p>
        </w:tc>
        <w:tc>
          <w:tcPr>
            <w:tcW w:w="2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Corporate and eliminations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(1,320)</w:t>
            </w:r>
          </w:p>
        </w:tc>
        <w:tc>
          <w:tcPr>
            <w:tcW w:w="240" w:type="dxa"/>
            <w:vAlign w:val="bottom"/>
          </w:tcPr>
          <w:p>
            <w:pPr>
              <w:spacing w:after="0"/>
              <w:rPr>
                <w:sz w:val="18"/>
                <w:szCs w:val="18"/>
                <w:color w:val="auto"/>
              </w:rPr>
            </w:pP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(2,648)</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(7,952)</w:t>
            </w:r>
          </w:p>
        </w:tc>
        <w:tc>
          <w:tcPr>
            <w:tcW w:w="24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Unallocated amounts: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ind w:left="200"/>
              <w:spacing w:after="0"/>
              <w:rPr>
                <w:sz w:val="20"/>
                <w:szCs w:val="20"/>
                <w:color w:val="auto"/>
              </w:rPr>
            </w:pPr>
            <w:r>
              <w:rPr>
                <w:rFonts w:ascii="Arial" w:cs="Arial" w:eastAsia="Arial" w:hAnsi="Arial"/>
                <w:sz w:val="18"/>
                <w:szCs w:val="18"/>
                <w:color w:val="auto"/>
              </w:rPr>
              <w:t>Administrative costs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5"/>
          </w:tcPr>
          <w:p>
            <w:pPr>
              <w:jc w:val="right"/>
              <w:ind w:right="20"/>
              <w:spacing w:after="0"/>
              <w:rPr>
                <w:sz w:val="20"/>
                <w:szCs w:val="20"/>
                <w:color w:val="auto"/>
              </w:rPr>
            </w:pPr>
            <w:r>
              <w:rPr>
                <w:rFonts w:ascii="Arial" w:cs="Arial" w:eastAsia="Arial" w:hAnsi="Arial"/>
                <w:sz w:val="18"/>
                <w:szCs w:val="18"/>
                <w:color w:val="auto"/>
              </w:rPr>
              <w:t>(25,208)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(37,587)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(102,680)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(134,451)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Restructuring costs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(2,573)</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(25,849)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ind w:left="200"/>
              <w:spacing w:after="0"/>
              <w:rPr>
                <w:sz w:val="20"/>
                <w:szCs w:val="20"/>
                <w:color w:val="auto"/>
              </w:rPr>
            </w:pPr>
            <w:r>
              <w:rPr>
                <w:rFonts w:ascii="Arial" w:cs="Arial" w:eastAsia="Arial" w:hAnsi="Arial"/>
                <w:sz w:val="18"/>
                <w:szCs w:val="18"/>
                <w:color w:val="auto"/>
              </w:rPr>
              <w:t>Investment and other income</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1,581</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1,800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(5,919)</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(5,956)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(24,901)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(26,385)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25,027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49,945</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97,272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186,187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8"/>
              </w:rPr>
              <w:t>Income taxes (2009 Q4 Restructuring — $1.6 million)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(5,825)</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(15,170)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(27,150)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(53,999)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gridSpan w:val="2"/>
          </w:tcPr>
          <w:p>
            <w:pPr>
              <w:ind w:left="40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19,202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34,775</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70,122</w:t>
            </w:r>
          </w:p>
        </w:tc>
        <w:tc>
          <w:tcPr>
            <w:tcW w:w="24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132,188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20" w:type="dxa"/>
            <w:vAlign w:val="bottom"/>
          </w:tcPr>
          <w:p>
            <w:pPr>
              <w:spacing w:after="0"/>
              <w:rPr>
                <w:sz w:val="24"/>
                <w:szCs w:val="24"/>
                <w:color w:val="auto"/>
              </w:rPr>
            </w:pPr>
          </w:p>
        </w:tc>
        <w:tc>
          <w:tcPr>
            <w:tcW w:w="24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ind w:right="5540"/>
        <w:spacing w:after="0" w:line="282" w:lineRule="auto"/>
        <w:rPr>
          <w:sz w:val="20"/>
          <w:szCs w:val="20"/>
          <w:color w:val="auto"/>
        </w:rPr>
      </w:pPr>
      <w:r>
        <w:rPr>
          <w:rFonts w:ascii="Arial" w:cs="Arial" w:eastAsia="Arial" w:hAnsi="Arial"/>
          <w:sz w:val="18"/>
          <w:szCs w:val="18"/>
          <w:b w:val="1"/>
          <w:bCs w:val="1"/>
          <w:color w:val="auto"/>
        </w:rPr>
        <w:t xml:space="preserve">RECONCILIATION OF GAAP MEASURES TO NON-GAAP MEASURES </w:t>
      </w:r>
      <w:r>
        <w:rPr>
          <w:rFonts w:ascii="Arial" w:cs="Arial" w:eastAsia="Arial" w:hAnsi="Arial"/>
          <w:sz w:val="18"/>
          <w:szCs w:val="18"/>
          <w:color w:val="auto"/>
        </w:rPr>
        <w:t>(in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color w:val="auto"/>
              </w:rPr>
              <w:t>Fiscal 2008</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8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620"/>
              <w:spacing w:after="0" w:line="142" w:lineRule="exact"/>
              <w:rPr>
                <w:sz w:val="20"/>
                <w:szCs w:val="20"/>
                <w:color w:val="auto"/>
              </w:rPr>
            </w:pPr>
            <w:r>
              <w:rPr>
                <w:rFonts w:ascii="Arial" w:cs="Arial" w:eastAsia="Arial" w:hAnsi="Arial"/>
                <w:sz w:val="14"/>
                <w:szCs w:val="14"/>
                <w:color w:val="auto"/>
              </w:rPr>
              <w:t>Q1</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100"/>
              <w:spacing w:after="0" w:line="142" w:lineRule="exact"/>
              <w:rPr>
                <w:sz w:val="20"/>
                <w:szCs w:val="20"/>
                <w:color w:val="auto"/>
              </w:rPr>
            </w:pPr>
            <w:r>
              <w:rPr>
                <w:rFonts w:ascii="Arial" w:cs="Arial" w:eastAsia="Arial" w:hAnsi="Arial"/>
                <w:sz w:val="14"/>
                <w:szCs w:val="14"/>
                <w:color w:val="auto"/>
              </w:rPr>
              <w:t>Q2</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920"/>
              <w:spacing w:after="0" w:line="142" w:lineRule="exact"/>
              <w:rPr>
                <w:sz w:val="20"/>
                <w:szCs w:val="20"/>
                <w:color w:val="auto"/>
              </w:rPr>
            </w:pPr>
            <w:r>
              <w:rPr>
                <w:rFonts w:ascii="Arial" w:cs="Arial" w:eastAsia="Arial" w:hAnsi="Arial"/>
                <w:sz w:val="14"/>
                <w:szCs w:val="14"/>
                <w:color w:val="auto"/>
              </w:rPr>
              <w:t>Q3</w:t>
            </w:r>
          </w:p>
        </w:tc>
        <w:tc>
          <w:tcPr>
            <w:tcW w:w="140" w:type="dxa"/>
            <w:vAlign w:val="bottom"/>
          </w:tcPr>
          <w:p>
            <w:pPr>
              <w:spacing w:after="0"/>
              <w:rPr>
                <w:sz w:val="12"/>
                <w:szCs w:val="12"/>
                <w:color w:val="auto"/>
              </w:rPr>
            </w:pPr>
          </w:p>
        </w:tc>
        <w:tc>
          <w:tcPr>
            <w:tcW w:w="880" w:type="dxa"/>
            <w:vAlign w:val="bottom"/>
            <w:gridSpan w:val="2"/>
          </w:tcPr>
          <w:p>
            <w:pPr>
              <w:ind w:left="100"/>
              <w:spacing w:after="0" w:line="142" w:lineRule="exact"/>
              <w:rPr>
                <w:sz w:val="20"/>
                <w:szCs w:val="20"/>
                <w:color w:val="auto"/>
              </w:rPr>
            </w:pPr>
            <w:r>
              <w:rPr>
                <w:rFonts w:ascii="Arial" w:cs="Arial" w:eastAsia="Arial" w:hAnsi="Arial"/>
                <w:sz w:val="14"/>
                <w:szCs w:val="14"/>
                <w:color w:val="auto"/>
              </w:rPr>
              <w:t>Q4</w:t>
            </w:r>
          </w:p>
        </w:tc>
        <w:tc>
          <w:tcPr>
            <w:tcW w:w="320" w:type="dxa"/>
            <w:vAlign w:val="bottom"/>
          </w:tcPr>
          <w:p>
            <w:pPr>
              <w:spacing w:after="0"/>
              <w:rPr>
                <w:sz w:val="12"/>
                <w:szCs w:val="12"/>
                <w:color w:val="auto"/>
              </w:rPr>
            </w:pPr>
          </w:p>
        </w:tc>
        <w:tc>
          <w:tcPr>
            <w:tcW w:w="720" w:type="dxa"/>
            <w:vAlign w:val="bottom"/>
          </w:tcPr>
          <w:p>
            <w:pPr>
              <w:jc w:val="right"/>
              <w:ind w:right="148"/>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EBITDA (1)</w:t>
            </w:r>
          </w:p>
        </w:tc>
        <w:tc>
          <w:tcPr>
            <w:tcW w:w="1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36,370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26,690</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34,353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34,775</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$ 132,188</w:t>
            </w:r>
          </w:p>
        </w:tc>
      </w:tr>
      <w:tr>
        <w:trPr>
          <w:trHeight w:val="216"/>
        </w:trPr>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6,720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6,747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6,962</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5,956</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26,385</w:t>
            </w:r>
          </w:p>
        </w:tc>
      </w:tr>
      <w:tr>
        <w:trPr>
          <w:trHeight w:val="216"/>
        </w:trPr>
        <w:tc>
          <w:tcPr>
            <w:tcW w:w="3880" w:type="dxa"/>
            <w:vAlign w:val="bottom"/>
          </w:tcPr>
          <w:p>
            <w:pPr>
              <w:ind w:left="420"/>
              <w:spacing w:after="0"/>
              <w:rPr>
                <w:sz w:val="20"/>
                <w:szCs w:val="20"/>
                <w:color w:val="auto"/>
              </w:rPr>
            </w:pPr>
            <w:r>
              <w:rPr>
                <w:rFonts w:ascii="Arial" w:cs="Arial" w:eastAsia="Arial" w:hAnsi="Arial"/>
                <w:sz w:val="18"/>
                <w:szCs w:val="18"/>
                <w:color w:val="auto"/>
              </w:rPr>
              <w:t>Income taxes</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15,366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11,276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12,187</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15,170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53,999</w:t>
            </w:r>
          </w:p>
        </w:tc>
      </w:tr>
      <w:tr>
        <w:trPr>
          <w:trHeight w:val="216"/>
        </w:trPr>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14,168</w:t>
            </w:r>
          </w:p>
        </w:tc>
        <w:tc>
          <w:tcPr>
            <w:tcW w:w="3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15,501</w:t>
            </w:r>
          </w:p>
        </w:tc>
        <w:tc>
          <w:tcPr>
            <w:tcW w:w="3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16,013</w:t>
            </w: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14,905</w:t>
            </w:r>
          </w:p>
        </w:tc>
        <w:tc>
          <w:tcPr>
            <w:tcW w:w="114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60,587</w:t>
            </w:r>
          </w:p>
        </w:tc>
      </w:tr>
      <w:tr>
        <w:trPr>
          <w:trHeight w:val="439"/>
        </w:trPr>
        <w:tc>
          <w:tcPr>
            <w:tcW w:w="3880" w:type="dxa"/>
            <w:vAlign w:val="bottom"/>
          </w:tcPr>
          <w:p>
            <w:pPr>
              <w:ind w:left="220"/>
              <w:spacing w:after="0"/>
              <w:rPr>
                <w:sz w:val="20"/>
                <w:szCs w:val="20"/>
                <w:color w:val="auto"/>
              </w:rPr>
            </w:pPr>
            <w:r>
              <w:rPr>
                <w:rFonts w:ascii="Arial" w:cs="Arial" w:eastAsia="Arial" w:hAnsi="Arial"/>
                <w:sz w:val="18"/>
                <w:szCs w:val="18"/>
                <w:color w:val="auto"/>
              </w:rPr>
              <w:t>EBITDA (non-GAAP measure)</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72,624</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60,214</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69,515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70,806</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$ 273,159</w:t>
            </w: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color w:val="auto"/>
              </w:rPr>
              <w:t>Fiscal 2009</w:t>
            </w:r>
          </w:p>
        </w:tc>
        <w:tc>
          <w:tcPr>
            <w:tcW w:w="14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240" w:type="dxa"/>
            <w:vAlign w:val="bottom"/>
            <w:tcBorders>
              <w:bottom w:val="single" w:sz="8" w:color="auto"/>
            </w:tcBorders>
          </w:tcPr>
          <w:p>
            <w:pPr>
              <w:jc w:val="right"/>
              <w:ind w:right="533"/>
              <w:spacing w:after="0" w:line="142" w:lineRule="exact"/>
              <w:rPr>
                <w:sz w:val="20"/>
                <w:szCs w:val="20"/>
                <w:color w:val="auto"/>
              </w:rPr>
            </w:pPr>
            <w:r>
              <w:rPr>
                <w:rFonts w:ascii="Arial" w:cs="Arial" w:eastAsia="Arial" w:hAnsi="Arial"/>
                <w:sz w:val="14"/>
                <w:szCs w:val="14"/>
                <w:color w:val="auto"/>
              </w:rPr>
              <w:t>Q1</w:t>
            </w:r>
          </w:p>
        </w:tc>
        <w:tc>
          <w:tcPr>
            <w:tcW w:w="1540" w:type="dxa"/>
            <w:vAlign w:val="bottom"/>
            <w:tcBorders>
              <w:bottom w:val="single" w:sz="8" w:color="auto"/>
            </w:tcBorders>
          </w:tcPr>
          <w:p>
            <w:pPr>
              <w:jc w:val="right"/>
              <w:ind w:right="573"/>
              <w:spacing w:after="0" w:line="142" w:lineRule="exact"/>
              <w:rPr>
                <w:sz w:val="20"/>
                <w:szCs w:val="20"/>
                <w:color w:val="auto"/>
              </w:rPr>
            </w:pPr>
            <w:r>
              <w:rPr>
                <w:rFonts w:ascii="Arial" w:cs="Arial" w:eastAsia="Arial" w:hAnsi="Arial"/>
                <w:sz w:val="14"/>
                <w:szCs w:val="14"/>
                <w:color w:val="auto"/>
              </w:rPr>
              <w:t>Q2</w:t>
            </w:r>
          </w:p>
        </w:tc>
        <w:tc>
          <w:tcPr>
            <w:tcW w:w="1540" w:type="dxa"/>
            <w:vAlign w:val="bottom"/>
            <w:tcBorders>
              <w:bottom w:val="single" w:sz="8" w:color="auto"/>
            </w:tcBorders>
          </w:tcPr>
          <w:p>
            <w:pPr>
              <w:jc w:val="right"/>
              <w:ind w:right="615"/>
              <w:spacing w:after="0" w:line="142" w:lineRule="exact"/>
              <w:rPr>
                <w:sz w:val="20"/>
                <w:szCs w:val="20"/>
                <w:color w:val="auto"/>
              </w:rPr>
            </w:pPr>
            <w:r>
              <w:rPr>
                <w:rFonts w:ascii="Arial" w:cs="Arial" w:eastAsia="Arial" w:hAnsi="Arial"/>
                <w:sz w:val="14"/>
                <w:szCs w:val="14"/>
                <w:color w:val="auto"/>
              </w:rPr>
              <w:t>Q3</w:t>
            </w:r>
          </w:p>
        </w:tc>
        <w:tc>
          <w:tcPr>
            <w:tcW w:w="1440" w:type="dxa"/>
            <w:vAlign w:val="bottom"/>
            <w:tcBorders>
              <w:bottom w:val="single" w:sz="8" w:color="auto"/>
            </w:tcBorders>
          </w:tcPr>
          <w:p>
            <w:pPr>
              <w:jc w:val="right"/>
              <w:ind w:right="553"/>
              <w:spacing w:after="0" w:line="142" w:lineRule="exact"/>
              <w:rPr>
                <w:sz w:val="20"/>
                <w:szCs w:val="20"/>
                <w:color w:val="auto"/>
              </w:rPr>
            </w:pPr>
            <w:r>
              <w:rPr>
                <w:rFonts w:ascii="Arial" w:cs="Arial" w:eastAsia="Arial" w:hAnsi="Arial"/>
                <w:sz w:val="14"/>
                <w:szCs w:val="14"/>
                <w:color w:val="auto"/>
              </w:rPr>
              <w:t>Q4</w:t>
            </w:r>
          </w:p>
        </w:tc>
        <w:tc>
          <w:tcPr>
            <w:tcW w:w="5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color w:val="auto"/>
              </w:rPr>
              <w:t>Total</w:t>
            </w: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EBITDA (1)</w:t>
            </w:r>
          </w:p>
        </w:tc>
        <w:tc>
          <w:tcPr>
            <w:tcW w:w="1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240" w:type="dxa"/>
            <w:vAlign w:val="bottom"/>
          </w:tcPr>
          <w:p>
            <w:pPr>
              <w:jc w:val="right"/>
              <w:ind w:right="373"/>
              <w:spacing w:after="0"/>
              <w:rPr>
                <w:sz w:val="20"/>
                <w:szCs w:val="20"/>
                <w:color w:val="auto"/>
              </w:rPr>
            </w:pPr>
            <w:r>
              <w:rPr>
                <w:rFonts w:ascii="Arial" w:cs="Arial" w:eastAsia="Arial" w:hAnsi="Arial"/>
                <w:sz w:val="18"/>
                <w:szCs w:val="18"/>
                <w:color w:val="auto"/>
              </w:rPr>
              <w:t>$37,110</w:t>
            </w:r>
          </w:p>
        </w:tc>
        <w:tc>
          <w:tcPr>
            <w:tcW w:w="1540" w:type="dxa"/>
            <w:vAlign w:val="bottom"/>
          </w:tcPr>
          <w:p>
            <w:pPr>
              <w:jc w:val="right"/>
              <w:ind w:right="353"/>
              <w:spacing w:after="0"/>
              <w:rPr>
                <w:sz w:val="20"/>
                <w:szCs w:val="20"/>
                <w:color w:val="auto"/>
              </w:rPr>
            </w:pPr>
            <w:r>
              <w:rPr>
                <w:rFonts w:ascii="Arial" w:cs="Arial" w:eastAsia="Arial" w:hAnsi="Arial"/>
                <w:sz w:val="18"/>
                <w:szCs w:val="18"/>
                <w:color w:val="auto"/>
              </w:rPr>
              <w:t>$ (4,150)</w:t>
            </w:r>
          </w:p>
        </w:tc>
        <w:tc>
          <w:tcPr>
            <w:tcW w:w="1540" w:type="dxa"/>
            <w:vAlign w:val="bottom"/>
          </w:tcPr>
          <w:p>
            <w:pPr>
              <w:jc w:val="right"/>
              <w:ind w:right="435"/>
              <w:spacing w:after="0"/>
              <w:rPr>
                <w:sz w:val="20"/>
                <w:szCs w:val="20"/>
                <w:color w:val="auto"/>
              </w:rPr>
            </w:pPr>
            <w:r>
              <w:rPr>
                <w:rFonts w:ascii="Arial" w:cs="Arial" w:eastAsia="Arial" w:hAnsi="Arial"/>
                <w:sz w:val="18"/>
                <w:szCs w:val="18"/>
                <w:color w:val="auto"/>
              </w:rPr>
              <w:t>$17,960</w:t>
            </w:r>
          </w:p>
        </w:tc>
        <w:tc>
          <w:tcPr>
            <w:tcW w:w="1440" w:type="dxa"/>
            <w:vAlign w:val="bottom"/>
          </w:tcPr>
          <w:p>
            <w:pPr>
              <w:jc w:val="right"/>
              <w:ind w:right="373"/>
              <w:spacing w:after="0"/>
              <w:rPr>
                <w:sz w:val="20"/>
                <w:szCs w:val="20"/>
                <w:color w:val="auto"/>
              </w:rPr>
            </w:pPr>
            <w:r>
              <w:rPr>
                <w:rFonts w:ascii="Arial" w:cs="Arial" w:eastAsia="Arial" w:hAnsi="Arial"/>
                <w:sz w:val="18"/>
                <w:szCs w:val="18"/>
                <w:color w:val="auto"/>
              </w:rPr>
              <w:t>$19,202</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3"/>
              <w:spacing w:after="0"/>
              <w:rPr>
                <w:sz w:val="20"/>
                <w:szCs w:val="20"/>
                <w:color w:val="auto"/>
              </w:rPr>
            </w:pPr>
            <w:r>
              <w:rPr>
                <w:rFonts w:ascii="Arial" w:cs="Arial" w:eastAsia="Arial" w:hAnsi="Arial"/>
                <w:sz w:val="18"/>
                <w:szCs w:val="18"/>
                <w:color w:val="auto"/>
              </w:rPr>
              <w:t>70,122</w:t>
            </w: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124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6,361</w:t>
            </w:r>
          </w:p>
        </w:tc>
        <w:tc>
          <w:tcPr>
            <w:tcW w:w="154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6,314</w:t>
            </w:r>
          </w:p>
        </w:tc>
        <w:tc>
          <w:tcPr>
            <w:tcW w:w="154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6,307</w:t>
            </w:r>
          </w:p>
        </w:tc>
        <w:tc>
          <w:tcPr>
            <w:tcW w:w="144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5,919</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24,901</w:t>
            </w:r>
          </w:p>
        </w:tc>
      </w:tr>
      <w:tr>
        <w:trPr>
          <w:trHeight w:val="216"/>
        </w:trPr>
        <w:tc>
          <w:tcPr>
            <w:tcW w:w="20" w:type="dxa"/>
            <w:vAlign w:val="bottom"/>
          </w:tcPr>
          <w:p>
            <w:pPr>
              <w:spacing w:after="0"/>
              <w:rPr>
                <w:sz w:val="18"/>
                <w:szCs w:val="18"/>
                <w:color w:val="auto"/>
              </w:rPr>
            </w:pPr>
          </w:p>
        </w:tc>
        <w:tc>
          <w:tcPr>
            <w:tcW w:w="4240" w:type="dxa"/>
            <w:vAlign w:val="bottom"/>
          </w:tcPr>
          <w:p>
            <w:pPr>
              <w:ind w:left="400"/>
              <w:spacing w:after="0"/>
              <w:rPr>
                <w:sz w:val="20"/>
                <w:szCs w:val="20"/>
                <w:color w:val="auto"/>
              </w:rPr>
            </w:pPr>
            <w:r>
              <w:rPr>
                <w:rFonts w:ascii="Arial" w:cs="Arial" w:eastAsia="Arial" w:hAnsi="Arial"/>
                <w:sz w:val="18"/>
                <w:szCs w:val="18"/>
                <w:color w:val="auto"/>
              </w:rPr>
              <w:t>Income taxes</w:t>
            </w:r>
          </w:p>
        </w:tc>
        <w:tc>
          <w:tcPr>
            <w:tcW w:w="1240" w:type="dxa"/>
            <w:vAlign w:val="bottom"/>
          </w:tcPr>
          <w:p>
            <w:pPr>
              <w:jc w:val="right"/>
              <w:ind w:right="373"/>
              <w:spacing w:after="0"/>
              <w:rPr>
                <w:sz w:val="20"/>
                <w:szCs w:val="20"/>
                <w:color w:val="auto"/>
              </w:rPr>
            </w:pPr>
            <w:r>
              <w:rPr>
                <w:rFonts w:ascii="Arial" w:cs="Arial" w:eastAsia="Arial" w:hAnsi="Arial"/>
                <w:sz w:val="18"/>
                <w:szCs w:val="18"/>
                <w:color w:val="auto"/>
              </w:rPr>
              <w:t>14,575</w:t>
            </w:r>
          </w:p>
        </w:tc>
        <w:tc>
          <w:tcPr>
            <w:tcW w:w="1540" w:type="dxa"/>
            <w:vAlign w:val="bottom"/>
          </w:tcPr>
          <w:p>
            <w:pPr>
              <w:jc w:val="right"/>
              <w:ind w:right="413"/>
              <w:spacing w:after="0"/>
              <w:rPr>
                <w:sz w:val="20"/>
                <w:szCs w:val="20"/>
                <w:color w:val="auto"/>
              </w:rPr>
            </w:pPr>
            <w:r>
              <w:rPr>
                <w:rFonts w:ascii="Arial" w:cs="Arial" w:eastAsia="Arial" w:hAnsi="Arial"/>
                <w:sz w:val="18"/>
                <w:szCs w:val="18"/>
                <w:color w:val="auto"/>
              </w:rPr>
              <w:t>756</w:t>
            </w:r>
          </w:p>
        </w:tc>
        <w:tc>
          <w:tcPr>
            <w:tcW w:w="1540" w:type="dxa"/>
            <w:vAlign w:val="bottom"/>
          </w:tcPr>
          <w:p>
            <w:pPr>
              <w:jc w:val="right"/>
              <w:ind w:right="435"/>
              <w:spacing w:after="0"/>
              <w:rPr>
                <w:sz w:val="20"/>
                <w:szCs w:val="20"/>
                <w:color w:val="auto"/>
              </w:rPr>
            </w:pPr>
            <w:r>
              <w:rPr>
                <w:rFonts w:ascii="Arial" w:cs="Arial" w:eastAsia="Arial" w:hAnsi="Arial"/>
                <w:sz w:val="18"/>
                <w:szCs w:val="18"/>
                <w:color w:val="auto"/>
              </w:rPr>
              <w:t>5,994</w:t>
            </w:r>
          </w:p>
        </w:tc>
        <w:tc>
          <w:tcPr>
            <w:tcW w:w="1440" w:type="dxa"/>
            <w:vAlign w:val="bottom"/>
          </w:tcPr>
          <w:p>
            <w:pPr>
              <w:jc w:val="right"/>
              <w:ind w:right="373"/>
              <w:spacing w:after="0"/>
              <w:rPr>
                <w:sz w:val="20"/>
                <w:szCs w:val="20"/>
                <w:color w:val="auto"/>
              </w:rPr>
            </w:pPr>
            <w:r>
              <w:rPr>
                <w:rFonts w:ascii="Arial" w:cs="Arial" w:eastAsia="Arial" w:hAnsi="Arial"/>
                <w:sz w:val="18"/>
                <w:szCs w:val="18"/>
                <w:color w:val="auto"/>
              </w:rPr>
              <w:t>5,825</w:t>
            </w:r>
          </w:p>
        </w:tc>
        <w:tc>
          <w:tcPr>
            <w:tcW w:w="540" w:type="dxa"/>
            <w:vAlign w:val="bottom"/>
          </w:tcPr>
          <w:p>
            <w:pPr>
              <w:spacing w:after="0"/>
              <w:rPr>
                <w:sz w:val="18"/>
                <w:szCs w:val="18"/>
                <w:color w:val="auto"/>
              </w:rPr>
            </w:pPr>
          </w:p>
        </w:tc>
        <w:tc>
          <w:tcPr>
            <w:tcW w:w="860" w:type="dxa"/>
            <w:vAlign w:val="bottom"/>
          </w:tcPr>
          <w:p>
            <w:pPr>
              <w:jc w:val="right"/>
              <w:ind w:right="173"/>
              <w:spacing w:after="0"/>
              <w:rPr>
                <w:sz w:val="20"/>
                <w:szCs w:val="20"/>
                <w:color w:val="auto"/>
              </w:rPr>
            </w:pPr>
            <w:r>
              <w:rPr>
                <w:rFonts w:ascii="Arial" w:cs="Arial" w:eastAsia="Arial" w:hAnsi="Arial"/>
                <w:sz w:val="18"/>
                <w:szCs w:val="18"/>
                <w:color w:val="auto"/>
              </w:rPr>
              <w:t>27,150</w:t>
            </w: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124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8"/>
                <w:szCs w:val="18"/>
                <w:color w:val="auto"/>
              </w:rPr>
              <w:t>13,712</w:t>
            </w:r>
          </w:p>
        </w:tc>
        <w:tc>
          <w:tcPr>
            <w:tcW w:w="154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8"/>
                <w:szCs w:val="18"/>
                <w:color w:val="auto"/>
              </w:rPr>
              <w:t>13,481</w:t>
            </w:r>
          </w:p>
        </w:tc>
        <w:tc>
          <w:tcPr>
            <w:tcW w:w="1540" w:type="dxa"/>
            <w:vAlign w:val="bottom"/>
            <w:tcBorders>
              <w:bottom w:val="single" w:sz="8" w:color="auto"/>
            </w:tcBorders>
            <w:shd w:val="clear" w:color="auto" w:fill="CCEEFF"/>
          </w:tcPr>
          <w:p>
            <w:pPr>
              <w:jc w:val="right"/>
              <w:ind w:right="435"/>
              <w:spacing w:after="0"/>
              <w:rPr>
                <w:sz w:val="20"/>
                <w:szCs w:val="20"/>
                <w:color w:val="auto"/>
              </w:rPr>
            </w:pPr>
            <w:r>
              <w:rPr>
                <w:rFonts w:ascii="Arial" w:cs="Arial" w:eastAsia="Arial" w:hAnsi="Arial"/>
                <w:sz w:val="18"/>
                <w:szCs w:val="18"/>
                <w:color w:val="auto"/>
              </w:rPr>
              <w:t>13,479</w:t>
            </w:r>
          </w:p>
        </w:tc>
        <w:tc>
          <w:tcPr>
            <w:tcW w:w="144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8"/>
                <w:szCs w:val="18"/>
                <w:color w:val="auto"/>
              </w:rPr>
              <w:t>14,179</w:t>
            </w:r>
          </w:p>
        </w:tc>
        <w:tc>
          <w:tcPr>
            <w:tcW w:w="5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54,851</w:t>
            </w:r>
          </w:p>
        </w:tc>
      </w:tr>
      <w:tr>
        <w:trPr>
          <w:trHeight w:val="439"/>
        </w:trPr>
        <w:tc>
          <w:tcPr>
            <w:tcW w:w="20" w:type="dxa"/>
            <w:vAlign w:val="bottom"/>
          </w:tcPr>
          <w:p>
            <w:pPr>
              <w:spacing w:after="0"/>
              <w:rPr>
                <w:sz w:val="24"/>
                <w:szCs w:val="24"/>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EBITDA (non-GAAP measure)</w:t>
            </w:r>
          </w:p>
        </w:tc>
        <w:tc>
          <w:tcPr>
            <w:tcW w:w="1240" w:type="dxa"/>
            <w:vAlign w:val="bottom"/>
          </w:tcPr>
          <w:p>
            <w:pPr>
              <w:jc w:val="right"/>
              <w:ind w:right="373"/>
              <w:spacing w:after="0"/>
              <w:rPr>
                <w:sz w:val="20"/>
                <w:szCs w:val="20"/>
                <w:color w:val="auto"/>
              </w:rPr>
            </w:pPr>
            <w:r>
              <w:rPr>
                <w:rFonts w:ascii="Arial" w:cs="Arial" w:eastAsia="Arial" w:hAnsi="Arial"/>
                <w:sz w:val="18"/>
                <w:szCs w:val="18"/>
                <w:color w:val="auto"/>
              </w:rPr>
              <w:t>$71,758</w:t>
            </w:r>
          </w:p>
        </w:tc>
        <w:tc>
          <w:tcPr>
            <w:tcW w:w="1540" w:type="dxa"/>
            <w:vAlign w:val="bottom"/>
          </w:tcPr>
          <w:p>
            <w:pPr>
              <w:jc w:val="right"/>
              <w:ind w:right="413"/>
              <w:spacing w:after="0"/>
              <w:rPr>
                <w:sz w:val="20"/>
                <w:szCs w:val="20"/>
                <w:color w:val="auto"/>
              </w:rPr>
            </w:pPr>
            <w:r>
              <w:rPr>
                <w:rFonts w:ascii="Arial" w:cs="Arial" w:eastAsia="Arial" w:hAnsi="Arial"/>
                <w:sz w:val="18"/>
                <w:szCs w:val="18"/>
                <w:color w:val="auto"/>
              </w:rPr>
              <w:t>$16,401</w:t>
            </w:r>
          </w:p>
        </w:tc>
        <w:tc>
          <w:tcPr>
            <w:tcW w:w="1540" w:type="dxa"/>
            <w:vAlign w:val="bottom"/>
          </w:tcPr>
          <w:p>
            <w:pPr>
              <w:jc w:val="right"/>
              <w:ind w:right="435"/>
              <w:spacing w:after="0"/>
              <w:rPr>
                <w:sz w:val="20"/>
                <w:szCs w:val="20"/>
                <w:color w:val="auto"/>
              </w:rPr>
            </w:pPr>
            <w:r>
              <w:rPr>
                <w:rFonts w:ascii="Arial" w:cs="Arial" w:eastAsia="Arial" w:hAnsi="Arial"/>
                <w:sz w:val="18"/>
                <w:szCs w:val="18"/>
                <w:color w:val="auto"/>
              </w:rPr>
              <w:t>$43,740</w:t>
            </w:r>
          </w:p>
        </w:tc>
        <w:tc>
          <w:tcPr>
            <w:tcW w:w="1440" w:type="dxa"/>
            <w:vAlign w:val="bottom"/>
          </w:tcPr>
          <w:p>
            <w:pPr>
              <w:jc w:val="right"/>
              <w:ind w:right="373"/>
              <w:spacing w:after="0"/>
              <w:rPr>
                <w:sz w:val="20"/>
                <w:szCs w:val="20"/>
                <w:color w:val="auto"/>
              </w:rPr>
            </w:pPr>
            <w:r>
              <w:rPr>
                <w:rFonts w:ascii="Arial" w:cs="Arial" w:eastAsia="Arial" w:hAnsi="Arial"/>
                <w:sz w:val="18"/>
                <w:szCs w:val="18"/>
                <w:color w:val="auto"/>
              </w:rPr>
              <w:t>$45,125</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3"/>
              <w:spacing w:after="0"/>
              <w:rPr>
                <w:sz w:val="20"/>
                <w:szCs w:val="20"/>
                <w:color w:val="auto"/>
              </w:rPr>
            </w:pPr>
            <w:r>
              <w:rPr>
                <w:rFonts w:ascii="Arial" w:cs="Arial" w:eastAsia="Arial" w:hAnsi="Arial"/>
                <w:sz w:val="18"/>
                <w:szCs w:val="18"/>
                <w:color w:val="auto"/>
                <w:w w:val="89"/>
              </w:rPr>
              <w:t>177,024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80" w:hanging="452"/>
        <w:spacing w:after="0" w:line="293"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Brady is presenting EBITDA because it is used by many of our investors and lenders, and is presented as a convenience to them. EBITDA represents net income before interest expense, income taxes and depreciation and amortization. EBITDA is not a calculation based on generally accepted accounting principles (GAAP). The amounts included in the EBITDA calculation, however, are derived from amounts included in the Condensed Consolidated Statements of Income data. EBITDA should not be considered as an alternative to net income or operating income as an indicator of the company’s operating performance, or as an alternative to operating cash flows as a measure of liquidity. The EBITDA measure presented may not always be comparable to similarly titled measures reported by other companies due to differences in the components of the calculation.</w:t>
      </w:r>
    </w:p>
    <w:p>
      <w:pPr>
        <w:sectPr>
          <w:pgSz w:w="11900" w:h="16838" w:orient="portrait"/>
          <w:cols w:equalWidth="0" w:num="1">
            <w:col w:w="11420"/>
          </w:cols>
          <w:pgMar w:left="240" w:top="931"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color w:val="auto"/>
        </w:rPr>
        <w:t>EXHIBIT 99.2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Barbara Bolens (414) 438-6940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Immediate Release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increases dividend to shareholders for 24</w:t>
      </w:r>
      <w:r>
        <w:rPr>
          <w:rFonts w:ascii="Arial" w:cs="Arial" w:eastAsia="Arial" w:hAnsi="Arial"/>
          <w:sz w:val="15"/>
          <w:szCs w:val="15"/>
          <w:b w:val="1"/>
          <w:bCs w:val="1"/>
          <w:u w:val="single" w:color="auto"/>
          <w:color w:val="auto"/>
        </w:rPr>
        <w:t>th</w:t>
      </w:r>
      <w:r>
        <w:rPr>
          <w:rFonts w:ascii="Arial" w:cs="Arial" w:eastAsia="Arial" w:hAnsi="Arial"/>
          <w:sz w:val="18"/>
          <w:szCs w:val="18"/>
          <w:b w:val="1"/>
          <w:bCs w:val="1"/>
          <w:u w:val="single" w:color="auto"/>
          <w:color w:val="auto"/>
        </w:rPr>
        <w:t xml:space="preserve"> straight year</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MILWAUKEE (September 10, 2009)—Brady Corporation’s (NYSE: BRC) Board of Directors has announced an increase in its annual dividend to shareholders of the company’s Class A Common Stock from $0.68 to $0.70 per share. A quarterly dividend will be paid on October 30, 2009, to shareholders of record at the close of business on October 9, 2009.</w:t>
      </w:r>
    </w:p>
    <w:p>
      <w:pPr>
        <w:spacing w:after="0" w:line="73" w:lineRule="exact"/>
        <w:rPr>
          <w:sz w:val="20"/>
          <w:szCs w:val="20"/>
          <w:color w:val="auto"/>
        </w:rPr>
      </w:pPr>
    </w:p>
    <w:p>
      <w:pPr>
        <w:jc w:val="both"/>
        <w:ind w:right="500" w:firstLine="225"/>
        <w:spacing w:after="0" w:line="264" w:lineRule="auto"/>
        <w:rPr>
          <w:sz w:val="20"/>
          <w:szCs w:val="20"/>
          <w:color w:val="auto"/>
        </w:rPr>
      </w:pPr>
      <w:r>
        <w:rPr>
          <w:rFonts w:ascii="Arial" w:cs="Arial" w:eastAsia="Arial" w:hAnsi="Arial"/>
          <w:sz w:val="18"/>
          <w:szCs w:val="18"/>
          <w:color w:val="auto"/>
        </w:rPr>
        <w:t>“We are pleased to increase our dividend for the twenty-fourth consecutive year. This is a testament to the financial strength of our company and our commitment to create shareholder value even in the middle of the most challenging economic environment in decades,” said Brady President and Chief Executive Officer Frank M. Jaehnert.</w:t>
      </w:r>
    </w:p>
    <w:p>
      <w:pPr>
        <w:spacing w:after="0" w:line="73"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color w:val="auto"/>
        </w:rPr>
        <w:t>Brady Corporation is an international manufacturer and marketer of complete solutions that identify and protect premises, products and people. Its products help customers increase safety, security, productivity and performance and include high-performance labels and signs, safety devices, printing systems and software, and precision die-cut materials. Founded in 1914, the company has more than 500,000 customers in electronics, telecommunications, manufacturing, electrical, construction, education, medical and a variety of other industries. Brady is headquartered in Milwaukee and employs about 7,000 people at operations in the Americas, Europe and Asia/Pacific.</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More information is available on the Internet at </w:t>
      </w:r>
      <w:r>
        <w:rPr>
          <w:rFonts w:ascii="Arial" w:cs="Arial" w:eastAsia="Arial" w:hAnsi="Arial"/>
          <w:sz w:val="18"/>
          <w:szCs w:val="18"/>
          <w:u w:val="single" w:color="auto"/>
          <w:color w:val="auto"/>
        </w:rPr>
        <w:t>www.bradycorp.com</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14"/>
    </w:lvl>
  </w:abstractNum>
  <w:abstractNum w:abstractNumId="1">
    <w:nsid w:val="74B0DC51"/>
    <w:multiLevelType w:val="hybridMultilevel"/>
    <w:lvl w:ilvl="0">
      <w:lvlJc w:val="left"/>
      <w:lvlText w:val="o"/>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2019-12-10T05:52:46Z</dcterms:created>
  <dcterms:modified xsi:type="dcterms:W3CDTF">2019-12-10T05:52:46Z</dcterms:modified>
</cp:coreProperties>
</file>