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53" w:lineRule="exact"/>
        <w:rPr>
          <w:sz w:val="20"/>
          <w:szCs w:val="20"/>
          <w:color w:val="auto"/>
        </w:rPr>
      </w:pPr>
    </w:p>
    <w:p>
      <w:pPr>
        <w:ind w:left="1380" w:right="4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b w:val="1"/>
          <w:bCs w:val="1"/>
          <w:u w:val="single" w:color="auto"/>
          <w:color w:val="auto"/>
        </w:rPr>
        <w:t>October 31, 2008</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51"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242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900" w:type="dxa"/>
            <w:vAlign w:val="bottom"/>
            <w:tcBorders>
              <w:bottom w:val="single" w:sz="8" w:color="auto"/>
            </w:tcBorders>
          </w:tcPr>
          <w:p>
            <w:pPr>
              <w:spacing w:after="0"/>
              <w:rPr>
                <w:sz w:val="17"/>
                <w:szCs w:val="17"/>
                <w:color w:val="auto"/>
              </w:rPr>
            </w:pPr>
          </w:p>
        </w:tc>
        <w:tc>
          <w:tcPr>
            <w:tcW w:w="1180" w:type="dxa"/>
            <w:vAlign w:val="bottom"/>
          </w:tcPr>
          <w:p>
            <w:pPr>
              <w:spacing w:after="0"/>
              <w:rPr>
                <w:sz w:val="17"/>
                <w:szCs w:val="17"/>
                <w:color w:val="auto"/>
              </w:rPr>
            </w:pPr>
          </w:p>
        </w:tc>
      </w:tr>
      <w:tr>
        <w:trPr>
          <w:trHeight w:val="453"/>
        </w:trPr>
        <w:tc>
          <w:tcPr>
            <w:tcW w:w="2420" w:type="dxa"/>
            <w:vAlign w:val="bottom"/>
          </w:tcPr>
          <w:p>
            <w:pPr>
              <w:spacing w:after="0"/>
              <w:rPr>
                <w:sz w:val="24"/>
                <w:szCs w:val="24"/>
                <w:color w:val="auto"/>
              </w:rPr>
            </w:pPr>
          </w:p>
        </w:tc>
        <w:tc>
          <w:tcPr>
            <w:tcW w:w="3220" w:type="dxa"/>
            <w:vAlign w:val="bottom"/>
            <w:gridSpan w:val="4"/>
          </w:tcPr>
          <w:p>
            <w:pPr>
              <w:ind w:left="600"/>
              <w:spacing w:after="0"/>
              <w:rPr>
                <w:sz w:val="20"/>
                <w:szCs w:val="20"/>
                <w:color w:val="auto"/>
              </w:rPr>
            </w:pPr>
            <w:r>
              <w:rPr>
                <w:rFonts w:ascii="Arial" w:cs="Arial" w:eastAsia="Arial" w:hAnsi="Arial"/>
                <w:sz w:val="18"/>
                <w:szCs w:val="18"/>
                <w:b w:val="1"/>
                <w:bCs w:val="1"/>
                <w:color w:val="auto"/>
                <w:w w:val="90"/>
              </w:rPr>
              <w:t>Commission File Number 1-14959</w:t>
            </w:r>
          </w:p>
        </w:tc>
      </w:tr>
    </w:tbl>
    <w:p>
      <w:pPr>
        <w:spacing w:after="0" w:line="173"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86"/>
              </w:rPr>
              <w:t>Wisconsin</w:t>
            </w:r>
          </w:p>
        </w:tc>
        <w:tc>
          <w:tcPr>
            <w:tcW w:w="600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w w:val="89"/>
              </w:rPr>
              <w:t>39-0178960</w:t>
            </w:r>
          </w:p>
        </w:tc>
      </w:tr>
      <w:tr>
        <w:trPr>
          <w:trHeight w:val="209"/>
        </w:trPr>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580" w:type="dxa"/>
            <w:vAlign w:val="bottom"/>
          </w:tcPr>
          <w:p>
            <w:pPr>
              <w:spacing w:after="0"/>
              <w:rPr>
                <w:sz w:val="18"/>
                <w:szCs w:val="18"/>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5420" w:type="dxa"/>
            <w:vAlign w:val="bottom"/>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580" w:type="dxa"/>
            <w:vAlign w:val="bottom"/>
          </w:tcPr>
          <w:p>
            <w:pPr>
              <w:spacing w:after="0"/>
              <w:rPr>
                <w:sz w:val="20"/>
                <w:szCs w:val="20"/>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6555 West Good Hope Road, Milwaukee, Wisconsin 53223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(Zip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(414) 358-6600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17" w:lineRule="exact"/>
        <w:rPr>
          <w:sz w:val="20"/>
          <w:szCs w:val="20"/>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122" w:right="239" w:bottom="1440" w:gutter="0" w:footer="0" w:header="0"/>
        </w:sectPr>
      </w:pPr>
    </w:p>
    <w:p>
      <w:pPr>
        <w:spacing w:after="0" w:line="19" w:lineRule="exact"/>
        <w:rPr>
          <w:sz w:val="20"/>
          <w:szCs w:val="20"/>
          <w:color w:val="auto"/>
        </w:rPr>
      </w:pPr>
    </w:p>
    <w:p>
      <w:pPr>
        <w:ind w:left="2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0"/>
          <w:szCs w:val="20"/>
          <w:color w:val="auto"/>
        </w:rPr>
      </w:pPr>
    </w:p>
    <w:p>
      <w:pPr>
        <w:sectPr>
          <w:pgSz w:w="11900" w:h="16838" w:orient="portrait"/>
          <w:cols w:equalWidth="0" w:num="4">
            <w:col w:w="2560" w:space="720"/>
            <w:col w:w="1380" w:space="720"/>
            <w:col w:w="3340" w:space="400"/>
            <w:col w:w="2300"/>
          </w:cols>
          <w:pgMar w:left="240" w:top="122" w:right="2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32" w:lineRule="exact"/>
        <w:rPr>
          <w:sz w:val="20"/>
          <w:szCs w:val="20"/>
          <w:color w:val="auto"/>
        </w:rPr>
      </w:pPr>
    </w:p>
    <w:p>
      <w:pPr>
        <w:sectPr>
          <w:pgSz w:w="11900" w:h="16838" w:orient="portrait"/>
          <w:cols w:equalWidth="0" w:num="2">
            <w:col w:w="8620" w:space="320"/>
            <w:col w:w="2480"/>
          </w:cols>
          <w:pgMar w:left="240" w:top="122" w:right="239" w:bottom="1440" w:gutter="0" w:footer="0" w:header="0"/>
          <w:type w:val="continuous"/>
        </w:sectPr>
      </w:pPr>
    </w:p>
    <w:p>
      <w:pPr>
        <w:spacing w:after="0" w:line="48"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APPLICABLE ONLY TO CORPORATE ISSUERS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of December 5, 2008, there were outstanding 48,758,566 shares of Class A Nonvoting Common Stock and 3,538,628 shares of Class B Voting Common Stock. The Class B Voting Common Stock, all of which is held by affiliates of the Registrant, is the only voting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20" w:type="dxa"/>
            <w:vAlign w:val="bottom"/>
            <w:gridSpan w:val="2"/>
          </w:tcPr>
          <w:p>
            <w:pPr>
              <w:jc w:val="center"/>
              <w:ind w:right="4260"/>
              <w:spacing w:after="0"/>
              <w:rPr>
                <w:sz w:val="20"/>
                <w:szCs w:val="20"/>
                <w:color w:val="auto"/>
              </w:rPr>
            </w:pPr>
            <w:r>
              <w:rPr>
                <w:rFonts w:ascii="Arial" w:cs="Arial" w:eastAsia="Arial" w:hAnsi="Arial"/>
                <w:sz w:val="18"/>
                <w:szCs w:val="18"/>
                <w:color w:val="auto"/>
                <w:w w:val="93"/>
              </w:rPr>
              <w:t>FORM 10-Q</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20" w:type="dxa"/>
            <w:vAlign w:val="bottom"/>
            <w:gridSpan w:val="4"/>
          </w:tcPr>
          <w:p>
            <w:pPr>
              <w:jc w:val="center"/>
              <w:ind w:right="3680"/>
              <w:spacing w:after="0"/>
              <w:rPr>
                <w:sz w:val="20"/>
                <w:szCs w:val="20"/>
                <w:color w:val="auto"/>
              </w:rPr>
            </w:pPr>
            <w:r>
              <w:rPr>
                <w:rFonts w:ascii="Arial" w:cs="Arial" w:eastAsia="Arial" w:hAnsi="Arial"/>
                <w:sz w:val="18"/>
                <w:szCs w:val="18"/>
                <w:color w:val="auto"/>
                <w:w w:val="96"/>
              </w:rPr>
              <w:t>BRADY CORPORATION</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20" w:type="dxa"/>
            <w:vAlign w:val="bottom"/>
            <w:gridSpan w:val="2"/>
          </w:tcPr>
          <w:p>
            <w:pPr>
              <w:jc w:val="center"/>
              <w:ind w:right="4260"/>
              <w:spacing w:after="0"/>
              <w:rPr>
                <w:sz w:val="20"/>
                <w:szCs w:val="20"/>
                <w:color w:val="auto"/>
              </w:rPr>
            </w:pPr>
            <w:r>
              <w:rPr>
                <w:rFonts w:ascii="Arial" w:cs="Arial" w:eastAsia="Arial" w:hAnsi="Arial"/>
                <w:sz w:val="18"/>
                <w:szCs w:val="18"/>
                <w:color w:val="auto"/>
              </w:rPr>
              <w:t>INDEX</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220" w:type="dxa"/>
            <w:vAlign w:val="bottom"/>
            <w:gridSpan w:val="6"/>
            <w:vMerge w:val="restart"/>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PART I. Financial Information</w:t>
              </w:r>
            </w:hyperlink>
          </w:p>
        </w:tc>
        <w:tc>
          <w:tcPr>
            <w:tcW w:w="8340" w:type="dxa"/>
            <w:vAlign w:val="bottom"/>
            <w:gridSpan w:val="11"/>
            <w:vMerge w:val="restart"/>
          </w:tcPr>
          <w:p>
            <w:pPr>
              <w:spacing w:after="0"/>
              <w:rPr>
                <w:sz w:val="24"/>
                <w:szCs w:val="24"/>
                <w:color w:val="auto"/>
              </w:rPr>
            </w:pPr>
          </w:p>
        </w:tc>
        <w:tc>
          <w:tcPr>
            <w:tcW w:w="8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74"/>
        </w:trPr>
        <w:tc>
          <w:tcPr>
            <w:tcW w:w="2220" w:type="dxa"/>
            <w:vAlign w:val="bottom"/>
            <w:tcBorders>
              <w:bottom w:val="single" w:sz="8" w:color="0000EE"/>
            </w:tcBorders>
            <w:gridSpan w:val="6"/>
            <w:vMerge w:val="continue"/>
          </w:tcPr>
          <w:p>
            <w:pPr>
              <w:spacing w:after="0"/>
              <w:rPr>
                <w:sz w:val="14"/>
                <w:szCs w:val="14"/>
                <w:color w:val="auto"/>
              </w:rPr>
            </w:pPr>
          </w:p>
        </w:tc>
        <w:tc>
          <w:tcPr>
            <w:tcW w:w="8340" w:type="dxa"/>
            <w:vAlign w:val="bottom"/>
            <w:gridSpan w:val="11"/>
            <w:vMerge w:val="continue"/>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1034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 Financial Statements (Unaudited)</w:t>
              </w:r>
            </w:hyperlink>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4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w:t>
              </w:r>
            </w:hyperlink>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40" w:type="dxa"/>
            <w:vAlign w:val="bottom"/>
            <w:gridSpan w:val="1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Income</w:t>
              </w:r>
            </w:hyperlink>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40" w:type="dxa"/>
            <w:vAlign w:val="bottom"/>
            <w:gridSpan w:val="1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w:t>
              </w:r>
            </w:hyperlink>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40" w:type="dxa"/>
            <w:vAlign w:val="bottom"/>
            <w:gridSpan w:val="1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860" w:type="dxa"/>
            <w:vAlign w:val="bottom"/>
            <w:gridSpan w:val="5"/>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10340" w:type="dxa"/>
            <w:vAlign w:val="bottom"/>
            <w:gridSpan w:val="16"/>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Item 2. Management’s Discussion and Analysis of Financial Condition and Results of Operations</w:t>
              </w:r>
            </w:hyperlink>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492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2"/>
              </w:rPr>
            </w:pPr>
            <w:hyperlink w:anchor="page22">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3340" w:type="dxa"/>
            <w:vAlign w:val="bottom"/>
          </w:tcPr>
          <w:p>
            <w:pPr>
              <w:spacing w:after="0"/>
              <w:rPr>
                <w:sz w:val="24"/>
                <w:szCs w:val="24"/>
                <w:color w:val="auto"/>
              </w:rPr>
            </w:pPr>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Item 4.</w:t>
              </w:r>
            </w:hyperlink>
          </w:p>
        </w:tc>
        <w:tc>
          <w:tcPr>
            <w:tcW w:w="1800" w:type="dxa"/>
            <w:vAlign w:val="bottom"/>
            <w:tcBorders>
              <w:bottom w:val="single" w:sz="8" w:color="0000EE"/>
            </w:tcBorders>
            <w:gridSpan w:val="4"/>
          </w:tcPr>
          <w:p>
            <w:pPr>
              <w:ind w:left="20"/>
              <w:spacing w:after="0"/>
              <w:rPr>
                <w:rFonts w:ascii="Arial" w:cs="Arial" w:eastAsia="Arial" w:hAnsi="Arial"/>
                <w:sz w:val="18"/>
                <w:szCs w:val="18"/>
                <w:color w:val="0000EE"/>
                <w:w w:val="88"/>
              </w:rPr>
            </w:pPr>
            <w:hyperlink w:anchor="page22">
              <w:r>
                <w:rPr>
                  <w:rFonts w:ascii="Arial" w:cs="Arial" w:eastAsia="Arial" w:hAnsi="Arial"/>
                  <w:sz w:val="18"/>
                  <w:szCs w:val="18"/>
                  <w:color w:val="0000EE"/>
                  <w:w w:val="88"/>
                </w:rPr>
                <w:t>Controls and Procedures</w:t>
              </w:r>
            </w:hyperlink>
          </w:p>
        </w:tc>
        <w:tc>
          <w:tcPr>
            <w:tcW w:w="8020" w:type="dxa"/>
            <w:vAlign w:val="bottom"/>
            <w:gridSpan w:val="10"/>
          </w:tcPr>
          <w:p>
            <w:pPr>
              <w:spacing w:after="0"/>
              <w:rPr>
                <w:sz w:val="24"/>
                <w:szCs w:val="24"/>
                <w:color w:val="auto"/>
              </w:rPr>
            </w:pPr>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202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23">
              <w:r>
                <w:rPr>
                  <w:rFonts w:ascii="Arial" w:cs="Arial" w:eastAsia="Arial" w:hAnsi="Arial"/>
                  <w:sz w:val="18"/>
                  <w:szCs w:val="18"/>
                  <w:color w:val="0000EE"/>
                  <w:w w:val="93"/>
                </w:rPr>
                <w:t>PART II. Other Information</w:t>
              </w:r>
            </w:hyperlink>
          </w:p>
        </w:tc>
        <w:tc>
          <w:tcPr>
            <w:tcW w:w="8540" w:type="dxa"/>
            <w:vAlign w:val="bottom"/>
            <w:gridSpan w:val="12"/>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2.</w:t>
              </w:r>
            </w:hyperlink>
          </w:p>
        </w:tc>
        <w:tc>
          <w:tcPr>
            <w:tcW w:w="4380" w:type="dxa"/>
            <w:vAlign w:val="bottom"/>
            <w:tcBorders>
              <w:bottom w:val="single" w:sz="8" w:color="0000EE"/>
            </w:tcBorders>
            <w:gridSpan w:val="11"/>
          </w:tcPr>
          <w:p>
            <w:pPr>
              <w:ind w:left="20"/>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Unregistered Sales of Equity Securities and Use of Proceeds</w:t>
              </w:r>
            </w:hyperlink>
          </w:p>
        </w:tc>
        <w:tc>
          <w:tcPr>
            <w:tcW w:w="5440" w:type="dxa"/>
            <w:vAlign w:val="bottom"/>
            <w:gridSpan w:val="3"/>
          </w:tcPr>
          <w:p>
            <w:pPr>
              <w:spacing w:after="0"/>
              <w:rPr>
                <w:sz w:val="24"/>
                <w:szCs w:val="24"/>
                <w:color w:val="auto"/>
              </w:rPr>
            </w:pPr>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4.</w:t>
              </w:r>
            </w:hyperlink>
          </w:p>
        </w:tc>
        <w:tc>
          <w:tcPr>
            <w:tcW w:w="3800" w:type="dxa"/>
            <w:vAlign w:val="bottom"/>
            <w:tcBorders>
              <w:bottom w:val="single" w:sz="8" w:color="0000EE"/>
            </w:tcBorders>
            <w:gridSpan w:val="10"/>
          </w:tcPr>
          <w:p>
            <w:pPr>
              <w:ind w:left="20"/>
              <w:spacing w:after="0"/>
              <w:rPr>
                <w:rFonts w:ascii="Arial" w:cs="Arial" w:eastAsia="Arial" w:hAnsi="Arial"/>
                <w:sz w:val="18"/>
                <w:szCs w:val="18"/>
                <w:color w:val="0000EE"/>
                <w:w w:val="91"/>
              </w:rPr>
            </w:pPr>
            <w:hyperlink w:anchor="page23">
              <w:r>
                <w:rPr>
                  <w:rFonts w:ascii="Arial" w:cs="Arial" w:eastAsia="Arial" w:hAnsi="Arial"/>
                  <w:sz w:val="18"/>
                  <w:szCs w:val="18"/>
                  <w:color w:val="0000EE"/>
                  <w:w w:val="91"/>
                </w:rPr>
                <w:t>Submission of Matters to a Vote of Security Holders</w:t>
              </w:r>
            </w:hyperlink>
          </w:p>
        </w:tc>
        <w:tc>
          <w:tcPr>
            <w:tcW w:w="6020" w:type="dxa"/>
            <w:vAlign w:val="bottom"/>
            <w:gridSpan w:val="4"/>
          </w:tcPr>
          <w:p>
            <w:pPr>
              <w:spacing w:after="0"/>
              <w:rPr>
                <w:sz w:val="24"/>
                <w:szCs w:val="24"/>
                <w:color w:val="auto"/>
              </w:rPr>
            </w:pPr>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6.</w:t>
              </w:r>
            </w:hyperlink>
          </w:p>
        </w:tc>
        <w:tc>
          <w:tcPr>
            <w:tcW w:w="9820" w:type="dxa"/>
            <w:vAlign w:val="bottom"/>
            <w:gridSpan w:val="14"/>
          </w:tcPr>
          <w:p>
            <w:pPr>
              <w:ind w:left="20"/>
              <w:spacing w:after="0"/>
              <w:rPr>
                <w:rFonts w:ascii="Arial" w:cs="Arial" w:eastAsia="Arial" w:hAnsi="Arial"/>
                <w:sz w:val="18"/>
                <w:szCs w:val="18"/>
                <w:color w:val="0000EE"/>
              </w:rPr>
            </w:pPr>
            <w:hyperlink w:anchor="page24">
              <w:r>
                <w:rPr>
                  <w:rFonts w:ascii="Arial" w:cs="Arial" w:eastAsia="Arial" w:hAnsi="Arial"/>
                  <w:sz w:val="18"/>
                  <w:szCs w:val="18"/>
                  <w:color w:val="0000EE"/>
                </w:rPr>
                <w:t>Exhibits</w:t>
              </w:r>
            </w:hyperlink>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PART I. FINANCIAL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BRADY CORPORATION 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80" w:type="dxa"/>
            <w:vAlign w:val="bottom"/>
          </w:tcPr>
          <w:p>
            <w:pPr>
              <w:spacing w:after="0"/>
              <w:rPr>
                <w:sz w:val="14"/>
                <w:szCs w:val="14"/>
                <w:color w:val="auto"/>
              </w:rPr>
            </w:pPr>
          </w:p>
        </w:tc>
        <w:tc>
          <w:tcPr>
            <w:tcW w:w="1700" w:type="dxa"/>
            <w:vAlign w:val="bottom"/>
            <w:gridSpan w:val="4"/>
          </w:tcPr>
          <w:p>
            <w:pPr>
              <w:spacing w:after="0"/>
              <w:rPr>
                <w:sz w:val="20"/>
                <w:szCs w:val="20"/>
                <w:color w:val="auto"/>
              </w:rPr>
            </w:pPr>
            <w:r>
              <w:rPr>
                <w:rFonts w:ascii="Arial" w:cs="Arial" w:eastAsia="Arial" w:hAnsi="Arial"/>
                <w:sz w:val="14"/>
                <w:szCs w:val="14"/>
                <w:b w:val="1"/>
                <w:bCs w:val="1"/>
                <w:color w:val="auto"/>
              </w:rPr>
              <w:t>October 31, 2008</w:t>
            </w: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July 31, 2008</w:t>
            </w:r>
          </w:p>
        </w:tc>
      </w:tr>
      <w:tr>
        <w:trPr>
          <w:trHeight w:val="142"/>
        </w:trPr>
        <w:tc>
          <w:tcPr>
            <w:tcW w:w="87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50"/>
              <w:spacing w:after="0" w:line="142" w:lineRule="exact"/>
              <w:rPr>
                <w:sz w:val="20"/>
                <w:szCs w:val="20"/>
                <w:color w:val="auto"/>
              </w:rPr>
            </w:pPr>
            <w:r>
              <w:rPr>
                <w:rFonts w:ascii="Arial" w:cs="Arial" w:eastAsia="Arial" w:hAnsi="Arial"/>
                <w:sz w:val="14"/>
                <w:szCs w:val="14"/>
                <w:b w:val="1"/>
                <w:bCs w:val="1"/>
                <w:color w:val="auto"/>
                <w:w w:val="97"/>
              </w:rPr>
              <w:t>(Unaudited)</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780" w:type="dxa"/>
            <w:vAlign w:val="bottom"/>
            <w:shd w:val="clear" w:color="auto" w:fill="CCEEFF"/>
          </w:tcPr>
          <w:p>
            <w:pPr>
              <w:ind w:left="378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178,792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258,355</w:t>
            </w:r>
          </w:p>
        </w:tc>
      </w:tr>
      <w:tr>
        <w:trPr>
          <w:trHeight w:val="216"/>
        </w:trPr>
        <w:tc>
          <w:tcPr>
            <w:tcW w:w="8780" w:type="dxa"/>
            <w:vAlign w:val="bottom"/>
          </w:tcPr>
          <w:p>
            <w:pPr>
              <w:ind w:left="220"/>
              <w:spacing w:after="0"/>
              <w:rPr>
                <w:sz w:val="20"/>
                <w:szCs w:val="20"/>
                <w:color w:val="auto"/>
              </w:rPr>
            </w:pPr>
            <w:r>
              <w:rPr>
                <w:rFonts w:ascii="Arial" w:cs="Arial" w:eastAsia="Arial" w:hAnsi="Arial"/>
                <w:sz w:val="18"/>
                <w:szCs w:val="18"/>
                <w:color w:val="auto"/>
              </w:rPr>
              <w:t>Accounts receivable, less allowance for losses ($9,066 and $10,059, respectively)</w:t>
            </w:r>
          </w:p>
        </w:tc>
        <w:tc>
          <w:tcPr>
            <w:tcW w:w="1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243,219</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262,461</w:t>
            </w: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80" w:type="dxa"/>
            <w:vAlign w:val="bottom"/>
          </w:tcPr>
          <w:p>
            <w:pPr>
              <w:ind w:left="420"/>
              <w:spacing w:after="0"/>
              <w:rPr>
                <w:sz w:val="20"/>
                <w:szCs w:val="20"/>
                <w:color w:val="auto"/>
              </w:rPr>
            </w:pPr>
            <w:r>
              <w:rPr>
                <w:rFonts w:ascii="Arial" w:cs="Arial" w:eastAsia="Arial" w:hAnsi="Arial"/>
                <w:sz w:val="18"/>
                <w:szCs w:val="18"/>
                <w:color w:val="auto"/>
              </w:rPr>
              <w:t>Finished products</w:t>
            </w:r>
          </w:p>
        </w:tc>
        <w:tc>
          <w:tcPr>
            <w:tcW w:w="120" w:type="dxa"/>
            <w:vAlign w:val="bottom"/>
          </w:tcPr>
          <w:p>
            <w:pPr>
              <w:spacing w:after="0"/>
              <w:rPr>
                <w:sz w:val="18"/>
                <w:szCs w:val="18"/>
                <w:color w:val="auto"/>
              </w:rPr>
            </w:pPr>
          </w:p>
        </w:tc>
        <w:tc>
          <w:tcPr>
            <w:tcW w:w="1580" w:type="dxa"/>
            <w:vAlign w:val="bottom"/>
            <w:gridSpan w:val="3"/>
          </w:tcPr>
          <w:p>
            <w:pPr>
              <w:jc w:val="right"/>
              <w:ind w:right="660"/>
              <w:spacing w:after="0"/>
              <w:rPr>
                <w:sz w:val="20"/>
                <w:szCs w:val="20"/>
                <w:color w:val="auto"/>
              </w:rPr>
            </w:pPr>
            <w:r>
              <w:rPr>
                <w:rFonts w:ascii="Arial" w:cs="Arial" w:eastAsia="Arial" w:hAnsi="Arial"/>
                <w:sz w:val="18"/>
                <w:szCs w:val="18"/>
                <w:color w:val="auto"/>
              </w:rPr>
              <w:t>68,267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75,665</w:t>
            </w:r>
          </w:p>
        </w:tc>
      </w:tr>
      <w:tr>
        <w:trPr>
          <w:trHeight w:val="216"/>
        </w:trPr>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Work-in-process</w:t>
            </w:r>
          </w:p>
        </w:tc>
        <w:tc>
          <w:tcPr>
            <w:tcW w:w="1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21,586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21,187</w:t>
            </w:r>
          </w:p>
        </w:tc>
      </w:tr>
      <w:tr>
        <w:trPr>
          <w:trHeight w:val="223"/>
        </w:trPr>
        <w:tc>
          <w:tcPr>
            <w:tcW w:w="8780" w:type="dxa"/>
            <w:vAlign w:val="bottom"/>
          </w:tcPr>
          <w:p>
            <w:pPr>
              <w:ind w:left="420"/>
              <w:spacing w:after="0"/>
              <w:rPr>
                <w:sz w:val="20"/>
                <w:szCs w:val="20"/>
                <w:color w:val="auto"/>
              </w:rPr>
            </w:pPr>
            <w:r>
              <w:rPr>
                <w:rFonts w:ascii="Arial" w:cs="Arial" w:eastAsia="Arial" w:hAnsi="Arial"/>
                <w:sz w:val="18"/>
                <w:szCs w:val="18"/>
                <w:color w:val="auto"/>
              </w:rPr>
              <w:t>Raw materials and supplies</w:t>
            </w:r>
          </w:p>
        </w:tc>
        <w:tc>
          <w:tcPr>
            <w:tcW w:w="120" w:type="dxa"/>
            <w:vAlign w:val="bottom"/>
          </w:tcPr>
          <w:p>
            <w:pPr>
              <w:spacing w:after="0"/>
              <w:rPr>
                <w:sz w:val="19"/>
                <w:szCs w:val="19"/>
                <w:color w:val="auto"/>
              </w:rPr>
            </w:pPr>
          </w:p>
        </w:tc>
        <w:tc>
          <w:tcPr>
            <w:tcW w:w="1580" w:type="dxa"/>
            <w:vAlign w:val="bottom"/>
            <w:gridSpan w:val="3"/>
          </w:tcPr>
          <w:p>
            <w:pPr>
              <w:jc w:val="right"/>
              <w:ind w:right="660"/>
              <w:spacing w:after="0"/>
              <w:rPr>
                <w:sz w:val="20"/>
                <w:szCs w:val="20"/>
                <w:color w:val="auto"/>
              </w:rPr>
            </w:pPr>
            <w:r>
              <w:rPr>
                <w:rFonts w:ascii="Arial" w:cs="Arial" w:eastAsia="Arial" w:hAnsi="Arial"/>
                <w:sz w:val="18"/>
                <w:szCs w:val="18"/>
                <w:color w:val="auto"/>
              </w:rPr>
              <w:t>40,852</w:t>
            </w: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37,767</w:t>
            </w:r>
          </w:p>
        </w:tc>
      </w:tr>
      <w:tr>
        <w:trPr>
          <w:trHeight w:val="216"/>
        </w:trPr>
        <w:tc>
          <w:tcPr>
            <w:tcW w:w="87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Total inventories</w:t>
            </w: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130,705</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134,619</w:t>
            </w:r>
          </w:p>
        </w:tc>
        <w:tc>
          <w:tcPr>
            <w:tcW w:w="100" w:type="dxa"/>
            <w:vAlign w:val="bottom"/>
            <w:shd w:val="clear" w:color="auto" w:fill="CCEEFF"/>
          </w:tcPr>
          <w:p>
            <w:pPr>
              <w:spacing w:after="0"/>
              <w:rPr>
                <w:sz w:val="18"/>
                <w:szCs w:val="18"/>
                <w:color w:val="auto"/>
              </w:rPr>
            </w:pPr>
          </w:p>
        </w:tc>
      </w:tr>
      <w:tr>
        <w:trPr>
          <w:trHeight w:val="223"/>
        </w:trPr>
        <w:tc>
          <w:tcPr>
            <w:tcW w:w="878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9"/>
                <w:szCs w:val="19"/>
                <w:color w:val="auto"/>
              </w:rPr>
            </w:pPr>
          </w:p>
        </w:tc>
        <w:tc>
          <w:tcPr>
            <w:tcW w:w="1580" w:type="dxa"/>
            <w:vAlign w:val="bottom"/>
            <w:gridSpan w:val="3"/>
          </w:tcPr>
          <w:p>
            <w:pPr>
              <w:jc w:val="right"/>
              <w:ind w:right="660"/>
              <w:spacing w:after="0"/>
              <w:rPr>
                <w:sz w:val="20"/>
                <w:szCs w:val="20"/>
                <w:color w:val="auto"/>
              </w:rPr>
            </w:pPr>
            <w:r>
              <w:rPr>
                <w:rFonts w:ascii="Arial" w:cs="Arial" w:eastAsia="Arial" w:hAnsi="Arial"/>
                <w:sz w:val="18"/>
                <w:szCs w:val="18"/>
                <w:color w:val="auto"/>
              </w:rPr>
              <w:t>46,669</w:t>
            </w: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43,650</w:t>
            </w:r>
          </w:p>
        </w:tc>
      </w:tr>
      <w:tr>
        <w:trPr>
          <w:trHeight w:val="216"/>
        </w:trPr>
        <w:tc>
          <w:tcPr>
            <w:tcW w:w="8780" w:type="dxa"/>
            <w:vAlign w:val="bottom"/>
            <w:shd w:val="clear" w:color="auto" w:fill="CCEEFF"/>
          </w:tcPr>
          <w:p>
            <w:pPr>
              <w:ind w:left="620"/>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599,385</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699,085</w:t>
            </w:r>
          </w:p>
        </w:tc>
        <w:tc>
          <w:tcPr>
            <w:tcW w:w="100" w:type="dxa"/>
            <w:vAlign w:val="bottom"/>
            <w:shd w:val="clear" w:color="auto" w:fill="CCEEFF"/>
          </w:tcPr>
          <w:p>
            <w:pPr>
              <w:spacing w:after="0"/>
              <w:rPr>
                <w:sz w:val="18"/>
                <w:szCs w:val="18"/>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724,072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789,107</w:t>
            </w:r>
          </w:p>
        </w:tc>
      </w:tr>
      <w:tr>
        <w:trPr>
          <w:trHeight w:val="216"/>
        </w:trPr>
        <w:tc>
          <w:tcPr>
            <w:tcW w:w="8780" w:type="dxa"/>
            <w:vAlign w:val="bottom"/>
          </w:tcPr>
          <w:p>
            <w:pPr>
              <w:ind w:left="220"/>
              <w:spacing w:after="0"/>
              <w:rPr>
                <w:sz w:val="20"/>
                <w:szCs w:val="20"/>
                <w:color w:val="auto"/>
              </w:rPr>
            </w:pPr>
            <w:r>
              <w:rPr>
                <w:rFonts w:ascii="Arial" w:cs="Arial" w:eastAsia="Arial" w:hAnsi="Arial"/>
                <w:sz w:val="18"/>
                <w:szCs w:val="18"/>
                <w:color w:val="auto"/>
              </w:rPr>
              <w:t>Other intangible assets</w:t>
            </w:r>
          </w:p>
        </w:tc>
        <w:tc>
          <w:tcPr>
            <w:tcW w:w="1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124,593</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144,791</w:t>
            </w: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25,576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25,943</w:t>
            </w:r>
          </w:p>
        </w:tc>
      </w:tr>
      <w:tr>
        <w:trPr>
          <w:trHeight w:val="216"/>
        </w:trPr>
        <w:tc>
          <w:tcPr>
            <w:tcW w:w="8780" w:type="dxa"/>
            <w:vAlign w:val="bottom"/>
          </w:tcPr>
          <w:p>
            <w:pPr>
              <w:ind w:left="2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580" w:type="dxa"/>
            <w:vAlign w:val="bottom"/>
            <w:gridSpan w:val="3"/>
          </w:tcPr>
          <w:p>
            <w:pPr>
              <w:jc w:val="right"/>
              <w:ind w:right="660"/>
              <w:spacing w:after="0"/>
              <w:rPr>
                <w:sz w:val="20"/>
                <w:szCs w:val="20"/>
                <w:color w:val="auto"/>
              </w:rPr>
            </w:pPr>
            <w:r>
              <w:rPr>
                <w:rFonts w:ascii="Arial" w:cs="Arial" w:eastAsia="Arial" w:hAnsi="Arial"/>
                <w:sz w:val="18"/>
                <w:szCs w:val="18"/>
                <w:color w:val="auto"/>
              </w:rPr>
              <w:t>17,820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21,381</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80" w:type="dxa"/>
            <w:vAlign w:val="bottom"/>
          </w:tcPr>
          <w:p>
            <w:pPr>
              <w:ind w:left="220"/>
              <w:spacing w:after="0"/>
              <w:rPr>
                <w:sz w:val="20"/>
                <w:szCs w:val="20"/>
                <w:color w:val="auto"/>
              </w:rPr>
            </w:pPr>
            <w:r>
              <w:rPr>
                <w:rFonts w:ascii="Arial" w:cs="Arial" w:eastAsia="Arial" w:hAnsi="Arial"/>
                <w:sz w:val="18"/>
                <w:szCs w:val="18"/>
                <w:color w:val="auto"/>
              </w:rPr>
              <w:t>Cost: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Land</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6,169</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6,490</w:t>
            </w:r>
          </w:p>
        </w:tc>
      </w:tr>
      <w:tr>
        <w:trPr>
          <w:trHeight w:val="216"/>
        </w:trPr>
        <w:tc>
          <w:tcPr>
            <w:tcW w:w="8780" w:type="dxa"/>
            <w:vAlign w:val="bottom"/>
          </w:tcPr>
          <w:p>
            <w:pPr>
              <w:ind w:left="420"/>
              <w:spacing w:after="0"/>
              <w:rPr>
                <w:sz w:val="20"/>
                <w:szCs w:val="20"/>
                <w:color w:val="auto"/>
              </w:rPr>
            </w:pPr>
            <w:r>
              <w:rPr>
                <w:rFonts w:ascii="Arial" w:cs="Arial" w:eastAsia="Arial" w:hAnsi="Arial"/>
                <w:sz w:val="18"/>
                <w:szCs w:val="18"/>
                <w:color w:val="auto"/>
              </w:rPr>
              <w:t>Buildings and improvements</w:t>
            </w:r>
          </w:p>
        </w:tc>
        <w:tc>
          <w:tcPr>
            <w:tcW w:w="120" w:type="dxa"/>
            <w:vAlign w:val="bottom"/>
          </w:tcPr>
          <w:p>
            <w:pPr>
              <w:spacing w:after="0"/>
              <w:rPr>
                <w:sz w:val="18"/>
                <w:szCs w:val="18"/>
                <w:color w:val="auto"/>
              </w:rPr>
            </w:pPr>
          </w:p>
        </w:tc>
        <w:tc>
          <w:tcPr>
            <w:tcW w:w="1580" w:type="dxa"/>
            <w:vAlign w:val="bottom"/>
            <w:gridSpan w:val="3"/>
          </w:tcPr>
          <w:p>
            <w:pPr>
              <w:jc w:val="right"/>
              <w:ind w:right="660"/>
              <w:spacing w:after="0"/>
              <w:rPr>
                <w:sz w:val="20"/>
                <w:szCs w:val="20"/>
                <w:color w:val="auto"/>
              </w:rPr>
            </w:pPr>
            <w:r>
              <w:rPr>
                <w:rFonts w:ascii="Arial" w:cs="Arial" w:eastAsia="Arial" w:hAnsi="Arial"/>
                <w:sz w:val="18"/>
                <w:szCs w:val="18"/>
                <w:color w:val="auto"/>
              </w:rPr>
              <w:t>92,509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98,646</w:t>
            </w:r>
          </w:p>
        </w:tc>
      </w:tr>
      <w:tr>
        <w:trPr>
          <w:trHeight w:val="216"/>
        </w:trPr>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Machinery and equipment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265,097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282,232</w:t>
            </w:r>
          </w:p>
        </w:tc>
      </w:tr>
      <w:tr>
        <w:trPr>
          <w:trHeight w:val="223"/>
        </w:trPr>
        <w:tc>
          <w:tcPr>
            <w:tcW w:w="8780" w:type="dxa"/>
            <w:vAlign w:val="bottom"/>
          </w:tcPr>
          <w:p>
            <w:pPr>
              <w:ind w:left="420"/>
              <w:spacing w:after="0"/>
              <w:rPr>
                <w:sz w:val="20"/>
                <w:szCs w:val="20"/>
                <w:color w:val="auto"/>
              </w:rPr>
            </w:pPr>
            <w:r>
              <w:rPr>
                <w:rFonts w:ascii="Arial" w:cs="Arial" w:eastAsia="Arial" w:hAnsi="Arial"/>
                <w:sz w:val="18"/>
                <w:szCs w:val="18"/>
                <w:color w:val="auto"/>
              </w:rPr>
              <w:t>Construction in progress</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9,453</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6,040</w:t>
            </w:r>
          </w:p>
        </w:tc>
        <w:tc>
          <w:tcPr>
            <w:tcW w:w="100" w:type="dxa"/>
            <w:vAlign w:val="bottom"/>
          </w:tcPr>
          <w:p>
            <w:pPr>
              <w:spacing w:after="0"/>
              <w:rPr>
                <w:sz w:val="19"/>
                <w:szCs w:val="19"/>
                <w:color w:val="auto"/>
              </w:rPr>
            </w:pPr>
          </w:p>
        </w:tc>
      </w:tr>
      <w:tr>
        <w:trPr>
          <w:trHeight w:val="216"/>
        </w:trPr>
        <w:tc>
          <w:tcPr>
            <w:tcW w:w="8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373,228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393,408</w:t>
            </w:r>
          </w:p>
        </w:tc>
      </w:tr>
      <w:tr>
        <w:trPr>
          <w:trHeight w:val="223"/>
        </w:trPr>
        <w:tc>
          <w:tcPr>
            <w:tcW w:w="8780" w:type="dxa"/>
            <w:vAlign w:val="bottom"/>
          </w:tcPr>
          <w:p>
            <w:pPr>
              <w:ind w:left="220"/>
              <w:spacing w:after="0"/>
              <w:rPr>
                <w:sz w:val="20"/>
                <w:szCs w:val="20"/>
                <w:color w:val="auto"/>
              </w:rPr>
            </w:pPr>
            <w:r>
              <w:rPr>
                <w:rFonts w:ascii="Arial" w:cs="Arial" w:eastAsia="Arial" w:hAnsi="Arial"/>
                <w:sz w:val="18"/>
                <w:szCs w:val="18"/>
                <w:color w:val="auto"/>
              </w:rPr>
              <w:t>Less accumulated depreciation</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216,891</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223,202</w:t>
            </w:r>
          </w:p>
        </w:tc>
        <w:tc>
          <w:tcPr>
            <w:tcW w:w="100" w:type="dxa"/>
            <w:vAlign w:val="bottom"/>
          </w:tcPr>
          <w:p>
            <w:pPr>
              <w:spacing w:after="0"/>
              <w:rPr>
                <w:sz w:val="19"/>
                <w:szCs w:val="19"/>
                <w:color w:val="auto"/>
              </w:rPr>
            </w:pPr>
          </w:p>
        </w:tc>
      </w:tr>
      <w:tr>
        <w:trPr>
          <w:trHeight w:val="216"/>
        </w:trPr>
        <w:tc>
          <w:tcPr>
            <w:tcW w:w="8780" w:type="dxa"/>
            <w:vAlign w:val="bottom"/>
            <w:shd w:val="clear" w:color="auto" w:fill="CCEEFF"/>
          </w:tcPr>
          <w:p>
            <w:pPr>
              <w:ind w:left="620"/>
              <w:spacing w:after="0"/>
              <w:rPr>
                <w:sz w:val="20"/>
                <w:szCs w:val="20"/>
                <w:color w:val="auto"/>
              </w:rPr>
            </w:pPr>
            <w:r>
              <w:rPr>
                <w:rFonts w:ascii="Arial" w:cs="Arial" w:eastAsia="Arial" w:hAnsi="Arial"/>
                <w:sz w:val="18"/>
                <w:szCs w:val="18"/>
                <w:b w:val="1"/>
                <w:bCs w:val="1"/>
                <w:color w:val="auto"/>
              </w:rPr>
              <w:t>Net property, plant and equipment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156,337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170,206</w:t>
            </w:r>
          </w:p>
        </w:tc>
      </w:tr>
      <w:tr>
        <w:trPr>
          <w:trHeight w:val="216"/>
        </w:trPr>
        <w:tc>
          <w:tcPr>
            <w:tcW w:w="87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1,647,783</w:t>
            </w:r>
          </w:p>
        </w:tc>
        <w:tc>
          <w:tcPr>
            <w:tcW w:w="6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1,850,513</w:t>
            </w:r>
          </w:p>
        </w:tc>
      </w:tr>
      <w:tr>
        <w:trPr>
          <w:trHeight w:val="20"/>
        </w:trPr>
        <w:tc>
          <w:tcPr>
            <w:tcW w:w="8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780" w:type="dxa"/>
            <w:vAlign w:val="bottom"/>
            <w:shd w:val="clear" w:color="auto" w:fill="CCEEFF"/>
          </w:tcPr>
          <w:p>
            <w:pPr>
              <w:ind w:left="1920"/>
              <w:spacing w:after="0"/>
              <w:rPr>
                <w:sz w:val="20"/>
                <w:szCs w:val="20"/>
                <w:color w:val="auto"/>
              </w:rPr>
            </w:pPr>
            <w:r>
              <w:rPr>
                <w:rFonts w:ascii="Arial" w:cs="Arial" w:eastAsia="Arial" w:hAnsi="Arial"/>
                <w:sz w:val="18"/>
                <w:szCs w:val="18"/>
                <w:b w:val="1"/>
                <w:bCs w:val="1"/>
                <w:color w:val="auto"/>
              </w:rPr>
              <w:t>LIABILITIES AND STOCKHOLDERS’ INVESTMENT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109,083</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118,209</w:t>
            </w:r>
          </w:p>
        </w:tc>
      </w:tr>
      <w:tr>
        <w:trPr>
          <w:trHeight w:val="216"/>
        </w:trPr>
        <w:tc>
          <w:tcPr>
            <w:tcW w:w="8780" w:type="dxa"/>
            <w:vAlign w:val="bottom"/>
          </w:tcPr>
          <w:p>
            <w:pPr>
              <w:ind w:left="220"/>
              <w:spacing w:after="0"/>
              <w:rPr>
                <w:sz w:val="20"/>
                <w:szCs w:val="20"/>
                <w:color w:val="auto"/>
              </w:rPr>
            </w:pPr>
            <w:r>
              <w:rPr>
                <w:rFonts w:ascii="Arial" w:cs="Arial" w:eastAsia="Arial" w:hAnsi="Arial"/>
                <w:sz w:val="18"/>
                <w:szCs w:val="18"/>
                <w:color w:val="auto"/>
              </w:rPr>
              <w:t>Wages and amounts withheld from employees</w:t>
            </w:r>
          </w:p>
        </w:tc>
        <w:tc>
          <w:tcPr>
            <w:tcW w:w="120" w:type="dxa"/>
            <w:vAlign w:val="bottom"/>
          </w:tcPr>
          <w:p>
            <w:pPr>
              <w:spacing w:after="0"/>
              <w:rPr>
                <w:sz w:val="18"/>
                <w:szCs w:val="18"/>
                <w:color w:val="auto"/>
              </w:rPr>
            </w:pPr>
          </w:p>
        </w:tc>
        <w:tc>
          <w:tcPr>
            <w:tcW w:w="1580" w:type="dxa"/>
            <w:vAlign w:val="bottom"/>
            <w:gridSpan w:val="3"/>
          </w:tcPr>
          <w:p>
            <w:pPr>
              <w:jc w:val="right"/>
              <w:ind w:right="660"/>
              <w:spacing w:after="0"/>
              <w:rPr>
                <w:sz w:val="20"/>
                <w:szCs w:val="20"/>
                <w:color w:val="auto"/>
              </w:rPr>
            </w:pPr>
            <w:r>
              <w:rPr>
                <w:rFonts w:ascii="Arial" w:cs="Arial" w:eastAsia="Arial" w:hAnsi="Arial"/>
                <w:sz w:val="18"/>
                <w:szCs w:val="18"/>
                <w:color w:val="auto"/>
              </w:rPr>
              <w:t>52,396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82,354</w:t>
            </w: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Taxes, other than income taxes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8,033</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10,234</w:t>
            </w:r>
          </w:p>
        </w:tc>
      </w:tr>
      <w:tr>
        <w:trPr>
          <w:trHeight w:val="216"/>
        </w:trPr>
        <w:tc>
          <w:tcPr>
            <w:tcW w:w="8780" w:type="dxa"/>
            <w:vAlign w:val="bottom"/>
          </w:tcPr>
          <w:p>
            <w:pPr>
              <w:ind w:left="220"/>
              <w:spacing w:after="0"/>
              <w:rPr>
                <w:sz w:val="20"/>
                <w:szCs w:val="20"/>
                <w:color w:val="auto"/>
              </w:rPr>
            </w:pPr>
            <w:r>
              <w:rPr>
                <w:rFonts w:ascii="Arial" w:cs="Arial" w:eastAsia="Arial" w:hAnsi="Arial"/>
                <w:sz w:val="18"/>
                <w:szCs w:val="18"/>
                <w:color w:val="auto"/>
              </w:rPr>
              <w:t>Accrued income taxes</w:t>
            </w:r>
          </w:p>
        </w:tc>
        <w:tc>
          <w:tcPr>
            <w:tcW w:w="120" w:type="dxa"/>
            <w:vAlign w:val="bottom"/>
          </w:tcPr>
          <w:p>
            <w:pPr>
              <w:spacing w:after="0"/>
              <w:rPr>
                <w:sz w:val="18"/>
                <w:szCs w:val="18"/>
                <w:color w:val="auto"/>
              </w:rPr>
            </w:pPr>
          </w:p>
        </w:tc>
        <w:tc>
          <w:tcPr>
            <w:tcW w:w="1580" w:type="dxa"/>
            <w:vAlign w:val="bottom"/>
            <w:gridSpan w:val="3"/>
          </w:tcPr>
          <w:p>
            <w:pPr>
              <w:jc w:val="right"/>
              <w:ind w:right="660"/>
              <w:spacing w:after="0"/>
              <w:rPr>
                <w:sz w:val="20"/>
                <w:szCs w:val="20"/>
                <w:color w:val="auto"/>
              </w:rPr>
            </w:pPr>
            <w:r>
              <w:rPr>
                <w:rFonts w:ascii="Arial" w:cs="Arial" w:eastAsia="Arial" w:hAnsi="Arial"/>
                <w:sz w:val="18"/>
                <w:szCs w:val="18"/>
                <w:color w:val="auto"/>
              </w:rPr>
              <w:t>13,764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21,523</w:t>
            </w: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current liabilities</w:t>
            </w:r>
          </w:p>
        </w:tc>
        <w:tc>
          <w:tcPr>
            <w:tcW w:w="1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49,365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54,810</w:t>
            </w:r>
          </w:p>
        </w:tc>
      </w:tr>
      <w:tr>
        <w:trPr>
          <w:trHeight w:val="223"/>
        </w:trPr>
        <w:tc>
          <w:tcPr>
            <w:tcW w:w="8780" w:type="dxa"/>
            <w:vAlign w:val="bottom"/>
          </w:tcPr>
          <w:p>
            <w:pPr>
              <w:ind w:left="220"/>
              <w:spacing w:after="0"/>
              <w:rPr>
                <w:sz w:val="20"/>
                <w:szCs w:val="20"/>
                <w:color w:val="auto"/>
              </w:rPr>
            </w:pPr>
            <w:r>
              <w:rPr>
                <w:rFonts w:ascii="Arial" w:cs="Arial" w:eastAsia="Arial" w:hAnsi="Arial"/>
                <w:sz w:val="18"/>
                <w:szCs w:val="18"/>
                <w:color w:val="auto"/>
              </w:rPr>
              <w:t>Short-term borrowings and current maturities on long-term obligations</w:t>
            </w:r>
          </w:p>
        </w:tc>
        <w:tc>
          <w:tcPr>
            <w:tcW w:w="120" w:type="dxa"/>
            <w:vAlign w:val="bottom"/>
          </w:tcPr>
          <w:p>
            <w:pPr>
              <w:spacing w:after="0"/>
              <w:rPr>
                <w:sz w:val="19"/>
                <w:szCs w:val="19"/>
                <w:color w:val="auto"/>
              </w:rPr>
            </w:pPr>
          </w:p>
        </w:tc>
        <w:tc>
          <w:tcPr>
            <w:tcW w:w="1580" w:type="dxa"/>
            <w:vAlign w:val="bottom"/>
            <w:gridSpan w:val="3"/>
          </w:tcPr>
          <w:p>
            <w:pPr>
              <w:jc w:val="right"/>
              <w:ind w:right="660"/>
              <w:spacing w:after="0"/>
              <w:rPr>
                <w:sz w:val="20"/>
                <w:szCs w:val="20"/>
                <w:color w:val="auto"/>
              </w:rPr>
            </w:pPr>
            <w:r>
              <w:rPr>
                <w:rFonts w:ascii="Arial" w:cs="Arial" w:eastAsia="Arial" w:hAnsi="Arial"/>
                <w:sz w:val="18"/>
                <w:szCs w:val="18"/>
                <w:color w:val="auto"/>
              </w:rPr>
              <w:t>21,430</w:t>
            </w: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21,431</w:t>
            </w:r>
          </w:p>
        </w:tc>
      </w:tr>
      <w:tr>
        <w:trPr>
          <w:trHeight w:val="216"/>
        </w:trPr>
        <w:tc>
          <w:tcPr>
            <w:tcW w:w="8780" w:type="dxa"/>
            <w:vAlign w:val="bottom"/>
            <w:shd w:val="clear" w:color="auto" w:fill="CCEEFF"/>
          </w:tcPr>
          <w:p>
            <w:pPr>
              <w:ind w:left="620"/>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254,071</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308,561</w:t>
            </w:r>
          </w:p>
        </w:tc>
        <w:tc>
          <w:tcPr>
            <w:tcW w:w="100" w:type="dxa"/>
            <w:vAlign w:val="bottom"/>
            <w:shd w:val="clear" w:color="auto" w:fill="CCEEFF"/>
          </w:tcPr>
          <w:p>
            <w:pPr>
              <w:spacing w:after="0"/>
              <w:rPr>
                <w:sz w:val="18"/>
                <w:szCs w:val="18"/>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b w:val="1"/>
                <w:bCs w:val="1"/>
                <w:color w:val="auto"/>
              </w:rPr>
              <w:t>Long-term obligations, less current maturities</w:t>
            </w:r>
          </w:p>
        </w:tc>
        <w:tc>
          <w:tcPr>
            <w:tcW w:w="1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457,143</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457,143</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liabilities</w:t>
            </w:r>
          </w:p>
        </w:tc>
        <w:tc>
          <w:tcPr>
            <w:tcW w:w="1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56,298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63,001</w:t>
            </w:r>
          </w:p>
        </w:tc>
      </w:tr>
      <w:tr>
        <w:trPr>
          <w:trHeight w:val="223"/>
        </w:trPr>
        <w:tc>
          <w:tcPr>
            <w:tcW w:w="8780" w:type="dxa"/>
            <w:vAlign w:val="bottom"/>
          </w:tcPr>
          <w:p>
            <w:pPr>
              <w:ind w:left="62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767,512</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828,705</w:t>
            </w:r>
          </w:p>
        </w:tc>
        <w:tc>
          <w:tcPr>
            <w:tcW w:w="100" w:type="dxa"/>
            <w:vAlign w:val="bottom"/>
          </w:tcPr>
          <w:p>
            <w:pPr>
              <w:spacing w:after="0"/>
              <w:rPr>
                <w:sz w:val="19"/>
                <w:szCs w:val="19"/>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investment: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780" w:type="dxa"/>
            <w:vAlign w:val="bottom"/>
          </w:tcPr>
          <w:p>
            <w:pPr>
              <w:ind w:left="220"/>
              <w:spacing w:after="0" w:line="201" w:lineRule="exact"/>
              <w:rPr>
                <w:sz w:val="20"/>
                <w:szCs w:val="20"/>
                <w:color w:val="auto"/>
              </w:rPr>
            </w:pPr>
            <w:r>
              <w:rPr>
                <w:rFonts w:ascii="Arial" w:cs="Arial" w:eastAsia="Arial" w:hAnsi="Arial"/>
                <w:sz w:val="18"/>
                <w:szCs w:val="18"/>
                <w:color w:val="auto"/>
                <w:w w:val="98"/>
              </w:rPr>
              <w:t>Class A nonvoting common stock — Issued 51,261,487 and 51,261,487 shares, respectively and outstanding</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780" w:type="dxa"/>
            <w:vAlign w:val="bottom"/>
          </w:tcPr>
          <w:p>
            <w:pPr>
              <w:ind w:left="420"/>
              <w:spacing w:after="0"/>
              <w:rPr>
                <w:sz w:val="20"/>
                <w:szCs w:val="20"/>
                <w:color w:val="auto"/>
              </w:rPr>
            </w:pPr>
            <w:r>
              <w:rPr>
                <w:rFonts w:ascii="Arial" w:cs="Arial" w:eastAsia="Arial" w:hAnsi="Arial"/>
                <w:sz w:val="18"/>
                <w:szCs w:val="18"/>
                <w:color w:val="auto"/>
              </w:rPr>
              <w:t>48,926,466 and 50,005,296 shares, respectively</w:t>
            </w:r>
          </w:p>
        </w:tc>
        <w:tc>
          <w:tcPr>
            <w:tcW w:w="1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513</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513</w:t>
            </w: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Class B voting common stock — Issued and outstanding 3,538,628 shares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r>
      <w:tr>
        <w:trPr>
          <w:trHeight w:val="216"/>
        </w:trPr>
        <w:tc>
          <w:tcPr>
            <w:tcW w:w="878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294,181</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292,769</w:t>
            </w: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Earnings retained in the business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667,108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639,059</w:t>
            </w:r>
          </w:p>
        </w:tc>
      </w:tr>
      <w:tr>
        <w:trPr>
          <w:trHeight w:val="216"/>
        </w:trPr>
        <w:tc>
          <w:tcPr>
            <w:tcW w:w="8780" w:type="dxa"/>
            <w:vAlign w:val="bottom"/>
          </w:tcPr>
          <w:p>
            <w:pPr>
              <w:ind w:left="220"/>
              <w:spacing w:after="0"/>
              <w:rPr>
                <w:sz w:val="20"/>
                <w:szCs w:val="20"/>
                <w:color w:val="auto"/>
              </w:rPr>
            </w:pPr>
            <w:r>
              <w:rPr>
                <w:rFonts w:ascii="Arial" w:cs="Arial" w:eastAsia="Arial" w:hAnsi="Arial"/>
                <w:sz w:val="18"/>
                <w:szCs w:val="18"/>
                <w:color w:val="auto"/>
                <w:w w:val="98"/>
              </w:rPr>
              <w:t>Treasury stock — 2,125,021 and 1,046,191 shares, respectively of Class A nonvoting common stock, at cost</w:t>
            </w:r>
          </w:p>
        </w:tc>
        <w:tc>
          <w:tcPr>
            <w:tcW w:w="120" w:type="dxa"/>
            <w:vAlign w:val="bottom"/>
          </w:tcPr>
          <w:p>
            <w:pPr>
              <w:spacing w:after="0"/>
              <w:rPr>
                <w:sz w:val="18"/>
                <w:szCs w:val="18"/>
                <w:color w:val="auto"/>
              </w:rPr>
            </w:pPr>
          </w:p>
        </w:tc>
        <w:tc>
          <w:tcPr>
            <w:tcW w:w="1580" w:type="dxa"/>
            <w:vAlign w:val="bottom"/>
            <w:gridSpan w:val="3"/>
          </w:tcPr>
          <w:p>
            <w:pPr>
              <w:jc w:val="right"/>
              <w:ind w:right="600"/>
              <w:spacing w:after="0"/>
              <w:rPr>
                <w:sz w:val="20"/>
                <w:szCs w:val="20"/>
                <w:color w:val="auto"/>
              </w:rPr>
            </w:pPr>
            <w:r>
              <w:rPr>
                <w:rFonts w:ascii="Arial" w:cs="Arial" w:eastAsia="Arial" w:hAnsi="Arial"/>
                <w:sz w:val="18"/>
                <w:szCs w:val="18"/>
                <w:color w:val="auto"/>
              </w:rPr>
              <w:t>(67,539)</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(33,234)</w:t>
            </w: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 income</w:t>
            </w:r>
          </w:p>
        </w:tc>
        <w:tc>
          <w:tcPr>
            <w:tcW w:w="1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(8,839)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128,161</w:t>
            </w:r>
          </w:p>
        </w:tc>
      </w:tr>
      <w:tr>
        <w:trPr>
          <w:trHeight w:val="223"/>
        </w:trPr>
        <w:tc>
          <w:tcPr>
            <w:tcW w:w="8780" w:type="dxa"/>
            <w:vAlign w:val="bottom"/>
          </w:tcPr>
          <w:p>
            <w:pPr>
              <w:ind w:left="2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580" w:type="dxa"/>
            <w:vAlign w:val="bottom"/>
            <w:gridSpan w:val="3"/>
          </w:tcPr>
          <w:p>
            <w:pPr>
              <w:jc w:val="right"/>
              <w:ind w:right="600"/>
              <w:spacing w:after="0"/>
              <w:rPr>
                <w:sz w:val="20"/>
                <w:szCs w:val="20"/>
                <w:color w:val="auto"/>
              </w:rPr>
            </w:pPr>
            <w:r>
              <w:rPr>
                <w:rFonts w:ascii="Arial" w:cs="Arial" w:eastAsia="Arial" w:hAnsi="Arial"/>
                <w:sz w:val="18"/>
                <w:szCs w:val="18"/>
                <w:color w:val="auto"/>
              </w:rPr>
              <w:t>(5,188)</w:t>
            </w:r>
          </w:p>
        </w:tc>
        <w:tc>
          <w:tcPr>
            <w:tcW w:w="1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(5,495)</w:t>
            </w:r>
          </w:p>
        </w:tc>
      </w:tr>
      <w:tr>
        <w:trPr>
          <w:trHeight w:val="216"/>
        </w:trPr>
        <w:tc>
          <w:tcPr>
            <w:tcW w:w="8780" w:type="dxa"/>
            <w:vAlign w:val="bottom"/>
            <w:shd w:val="clear" w:color="auto" w:fill="CCEEFF"/>
          </w:tcPr>
          <w:p>
            <w:pPr>
              <w:ind w:left="620"/>
              <w:spacing w:after="0"/>
              <w:rPr>
                <w:sz w:val="20"/>
                <w:szCs w:val="20"/>
                <w:color w:val="auto"/>
              </w:rPr>
            </w:pPr>
            <w:r>
              <w:rPr>
                <w:rFonts w:ascii="Arial" w:cs="Arial" w:eastAsia="Arial" w:hAnsi="Arial"/>
                <w:sz w:val="18"/>
                <w:szCs w:val="18"/>
                <w:b w:val="1"/>
                <w:bCs w:val="1"/>
                <w:color w:val="auto"/>
              </w:rPr>
              <w:t>Total stockholders’ investment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880,271</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1,021,808</w:t>
            </w:r>
          </w:p>
        </w:tc>
        <w:tc>
          <w:tcPr>
            <w:tcW w:w="100" w:type="dxa"/>
            <w:vAlign w:val="bottom"/>
            <w:shd w:val="clear" w:color="auto" w:fill="CCEEFF"/>
          </w:tcPr>
          <w:p>
            <w:pPr>
              <w:spacing w:after="0"/>
              <w:rPr>
                <w:sz w:val="18"/>
                <w:szCs w:val="18"/>
                <w:color w:val="auto"/>
              </w:rPr>
            </w:pPr>
          </w:p>
        </w:tc>
      </w:tr>
      <w:tr>
        <w:trPr>
          <w:trHeight w:val="223"/>
        </w:trPr>
        <w:tc>
          <w:tcPr>
            <w:tcW w:w="87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1,647,783</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1,850,513</w:t>
            </w:r>
          </w:p>
        </w:tc>
        <w:tc>
          <w:tcPr>
            <w:tcW w:w="100" w:type="dxa"/>
            <w:vAlign w:val="bottom"/>
          </w:tcPr>
          <w:p>
            <w:pPr>
              <w:spacing w:after="0"/>
              <w:rPr>
                <w:sz w:val="19"/>
                <w:szCs w:val="19"/>
                <w:color w:val="auto"/>
              </w:rPr>
            </w:pPr>
          </w:p>
        </w:tc>
      </w:tr>
      <w:tr>
        <w:trPr>
          <w:trHeight w:val="20"/>
        </w:trPr>
        <w:tc>
          <w:tcPr>
            <w:tcW w:w="8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BRADY CORPORATION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Per Share Amounts)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40" w:type="dxa"/>
            <w:vAlign w:val="bottom"/>
            <w:gridSpan w:val="5"/>
          </w:tcPr>
          <w:p>
            <w:pPr>
              <w:jc w:val="right"/>
              <w:ind w:right="60"/>
              <w:spacing w:after="0"/>
              <w:rPr>
                <w:sz w:val="20"/>
                <w:szCs w:val="20"/>
                <w:color w:val="auto"/>
              </w:rPr>
            </w:pPr>
            <w:r>
              <w:rPr>
                <w:rFonts w:ascii="Arial" w:cs="Arial" w:eastAsia="Arial" w:hAnsi="Arial"/>
                <w:sz w:val="14"/>
                <w:szCs w:val="14"/>
                <w:color w:val="auto"/>
                <w:w w:val="94"/>
              </w:rPr>
              <w:t>Three Months Ended October 31,</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color w:val="auto"/>
              </w:rPr>
              <w:t>(Unaudited)</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jc w:val="center"/>
              <w:spacing w:after="0" w:line="123" w:lineRule="exact"/>
              <w:rPr>
                <w:sz w:val="20"/>
                <w:szCs w:val="20"/>
                <w:color w:val="auto"/>
              </w:rPr>
            </w:pPr>
            <w:r>
              <w:rPr>
                <w:rFonts w:ascii="Arial" w:cs="Arial" w:eastAsia="Arial" w:hAnsi="Arial"/>
                <w:sz w:val="14"/>
                <w:szCs w:val="14"/>
                <w:color w:val="auto"/>
                <w:w w:val="86"/>
              </w:rPr>
              <w:t>Percentage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2008</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2007</w:t>
            </w:r>
          </w:p>
        </w:tc>
        <w:tc>
          <w:tcPr>
            <w:tcW w:w="6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Change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378,317</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380,134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Cost of products sold</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197,171</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192,467</w:t>
            </w:r>
          </w:p>
        </w:tc>
        <w:tc>
          <w:tcPr>
            <w:tcW w:w="66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margin</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181,146</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187,667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32"/>
        </w:trPr>
        <w:tc>
          <w:tcPr>
            <w:tcW w:w="77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9,056</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8,978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115,896</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120,351</w:t>
            </w:r>
          </w:p>
        </w:tc>
        <w:tc>
          <w:tcPr>
            <w:tcW w:w="6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124,952</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129,329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32"/>
        </w:trPr>
        <w:tc>
          <w:tcPr>
            <w:tcW w:w="77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24"/>
                <w:szCs w:val="24"/>
                <w:color w:val="auto"/>
              </w:rPr>
            </w:pPr>
          </w:p>
        </w:tc>
        <w:tc>
          <w:tcPr>
            <w:tcW w:w="960" w:type="dxa"/>
            <w:vAlign w:val="bottom"/>
            <w:gridSpan w:val="2"/>
          </w:tcPr>
          <w:p>
            <w:pPr>
              <w:jc w:val="right"/>
              <w:ind w:right="288"/>
              <w:spacing w:after="0"/>
              <w:rPr>
                <w:sz w:val="20"/>
                <w:szCs w:val="20"/>
                <w:color w:val="auto"/>
              </w:rPr>
            </w:pPr>
            <w:r>
              <w:rPr>
                <w:rFonts w:ascii="Arial" w:cs="Arial" w:eastAsia="Arial" w:hAnsi="Arial"/>
                <w:sz w:val="18"/>
                <w:szCs w:val="18"/>
                <w:color w:val="auto"/>
              </w:rPr>
              <w:t>56,194</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58,338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00"/>
              <w:spacing w:after="0"/>
              <w:rPr>
                <w:sz w:val="20"/>
                <w:szCs w:val="20"/>
                <w:color w:val="auto"/>
              </w:rPr>
            </w:pPr>
            <w:r>
              <w:rPr>
                <w:rFonts w:ascii="Arial" w:cs="Arial" w:eastAsia="Arial" w:hAnsi="Arial"/>
                <w:sz w:val="18"/>
                <w:szCs w:val="18"/>
                <w:color w:val="auto"/>
              </w:rPr>
              <w:t>Investment and other income — net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1,852</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118</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1,469.5%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(6,361)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(6,720)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439"/>
        </w:trPr>
        <w:tc>
          <w:tcPr>
            <w:tcW w:w="77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51,685</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51,736</w:t>
            </w:r>
          </w:p>
        </w:tc>
        <w:tc>
          <w:tcPr>
            <w:tcW w:w="66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14,575</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15,366</w:t>
            </w:r>
          </w:p>
        </w:tc>
        <w:tc>
          <w:tcPr>
            <w:tcW w:w="6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439"/>
        </w:trPr>
        <w:tc>
          <w:tcPr>
            <w:tcW w:w="77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37,110</w:t>
            </w:r>
          </w:p>
        </w:tc>
        <w:tc>
          <w:tcPr>
            <w:tcW w:w="360" w:type="dxa"/>
            <w:vAlign w:val="bottom"/>
          </w:tcPr>
          <w:p>
            <w:pPr>
              <w:spacing w:after="0"/>
              <w:rPr>
                <w:sz w:val="24"/>
                <w:szCs w:val="24"/>
                <w:color w:val="auto"/>
              </w:rPr>
            </w:pP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36,370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Per Class A Nonvoting Common Share: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00"/>
              <w:spacing w:after="0"/>
              <w:rPr>
                <w:sz w:val="20"/>
                <w:szCs w:val="20"/>
                <w:color w:val="auto"/>
              </w:rPr>
            </w:pPr>
            <w:r>
              <w:rPr>
                <w:rFonts w:ascii="Arial" w:cs="Arial" w:eastAsia="Arial" w:hAnsi="Arial"/>
                <w:sz w:val="18"/>
                <w:szCs w:val="18"/>
                <w:color w:val="auto"/>
              </w:rPr>
              <w:t>Basic 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88"/>
              <w:spacing w:after="0"/>
              <w:rPr>
                <w:sz w:val="20"/>
                <w:szCs w:val="20"/>
                <w:color w:val="auto"/>
              </w:rPr>
            </w:pPr>
            <w:r>
              <w:rPr>
                <w:rFonts w:ascii="Arial" w:cs="Arial" w:eastAsia="Arial" w:hAnsi="Arial"/>
                <w:sz w:val="18"/>
                <w:szCs w:val="18"/>
                <w:color w:val="auto"/>
              </w:rPr>
              <w:t>0.70</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0.67</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 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0.69</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0.66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tcPr>
          <w:p>
            <w:pPr>
              <w:ind w:left="200"/>
              <w:spacing w:after="0"/>
              <w:rPr>
                <w:sz w:val="20"/>
                <w:szCs w:val="20"/>
                <w:color w:val="auto"/>
              </w:rPr>
            </w:pPr>
            <w:r>
              <w:rPr>
                <w:rFonts w:ascii="Arial" w:cs="Arial" w:eastAsia="Arial" w:hAnsi="Arial"/>
                <w:sz w:val="18"/>
                <w:szCs w:val="18"/>
                <w:color w:val="auto"/>
              </w:rPr>
              <w:t>Dividends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88"/>
              <w:spacing w:after="0"/>
              <w:rPr>
                <w:sz w:val="20"/>
                <w:szCs w:val="20"/>
                <w:color w:val="auto"/>
              </w:rPr>
            </w:pPr>
            <w:r>
              <w:rPr>
                <w:rFonts w:ascii="Arial" w:cs="Arial" w:eastAsia="Arial" w:hAnsi="Arial"/>
                <w:sz w:val="18"/>
                <w:szCs w:val="18"/>
                <w:color w:val="auto"/>
              </w:rPr>
              <w:t>0.17</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0.15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Per Class B Voting Common Share: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00"/>
              <w:spacing w:after="0"/>
              <w:rPr>
                <w:sz w:val="20"/>
                <w:szCs w:val="20"/>
                <w:color w:val="auto"/>
              </w:rPr>
            </w:pPr>
            <w:r>
              <w:rPr>
                <w:rFonts w:ascii="Arial" w:cs="Arial" w:eastAsia="Arial" w:hAnsi="Arial"/>
                <w:sz w:val="18"/>
                <w:szCs w:val="18"/>
                <w:color w:val="auto"/>
              </w:rPr>
              <w:t>Basic 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88"/>
              <w:spacing w:after="0"/>
              <w:rPr>
                <w:sz w:val="20"/>
                <w:szCs w:val="20"/>
                <w:color w:val="auto"/>
              </w:rPr>
            </w:pPr>
            <w:r>
              <w:rPr>
                <w:rFonts w:ascii="Arial" w:cs="Arial" w:eastAsia="Arial" w:hAnsi="Arial"/>
                <w:sz w:val="18"/>
                <w:szCs w:val="18"/>
                <w:color w:val="auto"/>
              </w:rPr>
              <w:t>0.68</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0.65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 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0.67</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0.64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tcPr>
          <w:p>
            <w:pPr>
              <w:ind w:left="200"/>
              <w:spacing w:after="0"/>
              <w:rPr>
                <w:sz w:val="20"/>
                <w:szCs w:val="20"/>
                <w:color w:val="auto"/>
              </w:rPr>
            </w:pPr>
            <w:r>
              <w:rPr>
                <w:rFonts w:ascii="Arial" w:cs="Arial" w:eastAsia="Arial" w:hAnsi="Arial"/>
                <w:sz w:val="18"/>
                <w:szCs w:val="18"/>
                <w:color w:val="auto"/>
              </w:rPr>
              <w:t>Dividends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88"/>
              <w:spacing w:after="0"/>
              <w:rPr>
                <w:sz w:val="20"/>
                <w:szCs w:val="20"/>
                <w:color w:val="auto"/>
              </w:rPr>
            </w:pPr>
            <w:r>
              <w:rPr>
                <w:rFonts w:ascii="Arial" w:cs="Arial" w:eastAsia="Arial" w:hAnsi="Arial"/>
                <w:sz w:val="18"/>
                <w:szCs w:val="18"/>
                <w:color w:val="auto"/>
              </w:rPr>
              <w:t>0.15</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0.13</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(in thousands):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jc w:val="right"/>
              <w:ind w:right="49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960" w:type="dxa"/>
            <w:vAlign w:val="bottom"/>
            <w:gridSpan w:val="2"/>
          </w:tcPr>
          <w:p>
            <w:pPr>
              <w:jc w:val="right"/>
              <w:ind w:right="288"/>
              <w:spacing w:after="0"/>
              <w:rPr>
                <w:sz w:val="20"/>
                <w:szCs w:val="20"/>
                <w:color w:val="auto"/>
              </w:rPr>
            </w:pPr>
            <w:r>
              <w:rPr>
                <w:rFonts w:ascii="Arial" w:cs="Arial" w:eastAsia="Arial" w:hAnsi="Arial"/>
                <w:sz w:val="18"/>
                <w:szCs w:val="18"/>
                <w:color w:val="auto"/>
              </w:rPr>
              <w:t>53,291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54,350</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53,938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55,121</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BRADY CORPORATION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06" w:lineRule="exact"/>
        <w:rPr>
          <w:sz w:val="20"/>
          <w:szCs w:val="20"/>
          <w:color w:val="auto"/>
        </w:rPr>
      </w:pPr>
    </w:p>
    <w:p>
      <w:pPr>
        <w:jc w:val="center"/>
        <w:ind w:left="9120"/>
        <w:spacing w:after="0"/>
        <w:rPr>
          <w:sz w:val="20"/>
          <w:szCs w:val="20"/>
          <w:color w:val="auto"/>
        </w:rPr>
      </w:pPr>
      <w:r>
        <w:rPr>
          <w:rFonts w:ascii="Arial" w:cs="Arial" w:eastAsia="Arial" w:hAnsi="Arial"/>
          <w:sz w:val="14"/>
          <w:szCs w:val="14"/>
          <w:color w:val="auto"/>
        </w:rPr>
        <w:t>Three Months Ended</w:t>
      </w:r>
    </w:p>
    <w:p>
      <w:pPr>
        <w:ind w:left="9940"/>
        <w:spacing w:after="0" w:line="221" w:lineRule="auto"/>
        <w:rPr>
          <w:sz w:val="20"/>
          <w:szCs w:val="20"/>
          <w:color w:val="auto"/>
        </w:rPr>
      </w:pPr>
      <w:r>
        <w:rPr>
          <w:rFonts w:ascii="Arial" w:cs="Arial" w:eastAsia="Arial" w:hAnsi="Arial"/>
          <w:sz w:val="14"/>
          <w:szCs w:val="14"/>
          <w:color w:val="auto"/>
        </w:rPr>
        <w:t>October 31,</w:t>
      </w:r>
    </w:p>
    <w:p>
      <w:pPr>
        <w:ind w:left="9920"/>
        <w:spacing w:after="0" w:line="231" w:lineRule="auto"/>
        <w:rPr>
          <w:sz w:val="20"/>
          <w:szCs w:val="20"/>
          <w:color w:val="auto"/>
        </w:rPr>
      </w:pPr>
      <w:r>
        <w:rPr>
          <w:rFonts w:ascii="Arial" w:cs="Arial" w:eastAsia="Arial" w:hAnsi="Arial"/>
          <w:sz w:val="14"/>
          <w:szCs w:val="14"/>
          <w:color w:val="auto"/>
        </w:rPr>
        <w:t>(Unaudited)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color w:val="auto"/>
              </w:rPr>
              <w:t>2008</w:t>
            </w:r>
          </w:p>
        </w:tc>
        <w:tc>
          <w:tcPr>
            <w:tcW w:w="3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37,110</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36,370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(used in) provided by operating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13,712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Non-cash portion of stock-based compensation expense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2,092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(198)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Changes in operating assets and liabilities (net of effects of business acquisitions):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60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(12,571)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(10,880)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(10,360)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60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(8,147)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payable and accrued liabilities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(21,679)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(13,278)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600"/>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(3,513)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(1,167)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20" w:type="dxa"/>
            <w:vAlign w:val="bottom"/>
          </w:tcPr>
          <w:p>
            <w:pPr>
              <w:ind w:left="1000"/>
              <w:spacing w:after="0"/>
              <w:rPr>
                <w:sz w:val="20"/>
                <w:szCs w:val="20"/>
                <w:color w:val="auto"/>
              </w:rPr>
            </w:pPr>
            <w:r>
              <w:rPr>
                <w:rFonts w:ascii="Arial" w:cs="Arial" w:eastAsia="Arial" w:hAnsi="Arial"/>
                <w:sz w:val="18"/>
                <w:szCs w:val="18"/>
                <w:color w:val="auto"/>
              </w:rPr>
              <w:t>Net cash (used in) provided by operating activities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(4,721)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9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Payments of contingent consideration</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short-term investments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Sales of short-term investments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property, plant and equipment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(6,429)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1,300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(1,375)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(5,129)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(7,260)</w:t>
            </w:r>
          </w:p>
        </w:tc>
        <w:tc>
          <w:tcPr>
            <w:tcW w:w="0" w:type="dxa"/>
            <w:vAlign w:val="bottom"/>
          </w:tcPr>
          <w:p>
            <w:pPr>
              <w:spacing w:after="0"/>
              <w:rPr>
                <w:sz w:val="1"/>
                <w:szCs w:val="1"/>
                <w:color w:val="auto"/>
              </w:rPr>
            </w:pPr>
          </w:p>
        </w:tc>
      </w:tr>
      <w:tr>
        <w:trPr>
          <w:trHeight w:val="432"/>
        </w:trPr>
        <w:tc>
          <w:tcPr>
            <w:tcW w:w="924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 of dividends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(9,061)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Proceeds from issuance of common stock</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1,162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Principal payments on debt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Purchase of treasury stock</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(36,508)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Excess income tax benefit from the exercise of stock options and deferred compensation distributions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20" w:type="dxa"/>
            <w:vAlign w:val="bottom"/>
          </w:tcPr>
          <w:p>
            <w:pPr>
              <w:ind w:left="80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(43,741)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9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(25,972)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2,382</w:t>
            </w:r>
          </w:p>
        </w:tc>
        <w:tc>
          <w:tcPr>
            <w:tcW w:w="0" w:type="dxa"/>
            <w:vAlign w:val="bottom"/>
          </w:tcPr>
          <w:p>
            <w:pPr>
              <w:spacing w:after="0"/>
              <w:rPr>
                <w:sz w:val="1"/>
                <w:szCs w:val="1"/>
                <w:color w:val="auto"/>
              </w:rPr>
            </w:pPr>
          </w:p>
        </w:tc>
      </w:tr>
      <w:tr>
        <w:trPr>
          <w:trHeight w:val="223"/>
        </w:trPr>
        <w:tc>
          <w:tcPr>
            <w:tcW w:w="9240" w:type="dxa"/>
            <w:vAlign w:val="bottom"/>
            <w:gridSpan w:val="2"/>
          </w:tcPr>
          <w:p>
            <w:pPr>
              <w:spacing w:after="0"/>
              <w:rPr>
                <w:sz w:val="20"/>
                <w:szCs w:val="20"/>
                <w:color w:val="auto"/>
              </w:rPr>
            </w:pPr>
            <w:r>
              <w:rPr>
                <w:rFonts w:ascii="Arial" w:cs="Arial" w:eastAsia="Arial" w:hAnsi="Arial"/>
                <w:sz w:val="18"/>
                <w:szCs w:val="18"/>
                <w:color w:val="auto"/>
              </w:rPr>
              <w:t>Net (decrease) increase in cash and cash equivalents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(79,563)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258,355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142,846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178,792</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170,599</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9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Cash paid during the period for:</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net of capitalized 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9,298</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Income taxes, net of refunds</w:t>
            </w:r>
          </w:p>
        </w:tc>
        <w:tc>
          <w:tcPr>
            <w:tcW w:w="10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15,605</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1,782</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BRADY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Three Months Ended October 31,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A — Basis of Presentation</w:t>
      </w:r>
    </w:p>
    <w:p>
      <w:pPr>
        <w:spacing w:after="0" w:line="117" w:lineRule="exact"/>
        <w:rPr>
          <w:sz w:val="20"/>
          <w:szCs w:val="20"/>
          <w:color w:val="auto"/>
        </w:rPr>
      </w:pPr>
    </w:p>
    <w:p>
      <w:pPr>
        <w:ind w:right="100" w:firstLine="222"/>
        <w:spacing w:after="0" w:line="254" w:lineRule="auto"/>
        <w:rPr>
          <w:sz w:val="20"/>
          <w:szCs w:val="20"/>
          <w:color w:val="auto"/>
        </w:rPr>
      </w:pPr>
      <w:r>
        <w:rPr>
          <w:rFonts w:ascii="Arial" w:cs="Arial" w:eastAsia="Arial" w:hAnsi="Arial"/>
          <w:sz w:val="18"/>
          <w:szCs w:val="18"/>
          <w:color w:val="auto"/>
        </w:rPr>
        <w:t>The condensed consolidated financial statements included herein have been prepared by Brady Corporation and subsidiaries (the “Company” or “Brady”) without audit, pursuant to the rules and regulations of the Securities and Exchange Commission. In the opinion of the Company, the foregoing statements contain all adjustments, consisting only of normal recurring adjustments necessary to present fairly the financial position of the Company as of October 31, 2008 and July 3l, 2008, and its results of operations and cash flows for the three months ended October 31, 2008 and 2007. The condensed consolidated balance sheet as of July 31, 2008 has been derived from the audited consolidated financial statements of that date. The preparation of financial statements in conformity with accounting principles generally accepted in the United States of America (“GAAP”) requires management to make estimates and assumptions that affect the reported amounts therein. Due to the inherent uncertainty involved in making estimates, actual results in future periods may differ from the estimates.</w:t>
      </w:r>
    </w:p>
    <w:p>
      <w:pPr>
        <w:spacing w:after="0" w:line="84" w:lineRule="exact"/>
        <w:rPr>
          <w:sz w:val="20"/>
          <w:szCs w:val="20"/>
          <w:color w:val="auto"/>
        </w:rPr>
      </w:pPr>
    </w:p>
    <w:p>
      <w:pPr>
        <w:ind w:right="220" w:firstLine="225"/>
        <w:spacing w:after="0" w:line="257"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GAAP have been condensed or omitted pursuant to rules and regulations of the Securities and Exchange Commission. Accordingly, the condensed consolidated financial statements do not include all of the information and footnotes required by GAAP for complete financial statement presentation. It is suggested that these condensed consolidated financial statements be read in conjunction with the consolidated financial statements and the notes thereto included in the Company’s latest annual report on Form 10-K for the year ended July 31, 2008.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NOTE B — Goodwill and Intangible Assets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Changes in the carrying amount of goodwill for the quarter ended October 31, 2008,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5"/>
              </w:rPr>
              <w:t>Americas</w:t>
            </w:r>
          </w:p>
        </w:tc>
        <w:tc>
          <w:tcPr>
            <w:tcW w:w="660" w:type="dxa"/>
            <w:vAlign w:val="bottom"/>
            <w:gridSpan w:val="2"/>
          </w:tcPr>
          <w:p>
            <w:pPr>
              <w:spacing w:after="0"/>
              <w:rPr>
                <w:sz w:val="14"/>
                <w:szCs w:val="14"/>
                <w:color w:val="auto"/>
              </w:rPr>
            </w:pPr>
          </w:p>
        </w:tc>
        <w:tc>
          <w:tcPr>
            <w:tcW w:w="700" w:type="dxa"/>
            <w:vAlign w:val="bottom"/>
          </w:tcPr>
          <w:p>
            <w:pPr>
              <w:jc w:val="right"/>
              <w:ind w:right="34"/>
              <w:spacing w:after="0"/>
              <w:rPr>
                <w:sz w:val="20"/>
                <w:szCs w:val="20"/>
                <w:color w:val="auto"/>
              </w:rPr>
            </w:pPr>
            <w:r>
              <w:rPr>
                <w:rFonts w:ascii="Arial" w:cs="Arial" w:eastAsia="Arial" w:hAnsi="Arial"/>
                <w:sz w:val="14"/>
                <w:szCs w:val="14"/>
                <w:b w:val="1"/>
                <w:bCs w:val="1"/>
                <w:color w:val="auto"/>
              </w:rPr>
              <w:t>Europe</w:t>
            </w:r>
          </w:p>
        </w:tc>
        <w:tc>
          <w:tcPr>
            <w:tcW w:w="68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Asia-Pacific</w:t>
            </w:r>
          </w:p>
        </w:tc>
        <w:tc>
          <w:tcPr>
            <w:tcW w:w="30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r>
      <w:tr>
        <w:trPr>
          <w:trHeight w:val="20"/>
        </w:trPr>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July 31, 2008</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4"/>
              </w:rPr>
              <w:t>$ 412,977</w:t>
            </w:r>
          </w:p>
        </w:tc>
        <w:tc>
          <w:tcPr>
            <w:tcW w:w="6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7"/>
              </w:rPr>
              <w:t>$ 189,650</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$ 186,480</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$ 789,107</w:t>
            </w:r>
          </w:p>
        </w:tc>
      </w:tr>
      <w:tr>
        <w:trPr>
          <w:trHeight w:val="216"/>
        </w:trPr>
        <w:tc>
          <w:tcPr>
            <w:tcW w:w="6460" w:type="dxa"/>
            <w:vAlign w:val="bottom"/>
          </w:tcPr>
          <w:p>
            <w:pPr>
              <w:ind w:left="220"/>
              <w:spacing w:after="0"/>
              <w:rPr>
                <w:sz w:val="20"/>
                <w:szCs w:val="20"/>
                <w:color w:val="auto"/>
              </w:rPr>
            </w:pPr>
            <w:r>
              <w:rPr>
                <w:rFonts w:ascii="Arial" w:cs="Arial" w:eastAsia="Arial" w:hAnsi="Arial"/>
                <w:sz w:val="18"/>
                <w:szCs w:val="18"/>
                <w:color w:val="auto"/>
              </w:rPr>
              <w:t>Adjustments for prior year acquisitions</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275</w:t>
            </w:r>
          </w:p>
        </w:tc>
        <w:tc>
          <w:tcPr>
            <w:tcW w:w="6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w:t>
            </w:r>
          </w:p>
        </w:tc>
        <w:tc>
          <w:tcPr>
            <w:tcW w:w="68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321</w:t>
            </w:r>
          </w:p>
        </w:tc>
      </w:tr>
      <w:tr>
        <w:trPr>
          <w:trHeight w:val="216"/>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Translation adjustments</w:t>
            </w:r>
          </w:p>
        </w:tc>
        <w:tc>
          <w:tcPr>
            <w:tcW w:w="136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(6,948)</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(39,414)</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(18,994)</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(65,356)</w:t>
            </w:r>
          </w:p>
        </w:tc>
      </w:tr>
      <w:tr>
        <w:trPr>
          <w:trHeight w:val="223"/>
        </w:trPr>
        <w:tc>
          <w:tcPr>
            <w:tcW w:w="6460" w:type="dxa"/>
            <w:vAlign w:val="bottom"/>
          </w:tcPr>
          <w:p>
            <w:pPr>
              <w:spacing w:after="0"/>
              <w:rPr>
                <w:sz w:val="20"/>
                <w:szCs w:val="20"/>
                <w:color w:val="auto"/>
              </w:rPr>
            </w:pPr>
            <w:r>
              <w:rPr>
                <w:rFonts w:ascii="Arial" w:cs="Arial" w:eastAsia="Arial" w:hAnsi="Arial"/>
                <w:sz w:val="18"/>
                <w:szCs w:val="18"/>
                <w:color w:val="auto"/>
              </w:rPr>
              <w:t>Balance as of October 31, 2008</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$ 406,304</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$ 150,282</w:t>
            </w:r>
          </w:p>
        </w:tc>
        <w:tc>
          <w:tcPr>
            <w:tcW w:w="6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$ 167,486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$ 724,072</w:t>
            </w:r>
          </w:p>
        </w:tc>
        <w:tc>
          <w:tcPr>
            <w:tcW w:w="100" w:type="dxa"/>
            <w:vAlign w:val="bottom"/>
          </w:tcPr>
          <w:p>
            <w:pPr>
              <w:spacing w:after="0"/>
              <w:rPr>
                <w:sz w:val="19"/>
                <w:szCs w:val="19"/>
                <w:color w:val="auto"/>
              </w:rPr>
            </w:pPr>
          </w:p>
        </w:tc>
      </w:tr>
      <w:tr>
        <w:trPr>
          <w:trHeight w:val="20"/>
        </w:trPr>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Goodwill increased $321 during the three months ended October 31, 2008 as a result of adjustments to the preliminary allocation of the purchase price for the acquisitions of Sorbent Products Company (“SPC”) and Transposafe Systems B.V. and Holland Mounting Systems B.V. (collectively, “Transposafe”). Of the $321 increase during the quarter, $275 related to the final tax adjustment for the SPC acquisition. Goodwill decreased $65,356 during the three months ended October 31, 2008 due to the effects of foreign currency translation.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Other intangible assets include patents, trademarks, customer relationships, non-compete agreements and other intangible assets with finite lives being amortized in accordance with Statement of Financial Accounting Standards (“SFAS”) No. 142, “Goodwill and Other Intangible Assets.” The net book value of these assets was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jc w:val="right"/>
              <w:ind w:right="780"/>
              <w:spacing w:after="0"/>
              <w:rPr>
                <w:sz w:val="20"/>
                <w:szCs w:val="20"/>
                <w:color w:val="auto"/>
              </w:rPr>
            </w:pPr>
            <w:r>
              <w:rPr>
                <w:rFonts w:ascii="Arial" w:cs="Arial" w:eastAsia="Arial" w:hAnsi="Arial"/>
                <w:sz w:val="14"/>
                <w:szCs w:val="14"/>
                <w:b w:val="1"/>
                <w:bCs w:val="1"/>
                <w:color w:val="auto"/>
              </w:rPr>
              <w:t>October 31, 2008</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w w:val="92"/>
              </w:rPr>
              <w:t>July 31, 2008</w:t>
            </w:r>
          </w:p>
        </w:tc>
        <w:tc>
          <w:tcPr>
            <w:tcW w:w="5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98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9"/>
              </w:rPr>
              <w:t>Weighted</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9"/>
              </w:rPr>
              <w:t>Weighted</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2"/>
                <w:szCs w:val="12"/>
                <w:color w:val="auto"/>
              </w:rPr>
            </w:pPr>
          </w:p>
        </w:tc>
        <w:tc>
          <w:tcPr>
            <w:tcW w:w="9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88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Net Book</w:t>
            </w:r>
          </w:p>
        </w:tc>
        <w:tc>
          <w:tcPr>
            <w:tcW w:w="13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Amortization</w:t>
            </w: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8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2"/>
                <w:szCs w:val="12"/>
                <w:color w:val="auto"/>
              </w:rPr>
            </w:pPr>
          </w:p>
        </w:tc>
        <w:tc>
          <w:tcPr>
            <w:tcW w:w="10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rPr>
              <w:t>Carrying</w:t>
            </w:r>
          </w:p>
        </w:tc>
        <w:tc>
          <w:tcPr>
            <w:tcW w:w="1140" w:type="dxa"/>
            <w:vAlign w:val="bottom"/>
            <w:gridSpan w:val="3"/>
            <w:vMerge w:val="continue"/>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Period</w:t>
            </w:r>
          </w:p>
        </w:tc>
        <w:tc>
          <w:tcPr>
            <w:tcW w:w="10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Carrying</w:t>
            </w:r>
          </w:p>
        </w:tc>
        <w:tc>
          <w:tcPr>
            <w:tcW w:w="1180" w:type="dxa"/>
            <w:vAlign w:val="bottom"/>
            <w:gridSpan w:val="3"/>
            <w:vMerge w:val="continue"/>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(Years)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Amount</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(Years)</w:t>
            </w:r>
          </w:p>
        </w:tc>
        <w:tc>
          <w:tcPr>
            <w:tcW w:w="80" w:type="dxa"/>
            <w:vAlign w:val="bottom"/>
          </w:tcPr>
          <w:p>
            <w:pPr>
              <w:spacing w:after="0"/>
              <w:rPr>
                <w:sz w:val="14"/>
                <w:szCs w:val="14"/>
                <w:color w:val="auto"/>
              </w:rPr>
            </w:pPr>
          </w:p>
        </w:tc>
        <w:tc>
          <w:tcPr>
            <w:tcW w:w="9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Amortized other intangible assets:</w:t>
            </w: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200"/>
              <w:spacing w:after="0"/>
              <w:rPr>
                <w:sz w:val="20"/>
                <w:szCs w:val="20"/>
                <w:color w:val="auto"/>
              </w:rPr>
            </w:pPr>
            <w:r>
              <w:rPr>
                <w:rFonts w:ascii="Arial" w:cs="Arial" w:eastAsia="Arial" w:hAnsi="Arial"/>
                <w:sz w:val="18"/>
                <w:szCs w:val="18"/>
                <w:color w:val="auto"/>
              </w:rPr>
              <w:t>Patents</w:t>
            </w: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8,594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(6,608)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1,986</w:t>
            </w:r>
          </w:p>
        </w:tc>
        <w:tc>
          <w:tcPr>
            <w:tcW w:w="180" w:type="dxa"/>
            <w:vAlign w:val="bottom"/>
          </w:tcPr>
          <w:p>
            <w:pPr>
              <w:spacing w:after="0"/>
              <w:rPr>
                <w:sz w:val="18"/>
                <w:szCs w:val="18"/>
                <w:color w:val="auto"/>
              </w:rPr>
            </w:pPr>
          </w:p>
        </w:tc>
        <w:tc>
          <w:tcPr>
            <w:tcW w:w="1320" w:type="dxa"/>
            <w:vAlign w:val="bottom"/>
            <w:gridSpan w:val="3"/>
          </w:tcPr>
          <w:p>
            <w:pPr>
              <w:jc w:val="right"/>
              <w:ind w:right="340"/>
              <w:spacing w:after="0"/>
              <w:rPr>
                <w:sz w:val="20"/>
                <w:szCs w:val="20"/>
                <w:color w:val="auto"/>
              </w:rPr>
            </w:pPr>
            <w:r>
              <w:rPr>
                <w:rFonts w:ascii="Arial" w:cs="Arial" w:eastAsia="Arial" w:hAnsi="Arial"/>
                <w:sz w:val="18"/>
                <w:szCs w:val="18"/>
                <w:color w:val="auto"/>
              </w:rPr>
              <w:t>15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8,603</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(6,592)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Trademarks and other</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7,096</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(4,308)</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w:t>
            </w:r>
          </w:p>
        </w:tc>
        <w:tc>
          <w:tcPr>
            <w:tcW w:w="1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8,079</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(4,688)</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200"/>
              <w:spacing w:after="0"/>
              <w:rPr>
                <w:sz w:val="20"/>
                <w:szCs w:val="20"/>
                <w:color w:val="auto"/>
              </w:rPr>
            </w:pPr>
            <w:r>
              <w:rPr>
                <w:rFonts w:ascii="Arial" w:cs="Arial" w:eastAsia="Arial" w:hAnsi="Arial"/>
                <w:sz w:val="18"/>
                <w:szCs w:val="18"/>
                <w:color w:val="auto"/>
              </w:rPr>
              <w:t>Customer relationships</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135,140</w:t>
            </w:r>
          </w:p>
        </w:tc>
        <w:tc>
          <w:tcPr>
            <w:tcW w:w="1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(59,151)</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75,989</w:t>
            </w:r>
          </w:p>
        </w:tc>
        <w:tc>
          <w:tcPr>
            <w:tcW w:w="1320" w:type="dxa"/>
            <w:vAlign w:val="bottom"/>
            <w:gridSpan w:val="3"/>
          </w:tcPr>
          <w:p>
            <w:pPr>
              <w:jc w:val="right"/>
              <w:ind w:right="34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151,704</w:t>
            </w:r>
          </w:p>
        </w:tc>
        <w:tc>
          <w:tcPr>
            <w:tcW w:w="26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(59,101)</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92,603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Non-compete agreements</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10,519</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(7,911)</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w:t>
            </w:r>
          </w:p>
        </w:tc>
        <w:tc>
          <w:tcPr>
            <w:tcW w:w="1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12,222</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(8,446)</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200"/>
              <w:spacing w:after="0"/>
              <w:rPr>
                <w:sz w:val="20"/>
                <w:szCs w:val="20"/>
                <w:color w:val="auto"/>
              </w:rPr>
            </w:pPr>
            <w:r>
              <w:rPr>
                <w:rFonts w:ascii="Arial" w:cs="Arial" w:eastAsia="Arial" w:hAnsi="Arial"/>
                <w:sz w:val="18"/>
                <w:szCs w:val="18"/>
                <w:color w:val="auto"/>
              </w:rPr>
              <w:t>Other</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3,296</w:t>
            </w:r>
          </w:p>
        </w:tc>
        <w:tc>
          <w:tcPr>
            <w:tcW w:w="1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(3,293)</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320" w:type="dxa"/>
            <w:vAlign w:val="bottom"/>
            <w:gridSpan w:val="3"/>
          </w:tcPr>
          <w:p>
            <w:pPr>
              <w:jc w:val="right"/>
              <w:ind w:right="34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3,299</w:t>
            </w:r>
          </w:p>
        </w:tc>
        <w:tc>
          <w:tcPr>
            <w:tcW w:w="26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(3,294)</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w w:val="97"/>
              </w:rPr>
              <w:t>Unamortized other intangible assets:</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ind w:left="200"/>
              <w:spacing w:after="0"/>
              <w:rPr>
                <w:sz w:val="20"/>
                <w:szCs w:val="20"/>
                <w:color w:val="auto"/>
              </w:rPr>
            </w:pPr>
            <w:r>
              <w:rPr>
                <w:rFonts w:ascii="Arial" w:cs="Arial" w:eastAsia="Arial" w:hAnsi="Arial"/>
                <w:sz w:val="18"/>
                <w:szCs w:val="18"/>
                <w:color w:val="auto"/>
              </w:rPr>
              <w:t>Trademarks</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41,219</w:t>
            </w:r>
          </w:p>
        </w:tc>
        <w:tc>
          <w:tcPr>
            <w:tcW w:w="1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41,219</w:t>
            </w:r>
          </w:p>
        </w:tc>
        <w:tc>
          <w:tcPr>
            <w:tcW w:w="160" w:type="dxa"/>
            <w:vAlign w:val="bottom"/>
          </w:tcPr>
          <w:p>
            <w:pPr>
              <w:spacing w:after="0"/>
              <w:rPr>
                <w:sz w:val="18"/>
                <w:szCs w:val="18"/>
                <w:color w:val="auto"/>
              </w:rPr>
            </w:pPr>
          </w:p>
        </w:tc>
        <w:tc>
          <w:tcPr>
            <w:tcW w:w="1160" w:type="dxa"/>
            <w:vAlign w:val="bottom"/>
            <w:gridSpan w:val="2"/>
          </w:tcPr>
          <w:p>
            <w:pPr>
              <w:ind w:left="50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43,005</w:t>
            </w:r>
          </w:p>
        </w:tc>
        <w:tc>
          <w:tcPr>
            <w:tcW w:w="26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43,005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205,864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(81,271)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124,593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226,912</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(82,121)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144,791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firstLine="222"/>
        <w:spacing w:after="0" w:line="264" w:lineRule="auto"/>
        <w:rPr>
          <w:sz w:val="20"/>
          <w:szCs w:val="20"/>
          <w:color w:val="auto"/>
        </w:rPr>
      </w:pPr>
      <w:r>
        <w:rPr>
          <w:rFonts w:ascii="Arial" w:cs="Arial" w:eastAsia="Arial" w:hAnsi="Arial"/>
          <w:sz w:val="18"/>
          <w:szCs w:val="18"/>
          <w:color w:val="auto"/>
        </w:rPr>
        <w:t>The value of goodwill and other intangible assets in the Condensed Consolidated Financial Statements at October 31, 2008 differs from the value assigned to them in the allocation of purchase price due to the effect of fluctuations in the exchange rates used to translate financial statements into the United States Dollar between the date of acquisition and October 31, 2008.</w:t>
      </w:r>
    </w:p>
    <w:p>
      <w:pPr>
        <w:spacing w:after="0" w:line="73" w:lineRule="exact"/>
        <w:rPr>
          <w:sz w:val="20"/>
          <w:szCs w:val="20"/>
          <w:color w:val="auto"/>
        </w:rPr>
      </w:pPr>
    </w:p>
    <w:p>
      <w:pPr>
        <w:ind w:right="440" w:firstLine="215"/>
        <w:spacing w:after="0" w:line="264" w:lineRule="auto"/>
        <w:rPr>
          <w:sz w:val="20"/>
          <w:szCs w:val="20"/>
          <w:color w:val="auto"/>
        </w:rPr>
      </w:pPr>
      <w:r>
        <w:rPr>
          <w:rFonts w:ascii="Arial" w:cs="Arial" w:eastAsia="Arial" w:hAnsi="Arial"/>
          <w:sz w:val="18"/>
          <w:szCs w:val="18"/>
          <w:color w:val="auto"/>
        </w:rPr>
        <w:t>Amortization expense on intangible assets was $5,928 and $5,905 for the three-month periods ended October 31, 2008 and 2007, respectively. The amortization over each of the next five fiscal years is projected to be $22,965, $21,319, $17,893, $10,854 and $7,685 for the years ending July 31, 2009, 2010, 2011, 2012 and 2013,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C — Comprehensive Income (Loss)</w:t>
      </w:r>
    </w:p>
    <w:p>
      <w:pPr>
        <w:spacing w:after="0" w:line="117" w:lineRule="exact"/>
        <w:rPr>
          <w:sz w:val="20"/>
          <w:szCs w:val="20"/>
          <w:color w:val="auto"/>
        </w:rPr>
      </w:pPr>
    </w:p>
    <w:p>
      <w:pPr>
        <w:ind w:right="180" w:firstLine="222"/>
        <w:spacing w:after="0" w:line="302" w:lineRule="auto"/>
        <w:rPr>
          <w:sz w:val="20"/>
          <w:szCs w:val="20"/>
          <w:color w:val="auto"/>
        </w:rPr>
      </w:pPr>
      <w:r>
        <w:rPr>
          <w:rFonts w:ascii="Arial" w:cs="Arial" w:eastAsia="Arial" w:hAnsi="Arial"/>
          <w:sz w:val="16"/>
          <w:szCs w:val="16"/>
          <w:color w:val="auto"/>
        </w:rPr>
        <w:t>Total comprehensive income (loss), which was comprised of net income, foreign currency translation adjustments, net unrealized gains and losses from cash flow hedges and other investments, the unrealized gain on the post-retirement medical, dental and vision plan, and their related tax effects amounted to ($99,890) and $61,044 for the three months ended October 31, 2008 and 2007, respectively. The decrease in total comprehensive income for the quarter ended October 31, 2008 as compared to the same period the previous year was due to the appreciation of the U.S. dollar against other currencies.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 D — Net Income Per Common Share</w:t>
      </w:r>
    </w:p>
    <w:p>
      <w:pPr>
        <w:spacing w:after="0" w:line="117"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Reconciliations of the numerator and denominator of the basic and diluted per share computations for the Company’s Class A and Class B common stock are summarized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3980" w:type="dxa"/>
            <w:vAlign w:val="bottom"/>
            <w:gridSpan w:val="8"/>
          </w:tcPr>
          <w:p>
            <w:pPr>
              <w:jc w:val="right"/>
              <w:ind w:right="80"/>
              <w:spacing w:after="0"/>
              <w:rPr>
                <w:sz w:val="20"/>
                <w:szCs w:val="20"/>
                <w:color w:val="auto"/>
              </w:rPr>
            </w:pPr>
            <w:r>
              <w:rPr>
                <w:rFonts w:ascii="Arial" w:cs="Arial" w:eastAsia="Arial" w:hAnsi="Arial"/>
                <w:sz w:val="14"/>
                <w:szCs w:val="14"/>
                <w:b w:val="1"/>
                <w:bCs w:val="1"/>
                <w:color w:val="auto"/>
              </w:rPr>
              <w:t>Three Months Ended October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2008</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Net income (numerator for basic and diluted Class A net income per share)</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37,110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36,370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00"/>
              <w:spacing w:after="0"/>
              <w:rPr>
                <w:sz w:val="20"/>
                <w:szCs w:val="20"/>
                <w:color w:val="auto"/>
              </w:rPr>
            </w:pPr>
            <w:r>
              <w:rPr>
                <w:rFonts w:ascii="Arial" w:cs="Arial" w:eastAsia="Arial" w:hAnsi="Arial"/>
                <w:sz w:val="18"/>
                <w:szCs w:val="18"/>
                <w:color w:val="auto"/>
              </w:rPr>
              <w:t>Preferential dividends</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(823)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Preferential dividends on dilutive stock options</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Numerator for basic and diluted Class B net income per share</w:t>
            </w:r>
          </w:p>
        </w:tc>
        <w:tc>
          <w:tcPr>
            <w:tcW w:w="18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36,276</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35,511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Denominator for basic net income per share for both Class A and Class B</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53,291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54,350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Plus: Effect of dilutive stock options</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Denominator for diluted net income per share for both Class A and Class B</w:t>
            </w:r>
          </w:p>
        </w:tc>
        <w:tc>
          <w:tcPr>
            <w:tcW w:w="18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53,938</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55,121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Class A Nonvoting Common Stock net income per share:</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00"/>
              <w:spacing w:after="0"/>
              <w:rPr>
                <w:sz w:val="20"/>
                <w:szCs w:val="20"/>
                <w:color w:val="auto"/>
              </w:rPr>
            </w:pPr>
            <w:r>
              <w:rPr>
                <w:rFonts w:ascii="Arial" w:cs="Arial" w:eastAsia="Arial" w:hAnsi="Arial"/>
                <w:sz w:val="18"/>
                <w:szCs w:val="18"/>
                <w:color w:val="auto"/>
              </w:rPr>
              <w:t>Basic</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0.70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0.69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432"/>
        </w:trPr>
        <w:tc>
          <w:tcPr>
            <w:tcW w:w="7440" w:type="dxa"/>
            <w:vAlign w:val="bottom"/>
            <w:gridSpan w:val="2"/>
          </w:tcPr>
          <w:p>
            <w:pPr>
              <w:spacing w:after="0"/>
              <w:rPr>
                <w:sz w:val="20"/>
                <w:szCs w:val="20"/>
                <w:color w:val="auto"/>
              </w:rPr>
            </w:pPr>
            <w:r>
              <w:rPr>
                <w:rFonts w:ascii="Arial" w:cs="Arial" w:eastAsia="Arial" w:hAnsi="Arial"/>
                <w:sz w:val="18"/>
                <w:szCs w:val="18"/>
                <w:color w:val="auto"/>
              </w:rPr>
              <w:t>Class B Voting Common Stock net income per share:</w:t>
            </w:r>
          </w:p>
        </w:tc>
        <w:tc>
          <w:tcPr>
            <w:tcW w:w="1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0.68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ind w:left="400"/>
              <w:spacing w:after="0"/>
              <w:rPr>
                <w:sz w:val="20"/>
                <w:szCs w:val="20"/>
                <w:color w:val="auto"/>
              </w:rPr>
            </w:pPr>
            <w:r>
              <w:rPr>
                <w:rFonts w:ascii="Arial" w:cs="Arial" w:eastAsia="Arial" w:hAnsi="Arial"/>
                <w:sz w:val="18"/>
                <w:szCs w:val="18"/>
                <w:color w:val="auto"/>
              </w:rPr>
              <w:t>Diluted</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0.67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Options to purchase approximately 1,613,500 and 1,280,500 shares of Class A Nonvoting Common Stock were not included in the computation of diluted net income per share for the quarters ended October 31, 2008 and 2007, respectively, because the option exercise price was greater than the average market price of the common shares and, therefore, the effect would be anti-dilutive.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 E — Segment Information</w:t>
      </w:r>
    </w:p>
    <w:p>
      <w:pPr>
        <w:spacing w:after="0" w:line="117" w:lineRule="exact"/>
        <w:rPr>
          <w:sz w:val="20"/>
          <w:szCs w:val="20"/>
          <w:color w:val="auto"/>
        </w:rPr>
      </w:pPr>
    </w:p>
    <w:p>
      <w:pPr>
        <w:ind w:right="720" w:firstLine="222"/>
        <w:spacing w:after="0" w:line="308" w:lineRule="auto"/>
        <w:rPr>
          <w:sz w:val="20"/>
          <w:szCs w:val="20"/>
          <w:color w:val="auto"/>
        </w:rPr>
      </w:pPr>
      <w:r>
        <w:rPr>
          <w:rFonts w:ascii="Arial" w:cs="Arial" w:eastAsia="Arial" w:hAnsi="Arial"/>
          <w:sz w:val="17"/>
          <w:szCs w:val="17"/>
          <w:color w:val="auto"/>
        </w:rPr>
        <w:t>The Company evaluates segment performance based on segment profit or loss and customer sales. Segment profit or loss does not include certain administrative costs, interest, foreign exchange gain or loss, other expenses not allocated to a segment, and income taxes.</w:t>
      </w:r>
    </w:p>
    <w:p>
      <w:pPr>
        <w:spacing w:after="0" w:line="38" w:lineRule="exact"/>
        <w:rPr>
          <w:sz w:val="20"/>
          <w:szCs w:val="20"/>
          <w:color w:val="auto"/>
        </w:rPr>
      </w:pPr>
    </w:p>
    <w:p>
      <w:pPr>
        <w:ind w:right="60" w:firstLine="222"/>
        <w:spacing w:after="0" w:line="297" w:lineRule="auto"/>
        <w:rPr>
          <w:sz w:val="20"/>
          <w:szCs w:val="20"/>
          <w:color w:val="auto"/>
        </w:rPr>
      </w:pPr>
      <w:r>
        <w:rPr>
          <w:rFonts w:ascii="Arial" w:cs="Arial" w:eastAsia="Arial" w:hAnsi="Arial"/>
          <w:sz w:val="16"/>
          <w:szCs w:val="16"/>
          <w:color w:val="auto"/>
        </w:rPr>
        <w:t>The Company is organized and managed on a geographic basis by region. Each of these regions, Brady Americas, Brady Europe and Brady Asia-Pacific, has a President that reports directly to the Company’s chief operating decision maker, its Chief Executive Officer. Each region has its own distinct operations, is managed locally by its own management team, maintains its own financial reports and is evaluated based on regional results. In applying the criteria set forth in SFAS No. 131 “Disclosures about Segments of an Enterprise and Related Information”, the Company has determined that these regions comprise its reportable segments based on the information used by the Chief Executive Officer to allocate resources and assess performance.</w:t>
      </w:r>
    </w:p>
    <w:p>
      <w:pPr>
        <w:spacing w:after="0" w:line="50" w:lineRule="exact"/>
        <w:rPr>
          <w:sz w:val="20"/>
          <w:szCs w:val="20"/>
          <w:color w:val="auto"/>
        </w:rPr>
      </w:pPr>
    </w:p>
    <w:p>
      <w:pPr>
        <w:jc w:val="both"/>
        <w:ind w:right="300" w:firstLine="225"/>
        <w:spacing w:after="0" w:line="259" w:lineRule="auto"/>
        <w:rPr>
          <w:sz w:val="20"/>
          <w:szCs w:val="20"/>
          <w:color w:val="auto"/>
        </w:rPr>
      </w:pPr>
      <w:r>
        <w:rPr>
          <w:rFonts w:ascii="Arial" w:cs="Arial" w:eastAsia="Arial" w:hAnsi="Arial"/>
          <w:sz w:val="18"/>
          <w:szCs w:val="18"/>
          <w:color w:val="auto"/>
        </w:rPr>
        <w:t>Subsequent to the first quarter of fiscal 2008, the Company made several reporting and organizational changes in which the leadership, operations, and administrative functions of the two businesses in the Americas region were consolidated. As a result of the changes, the Company changed the number of reporting segments from four to three during the fourth quarter of fiscal 2008. Following is a summary of segment information for the three months ended October 31, 2008 and 2007: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5"/>
              </w:rPr>
              <w:t>Corporate</w:t>
            </w: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10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Americas</w:t>
            </w:r>
          </w:p>
        </w:tc>
        <w:tc>
          <w:tcPr>
            <w:tcW w:w="360" w:type="dxa"/>
            <w:vAlign w:val="bottom"/>
          </w:tcPr>
          <w:p>
            <w:pPr>
              <w:spacing w:after="0"/>
              <w:rPr>
                <w:sz w:val="12"/>
                <w:szCs w:val="12"/>
                <w:color w:val="auto"/>
              </w:rPr>
            </w:pPr>
          </w:p>
        </w:tc>
        <w:tc>
          <w:tcPr>
            <w:tcW w:w="110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Europe</w:t>
            </w:r>
          </w:p>
        </w:tc>
        <w:tc>
          <w:tcPr>
            <w:tcW w:w="380" w:type="dxa"/>
            <w:vAlign w:val="bottom"/>
          </w:tcPr>
          <w:p>
            <w:pPr>
              <w:spacing w:after="0"/>
              <w:rPr>
                <w:sz w:val="12"/>
                <w:szCs w:val="12"/>
                <w:color w:val="auto"/>
              </w:rPr>
            </w:pPr>
          </w:p>
        </w:tc>
        <w:tc>
          <w:tcPr>
            <w:tcW w:w="11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Asia-Pacific</w:t>
            </w:r>
          </w:p>
        </w:tc>
        <w:tc>
          <w:tcPr>
            <w:tcW w:w="380" w:type="dxa"/>
            <w:vAlign w:val="bottom"/>
          </w:tcPr>
          <w:p>
            <w:pPr>
              <w:spacing w:after="0"/>
              <w:rPr>
                <w:sz w:val="12"/>
                <w:szCs w:val="12"/>
                <w:color w:val="auto"/>
              </w:rPr>
            </w:pPr>
          </w:p>
        </w:tc>
        <w:tc>
          <w:tcPr>
            <w:tcW w:w="110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Subtotals</w:t>
            </w:r>
          </w:p>
        </w:tc>
        <w:tc>
          <w:tcPr>
            <w:tcW w:w="4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c>
          <w:tcPr>
            <w:tcW w:w="380" w:type="dxa"/>
            <w:vAlign w:val="bottom"/>
          </w:tcPr>
          <w:p>
            <w:pPr>
              <w:spacing w:after="0"/>
              <w:rPr>
                <w:sz w:val="12"/>
                <w:szCs w:val="12"/>
                <w:color w:val="auto"/>
              </w:rPr>
            </w:pPr>
          </w:p>
        </w:tc>
        <w:tc>
          <w:tcPr>
            <w:tcW w:w="110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Borders>
              <w:bottom w:val="single" w:sz="8" w:color="auto"/>
            </w:tcBorders>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Eliminations</w:t>
            </w:r>
          </w:p>
        </w:tc>
        <w:tc>
          <w:tcPr>
            <w:tcW w:w="380" w:type="dxa"/>
            <w:vAlign w:val="bottom"/>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Three months ended October 31,</w:t>
            </w:r>
          </w:p>
        </w:tc>
        <w:tc>
          <w:tcPr>
            <w:tcW w:w="1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2008:</w:t>
            </w:r>
          </w:p>
        </w:tc>
        <w:tc>
          <w:tcPr>
            <w:tcW w:w="1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60" w:type="dxa"/>
            <w:vAlign w:val="bottom"/>
          </w:tcPr>
          <w:p>
            <w:pPr>
              <w:spacing w:after="0" w:line="201" w:lineRule="exact"/>
              <w:rPr>
                <w:sz w:val="20"/>
                <w:szCs w:val="20"/>
                <w:color w:val="auto"/>
              </w:rPr>
            </w:pPr>
            <w:r>
              <w:rPr>
                <w:rFonts w:ascii="Arial" w:cs="Arial" w:eastAsia="Arial" w:hAnsi="Arial"/>
                <w:sz w:val="18"/>
                <w:szCs w:val="18"/>
                <w:color w:val="auto"/>
              </w:rPr>
              <w:t>Revenues from external</w:t>
            </w: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tcPr>
          <w:p>
            <w:pPr>
              <w:ind w:left="200"/>
              <w:spacing w:after="0"/>
              <w:rPr>
                <w:sz w:val="20"/>
                <w:szCs w:val="20"/>
                <w:color w:val="auto"/>
              </w:rPr>
            </w:pPr>
            <w:r>
              <w:rPr>
                <w:rFonts w:ascii="Arial" w:cs="Arial" w:eastAsia="Arial" w:hAnsi="Arial"/>
                <w:sz w:val="18"/>
                <w:szCs w:val="18"/>
                <w:color w:val="auto"/>
              </w:rPr>
              <w:t>customers</w:t>
            </w:r>
          </w:p>
        </w:tc>
        <w:tc>
          <w:tcPr>
            <w:tcW w:w="1100" w:type="dxa"/>
            <w:vAlign w:val="bottom"/>
          </w:tcPr>
          <w:p>
            <w:pPr>
              <w:jc w:val="right"/>
              <w:ind w:right="173"/>
              <w:spacing w:after="0"/>
              <w:rPr>
                <w:sz w:val="20"/>
                <w:szCs w:val="20"/>
                <w:color w:val="auto"/>
              </w:rPr>
            </w:pPr>
            <w:r>
              <w:rPr>
                <w:rFonts w:ascii="Arial" w:cs="Arial" w:eastAsia="Arial" w:hAnsi="Arial"/>
                <w:sz w:val="18"/>
                <w:szCs w:val="18"/>
                <w:color w:val="auto"/>
              </w:rPr>
              <w:t>$160,916</w:t>
            </w:r>
          </w:p>
        </w:tc>
        <w:tc>
          <w:tcPr>
            <w:tcW w:w="1460" w:type="dxa"/>
            <w:vAlign w:val="bottom"/>
            <w:gridSpan w:val="2"/>
          </w:tcPr>
          <w:p>
            <w:pPr>
              <w:jc w:val="right"/>
              <w:ind w:right="168"/>
              <w:spacing w:after="0"/>
              <w:rPr>
                <w:sz w:val="20"/>
                <w:szCs w:val="20"/>
                <w:color w:val="auto"/>
              </w:rPr>
            </w:pPr>
            <w:r>
              <w:rPr>
                <w:rFonts w:ascii="Arial" w:cs="Arial" w:eastAsia="Arial" w:hAnsi="Arial"/>
                <w:sz w:val="18"/>
                <w:szCs w:val="18"/>
                <w:color w:val="auto"/>
              </w:rPr>
              <w:t>$108,215</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w w:val="89"/>
              </w:rPr>
              <w:t>109,186</w:t>
            </w:r>
          </w:p>
        </w:tc>
        <w:tc>
          <w:tcPr>
            <w:tcW w:w="1480" w:type="dxa"/>
            <w:vAlign w:val="bottom"/>
            <w:gridSpan w:val="2"/>
          </w:tcPr>
          <w:p>
            <w:pPr>
              <w:jc w:val="right"/>
              <w:ind w:right="168"/>
              <w:spacing w:after="0"/>
              <w:rPr>
                <w:sz w:val="20"/>
                <w:szCs w:val="20"/>
                <w:color w:val="auto"/>
              </w:rPr>
            </w:pPr>
            <w:r>
              <w:rPr>
                <w:rFonts w:ascii="Arial" w:cs="Arial" w:eastAsia="Arial" w:hAnsi="Arial"/>
                <w:sz w:val="18"/>
                <w:szCs w:val="18"/>
                <w:color w:val="auto"/>
              </w:rPr>
              <w:t>$378,317</w:t>
            </w:r>
          </w:p>
        </w:tc>
        <w:tc>
          <w:tcPr>
            <w:tcW w:w="400" w:type="dxa"/>
            <w:vAlign w:val="bottom"/>
          </w:tcPr>
          <w:p>
            <w:pPr>
              <w:spacing w:after="0"/>
              <w:rPr>
                <w:sz w:val="20"/>
                <w:szCs w:val="20"/>
                <w:color w:val="auto"/>
              </w:rPr>
            </w:pPr>
          </w:p>
        </w:tc>
        <w:tc>
          <w:tcPr>
            <w:tcW w:w="1240" w:type="dxa"/>
            <w:vAlign w:val="bottom"/>
          </w:tcPr>
          <w:p>
            <w:pPr>
              <w:jc w:val="right"/>
              <w:ind w:right="261"/>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56"/>
              <w:spacing w:after="0"/>
              <w:rPr>
                <w:sz w:val="20"/>
                <w:szCs w:val="20"/>
                <w:color w:val="auto"/>
              </w:rPr>
            </w:pPr>
            <w:r>
              <w:rPr>
                <w:rFonts w:ascii="Arial" w:cs="Arial" w:eastAsia="Arial" w:hAnsi="Arial"/>
                <w:sz w:val="18"/>
                <w:szCs w:val="18"/>
                <w:color w:val="auto"/>
              </w:rPr>
              <w:t>$378,317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11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14,381</w:t>
            </w:r>
          </w:p>
        </w:tc>
        <w:tc>
          <w:tcPr>
            <w:tcW w:w="14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1,511</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7,988</w:t>
            </w:r>
          </w:p>
        </w:tc>
        <w:tc>
          <w:tcPr>
            <w:tcW w:w="14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23,880</w:t>
            </w:r>
          </w:p>
        </w:tc>
        <w:tc>
          <w:tcPr>
            <w:tcW w:w="16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(23,880)</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Segment profit</w:t>
            </w:r>
          </w:p>
        </w:tc>
        <w:tc>
          <w:tcPr>
            <w:tcW w:w="1100" w:type="dxa"/>
            <w:vAlign w:val="bottom"/>
          </w:tcPr>
          <w:p>
            <w:pPr>
              <w:jc w:val="right"/>
              <w:ind w:right="173"/>
              <w:spacing w:after="0"/>
              <w:rPr>
                <w:sz w:val="20"/>
                <w:szCs w:val="20"/>
                <w:color w:val="auto"/>
              </w:rPr>
            </w:pPr>
            <w:r>
              <w:rPr>
                <w:rFonts w:ascii="Arial" w:cs="Arial" w:eastAsia="Arial" w:hAnsi="Arial"/>
                <w:sz w:val="18"/>
                <w:szCs w:val="18"/>
                <w:color w:val="auto"/>
              </w:rPr>
              <w:t>35,524</w:t>
            </w:r>
          </w:p>
        </w:tc>
        <w:tc>
          <w:tcPr>
            <w:tcW w:w="1460" w:type="dxa"/>
            <w:vAlign w:val="bottom"/>
            <w:gridSpan w:val="2"/>
          </w:tcPr>
          <w:p>
            <w:pPr>
              <w:jc w:val="right"/>
              <w:ind w:right="168"/>
              <w:spacing w:after="0"/>
              <w:rPr>
                <w:sz w:val="20"/>
                <w:szCs w:val="20"/>
                <w:color w:val="auto"/>
              </w:rPr>
            </w:pPr>
            <w:r>
              <w:rPr>
                <w:rFonts w:ascii="Arial" w:cs="Arial" w:eastAsia="Arial" w:hAnsi="Arial"/>
                <w:sz w:val="18"/>
                <w:szCs w:val="18"/>
                <w:color w:val="auto"/>
              </w:rPr>
              <w:t>31,138</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22,401</w:t>
            </w:r>
          </w:p>
        </w:tc>
        <w:tc>
          <w:tcPr>
            <w:tcW w:w="1480" w:type="dxa"/>
            <w:vAlign w:val="bottom"/>
            <w:gridSpan w:val="2"/>
          </w:tcPr>
          <w:p>
            <w:pPr>
              <w:jc w:val="right"/>
              <w:ind w:right="168"/>
              <w:spacing w:after="0"/>
              <w:rPr>
                <w:sz w:val="20"/>
                <w:szCs w:val="20"/>
                <w:color w:val="auto"/>
              </w:rPr>
            </w:pPr>
            <w:r>
              <w:rPr>
                <w:rFonts w:ascii="Arial" w:cs="Arial" w:eastAsia="Arial" w:hAnsi="Arial"/>
                <w:sz w:val="18"/>
                <w:szCs w:val="18"/>
                <w:color w:val="auto"/>
              </w:rPr>
              <w:t>89,063</w:t>
            </w:r>
          </w:p>
        </w:tc>
        <w:tc>
          <w:tcPr>
            <w:tcW w:w="1640" w:type="dxa"/>
            <w:vAlign w:val="bottom"/>
            <w:gridSpan w:val="2"/>
          </w:tcPr>
          <w:p>
            <w:pPr>
              <w:jc w:val="right"/>
              <w:ind w:right="201"/>
              <w:spacing w:after="0"/>
              <w:rPr>
                <w:sz w:val="20"/>
                <w:szCs w:val="20"/>
                <w:color w:val="auto"/>
              </w:rPr>
            </w:pPr>
            <w:r>
              <w:rPr>
                <w:rFonts w:ascii="Arial" w:cs="Arial" w:eastAsia="Arial" w:hAnsi="Arial"/>
                <w:sz w:val="18"/>
                <w:szCs w:val="18"/>
                <w:color w:val="auto"/>
              </w:rPr>
              <w:t>(2,307)</w:t>
            </w:r>
          </w:p>
        </w:tc>
        <w:tc>
          <w:tcPr>
            <w:tcW w:w="1480" w:type="dxa"/>
            <w:vAlign w:val="bottom"/>
            <w:gridSpan w:val="2"/>
          </w:tcPr>
          <w:p>
            <w:pPr>
              <w:jc w:val="right"/>
              <w:ind w:right="156"/>
              <w:spacing w:after="0"/>
              <w:rPr>
                <w:sz w:val="20"/>
                <w:szCs w:val="20"/>
                <w:color w:val="auto"/>
              </w:rPr>
            </w:pPr>
            <w:r>
              <w:rPr>
                <w:rFonts w:ascii="Arial" w:cs="Arial" w:eastAsia="Arial" w:hAnsi="Arial"/>
                <w:sz w:val="18"/>
                <w:szCs w:val="18"/>
                <w:color w:val="auto"/>
              </w:rPr>
              <w:t>86,756</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Three months ended October 31,</w:t>
            </w: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2007:</w:t>
            </w:r>
          </w:p>
        </w:tc>
        <w:tc>
          <w:tcPr>
            <w:tcW w:w="1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60" w:type="dxa"/>
            <w:vAlign w:val="bottom"/>
          </w:tcPr>
          <w:p>
            <w:pPr>
              <w:spacing w:after="0" w:line="201" w:lineRule="exact"/>
              <w:rPr>
                <w:sz w:val="20"/>
                <w:szCs w:val="20"/>
                <w:color w:val="auto"/>
              </w:rPr>
            </w:pPr>
            <w:r>
              <w:rPr>
                <w:rFonts w:ascii="Arial" w:cs="Arial" w:eastAsia="Arial" w:hAnsi="Arial"/>
                <w:sz w:val="18"/>
                <w:szCs w:val="18"/>
                <w:color w:val="auto"/>
              </w:rPr>
              <w:t>Revenues from external</w:t>
            </w: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tcPr>
          <w:p>
            <w:pPr>
              <w:ind w:left="200"/>
              <w:spacing w:after="0"/>
              <w:rPr>
                <w:sz w:val="20"/>
                <w:szCs w:val="20"/>
                <w:color w:val="auto"/>
              </w:rPr>
            </w:pPr>
            <w:r>
              <w:rPr>
                <w:rFonts w:ascii="Arial" w:cs="Arial" w:eastAsia="Arial" w:hAnsi="Arial"/>
                <w:sz w:val="18"/>
                <w:szCs w:val="18"/>
                <w:color w:val="auto"/>
              </w:rPr>
              <w:t>customers</w:t>
            </w:r>
          </w:p>
        </w:tc>
        <w:tc>
          <w:tcPr>
            <w:tcW w:w="1100" w:type="dxa"/>
            <w:vAlign w:val="bottom"/>
          </w:tcPr>
          <w:p>
            <w:pPr>
              <w:jc w:val="right"/>
              <w:ind w:right="173"/>
              <w:spacing w:after="0"/>
              <w:rPr>
                <w:sz w:val="20"/>
                <w:szCs w:val="20"/>
                <w:color w:val="auto"/>
              </w:rPr>
            </w:pPr>
            <w:r>
              <w:rPr>
                <w:rFonts w:ascii="Arial" w:cs="Arial" w:eastAsia="Arial" w:hAnsi="Arial"/>
                <w:sz w:val="18"/>
                <w:szCs w:val="18"/>
                <w:color w:val="auto"/>
              </w:rPr>
              <w:t>$174,775</w:t>
            </w:r>
          </w:p>
        </w:tc>
        <w:tc>
          <w:tcPr>
            <w:tcW w:w="1460" w:type="dxa"/>
            <w:vAlign w:val="bottom"/>
            <w:gridSpan w:val="2"/>
          </w:tcPr>
          <w:p>
            <w:pPr>
              <w:jc w:val="right"/>
              <w:ind w:right="168"/>
              <w:spacing w:after="0"/>
              <w:rPr>
                <w:sz w:val="20"/>
                <w:szCs w:val="20"/>
                <w:color w:val="auto"/>
              </w:rPr>
            </w:pPr>
            <w:r>
              <w:rPr>
                <w:rFonts w:ascii="Arial" w:cs="Arial" w:eastAsia="Arial" w:hAnsi="Arial"/>
                <w:sz w:val="18"/>
                <w:szCs w:val="18"/>
                <w:color w:val="auto"/>
              </w:rPr>
              <w:t>$108,914</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96,445</w:t>
            </w:r>
          </w:p>
        </w:tc>
        <w:tc>
          <w:tcPr>
            <w:tcW w:w="1480" w:type="dxa"/>
            <w:vAlign w:val="bottom"/>
            <w:gridSpan w:val="2"/>
          </w:tcPr>
          <w:p>
            <w:pPr>
              <w:jc w:val="right"/>
              <w:ind w:right="168"/>
              <w:spacing w:after="0"/>
              <w:rPr>
                <w:sz w:val="20"/>
                <w:szCs w:val="20"/>
                <w:color w:val="auto"/>
              </w:rPr>
            </w:pPr>
            <w:r>
              <w:rPr>
                <w:rFonts w:ascii="Arial" w:cs="Arial" w:eastAsia="Arial" w:hAnsi="Arial"/>
                <w:sz w:val="18"/>
                <w:szCs w:val="18"/>
                <w:color w:val="auto"/>
              </w:rPr>
              <w:t>$380,134</w:t>
            </w:r>
          </w:p>
        </w:tc>
        <w:tc>
          <w:tcPr>
            <w:tcW w:w="400" w:type="dxa"/>
            <w:vAlign w:val="bottom"/>
          </w:tcPr>
          <w:p>
            <w:pPr>
              <w:spacing w:after="0"/>
              <w:rPr>
                <w:sz w:val="20"/>
                <w:szCs w:val="20"/>
                <w:color w:val="auto"/>
              </w:rPr>
            </w:pPr>
          </w:p>
        </w:tc>
        <w:tc>
          <w:tcPr>
            <w:tcW w:w="1240" w:type="dxa"/>
            <w:vAlign w:val="bottom"/>
          </w:tcPr>
          <w:p>
            <w:pPr>
              <w:jc w:val="right"/>
              <w:ind w:right="261"/>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56"/>
              <w:spacing w:after="0"/>
              <w:rPr>
                <w:sz w:val="20"/>
                <w:szCs w:val="20"/>
                <w:color w:val="auto"/>
              </w:rPr>
            </w:pPr>
            <w:r>
              <w:rPr>
                <w:rFonts w:ascii="Arial" w:cs="Arial" w:eastAsia="Arial" w:hAnsi="Arial"/>
                <w:sz w:val="18"/>
                <w:szCs w:val="18"/>
                <w:color w:val="auto"/>
              </w:rPr>
              <w:t>$380,134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110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15,026</w:t>
            </w:r>
          </w:p>
        </w:tc>
        <w:tc>
          <w:tcPr>
            <w:tcW w:w="14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2,985</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6,140</w:t>
            </w:r>
          </w:p>
        </w:tc>
        <w:tc>
          <w:tcPr>
            <w:tcW w:w="14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24,151</w:t>
            </w:r>
          </w:p>
        </w:tc>
        <w:tc>
          <w:tcPr>
            <w:tcW w:w="16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(24,151)</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Segment profit</w:t>
            </w:r>
          </w:p>
        </w:tc>
        <w:tc>
          <w:tcPr>
            <w:tcW w:w="1100" w:type="dxa"/>
            <w:vAlign w:val="bottom"/>
          </w:tcPr>
          <w:p>
            <w:pPr>
              <w:jc w:val="right"/>
              <w:ind w:right="173"/>
              <w:spacing w:after="0"/>
              <w:rPr>
                <w:sz w:val="20"/>
                <w:szCs w:val="20"/>
                <w:color w:val="auto"/>
              </w:rPr>
            </w:pPr>
            <w:r>
              <w:rPr>
                <w:rFonts w:ascii="Arial" w:cs="Arial" w:eastAsia="Arial" w:hAnsi="Arial"/>
                <w:sz w:val="18"/>
                <w:szCs w:val="18"/>
                <w:color w:val="auto"/>
              </w:rPr>
              <w:t>44,107</w:t>
            </w:r>
          </w:p>
        </w:tc>
        <w:tc>
          <w:tcPr>
            <w:tcW w:w="1460" w:type="dxa"/>
            <w:vAlign w:val="bottom"/>
            <w:gridSpan w:val="2"/>
          </w:tcPr>
          <w:p>
            <w:pPr>
              <w:jc w:val="right"/>
              <w:ind w:right="168"/>
              <w:spacing w:after="0"/>
              <w:rPr>
                <w:sz w:val="20"/>
                <w:szCs w:val="20"/>
                <w:color w:val="auto"/>
              </w:rPr>
            </w:pPr>
            <w:r>
              <w:rPr>
                <w:rFonts w:ascii="Arial" w:cs="Arial" w:eastAsia="Arial" w:hAnsi="Arial"/>
                <w:sz w:val="18"/>
                <w:szCs w:val="18"/>
                <w:color w:val="auto"/>
              </w:rPr>
              <w:t>29,900</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19,390</w:t>
            </w:r>
          </w:p>
        </w:tc>
        <w:tc>
          <w:tcPr>
            <w:tcW w:w="1480" w:type="dxa"/>
            <w:vAlign w:val="bottom"/>
            <w:gridSpan w:val="2"/>
          </w:tcPr>
          <w:p>
            <w:pPr>
              <w:jc w:val="right"/>
              <w:ind w:right="168"/>
              <w:spacing w:after="0"/>
              <w:rPr>
                <w:sz w:val="20"/>
                <w:szCs w:val="20"/>
                <w:color w:val="auto"/>
              </w:rPr>
            </w:pPr>
            <w:r>
              <w:rPr>
                <w:rFonts w:ascii="Arial" w:cs="Arial" w:eastAsia="Arial" w:hAnsi="Arial"/>
                <w:sz w:val="18"/>
                <w:szCs w:val="18"/>
                <w:color w:val="auto"/>
              </w:rPr>
              <w:t>93,397</w:t>
            </w:r>
          </w:p>
        </w:tc>
        <w:tc>
          <w:tcPr>
            <w:tcW w:w="1640" w:type="dxa"/>
            <w:vAlign w:val="bottom"/>
            <w:gridSpan w:val="2"/>
          </w:tcPr>
          <w:p>
            <w:pPr>
              <w:jc w:val="right"/>
              <w:ind w:right="201"/>
              <w:spacing w:after="0"/>
              <w:rPr>
                <w:sz w:val="20"/>
                <w:szCs w:val="20"/>
                <w:color w:val="auto"/>
              </w:rPr>
            </w:pPr>
            <w:r>
              <w:rPr>
                <w:rFonts w:ascii="Arial" w:cs="Arial" w:eastAsia="Arial" w:hAnsi="Arial"/>
                <w:sz w:val="18"/>
                <w:szCs w:val="18"/>
                <w:color w:val="auto"/>
              </w:rPr>
              <w:t>(2,237)</w:t>
            </w:r>
          </w:p>
        </w:tc>
        <w:tc>
          <w:tcPr>
            <w:tcW w:w="1480" w:type="dxa"/>
            <w:vAlign w:val="bottom"/>
            <w:gridSpan w:val="2"/>
          </w:tcPr>
          <w:p>
            <w:pPr>
              <w:jc w:val="right"/>
              <w:ind w:right="156"/>
              <w:spacing w:after="0"/>
              <w:rPr>
                <w:sz w:val="20"/>
                <w:szCs w:val="20"/>
                <w:color w:val="auto"/>
              </w:rPr>
            </w:pPr>
            <w:r>
              <w:rPr>
                <w:rFonts w:ascii="Arial" w:cs="Arial" w:eastAsia="Arial" w:hAnsi="Arial"/>
                <w:sz w:val="18"/>
                <w:szCs w:val="18"/>
                <w:color w:val="auto"/>
              </w:rPr>
              <w:t>91,160</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reconciliation of segment profit to net income for the three months ended October 31, 2008 and 2007:</w:t>
      </w:r>
    </w:p>
    <w:p>
      <w:pPr>
        <w:spacing w:after="0" w:line="217"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Three months ended:</w:t>
      </w:r>
    </w:p>
    <w:p>
      <w:pPr>
        <w:ind w:left="9940"/>
        <w:spacing w:after="0" w:line="236" w:lineRule="auto"/>
        <w:rPr>
          <w:sz w:val="20"/>
          <w:szCs w:val="20"/>
          <w:color w:val="auto"/>
        </w:rPr>
      </w:pPr>
      <w:r>
        <w:rPr>
          <w:rFonts w:ascii="Arial" w:cs="Arial" w:eastAsia="Arial" w:hAnsi="Arial"/>
          <w:sz w:val="14"/>
          <w:szCs w:val="14"/>
          <w:b w:val="1"/>
          <w:bCs w:val="1"/>
          <w:color w:val="auto"/>
        </w:rPr>
        <w:t>October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2008</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 profit from reportable segments</w:t>
            </w:r>
          </w:p>
        </w:tc>
        <w:tc>
          <w:tcPr>
            <w:tcW w:w="5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89,063</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Corporate and eliminations</w:t>
            </w:r>
          </w:p>
        </w:tc>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(2,307)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Unallocated amounts:</w:t>
            </w:r>
          </w:p>
        </w:tc>
        <w:tc>
          <w:tcPr>
            <w:tcW w:w="5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Administrative costs</w:t>
            </w:r>
          </w:p>
        </w:tc>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(30,562)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(32,822)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and other income</w:t>
            </w:r>
          </w:p>
        </w:tc>
        <w:tc>
          <w:tcPr>
            <w:tcW w:w="5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1,852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(6,361)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(6,720)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5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51,685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Income taxes</w:t>
            </w:r>
          </w:p>
        </w:tc>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(14,575)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(15,366)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income</w:t>
            </w:r>
          </w:p>
        </w:tc>
        <w:tc>
          <w:tcPr>
            <w:tcW w:w="5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37,110</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5100" w:type="dxa"/>
            <w:vAlign w:val="bottom"/>
            <w:vMerge w:val="restart"/>
          </w:tcPr>
          <w:p>
            <w:pPr>
              <w:jc w:val="right"/>
              <w:ind w:right="3430"/>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51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160" w:type="dxa"/>
            <w:vAlign w:val="bottom"/>
            <w:tcBorders>
              <w:bottom w:val="single" w:sz="8" w:color="808080"/>
            </w:tcBorders>
          </w:tcPr>
          <w:p>
            <w:pPr>
              <w:spacing w:after="0"/>
              <w:rPr>
                <w:sz w:val="19"/>
                <w:szCs w:val="19"/>
                <w:color w:val="auto"/>
              </w:rPr>
            </w:pPr>
          </w:p>
        </w:tc>
        <w:tc>
          <w:tcPr>
            <w:tcW w:w="5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 F —Stock-Based Compensation</w:t>
      </w:r>
    </w:p>
    <w:p>
      <w:pPr>
        <w:spacing w:after="0" w:line="117" w:lineRule="exact"/>
        <w:rPr>
          <w:sz w:val="20"/>
          <w:szCs w:val="20"/>
          <w:color w:val="auto"/>
        </w:rPr>
      </w:pPr>
    </w:p>
    <w:p>
      <w:pPr>
        <w:ind w:right="80" w:firstLine="222"/>
        <w:spacing w:after="0" w:line="287" w:lineRule="auto"/>
        <w:rPr>
          <w:sz w:val="20"/>
          <w:szCs w:val="20"/>
          <w:color w:val="auto"/>
        </w:rPr>
      </w:pPr>
      <w:r>
        <w:rPr>
          <w:rFonts w:ascii="Arial" w:cs="Arial" w:eastAsia="Arial" w:hAnsi="Arial"/>
          <w:sz w:val="16"/>
          <w:szCs w:val="16"/>
          <w:color w:val="auto"/>
        </w:rPr>
        <w:t>The Company has an incentive stock plan under which the Board of Directors may grant nonqualified stock options to purchase shares of Class A Nonvoting Common Stock or restricted shares of Class A Nonvoting Common Stock to employees. Additionally, the Company has a nonqualified stock option plan for non-employee directors under which stock options to purchase shares of Class A Nonvoting Common Stock are available for grant. The options have an exercise price equal to the fair market value of the underlying stock at the date of grant and generally vest ratably over a three-year period, with one-third becoming exercisable one year after the grant date and one-third additional in each of the succeeding two years. Options issued under these plans, referred to herein as “service-based” options, generally expire 10 years from the date of grant. The Company also grants stock options to certain executives and key management employees that vest upon meeting certain financial performance conditions over the vesting schedule described above; these options are referred to herein as “performance-based” options. All performance-based options that were granted in fiscal 2006 and in prior years expire five years from the date of grant. Performance-based options granted in fiscal 2007 and forward expire 10 years from the date of grant. Restricted shares have an issuance price equal to the fair market value of the underlying stock at the date of grant. They vest at the end of a five-year period and upon meeting certain financial performance conditions; these shares are referred to herein as “performance-based restricted shares”.</w:t>
      </w:r>
    </w:p>
    <w:p>
      <w:pPr>
        <w:spacing w:after="0" w:line="65" w:lineRule="exact"/>
        <w:rPr>
          <w:sz w:val="20"/>
          <w:szCs w:val="20"/>
          <w:color w:val="auto"/>
        </w:rPr>
      </w:pPr>
    </w:p>
    <w:p>
      <w:pPr>
        <w:ind w:right="20" w:firstLine="215"/>
        <w:spacing w:after="0" w:line="286" w:lineRule="auto"/>
        <w:rPr>
          <w:sz w:val="20"/>
          <w:szCs w:val="20"/>
          <w:color w:val="auto"/>
        </w:rPr>
      </w:pPr>
      <w:r>
        <w:rPr>
          <w:rFonts w:ascii="Arial" w:cs="Arial" w:eastAsia="Arial" w:hAnsi="Arial"/>
          <w:sz w:val="17"/>
          <w:szCs w:val="17"/>
          <w:color w:val="auto"/>
        </w:rPr>
        <w:t>As of October 31, 2008, the Company has reserved 3,917,672 shares of Class A Nonvoting Common Stock for outstanding stock options and restricted shares and 966,833 shares of Class A Nonvoting Common Stock remain for future issuance of stock options and restricted shares under the various plans. The Company uses treasury stock or will issue new Class A Nonvoting Common Stock to deliver shares under these plans.</w:t>
      </w:r>
    </w:p>
    <w:p>
      <w:pPr>
        <w:spacing w:after="0" w:line="57" w:lineRule="exact"/>
        <w:rPr>
          <w:sz w:val="20"/>
          <w:szCs w:val="20"/>
          <w:color w:val="auto"/>
        </w:rPr>
      </w:pPr>
    </w:p>
    <w:p>
      <w:pPr>
        <w:ind w:right="220" w:firstLine="222"/>
        <w:spacing w:after="0" w:line="297" w:lineRule="auto"/>
        <w:rPr>
          <w:sz w:val="20"/>
          <w:szCs w:val="20"/>
          <w:color w:val="auto"/>
        </w:rPr>
      </w:pPr>
      <w:r>
        <w:rPr>
          <w:rFonts w:ascii="Arial" w:cs="Arial" w:eastAsia="Arial" w:hAnsi="Arial"/>
          <w:sz w:val="16"/>
          <w:szCs w:val="16"/>
          <w:color w:val="auto"/>
        </w:rPr>
        <w:t>The Company accounts for share-based compensation awards in accordance with SFAS No. 123(R), “Share Based Payment”. In accordance with this standard, the Company recognizes the compensation cost of all share-based awards on a straight-line basis over the vesting period of the award. Total stock compensation expense recognized by the Company during the three months ended October 31, 2008 and 2007 was $2,092 ($1,276 net of taxes) and $3,257 ($1,987 net of taxes), respectively. As of October 31, 2008, total unrecognized compensation cost related to share-based compensation awards was $14,201 pre-tax, net of estimated forfeitures, which the Company expects to recognize over a weighted-average period of 2.7 years.</w:t>
      </w:r>
    </w:p>
    <w:p>
      <w:pPr>
        <w:spacing w:after="0" w:line="50" w:lineRule="exact"/>
        <w:rPr>
          <w:sz w:val="20"/>
          <w:szCs w:val="20"/>
          <w:color w:val="auto"/>
        </w:rPr>
      </w:pPr>
    </w:p>
    <w:p>
      <w:pPr>
        <w:jc w:val="both"/>
        <w:ind w:right="160" w:firstLine="222"/>
        <w:spacing w:after="0" w:line="264" w:lineRule="auto"/>
        <w:rPr>
          <w:sz w:val="20"/>
          <w:szCs w:val="20"/>
          <w:color w:val="auto"/>
        </w:rPr>
      </w:pPr>
      <w:r>
        <w:rPr>
          <w:rFonts w:ascii="Arial" w:cs="Arial" w:eastAsia="Arial" w:hAnsi="Arial"/>
          <w:sz w:val="18"/>
          <w:szCs w:val="18"/>
          <w:color w:val="auto"/>
        </w:rPr>
        <w:t>The Company has estimated the fair value of its service-based and performance-based option awards granted during the three months ended October 31, 2008 and 2007 using the Black-Scholes option valuation model. The weighted-average assumptions used in the Black-Scholes valuation model are reflected in the following table: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580" w:type="dxa"/>
            <w:vAlign w:val="bottom"/>
            <w:gridSpan w:val="3"/>
          </w:tcPr>
          <w:p>
            <w:pPr>
              <w:jc w:val="center"/>
              <w:spacing w:after="0"/>
              <w:rPr>
                <w:sz w:val="20"/>
                <w:szCs w:val="20"/>
                <w:color w:val="auto"/>
              </w:rPr>
            </w:pPr>
            <w:r>
              <w:rPr>
                <w:rFonts w:ascii="Arial" w:cs="Arial" w:eastAsia="Arial" w:hAnsi="Arial"/>
                <w:sz w:val="14"/>
                <w:szCs w:val="14"/>
                <w:color w:val="auto"/>
                <w:w w:val="93"/>
              </w:rPr>
              <w:t>Three Months Ended</w:t>
            </w:r>
          </w:p>
        </w:tc>
        <w:tc>
          <w:tcPr>
            <w:tcW w:w="460" w:type="dxa"/>
            <w:vAlign w:val="bottom"/>
          </w:tcPr>
          <w:p>
            <w:pPr>
              <w:spacing w:after="0"/>
              <w:rPr>
                <w:sz w:val="13"/>
                <w:szCs w:val="13"/>
                <w:color w:val="auto"/>
              </w:rPr>
            </w:pPr>
          </w:p>
        </w:tc>
        <w:tc>
          <w:tcPr>
            <w:tcW w:w="2680" w:type="dxa"/>
            <w:vAlign w:val="bottom"/>
            <w:gridSpan w:val="3"/>
          </w:tcPr>
          <w:p>
            <w:pPr>
              <w:jc w:val="right"/>
              <w:ind w:right="664"/>
              <w:spacing w:after="0"/>
              <w:rPr>
                <w:sz w:val="20"/>
                <w:szCs w:val="20"/>
                <w:color w:val="auto"/>
              </w:rPr>
            </w:pPr>
            <w:r>
              <w:rPr>
                <w:rFonts w:ascii="Arial" w:cs="Arial" w:eastAsia="Arial" w:hAnsi="Arial"/>
                <w:sz w:val="14"/>
                <w:szCs w:val="14"/>
                <w:color w:val="auto"/>
              </w:rPr>
              <w:t>Three Months Ended</w:t>
            </w:r>
          </w:p>
        </w:tc>
      </w:tr>
      <w:tr>
        <w:trPr>
          <w:trHeight w:val="167"/>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5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2"/>
              </w:rPr>
              <w:t>October 31, 2008</w:t>
            </w:r>
          </w:p>
        </w:tc>
        <w:tc>
          <w:tcPr>
            <w:tcW w:w="460" w:type="dxa"/>
            <w:vAlign w:val="bottom"/>
          </w:tcPr>
          <w:p>
            <w:pPr>
              <w:spacing w:after="0"/>
              <w:rPr>
                <w:sz w:val="14"/>
                <w:szCs w:val="14"/>
                <w:color w:val="auto"/>
              </w:rPr>
            </w:pPr>
          </w:p>
        </w:tc>
        <w:tc>
          <w:tcPr>
            <w:tcW w:w="2680" w:type="dxa"/>
            <w:vAlign w:val="bottom"/>
            <w:tcBorders>
              <w:bottom w:val="single" w:sz="8" w:color="auto"/>
            </w:tcBorders>
            <w:gridSpan w:val="3"/>
          </w:tcPr>
          <w:p>
            <w:pPr>
              <w:jc w:val="right"/>
              <w:ind w:right="764"/>
              <w:spacing w:after="0"/>
              <w:rPr>
                <w:sz w:val="20"/>
                <w:szCs w:val="20"/>
                <w:color w:val="auto"/>
              </w:rPr>
            </w:pPr>
            <w:r>
              <w:rPr>
                <w:rFonts w:ascii="Arial" w:cs="Arial" w:eastAsia="Arial" w:hAnsi="Arial"/>
                <w:sz w:val="14"/>
                <w:szCs w:val="14"/>
                <w:color w:val="auto"/>
              </w:rPr>
              <w:t>October 31, 2007</w:t>
            </w:r>
          </w:p>
        </w:tc>
      </w:tr>
      <w:tr>
        <w:trPr>
          <w:trHeight w:val="123"/>
        </w:trPr>
        <w:tc>
          <w:tcPr>
            <w:tcW w:w="20" w:type="dxa"/>
            <w:vAlign w:val="bottom"/>
          </w:tcPr>
          <w:p>
            <w:pPr>
              <w:spacing w:after="0"/>
              <w:rPr>
                <w:sz w:val="10"/>
                <w:szCs w:val="10"/>
                <w:color w:val="auto"/>
              </w:rPr>
            </w:pPr>
          </w:p>
        </w:tc>
        <w:tc>
          <w:tcPr>
            <w:tcW w:w="5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tcPr>
          <w:p>
            <w:pPr>
              <w:jc w:val="center"/>
              <w:spacing w:after="0" w:line="123" w:lineRule="exact"/>
              <w:rPr>
                <w:sz w:val="20"/>
                <w:szCs w:val="20"/>
                <w:color w:val="auto"/>
              </w:rPr>
            </w:pPr>
            <w:r>
              <w:rPr>
                <w:rFonts w:ascii="Arial" w:cs="Arial" w:eastAsia="Arial" w:hAnsi="Arial"/>
                <w:sz w:val="14"/>
                <w:szCs w:val="14"/>
                <w:color w:val="auto"/>
                <w:w w:val="94"/>
              </w:rPr>
              <w:t>Performance-</w:t>
            </w:r>
          </w:p>
        </w:tc>
        <w:tc>
          <w:tcPr>
            <w:tcW w:w="4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80" w:type="dxa"/>
            <w:vAlign w:val="bottom"/>
          </w:tcPr>
          <w:p>
            <w:pPr>
              <w:jc w:val="center"/>
              <w:spacing w:after="0" w:line="123" w:lineRule="exact"/>
              <w:rPr>
                <w:sz w:val="20"/>
                <w:szCs w:val="20"/>
                <w:color w:val="auto"/>
              </w:rPr>
            </w:pPr>
            <w:r>
              <w:rPr>
                <w:rFonts w:ascii="Arial" w:cs="Arial" w:eastAsia="Arial" w:hAnsi="Arial"/>
                <w:sz w:val="14"/>
                <w:szCs w:val="14"/>
                <w:color w:val="auto"/>
                <w:w w:val="94"/>
              </w:rPr>
              <w:t>Performance-</w:t>
            </w: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jc w:val="right"/>
              <w:ind w:right="57"/>
              <w:spacing w:after="0" w:line="149" w:lineRule="exact"/>
              <w:rPr>
                <w:sz w:val="20"/>
                <w:szCs w:val="20"/>
                <w:color w:val="auto"/>
              </w:rPr>
            </w:pPr>
            <w:r>
              <w:rPr>
                <w:rFonts w:ascii="Arial" w:cs="Arial" w:eastAsia="Arial" w:hAnsi="Arial"/>
                <w:sz w:val="14"/>
                <w:szCs w:val="14"/>
                <w:color w:val="auto"/>
              </w:rPr>
              <w:t>Service-Based</w:t>
            </w:r>
          </w:p>
        </w:tc>
        <w:tc>
          <w:tcPr>
            <w:tcW w:w="4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4"/>
              </w:rPr>
              <w:t>Based Option</w:t>
            </w:r>
          </w:p>
        </w:tc>
        <w:tc>
          <w:tcPr>
            <w:tcW w:w="460" w:type="dxa"/>
            <w:vAlign w:val="bottom"/>
          </w:tcPr>
          <w:p>
            <w:pPr>
              <w:spacing w:after="0"/>
              <w:rPr>
                <w:sz w:val="12"/>
                <w:szCs w:val="12"/>
                <w:color w:val="auto"/>
              </w:rPr>
            </w:pPr>
          </w:p>
        </w:tc>
        <w:tc>
          <w:tcPr>
            <w:tcW w:w="1120" w:type="dxa"/>
            <w:vAlign w:val="bottom"/>
          </w:tcPr>
          <w:p>
            <w:pPr>
              <w:jc w:val="right"/>
              <w:ind w:right="64"/>
              <w:spacing w:after="0" w:line="149" w:lineRule="exact"/>
              <w:rPr>
                <w:sz w:val="20"/>
                <w:szCs w:val="20"/>
                <w:color w:val="auto"/>
              </w:rPr>
            </w:pPr>
            <w:r>
              <w:rPr>
                <w:rFonts w:ascii="Arial" w:cs="Arial" w:eastAsia="Arial" w:hAnsi="Arial"/>
                <w:sz w:val="14"/>
                <w:szCs w:val="14"/>
                <w:color w:val="auto"/>
              </w:rPr>
              <w:t>Service-Based</w:t>
            </w:r>
          </w:p>
        </w:tc>
        <w:tc>
          <w:tcPr>
            <w:tcW w:w="4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4"/>
              </w:rPr>
              <w:t>Based Option</w:t>
            </w:r>
          </w:p>
        </w:tc>
      </w:tr>
      <w:tr>
        <w:trPr>
          <w:trHeight w:val="167"/>
        </w:trPr>
        <w:tc>
          <w:tcPr>
            <w:tcW w:w="5700" w:type="dxa"/>
            <w:vAlign w:val="bottom"/>
            <w:gridSpan w:val="3"/>
          </w:tcPr>
          <w:p>
            <w:pPr>
              <w:spacing w:after="0"/>
              <w:rPr>
                <w:sz w:val="20"/>
                <w:szCs w:val="20"/>
                <w:color w:val="auto"/>
              </w:rPr>
            </w:pPr>
            <w:r>
              <w:rPr>
                <w:rFonts w:ascii="Arial" w:cs="Arial" w:eastAsia="Arial" w:hAnsi="Arial"/>
                <w:sz w:val="14"/>
                <w:szCs w:val="14"/>
                <w:color w:val="auto"/>
              </w:rPr>
              <w:t>Black-Scholes Option Valuation Assumptions</w:t>
            </w:r>
          </w:p>
        </w:tc>
        <w:tc>
          <w:tcPr>
            <w:tcW w:w="1120" w:type="dxa"/>
            <w:vAlign w:val="bottom"/>
          </w:tcPr>
          <w:p>
            <w:pPr>
              <w:jc w:val="right"/>
              <w:ind w:right="37"/>
              <w:spacing w:after="0"/>
              <w:rPr>
                <w:sz w:val="20"/>
                <w:szCs w:val="20"/>
                <w:color w:val="auto"/>
              </w:rPr>
            </w:pPr>
            <w:r>
              <w:rPr>
                <w:rFonts w:ascii="Arial" w:cs="Arial" w:eastAsia="Arial" w:hAnsi="Arial"/>
                <w:sz w:val="14"/>
                <w:szCs w:val="14"/>
                <w:color w:val="auto"/>
              </w:rPr>
              <w:t>Option Awards</w:t>
            </w:r>
          </w:p>
        </w:tc>
        <w:tc>
          <w:tcPr>
            <w:tcW w:w="4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4"/>
              </w:rPr>
              <w:t>Awards</w:t>
            </w:r>
          </w:p>
        </w:tc>
        <w:tc>
          <w:tcPr>
            <w:tcW w:w="460" w:type="dxa"/>
            <w:vAlign w:val="bottom"/>
          </w:tcPr>
          <w:p>
            <w:pPr>
              <w:spacing w:after="0"/>
              <w:rPr>
                <w:sz w:val="14"/>
                <w:szCs w:val="14"/>
                <w:color w:val="auto"/>
              </w:rPr>
            </w:pPr>
          </w:p>
        </w:tc>
        <w:tc>
          <w:tcPr>
            <w:tcW w:w="1120" w:type="dxa"/>
            <w:vAlign w:val="bottom"/>
          </w:tcPr>
          <w:p>
            <w:pPr>
              <w:jc w:val="right"/>
              <w:ind w:right="44"/>
              <w:spacing w:after="0"/>
              <w:rPr>
                <w:sz w:val="20"/>
                <w:szCs w:val="20"/>
                <w:color w:val="auto"/>
              </w:rPr>
            </w:pPr>
            <w:r>
              <w:rPr>
                <w:rFonts w:ascii="Arial" w:cs="Arial" w:eastAsia="Arial" w:hAnsi="Arial"/>
                <w:sz w:val="14"/>
                <w:szCs w:val="14"/>
                <w:color w:val="auto"/>
              </w:rPr>
              <w:t>Option Awards</w:t>
            </w:r>
          </w:p>
        </w:tc>
        <w:tc>
          <w:tcPr>
            <w:tcW w:w="4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4"/>
              </w:rPr>
              <w:t>Awards</w:t>
            </w:r>
          </w:p>
        </w:tc>
      </w:tr>
      <w:tr>
        <w:trPr>
          <w:trHeight w:val="210"/>
        </w:trPr>
        <w:tc>
          <w:tcPr>
            <w:tcW w:w="20" w:type="dxa"/>
            <w:vAlign w:val="bottom"/>
          </w:tcPr>
          <w:p>
            <w:pPr>
              <w:spacing w:after="0"/>
              <w:rPr>
                <w:sz w:val="18"/>
                <w:szCs w:val="18"/>
                <w:color w:val="auto"/>
              </w:rPr>
            </w:pPr>
          </w:p>
        </w:tc>
        <w:tc>
          <w:tcPr>
            <w:tcW w:w="5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4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277"/>
              <w:spacing w:after="0"/>
              <w:rPr>
                <w:sz w:val="20"/>
                <w:szCs w:val="20"/>
                <w:color w:val="auto"/>
              </w:rPr>
            </w:pPr>
            <w:r>
              <w:rPr>
                <w:rFonts w:ascii="Arial" w:cs="Arial" w:eastAsia="Arial" w:hAnsi="Arial"/>
                <w:sz w:val="18"/>
                <w:szCs w:val="18"/>
                <w:color w:val="auto"/>
              </w:rPr>
              <w:t>6.57</w:t>
            </w:r>
          </w:p>
        </w:tc>
        <w:tc>
          <w:tcPr>
            <w:tcW w:w="46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4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284"/>
              <w:spacing w:after="0"/>
              <w:rPr>
                <w:sz w:val="20"/>
                <w:szCs w:val="20"/>
                <w:color w:val="auto"/>
              </w:rPr>
            </w:pPr>
            <w:r>
              <w:rPr>
                <w:rFonts w:ascii="Arial" w:cs="Arial" w:eastAsia="Arial" w:hAnsi="Arial"/>
                <w:sz w:val="18"/>
                <w:szCs w:val="18"/>
                <w:color w:val="auto"/>
              </w:rPr>
              <w:t>6.57</w:t>
            </w:r>
          </w:p>
        </w:tc>
        <w:tc>
          <w:tcPr>
            <w:tcW w:w="48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264"/>
              <w:spacing w:after="0"/>
              <w:rPr>
                <w:sz w:val="20"/>
                <w:szCs w:val="20"/>
                <w:color w:val="auto"/>
              </w:rPr>
            </w:pPr>
            <w:r>
              <w:rPr>
                <w:rFonts w:ascii="Arial" w:cs="Arial" w:eastAsia="Arial" w:hAnsi="Arial"/>
                <w:sz w:val="18"/>
                <w:szCs w:val="18"/>
                <w:color w:val="auto"/>
              </w:rPr>
              <w:t>6.57</w:t>
            </w: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1120" w:type="dxa"/>
            <w:vAlign w:val="bottom"/>
          </w:tcPr>
          <w:p>
            <w:pPr>
              <w:jc w:val="right"/>
              <w:ind w:right="117"/>
              <w:spacing w:after="0"/>
              <w:rPr>
                <w:sz w:val="20"/>
                <w:szCs w:val="20"/>
                <w:color w:val="auto"/>
              </w:rPr>
            </w:pPr>
            <w:r>
              <w:rPr>
                <w:rFonts w:ascii="Arial" w:cs="Arial" w:eastAsia="Arial" w:hAnsi="Arial"/>
                <w:sz w:val="18"/>
                <w:szCs w:val="18"/>
                <w:color w:val="auto"/>
              </w:rPr>
              <w:t>31.80%</w:t>
            </w:r>
          </w:p>
        </w:tc>
        <w:tc>
          <w:tcPr>
            <w:tcW w:w="4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N/A</w:t>
            </w:r>
          </w:p>
        </w:tc>
        <w:tc>
          <w:tcPr>
            <w:tcW w:w="1580" w:type="dxa"/>
            <w:vAlign w:val="bottom"/>
            <w:gridSpan w:val="2"/>
          </w:tcPr>
          <w:p>
            <w:pPr>
              <w:jc w:val="right"/>
              <w:ind w:right="124"/>
              <w:spacing w:after="0"/>
              <w:rPr>
                <w:sz w:val="20"/>
                <w:szCs w:val="20"/>
                <w:color w:val="auto"/>
              </w:rPr>
            </w:pPr>
            <w:r>
              <w:rPr>
                <w:rFonts w:ascii="Arial" w:cs="Arial" w:eastAsia="Arial" w:hAnsi="Arial"/>
                <w:sz w:val="18"/>
                <w:szCs w:val="18"/>
                <w:color w:val="auto"/>
              </w:rPr>
              <w:t>33.68%</w:t>
            </w:r>
          </w:p>
        </w:tc>
        <w:tc>
          <w:tcPr>
            <w:tcW w:w="1560" w:type="dxa"/>
            <w:vAlign w:val="bottom"/>
            <w:gridSpan w:val="2"/>
          </w:tcPr>
          <w:p>
            <w:pPr>
              <w:jc w:val="right"/>
              <w:ind w:right="104"/>
              <w:spacing w:after="0"/>
              <w:rPr>
                <w:sz w:val="20"/>
                <w:szCs w:val="20"/>
                <w:color w:val="auto"/>
              </w:rPr>
            </w:pPr>
            <w:r>
              <w:rPr>
                <w:rFonts w:ascii="Arial" w:cs="Arial" w:eastAsia="Arial" w:hAnsi="Arial"/>
                <w:sz w:val="18"/>
                <w:szCs w:val="18"/>
                <w:color w:val="auto"/>
              </w:rPr>
              <w:t>33.68%</w:t>
            </w: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1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1.78%</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1580" w:type="dxa"/>
            <w:vAlign w:val="bottom"/>
            <w:gridSpan w:val="2"/>
            <w:shd w:val="clear" w:color="auto" w:fill="CCEEFF"/>
          </w:tcPr>
          <w:p>
            <w:pPr>
              <w:jc w:val="right"/>
              <w:ind w:right="124"/>
              <w:spacing w:after="0"/>
              <w:rPr>
                <w:sz w:val="20"/>
                <w:szCs w:val="20"/>
                <w:color w:val="auto"/>
              </w:rPr>
            </w:pPr>
            <w:r>
              <w:rPr>
                <w:rFonts w:ascii="Arial" w:cs="Arial" w:eastAsia="Arial" w:hAnsi="Arial"/>
                <w:sz w:val="18"/>
                <w:szCs w:val="18"/>
                <w:color w:val="auto"/>
              </w:rPr>
              <w:t>1.58%</w:t>
            </w:r>
          </w:p>
        </w:tc>
        <w:tc>
          <w:tcPr>
            <w:tcW w:w="156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1.58%</w:t>
            </w: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1120" w:type="dxa"/>
            <w:vAlign w:val="bottom"/>
          </w:tcPr>
          <w:p>
            <w:pPr>
              <w:jc w:val="right"/>
              <w:ind w:right="117"/>
              <w:spacing w:after="0"/>
              <w:rPr>
                <w:sz w:val="20"/>
                <w:szCs w:val="20"/>
                <w:color w:val="auto"/>
              </w:rPr>
            </w:pPr>
            <w:r>
              <w:rPr>
                <w:rFonts w:ascii="Arial" w:cs="Arial" w:eastAsia="Arial" w:hAnsi="Arial"/>
                <w:sz w:val="18"/>
                <w:szCs w:val="18"/>
                <w:color w:val="auto"/>
              </w:rPr>
              <w:t>3.29%</w:t>
            </w:r>
          </w:p>
        </w:tc>
        <w:tc>
          <w:tcPr>
            <w:tcW w:w="4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N/A</w:t>
            </w:r>
          </w:p>
        </w:tc>
        <w:tc>
          <w:tcPr>
            <w:tcW w:w="1580" w:type="dxa"/>
            <w:vAlign w:val="bottom"/>
            <w:gridSpan w:val="2"/>
          </w:tcPr>
          <w:p>
            <w:pPr>
              <w:jc w:val="right"/>
              <w:ind w:right="124"/>
              <w:spacing w:after="0"/>
              <w:rPr>
                <w:sz w:val="20"/>
                <w:szCs w:val="20"/>
                <w:color w:val="auto"/>
              </w:rPr>
            </w:pPr>
            <w:r>
              <w:rPr>
                <w:rFonts w:ascii="Arial" w:cs="Arial" w:eastAsia="Arial" w:hAnsi="Arial"/>
                <w:sz w:val="18"/>
                <w:szCs w:val="18"/>
                <w:color w:val="auto"/>
              </w:rPr>
              <w:t>4.30%</w:t>
            </w:r>
          </w:p>
        </w:tc>
        <w:tc>
          <w:tcPr>
            <w:tcW w:w="1560" w:type="dxa"/>
            <w:vAlign w:val="bottom"/>
            <w:gridSpan w:val="2"/>
          </w:tcPr>
          <w:p>
            <w:pPr>
              <w:jc w:val="right"/>
              <w:ind w:right="104"/>
              <w:spacing w:after="0"/>
              <w:rPr>
                <w:sz w:val="20"/>
                <w:szCs w:val="20"/>
                <w:color w:val="auto"/>
              </w:rPr>
            </w:pPr>
            <w:r>
              <w:rPr>
                <w:rFonts w:ascii="Arial" w:cs="Arial" w:eastAsia="Arial" w:hAnsi="Arial"/>
                <w:sz w:val="18"/>
                <w:szCs w:val="18"/>
                <w:color w:val="auto"/>
              </w:rPr>
              <w:t>4.66%</w:t>
            </w: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market value of underlying stock at grant date</w:t>
            </w:r>
          </w:p>
        </w:tc>
        <w:tc>
          <w:tcPr>
            <w:tcW w:w="112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rPr>
              <w:t>$35.42</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1580" w:type="dxa"/>
            <w:vAlign w:val="bottom"/>
            <w:gridSpan w:val="2"/>
            <w:shd w:val="clear" w:color="auto" w:fill="CCEEFF"/>
          </w:tcPr>
          <w:p>
            <w:pPr>
              <w:jc w:val="right"/>
              <w:ind w:right="284"/>
              <w:spacing w:after="0"/>
              <w:rPr>
                <w:sz w:val="20"/>
                <w:szCs w:val="20"/>
                <w:color w:val="auto"/>
              </w:rPr>
            </w:pPr>
            <w:r>
              <w:rPr>
                <w:rFonts w:ascii="Arial" w:cs="Arial" w:eastAsia="Arial" w:hAnsi="Arial"/>
                <w:sz w:val="18"/>
                <w:szCs w:val="18"/>
                <w:color w:val="auto"/>
              </w:rPr>
              <w:t>$35.10</w:t>
            </w:r>
          </w:p>
        </w:tc>
        <w:tc>
          <w:tcPr>
            <w:tcW w:w="156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$35.35</w:t>
            </w: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Weighted-average exercise price</w:t>
            </w:r>
          </w:p>
        </w:tc>
        <w:tc>
          <w:tcPr>
            <w:tcW w:w="1120" w:type="dxa"/>
            <w:vAlign w:val="bottom"/>
          </w:tcPr>
          <w:p>
            <w:pPr>
              <w:jc w:val="right"/>
              <w:ind w:right="277"/>
              <w:spacing w:after="0"/>
              <w:rPr>
                <w:sz w:val="20"/>
                <w:szCs w:val="20"/>
                <w:color w:val="auto"/>
              </w:rPr>
            </w:pPr>
            <w:r>
              <w:rPr>
                <w:rFonts w:ascii="Arial" w:cs="Arial" w:eastAsia="Arial" w:hAnsi="Arial"/>
                <w:sz w:val="18"/>
                <w:szCs w:val="18"/>
                <w:color w:val="auto"/>
              </w:rPr>
              <w:t>$35.42</w:t>
            </w:r>
          </w:p>
        </w:tc>
        <w:tc>
          <w:tcPr>
            <w:tcW w:w="4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N/A</w:t>
            </w:r>
          </w:p>
        </w:tc>
        <w:tc>
          <w:tcPr>
            <w:tcW w:w="1580" w:type="dxa"/>
            <w:vAlign w:val="bottom"/>
            <w:gridSpan w:val="2"/>
          </w:tcPr>
          <w:p>
            <w:pPr>
              <w:jc w:val="right"/>
              <w:ind w:right="284"/>
              <w:spacing w:after="0"/>
              <w:rPr>
                <w:sz w:val="20"/>
                <w:szCs w:val="20"/>
                <w:color w:val="auto"/>
              </w:rPr>
            </w:pPr>
            <w:r>
              <w:rPr>
                <w:rFonts w:ascii="Arial" w:cs="Arial" w:eastAsia="Arial" w:hAnsi="Arial"/>
                <w:sz w:val="18"/>
                <w:szCs w:val="18"/>
                <w:color w:val="auto"/>
              </w:rPr>
              <w:t>$35.10</w:t>
            </w:r>
          </w:p>
        </w:tc>
        <w:tc>
          <w:tcPr>
            <w:tcW w:w="1560" w:type="dxa"/>
            <w:vAlign w:val="bottom"/>
            <w:gridSpan w:val="2"/>
          </w:tcPr>
          <w:p>
            <w:pPr>
              <w:jc w:val="right"/>
              <w:ind w:right="264"/>
              <w:spacing w:after="0"/>
              <w:rPr>
                <w:sz w:val="20"/>
                <w:szCs w:val="20"/>
                <w:color w:val="auto"/>
              </w:rPr>
            </w:pPr>
            <w:r>
              <w:rPr>
                <w:rFonts w:ascii="Arial" w:cs="Arial" w:eastAsia="Arial" w:hAnsi="Arial"/>
                <w:sz w:val="18"/>
                <w:szCs w:val="18"/>
                <w:color w:val="auto"/>
              </w:rPr>
              <w:t>$35.35</w:t>
            </w: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 during the period</w:t>
            </w:r>
          </w:p>
        </w:tc>
        <w:tc>
          <w:tcPr>
            <w:tcW w:w="112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rPr>
              <w:t>$11.04</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1580" w:type="dxa"/>
            <w:vAlign w:val="bottom"/>
            <w:gridSpan w:val="2"/>
            <w:shd w:val="clear" w:color="auto" w:fill="CCEEFF"/>
          </w:tcPr>
          <w:p>
            <w:pPr>
              <w:jc w:val="right"/>
              <w:ind w:right="284"/>
              <w:spacing w:after="0"/>
              <w:rPr>
                <w:sz w:val="20"/>
                <w:szCs w:val="20"/>
                <w:color w:val="auto"/>
              </w:rPr>
            </w:pPr>
            <w:r>
              <w:rPr>
                <w:rFonts w:ascii="Arial" w:cs="Arial" w:eastAsia="Arial" w:hAnsi="Arial"/>
                <w:sz w:val="18"/>
                <w:szCs w:val="18"/>
                <w:color w:val="auto"/>
              </w:rPr>
              <w:t>$12.55</w:t>
            </w:r>
          </w:p>
        </w:tc>
        <w:tc>
          <w:tcPr>
            <w:tcW w:w="156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$12.83</w:t>
            </w:r>
          </w:p>
        </w:tc>
      </w:tr>
    </w:tbl>
    <w:p>
      <w:pPr>
        <w:spacing w:after="0" w:line="94" w:lineRule="exact"/>
        <w:rPr>
          <w:sz w:val="20"/>
          <w:szCs w:val="20"/>
          <w:color w:val="auto"/>
        </w:rPr>
      </w:pPr>
    </w:p>
    <w:p>
      <w:pPr>
        <w:ind w:right="40" w:firstLine="222"/>
        <w:spacing w:after="0" w:line="257" w:lineRule="auto"/>
        <w:rPr>
          <w:sz w:val="20"/>
          <w:szCs w:val="20"/>
          <w:color w:val="auto"/>
        </w:rPr>
      </w:pPr>
      <w:r>
        <w:rPr>
          <w:rFonts w:ascii="Arial" w:cs="Arial" w:eastAsia="Arial" w:hAnsi="Arial"/>
          <w:sz w:val="18"/>
          <w:szCs w:val="18"/>
          <w:color w:val="auto"/>
        </w:rPr>
        <w:t>The Company uses historical data regarding stock option exercise behaviors to estimate the expected term of options granted based on the period of time that options granted are expected to be outstanding. Expected volatilities are based on the historical volatility of the Company’s stock. The expected dividend yield is based on the Company’s historical dividend payments and historical yield. The risk-free interest rate is based on the U.S. Treasury yield curve in effect on the grant date for the length of time corresponding to the expected term of the option. The market value is obtained by taking the average of the high and the low stock price on the date of the grant.</w:t>
      </w:r>
    </w:p>
    <w:p>
      <w:pPr>
        <w:spacing w:after="0" w:line="80" w:lineRule="exact"/>
        <w:rPr>
          <w:sz w:val="20"/>
          <w:szCs w:val="20"/>
          <w:color w:val="auto"/>
        </w:rPr>
      </w:pPr>
    </w:p>
    <w:p>
      <w:pPr>
        <w:ind w:right="180" w:firstLine="222"/>
        <w:spacing w:after="0" w:line="264" w:lineRule="auto"/>
        <w:rPr>
          <w:sz w:val="20"/>
          <w:szCs w:val="20"/>
          <w:color w:val="auto"/>
        </w:rPr>
      </w:pPr>
      <w:r>
        <w:rPr>
          <w:rFonts w:ascii="Arial" w:cs="Arial" w:eastAsia="Arial" w:hAnsi="Arial"/>
          <w:sz w:val="18"/>
          <w:szCs w:val="18"/>
          <w:color w:val="auto"/>
        </w:rPr>
        <w:t>The Company granted 210,000 performance-based restricted shares during fiscal 2008, with a grant price and fair value of $32.83. The Company did not grant any performance-based restricted shares during the three months ended October 31, 2008. As of October 31, 2008, 210,000 performance-based restricted shares were outstanding.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firstLine="215"/>
        <w:spacing w:after="0" w:line="277" w:lineRule="auto"/>
        <w:rPr>
          <w:sz w:val="20"/>
          <w:szCs w:val="20"/>
          <w:color w:val="auto"/>
        </w:rPr>
      </w:pPr>
      <w:r>
        <w:rPr>
          <w:rFonts w:ascii="Arial" w:cs="Arial" w:eastAsia="Arial" w:hAnsi="Arial"/>
          <w:sz w:val="18"/>
          <w:szCs w:val="18"/>
          <w:color w:val="auto"/>
        </w:rPr>
        <w:t>A summary of stock option activity under the Company’s share-based compensation plans for the three months ended October 31, 2008 is presented below:</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4"/>
              </w:rPr>
              <w:t>Weighted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91"/>
              </w:rPr>
              <w:t>Average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tcPr>
          <w:p>
            <w:pPr>
              <w:jc w:val="right"/>
              <w:ind w:right="394"/>
              <w:spacing w:after="0" w:line="149" w:lineRule="exact"/>
              <w:rPr>
                <w:sz w:val="20"/>
                <w:szCs w:val="20"/>
                <w:color w:val="auto"/>
              </w:rPr>
            </w:pPr>
            <w:r>
              <w:rPr>
                <w:rFonts w:ascii="Arial" w:cs="Arial" w:eastAsia="Arial" w:hAnsi="Arial"/>
                <w:sz w:val="14"/>
                <w:szCs w:val="14"/>
                <w:color w:val="auto"/>
                <w:w w:val="94"/>
              </w:rPr>
              <w:t>Weighted</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95"/>
              </w:rPr>
              <w:t>Remaining</w:t>
            </w:r>
          </w:p>
        </w:tc>
        <w:tc>
          <w:tcPr>
            <w:tcW w:w="34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tcPr>
          <w:p>
            <w:pPr>
              <w:jc w:val="right"/>
              <w:ind w:right="434"/>
              <w:spacing w:after="0" w:line="149" w:lineRule="exact"/>
              <w:rPr>
                <w:sz w:val="20"/>
                <w:szCs w:val="20"/>
                <w:color w:val="auto"/>
              </w:rPr>
            </w:pPr>
            <w:r>
              <w:rPr>
                <w:rFonts w:ascii="Arial" w:cs="Arial" w:eastAsia="Arial" w:hAnsi="Arial"/>
                <w:sz w:val="14"/>
                <w:szCs w:val="14"/>
                <w:color w:val="auto"/>
                <w:w w:val="99"/>
              </w:rPr>
              <w:t>Average</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94"/>
              </w:rPr>
              <w:t>Contractual</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9"/>
              </w:rPr>
              <w:t>Intrinsic</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300" w:type="dxa"/>
            <w:vAlign w:val="bottom"/>
          </w:tcPr>
          <w:p>
            <w:pPr>
              <w:ind w:left="2640"/>
              <w:spacing w:after="0"/>
              <w:rPr>
                <w:sz w:val="20"/>
                <w:szCs w:val="20"/>
                <w:color w:val="auto"/>
              </w:rPr>
            </w:pPr>
            <w:r>
              <w:rPr>
                <w:rFonts w:ascii="Arial" w:cs="Arial" w:eastAsia="Arial" w:hAnsi="Arial"/>
                <w:sz w:val="14"/>
                <w:szCs w:val="14"/>
                <w:color w:val="auto"/>
              </w:rPr>
              <w:t>Options</w:t>
            </w:r>
          </w:p>
        </w:tc>
        <w:tc>
          <w:tcPr>
            <w:tcW w:w="1200" w:type="dxa"/>
            <w:vAlign w:val="bottom"/>
            <w:gridSpan w:val="3"/>
          </w:tcPr>
          <w:p>
            <w:pPr>
              <w:jc w:val="right"/>
              <w:ind w:right="600"/>
              <w:spacing w:after="0"/>
              <w:rPr>
                <w:sz w:val="20"/>
                <w:szCs w:val="20"/>
                <w:color w:val="auto"/>
              </w:rPr>
            </w:pPr>
            <w:r>
              <w:rPr>
                <w:rFonts w:ascii="Arial" w:cs="Arial" w:eastAsia="Arial" w:hAnsi="Arial"/>
                <w:sz w:val="14"/>
                <w:szCs w:val="14"/>
                <w:color w:val="auto"/>
              </w:rPr>
              <w:t>Shares</w:t>
            </w:r>
          </w:p>
        </w:tc>
        <w:tc>
          <w:tcPr>
            <w:tcW w:w="1460" w:type="dxa"/>
            <w:vAlign w:val="bottom"/>
            <w:gridSpan w:val="2"/>
          </w:tcPr>
          <w:p>
            <w:pPr>
              <w:ind w:left="300"/>
              <w:spacing w:after="0"/>
              <w:rPr>
                <w:sz w:val="20"/>
                <w:szCs w:val="20"/>
                <w:color w:val="auto"/>
              </w:rPr>
            </w:pPr>
            <w:r>
              <w:rPr>
                <w:rFonts w:ascii="Arial" w:cs="Arial" w:eastAsia="Arial" w:hAnsi="Arial"/>
                <w:sz w:val="14"/>
                <w:szCs w:val="14"/>
                <w:color w:val="auto"/>
              </w:rPr>
              <w:t>Exercise Price</w:t>
            </w:r>
          </w:p>
        </w:tc>
        <w:tc>
          <w:tcPr>
            <w:tcW w:w="1320" w:type="dxa"/>
            <w:vAlign w:val="bottom"/>
          </w:tcPr>
          <w:p>
            <w:pPr>
              <w:jc w:val="center"/>
              <w:spacing w:after="0"/>
              <w:rPr>
                <w:sz w:val="20"/>
                <w:szCs w:val="20"/>
                <w:color w:val="auto"/>
              </w:rPr>
            </w:pPr>
            <w:r>
              <w:rPr>
                <w:rFonts w:ascii="Arial" w:cs="Arial" w:eastAsia="Arial" w:hAnsi="Arial"/>
                <w:sz w:val="14"/>
                <w:szCs w:val="14"/>
                <w:color w:val="auto"/>
                <w:w w:val="91"/>
              </w:rPr>
              <w:t>Term</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July 31, 2008</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3,985,205</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29.43</w:t>
            </w: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New grants</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15,000</w:t>
            </w:r>
          </w:p>
        </w:tc>
        <w:tc>
          <w:tcPr>
            <w:tcW w:w="340" w:type="dxa"/>
            <w:vAlign w:val="bottom"/>
          </w:tcPr>
          <w:p>
            <w:pPr>
              <w:spacing w:after="0"/>
              <w:rPr>
                <w:sz w:val="18"/>
                <w:szCs w:val="18"/>
                <w:color w:val="auto"/>
              </w:rPr>
            </w:pP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254"/>
              <w:spacing w:after="0"/>
              <w:rPr>
                <w:sz w:val="20"/>
                <w:szCs w:val="20"/>
                <w:color w:val="auto"/>
              </w:rPr>
            </w:pPr>
            <w:r>
              <w:rPr>
                <w:rFonts w:ascii="Arial" w:cs="Arial" w:eastAsia="Arial" w:hAnsi="Arial"/>
                <w:sz w:val="18"/>
                <w:szCs w:val="18"/>
                <w:color w:val="auto"/>
              </w:rPr>
              <w:t>35.42</w:t>
            </w: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(72,034)</w:t>
            </w:r>
          </w:p>
        </w:tc>
        <w:tc>
          <w:tcPr>
            <w:tcW w:w="4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16.14</w:t>
            </w: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Forfeited or expired</w:t>
            </w:r>
          </w:p>
        </w:tc>
        <w:tc>
          <w:tcPr>
            <w:tcW w:w="1200" w:type="dxa"/>
            <w:vAlign w:val="bottom"/>
            <w:gridSpan w:val="3"/>
          </w:tcPr>
          <w:p>
            <w:pPr>
              <w:jc w:val="right"/>
              <w:ind w:right="300"/>
              <w:spacing w:after="0"/>
              <w:rPr>
                <w:sz w:val="20"/>
                <w:szCs w:val="20"/>
                <w:color w:val="auto"/>
              </w:rPr>
            </w:pPr>
            <w:r>
              <w:rPr>
                <w:rFonts w:ascii="Arial" w:cs="Arial" w:eastAsia="Arial" w:hAnsi="Arial"/>
                <w:sz w:val="18"/>
                <w:szCs w:val="18"/>
                <w:color w:val="auto"/>
              </w:rPr>
              <w:t>(10,499)</w:t>
            </w: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254"/>
              <w:spacing w:after="0"/>
              <w:rPr>
                <w:sz w:val="20"/>
                <w:szCs w:val="20"/>
                <w:color w:val="auto"/>
              </w:rPr>
            </w:pPr>
            <w:r>
              <w:rPr>
                <w:rFonts w:ascii="Arial" w:cs="Arial" w:eastAsia="Arial" w:hAnsi="Arial"/>
                <w:sz w:val="18"/>
                <w:szCs w:val="18"/>
                <w:color w:val="auto"/>
              </w:rPr>
              <w:t>38.02</w:t>
            </w:r>
          </w:p>
        </w:tc>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October 31, 2008</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3,917,672</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29.67</w:t>
            </w:r>
          </w:p>
        </w:tc>
        <w:tc>
          <w:tcPr>
            <w:tcW w:w="1320" w:type="dxa"/>
            <w:vAlign w:val="bottom"/>
            <w:shd w:val="clear" w:color="auto" w:fill="CCEEFF"/>
          </w:tcPr>
          <w:p>
            <w:pPr>
              <w:jc w:val="right"/>
              <w:ind w:right="243"/>
              <w:spacing w:after="0"/>
              <w:rPr>
                <w:sz w:val="20"/>
                <w:szCs w:val="20"/>
                <w:color w:val="auto"/>
              </w:rPr>
            </w:pPr>
            <w:r>
              <w:rPr>
                <w:rFonts w:ascii="Arial" w:cs="Arial" w:eastAsia="Arial" w:hAnsi="Arial"/>
                <w:sz w:val="18"/>
                <w:szCs w:val="18"/>
                <w:color w:val="auto"/>
              </w:rPr>
              <w:t>6.6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17,063</w:t>
            </w: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color w:val="auto"/>
              </w:rPr>
              <w:t>Exercisable at October 31, 2008</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vMerge w:val="restart"/>
          </w:tcPr>
          <w:p>
            <w:pPr>
              <w:ind w:left="300"/>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ind w:right="254"/>
              <w:spacing w:after="0"/>
              <w:rPr>
                <w:sz w:val="20"/>
                <w:szCs w:val="20"/>
                <w:color w:val="auto"/>
              </w:rPr>
            </w:pPr>
            <w:r>
              <w:rPr>
                <w:rFonts w:ascii="Arial" w:cs="Arial" w:eastAsia="Arial" w:hAnsi="Arial"/>
                <w:sz w:val="18"/>
                <w:szCs w:val="18"/>
                <w:color w:val="auto"/>
              </w:rPr>
              <w:t>25.05</w:t>
            </w:r>
          </w:p>
        </w:tc>
        <w:tc>
          <w:tcPr>
            <w:tcW w:w="1320" w:type="dxa"/>
            <w:vAlign w:val="bottom"/>
            <w:vMerge w:val="restart"/>
          </w:tcPr>
          <w:p>
            <w:pPr>
              <w:jc w:val="right"/>
              <w:ind w:right="243"/>
              <w:spacing w:after="0"/>
              <w:rPr>
                <w:sz w:val="20"/>
                <w:szCs w:val="20"/>
                <w:color w:val="auto"/>
              </w:rPr>
            </w:pPr>
            <w:r>
              <w:rPr>
                <w:rFonts w:ascii="Arial" w:cs="Arial" w:eastAsia="Arial" w:hAnsi="Arial"/>
                <w:sz w:val="18"/>
                <w:szCs w:val="18"/>
                <w:color w:val="auto"/>
              </w:rPr>
              <w:t>5.4</w:t>
            </w: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gridSpan w:val="2"/>
            <w:vMerge w:val="continue"/>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2,424,376</w:t>
            </w:r>
          </w:p>
        </w:tc>
        <w:tc>
          <w:tcPr>
            <w:tcW w:w="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7"/>
              </w:rPr>
              <w:t>17,063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80" w:firstLine="222"/>
        <w:spacing w:after="0" w:line="312" w:lineRule="auto"/>
        <w:rPr>
          <w:sz w:val="20"/>
          <w:szCs w:val="20"/>
          <w:color w:val="auto"/>
        </w:rPr>
      </w:pPr>
      <w:r>
        <w:rPr>
          <w:rFonts w:ascii="Arial" w:cs="Arial" w:eastAsia="Arial" w:hAnsi="Arial"/>
          <w:sz w:val="16"/>
          <w:szCs w:val="16"/>
          <w:color w:val="auto"/>
        </w:rPr>
        <w:t>There were 2,424,376 and 2,225,776 options exercisable with a weighted average exercise price of $25.05 and $22.37 at October 31, 2008 and 2007, respectively. The cash received from the exercise of options during the quarters ended October 31, 2008 and 2007 was $1,163 and $4,134, respectively. The cash received from the tax benefit on options exercised during the quarters ended October 31, 2008 and 2007 was $446 and $2,493, respectively.</w:t>
      </w:r>
    </w:p>
    <w:p>
      <w:pPr>
        <w:spacing w:after="0" w:line="39" w:lineRule="exact"/>
        <w:rPr>
          <w:sz w:val="20"/>
          <w:szCs w:val="20"/>
          <w:color w:val="auto"/>
        </w:rPr>
      </w:pPr>
    </w:p>
    <w:p>
      <w:pPr>
        <w:ind w:right="20" w:firstLine="222"/>
        <w:spacing w:after="0" w:line="264" w:lineRule="auto"/>
        <w:rPr>
          <w:sz w:val="20"/>
          <w:szCs w:val="20"/>
          <w:color w:val="auto"/>
        </w:rPr>
      </w:pPr>
      <w:r>
        <w:rPr>
          <w:rFonts w:ascii="Arial" w:cs="Arial" w:eastAsia="Arial" w:hAnsi="Arial"/>
          <w:sz w:val="18"/>
          <w:szCs w:val="18"/>
          <w:color w:val="auto"/>
        </w:rPr>
        <w:t>The total intrinsic value of options exercised during the three months ended October 31, 2008 and 2007, based upon the average market price at the time of exercise during the period, was $1,479 and $6,393, respectively. The total fair value of stock options vested during the three months ended October 31, 2008 and 2007, was $84 and $47,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G: Stockholders’ Equity</w:t>
      </w:r>
    </w:p>
    <w:p>
      <w:pPr>
        <w:spacing w:after="0" w:line="117"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In March 2008, the Company announced that the Board of Directors of the Company authorized a share repurchase plan for up to 1 million shares of the Company’s Class A Nonvoting Common Stock. The share repurchase plan may be implemented by purchasing shares on the open market or in privately negotiated transactions, with repurchased shares available for use in connection with the Company’s stock-based plans and for other corporate purposes. As of July 31, 2008, there remained 650,864 shares to purchase in connection with this share repurchase plan. During the three months ended October 31, 2008, the Company acquired the remaining 650,864 shares of its Class A Nonvoting Common Stock authorized for repurchase under this plan for $21,539.</w:t>
      </w:r>
    </w:p>
    <w:p>
      <w:pPr>
        <w:spacing w:after="0" w:line="50"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In September 2008, the Company announced that the Board of Directors of the Company authorized a share repurchase plan for up to 1 million additional shares of the Company’s Class A Nonvoting Common Stock. The share repurchase plan may be implemented by purchasing shares on the open market or in privately negotiated transactions, with repurchased shares available for use in connection with the Company’s stock-based plans and for other corporate purposes. Under this plan, the Company acquired 500,000 shares of its Class A Nonvoting Common Stock for $14,969 during the three months ended October 31, 2008.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NOTE H: Employee Benefit Plans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Company provides postretirement medical, dental and vision benefits for eligible regular full and part-time domestic employees (including spouses)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outlined by the plan. Postretirement benefits are provided only if the employee was hired prior to April 1, 2008, and retires on or after attainment of age 55</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 15 years of credited service. Credited service begins accruing at the later of age 40 or date of hire. All active employees first eligible to retire after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July 31, 1992, are covered by an unfunded, contributory postretirement healthcare plan where employer contributions will not exceed a defined dollar benefit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amount, regardless of the cost of the program. Employer contributions to the plan are based on the employee’s age and service at retirement.</w:t>
      </w:r>
    </w:p>
    <w:p>
      <w:pPr>
        <w:spacing w:after="0" w:line="103" w:lineRule="exact"/>
        <w:rPr>
          <w:sz w:val="20"/>
          <w:szCs w:val="20"/>
          <w:color w:val="auto"/>
        </w:rPr>
      </w:pPr>
    </w:p>
    <w:p>
      <w:pPr>
        <w:ind w:right="160" w:firstLine="222"/>
        <w:spacing w:after="0" w:line="279" w:lineRule="auto"/>
        <w:rPr>
          <w:sz w:val="20"/>
          <w:szCs w:val="20"/>
          <w:color w:val="auto"/>
        </w:rPr>
      </w:pPr>
      <w:r>
        <w:rPr>
          <w:rFonts w:ascii="Arial" w:cs="Arial" w:eastAsia="Arial" w:hAnsi="Arial"/>
          <w:sz w:val="17"/>
          <w:szCs w:val="17"/>
          <w:color w:val="auto"/>
        </w:rPr>
        <w:t>The Company accounts for postretirement benefits other than pensions in accordance with SFAS No. 158, “Employers’ Accounting for Defined Benefit Pension and Other Postretirement Plans.” The Company funds benefit costs on a pay-as-you-go basis. There have been no changes to the components of net periodic benefit cost or the amount that the Company expects to fund in fiscal 2009 from those reported in Note 3 to the consolidated financial statements included in the Company’s latest annual report on Form 10-K for the year ended July 31, 2008.</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 I: Fair Value Measurements</w:t>
      </w:r>
    </w:p>
    <w:p>
      <w:pPr>
        <w:spacing w:after="0" w:line="117" w:lineRule="exact"/>
        <w:rPr>
          <w:sz w:val="20"/>
          <w:szCs w:val="20"/>
          <w:color w:val="auto"/>
        </w:rPr>
      </w:pPr>
    </w:p>
    <w:p>
      <w:pPr>
        <w:ind w:right="180" w:firstLine="222"/>
        <w:spacing w:after="0" w:line="293" w:lineRule="auto"/>
        <w:rPr>
          <w:sz w:val="20"/>
          <w:szCs w:val="20"/>
          <w:color w:val="auto"/>
        </w:rPr>
      </w:pPr>
      <w:r>
        <w:rPr>
          <w:rFonts w:ascii="Arial" w:cs="Arial" w:eastAsia="Arial" w:hAnsi="Arial"/>
          <w:sz w:val="16"/>
          <w:szCs w:val="16"/>
          <w:color w:val="auto"/>
        </w:rPr>
        <w:t>The Company adopted SFAS No. 157, “Fair Value Measurements”, on August 1, 2008 as it relates to financial assets and liabilities. The impact of this adoption was not material to the Company’s financial statements. SFAS No. 157 will be effective for the Company’s nonfinancial assets and liabilities on August 1, 2009, the first day of the Company’s next fiscal year. SFAS No. 157 applies to other accounting pronouncements that require or permit fair value measurements, defines fair value based upon an exit price model, establishes a framework for measuring fair value, and expands the applicable disclosure requirements. SFAS No. 157 indicates, among other things, that a fair value measurement assumes that a transaction to sell an asset or transfer a liability occurs in the principal market for the asset or liability or, in the absence of a principal market, the most advantageous market for the asset or liability.</w:t>
      </w:r>
    </w:p>
    <w:p>
      <w:pPr>
        <w:spacing w:after="0" w:line="57" w:lineRule="exact"/>
        <w:rPr>
          <w:sz w:val="20"/>
          <w:szCs w:val="20"/>
          <w:color w:val="auto"/>
        </w:rPr>
      </w:pPr>
    </w:p>
    <w:p>
      <w:pPr>
        <w:ind w:right="380" w:firstLine="225"/>
        <w:spacing w:after="0" w:line="277" w:lineRule="auto"/>
        <w:rPr>
          <w:sz w:val="20"/>
          <w:szCs w:val="20"/>
          <w:color w:val="auto"/>
        </w:rPr>
      </w:pPr>
      <w:r>
        <w:rPr>
          <w:rFonts w:ascii="Arial" w:cs="Arial" w:eastAsia="Arial" w:hAnsi="Arial"/>
          <w:sz w:val="18"/>
          <w:szCs w:val="18"/>
          <w:color w:val="auto"/>
        </w:rPr>
        <w:t>SFAS No. 157 establishes a fair market value hierarchy for the pricing inputs used to measure fair market value. The Company’s assets and liabilities measured at fair market value are classified in one of the following categories:</w:t>
      </w:r>
    </w:p>
    <w:p>
      <w:pPr>
        <w:spacing w:after="0" w:line="62" w:lineRule="exact"/>
        <w:rPr>
          <w:sz w:val="20"/>
          <w:szCs w:val="20"/>
          <w:color w:val="auto"/>
        </w:rPr>
      </w:pPr>
    </w:p>
    <w:p>
      <w:pPr>
        <w:ind w:left="460"/>
        <w:spacing w:after="0" w:line="312" w:lineRule="auto"/>
        <w:rPr>
          <w:sz w:val="20"/>
          <w:szCs w:val="20"/>
          <w:color w:val="auto"/>
        </w:rPr>
      </w:pPr>
      <w:r>
        <w:rPr>
          <w:rFonts w:ascii="Arial" w:cs="Arial" w:eastAsia="Arial" w:hAnsi="Arial"/>
          <w:sz w:val="16"/>
          <w:szCs w:val="16"/>
          <w:u w:val="single" w:color="auto"/>
          <w:color w:val="auto"/>
        </w:rPr>
        <w:t>Level 1</w:t>
      </w:r>
      <w:r>
        <w:rPr>
          <w:rFonts w:ascii="Arial" w:cs="Arial" w:eastAsia="Arial" w:hAnsi="Arial"/>
          <w:sz w:val="16"/>
          <w:szCs w:val="16"/>
          <w:color w:val="auto"/>
        </w:rPr>
        <w:t xml:space="preserve"> — Assets or liabilities for which fair value is based on quoted market prices in active markets for identical instruments as of the reporting date. At October 31, 2008, $7,328 of the mutual funds held for the Company’s deferred compensation plans were valued using Level 1 pricing inputs. The Company’s deferred compensation investments are included in “Other assets” on the accompanying Condensed Consolidated Balance Sheets.</w:t>
      </w:r>
    </w:p>
    <w:p>
      <w:pPr>
        <w:spacing w:after="0" w:line="39" w:lineRule="exact"/>
        <w:rPr>
          <w:sz w:val="20"/>
          <w:szCs w:val="20"/>
          <w:color w:val="auto"/>
        </w:rPr>
      </w:pPr>
    </w:p>
    <w:p>
      <w:pPr>
        <w:ind w:left="460" w:right="80"/>
        <w:spacing w:after="0" w:line="312" w:lineRule="auto"/>
        <w:rPr>
          <w:sz w:val="20"/>
          <w:szCs w:val="20"/>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xml:space="preserve"> — Assets or liabilities for which fair value is based on valuation models for which pricing inputs were either directly or indirectly observable. At October 31, 2008, $2,801 of the Company’s forward exchange contracts were valued using Level 2 pricing inputs. The Company’s forward exchange contracts are included in “Prepaid expenses and other current assets” on the accompanying Condensed Consolidated Balance Sheets.</w:t>
      </w:r>
    </w:p>
    <w:p>
      <w:pPr>
        <w:spacing w:after="0" w:line="39" w:lineRule="exact"/>
        <w:rPr>
          <w:sz w:val="20"/>
          <w:szCs w:val="20"/>
          <w:color w:val="auto"/>
        </w:rPr>
      </w:pPr>
    </w:p>
    <w:p>
      <w:pPr>
        <w:ind w:left="460" w:right="200"/>
        <w:spacing w:after="0" w:line="342" w:lineRule="auto"/>
        <w:rPr>
          <w:sz w:val="20"/>
          <w:szCs w:val="20"/>
          <w:color w:val="auto"/>
        </w:rPr>
      </w:pPr>
      <w:r>
        <w:rPr>
          <w:rFonts w:ascii="Arial" w:cs="Arial" w:eastAsia="Arial" w:hAnsi="Arial"/>
          <w:sz w:val="16"/>
          <w:szCs w:val="16"/>
          <w:u w:val="single" w:color="auto"/>
          <w:color w:val="auto"/>
        </w:rPr>
        <w:t>Level 3</w:t>
      </w:r>
      <w:r>
        <w:rPr>
          <w:rFonts w:ascii="Arial" w:cs="Arial" w:eastAsia="Arial" w:hAnsi="Arial"/>
          <w:sz w:val="16"/>
          <w:szCs w:val="16"/>
          <w:color w:val="auto"/>
        </w:rPr>
        <w:t xml:space="preserve"> — Assets or liabilities for which fair value is based on valuation models with significant unobservable pricing inputs and which result in the use of management estimates. As of October 31, 2008, none of the Company’s assets or liabilities were valued using Level 3 pricing inputs.</w:t>
      </w:r>
    </w:p>
    <w:p>
      <w:pPr>
        <w:spacing w:after="0" w:line="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 J: New Accounting Pronouncements</w:t>
      </w:r>
    </w:p>
    <w:p>
      <w:pPr>
        <w:spacing w:after="0" w:line="117" w:lineRule="exact"/>
        <w:rPr>
          <w:sz w:val="20"/>
          <w:szCs w:val="20"/>
          <w:color w:val="auto"/>
        </w:rPr>
      </w:pPr>
    </w:p>
    <w:p>
      <w:pPr>
        <w:ind w:right="100" w:firstLine="225"/>
        <w:spacing w:after="0" w:line="342" w:lineRule="auto"/>
        <w:rPr>
          <w:sz w:val="20"/>
          <w:szCs w:val="20"/>
          <w:color w:val="auto"/>
        </w:rPr>
      </w:pPr>
      <w:r>
        <w:rPr>
          <w:rFonts w:ascii="Arial" w:cs="Arial" w:eastAsia="Arial" w:hAnsi="Arial"/>
          <w:sz w:val="16"/>
          <w:szCs w:val="16"/>
          <w:color w:val="auto"/>
        </w:rPr>
        <w:t>In December 2007, the FASB issued SFAS No. 141(R), “Business Combinations.” SFAS No. 141(R) requires acquiring entities to recognize all the assets and liabilities assumed in a transaction at fair values as of the acquisition date, but changes the accounting treatment for certain items, including:</w:t>
      </w:r>
    </w:p>
    <w:p>
      <w:pPr>
        <w:spacing w:after="0" w:line="16" w:lineRule="exact"/>
        <w:rPr>
          <w:sz w:val="20"/>
          <w:szCs w:val="20"/>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Acquisition costs will generally be expensed as incurred;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Noncontrolling interests in subsidiaries will be valued at fair value at the acquisition date and classified as a separate component of equity;</w:t>
      </w:r>
    </w:p>
    <w:p>
      <w:pPr>
        <w:spacing w:after="0" w:line="142" w:lineRule="exact"/>
        <w:rPr>
          <w:rFonts w:ascii="Arial" w:cs="Arial" w:eastAsia="Arial" w:hAnsi="Arial"/>
          <w:sz w:val="17"/>
          <w:szCs w:val="17"/>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Liabilities related to contingent consideration will be re-measured at fair value in each subsequent reporting period;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Restructuring costs associated with a business combination will generally be expensed after the acquisition date;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In-process research and development will be recorded at fair value as an indefinite-lived intangible asset at the acquisition date.</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SFAS No. 141(R) applies to business combinations for which the acquisition date is on or after August 1, 2009. The Company is in the process of evaluating the impact that will result from adopting SFAS No.141(R), and therefore, the Company is unable to disclose the impact that SFAS No. 141(R) will have on its financial position and results of operations when such statement is adopted.</w:t>
      </w:r>
    </w:p>
    <w:p>
      <w:pPr>
        <w:spacing w:after="0" w:line="73"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In March 2008, the FASB issued SFAS No. 161, “Disclosure about Derivative Instruments and Hedging Activities.” SFAS No. 161 requires expanded quantitative, qualitative, and credit-risk disclosures about an entity’s derivative instruments and hedging activities. This statement will be effective for fiscal years and interim periods beginning after November 15, 2008. The Company expects that the adoption of SFAS No. 161 will not have a material impact on its financial position and results of operations. The Company is in the process of evaluating the impact that will result from adopting SFAS No. 161 on the Company’s financial disclosures when such statement is adopted.</w:t>
      </w:r>
    </w:p>
    <w:p>
      <w:pPr>
        <w:spacing w:after="0" w:line="80" w:lineRule="exact"/>
        <w:rPr>
          <w:sz w:val="20"/>
          <w:szCs w:val="20"/>
          <w:color w:val="auto"/>
        </w:rPr>
      </w:pPr>
    </w:p>
    <w:p>
      <w:pPr>
        <w:ind w:right="120" w:firstLine="225"/>
        <w:spacing w:after="0" w:line="276" w:lineRule="auto"/>
        <w:rPr>
          <w:sz w:val="20"/>
          <w:szCs w:val="20"/>
          <w:color w:val="auto"/>
        </w:rPr>
      </w:pPr>
      <w:r>
        <w:rPr>
          <w:rFonts w:ascii="Arial" w:cs="Arial" w:eastAsia="Arial" w:hAnsi="Arial"/>
          <w:sz w:val="17"/>
          <w:szCs w:val="17"/>
          <w:color w:val="auto"/>
        </w:rPr>
        <w:t>In June 2008, the FASB issued Staff Position on EITF Issue 03-6 (“FSP 03-6”), “Determining Whether Instruments Granted in Share-Based Payment Transactions Are Participating Securities.” FSP 03-6 requires that all outstanding unvested share-based payment awards that contain rights to nonforfeitable dividends be considered participating securities in undistributed earnings with common shareholders. This staff position will be effective for fiscal years and interim periods beginning after December 15, 2008. The Company is in the process of evaluating the impact that will result from adopting FSP 03-6 on the Company’s results of operations and financial disclosures when such statement is adopted.</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40"/>
        <w:spacing w:after="0" w:line="375" w:lineRule="auto"/>
        <w:rPr>
          <w:sz w:val="20"/>
          <w:szCs w:val="20"/>
          <w:color w:val="auto"/>
        </w:rPr>
      </w:pPr>
      <w:r>
        <w:rPr>
          <w:rFonts w:ascii="Arial" w:cs="Arial" w:eastAsia="Arial" w:hAnsi="Arial"/>
          <w:sz w:val="18"/>
          <w:szCs w:val="18"/>
          <w:color w:val="auto"/>
        </w:rPr>
        <w:t xml:space="preserve">ITEM 2. MANAGEMENT’S DISCUSSION AND ANALYSIS OF FINANCIAL CONDITION AND RESULTS OF OPERATIONS </w:t>
      </w:r>
      <w:r>
        <w:rPr>
          <w:rFonts w:ascii="Arial" w:cs="Arial" w:eastAsia="Arial" w:hAnsi="Arial"/>
          <w:sz w:val="18"/>
          <w:szCs w:val="18"/>
          <w:u w:val="single" w:color="auto"/>
          <w:color w:val="auto"/>
        </w:rPr>
        <w:t>Overview</w:t>
      </w:r>
    </w:p>
    <w:p>
      <w:pPr>
        <w:spacing w:after="0" w:line="1"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color w:val="auto"/>
        </w:rPr>
        <w:t>Brady is an international manufacturer and marketer of identification solutions and specialty materials that identify and protect premises, products, and people. Its products include high-performance labels and signs, printing systems and software, safety devices, precision die-cut materials, and label-application and data-collection systems. Founded in 1914, the Company serves customers in manufacturing, electrical, telecommunications, electronics, construction, laboratory, education, governmental, public utility, computer, transportation and a variety of other industries. The Company manufactures and sells products domestically and internationally through multiple channels including distributor sales, direct sales, mail-order catalogs, telemarketing, retail and electronic access through the Internet. The Company believes that its reputation for innovation, commitment to quality and service, and dedicated employees have made it a world leader in the markets it serves. The Company operates manufacturing or distribution facilities in Australia, Belgium, Brazil, Canada, China, Denmark, France, Germany, India, Italy, Japan, Malaysia, Mexico, the Netherlands, Norway, Poland, Singapore, Slovakia, South Korea, Sweden, Thailand, the United Kingdom and the United States. Brady sells through subsidiaries or sales offices in these countries, with additional sales through a dedicated team of international sales representatives in Hong Kong, the Philippines, Spain, Taiwan, Turkey, and the United Arab Emirates and further markets its products to parts of Eastern Europe, the Middle East, Africa and Russia.</w:t>
      </w:r>
    </w:p>
    <w:p>
      <w:pPr>
        <w:spacing w:after="0" w:line="75" w:lineRule="exact"/>
        <w:rPr>
          <w:sz w:val="20"/>
          <w:szCs w:val="20"/>
          <w:color w:val="auto"/>
        </w:rPr>
      </w:pPr>
    </w:p>
    <w:p>
      <w:pPr>
        <w:ind w:right="20" w:firstLine="225"/>
        <w:spacing w:after="0" w:line="302" w:lineRule="auto"/>
        <w:rPr>
          <w:sz w:val="20"/>
          <w:szCs w:val="20"/>
          <w:color w:val="auto"/>
        </w:rPr>
      </w:pPr>
      <w:r>
        <w:rPr>
          <w:rFonts w:ascii="Arial" w:cs="Arial" w:eastAsia="Arial" w:hAnsi="Arial"/>
          <w:sz w:val="16"/>
          <w:szCs w:val="16"/>
          <w:color w:val="auto"/>
        </w:rPr>
        <w:t>Sales for the quarter ended October 31, 2008, declined 0.5% to $378.3 million, compared to $380.1 million in the same period of fiscal 2008. Of the decrease in sales, organic sales declined 2.5%, acquisitions added 2.1%, and the effects of fluctuations in the exchange rates used to translate financial results into the United States Dollar resulted in a 0.1% decline. Net income for the quarter ended October 31, 2008, was $37.1 million or $0.69 per diluted Class A Nonvoting Common Share, up 2.0% from $36.4 million or $0.66 per diluted Class A Nonvoting Common Share reported in the first quarter of last fiscal year.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w:t>
      </w:r>
    </w:p>
    <w:p>
      <w:pPr>
        <w:spacing w:after="0" w:line="117" w:lineRule="exact"/>
        <w:rPr>
          <w:sz w:val="20"/>
          <w:szCs w:val="20"/>
          <w:color w:val="auto"/>
        </w:rPr>
      </w:pPr>
    </w:p>
    <w:p>
      <w:pPr>
        <w:ind w:right="180" w:firstLine="222"/>
        <w:spacing w:after="0" w:line="277" w:lineRule="auto"/>
        <w:rPr>
          <w:sz w:val="20"/>
          <w:szCs w:val="20"/>
          <w:color w:val="auto"/>
        </w:rPr>
      </w:pPr>
      <w:r>
        <w:rPr>
          <w:rFonts w:ascii="Arial" w:cs="Arial" w:eastAsia="Arial" w:hAnsi="Arial"/>
          <w:sz w:val="18"/>
          <w:szCs w:val="18"/>
          <w:color w:val="auto"/>
        </w:rPr>
        <w:t>The comparability of the operating results for the three months ended October 31, 2008 to the prior year has been impacted by the following acquisitions completed in fiscal 2008.</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20"/>
                <w:szCs w:val="20"/>
                <w:color w:val="auto"/>
              </w:rPr>
            </w:pPr>
            <w:r>
              <w:rPr>
                <w:rFonts w:ascii="Arial" w:cs="Arial" w:eastAsia="Arial" w:hAnsi="Arial"/>
                <w:sz w:val="14"/>
                <w:szCs w:val="14"/>
                <w:b w:val="1"/>
                <w:bCs w:val="1"/>
                <w:color w:val="auto"/>
              </w:rPr>
              <w:t>Acquisitions</w:t>
            </w:r>
          </w:p>
        </w:tc>
        <w:tc>
          <w:tcPr>
            <w:tcW w:w="2140" w:type="dxa"/>
            <w:vAlign w:val="bottom"/>
          </w:tcPr>
          <w:p>
            <w:pPr>
              <w:jc w:val="center"/>
              <w:ind w:left="756"/>
              <w:spacing w:after="0"/>
              <w:rPr>
                <w:sz w:val="20"/>
                <w:szCs w:val="20"/>
                <w:color w:val="auto"/>
              </w:rPr>
            </w:pPr>
            <w:r>
              <w:rPr>
                <w:rFonts w:ascii="Arial" w:cs="Arial" w:eastAsia="Arial" w:hAnsi="Arial"/>
                <w:sz w:val="14"/>
                <w:szCs w:val="14"/>
                <w:b w:val="1"/>
                <w:bCs w:val="1"/>
                <w:color w:val="auto"/>
                <w:w w:val="91"/>
              </w:rPr>
              <w:t>Segment</w:t>
            </w:r>
          </w:p>
        </w:tc>
        <w:tc>
          <w:tcPr>
            <w:tcW w:w="1480" w:type="dxa"/>
            <w:vAlign w:val="bottom"/>
          </w:tcPr>
          <w:p>
            <w:pPr>
              <w:jc w:val="center"/>
              <w:ind w:left="236"/>
              <w:spacing w:after="0"/>
              <w:rPr>
                <w:sz w:val="20"/>
                <w:szCs w:val="20"/>
                <w:color w:val="auto"/>
              </w:rPr>
            </w:pPr>
            <w:r>
              <w:rPr>
                <w:rFonts w:ascii="Arial" w:cs="Arial" w:eastAsia="Arial" w:hAnsi="Arial"/>
                <w:sz w:val="14"/>
                <w:szCs w:val="14"/>
                <w:b w:val="1"/>
                <w:bCs w:val="1"/>
                <w:color w:val="auto"/>
                <w:w w:val="93"/>
              </w:rPr>
              <w:t>Date Completed</w:t>
            </w: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Transposafe Systems B.V. and Holland Mounting Systems B.V. (collectively “Transposafe”)</w:t>
            </w:r>
          </w:p>
        </w:tc>
        <w:tc>
          <w:tcPr>
            <w:tcW w:w="2140" w:type="dxa"/>
            <w:vAlign w:val="bottom"/>
          </w:tcPr>
          <w:p>
            <w:pPr>
              <w:jc w:val="center"/>
              <w:ind w:left="776"/>
              <w:spacing w:after="0"/>
              <w:rPr>
                <w:sz w:val="20"/>
                <w:szCs w:val="20"/>
                <w:color w:val="auto"/>
              </w:rPr>
            </w:pPr>
            <w:r>
              <w:rPr>
                <w:rFonts w:ascii="Arial" w:cs="Arial" w:eastAsia="Arial" w:hAnsi="Arial"/>
                <w:sz w:val="18"/>
                <w:szCs w:val="18"/>
                <w:color w:val="auto"/>
                <w:w w:val="89"/>
              </w:rPr>
              <w:t>Europe</w:t>
            </w:r>
          </w:p>
        </w:tc>
        <w:tc>
          <w:tcPr>
            <w:tcW w:w="1480" w:type="dxa"/>
            <w:vAlign w:val="bottom"/>
          </w:tcPr>
          <w:p>
            <w:pPr>
              <w:jc w:val="center"/>
              <w:ind w:left="236"/>
              <w:spacing w:after="0"/>
              <w:rPr>
                <w:sz w:val="20"/>
                <w:szCs w:val="20"/>
                <w:color w:val="auto"/>
              </w:rPr>
            </w:pPr>
            <w:r>
              <w:rPr>
                <w:rFonts w:ascii="Arial" w:cs="Arial" w:eastAsia="Arial" w:hAnsi="Arial"/>
                <w:sz w:val="18"/>
                <w:szCs w:val="18"/>
                <w:color w:val="auto"/>
                <w:w w:val="90"/>
              </w:rPr>
              <w:t>November 2007</w:t>
            </w:r>
          </w:p>
        </w:tc>
      </w:tr>
      <w:tr>
        <w:trPr>
          <w:trHeight w:val="230"/>
        </w:trPr>
        <w:tc>
          <w:tcPr>
            <w:tcW w:w="7800" w:type="dxa"/>
            <w:vAlign w:val="bottom"/>
          </w:tcPr>
          <w:p>
            <w:pPr>
              <w:spacing w:after="0"/>
              <w:rPr>
                <w:sz w:val="20"/>
                <w:szCs w:val="20"/>
                <w:color w:val="auto"/>
              </w:rPr>
            </w:pPr>
            <w:r>
              <w:rPr>
                <w:rFonts w:ascii="Arial" w:cs="Arial" w:eastAsia="Arial" w:hAnsi="Arial"/>
                <w:sz w:val="18"/>
                <w:szCs w:val="18"/>
                <w:color w:val="auto"/>
              </w:rPr>
              <w:t>DAWG, Inc. (“DAWG”)</w:t>
            </w:r>
          </w:p>
        </w:tc>
        <w:tc>
          <w:tcPr>
            <w:tcW w:w="2140" w:type="dxa"/>
            <w:vAlign w:val="bottom"/>
          </w:tcPr>
          <w:p>
            <w:pPr>
              <w:jc w:val="center"/>
              <w:ind w:left="756"/>
              <w:spacing w:after="0"/>
              <w:rPr>
                <w:sz w:val="20"/>
                <w:szCs w:val="20"/>
                <w:color w:val="auto"/>
              </w:rPr>
            </w:pPr>
            <w:r>
              <w:rPr>
                <w:rFonts w:ascii="Arial" w:cs="Arial" w:eastAsia="Arial" w:hAnsi="Arial"/>
                <w:sz w:val="18"/>
                <w:szCs w:val="18"/>
                <w:color w:val="auto"/>
                <w:w w:val="93"/>
              </w:rPr>
              <w:t>Americas</w:t>
            </w:r>
          </w:p>
        </w:tc>
        <w:tc>
          <w:tcPr>
            <w:tcW w:w="1480" w:type="dxa"/>
            <w:vAlign w:val="bottom"/>
          </w:tcPr>
          <w:p>
            <w:pPr>
              <w:jc w:val="center"/>
              <w:ind w:left="216"/>
              <w:spacing w:after="0"/>
              <w:rPr>
                <w:sz w:val="20"/>
                <w:szCs w:val="20"/>
                <w:color w:val="auto"/>
              </w:rPr>
            </w:pPr>
            <w:r>
              <w:rPr>
                <w:rFonts w:ascii="Arial" w:cs="Arial" w:eastAsia="Arial" w:hAnsi="Arial"/>
                <w:sz w:val="18"/>
                <w:szCs w:val="18"/>
                <w:color w:val="auto"/>
                <w:w w:val="90"/>
              </w:rPr>
              <w:t>March 2008</w:t>
            </w:r>
          </w:p>
        </w:tc>
      </w:tr>
      <w:tr>
        <w:trPr>
          <w:trHeight w:val="405"/>
        </w:trPr>
        <w:tc>
          <w:tcPr>
            <w:tcW w:w="7800" w:type="dxa"/>
            <w:vAlign w:val="bottom"/>
          </w:tcPr>
          <w:p>
            <w:pPr>
              <w:jc w:val="right"/>
              <w:ind w:right="1914"/>
              <w:spacing w:after="0"/>
              <w:rPr>
                <w:sz w:val="20"/>
                <w:szCs w:val="20"/>
                <w:color w:val="auto"/>
              </w:rPr>
            </w:pPr>
            <w:r>
              <w:rPr>
                <w:rFonts w:ascii="Arial" w:cs="Arial" w:eastAsia="Arial" w:hAnsi="Arial"/>
                <w:sz w:val="18"/>
                <w:szCs w:val="18"/>
                <w:color w:val="auto"/>
              </w:rPr>
              <w:t>14</w:t>
            </w:r>
          </w:p>
        </w:tc>
        <w:tc>
          <w:tcPr>
            <w:tcW w:w="21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26"/>
        </w:trPr>
        <w:tc>
          <w:tcPr>
            <w:tcW w:w="7800" w:type="dxa"/>
            <w:vAlign w:val="bottom"/>
            <w:tcBorders>
              <w:bottom w:val="single" w:sz="8" w:color="808080"/>
            </w:tcBorders>
          </w:tcPr>
          <w:p>
            <w:pPr>
              <w:spacing w:after="0"/>
              <w:rPr>
                <w:sz w:val="19"/>
                <w:szCs w:val="19"/>
                <w:color w:val="auto"/>
              </w:rPr>
            </w:pPr>
          </w:p>
        </w:tc>
        <w:tc>
          <w:tcPr>
            <w:tcW w:w="214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25"/>
        <w:spacing w:after="0" w:line="279" w:lineRule="auto"/>
        <w:rPr>
          <w:sz w:val="20"/>
          <w:szCs w:val="20"/>
          <w:color w:val="auto"/>
        </w:rPr>
      </w:pPr>
      <w:r>
        <w:rPr>
          <w:rFonts w:ascii="Arial" w:cs="Arial" w:eastAsia="Arial" w:hAnsi="Arial"/>
          <w:sz w:val="17"/>
          <w:szCs w:val="17"/>
          <w:color w:val="auto"/>
        </w:rPr>
        <w:t>Sales for the three months ended October 31, 2008 were down 0.5% compared to the same period in fiscal 2008. The decrease was comprised of a decline of 2.5% in organic sales, and a decrease of 0.1% due to the effect of currencies on sales, which were partially offset by an increase of 2.1% due to the acquisitions listed in the above table. The decline in organic sales for the quarter ended October 31, 2008, was due primarily to an 8.2% and 5.3% decrease in sales in the Americas and Europe, respectively, partially offset by an increase of 11.0% in organic sales in the Asia-Pacific segment.</w:t>
      </w:r>
    </w:p>
    <w:p>
      <w:pPr>
        <w:spacing w:after="0" w:line="63"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Gross margin as a percentage of sales declined to 47.9% for the quarter ended October 31, 2008, compared to 49.4% in the same period of the previous year. The decline in gross margin as a percentage of sales was the result of increased sales in the Asia-Pacific segment and decreased sales in the Americas and Europe segments as compared to the prior year. The sales generated in the Americas and Europe segments generate higher margins than sales in the Asia-Pacific segment.</w:t>
      </w:r>
    </w:p>
    <w:p>
      <w:pPr>
        <w:spacing w:after="0" w:line="79" w:lineRule="exact"/>
        <w:rPr>
          <w:sz w:val="20"/>
          <w:szCs w:val="20"/>
          <w:color w:val="auto"/>
        </w:rPr>
      </w:pPr>
    </w:p>
    <w:p>
      <w:pPr>
        <w:ind w:right="20" w:firstLine="225"/>
        <w:spacing w:after="0" w:line="286" w:lineRule="auto"/>
        <w:rPr>
          <w:sz w:val="20"/>
          <w:szCs w:val="20"/>
          <w:color w:val="auto"/>
        </w:rPr>
      </w:pPr>
      <w:r>
        <w:rPr>
          <w:rFonts w:ascii="Arial" w:cs="Arial" w:eastAsia="Arial" w:hAnsi="Arial"/>
          <w:sz w:val="17"/>
          <w:szCs w:val="17"/>
          <w:color w:val="auto"/>
        </w:rPr>
        <w:t>Research and development (“R&amp;D”) expenses increased 0.9% to $9.1 million for the three months ended October 31, 2008, compared to $9.0 million for the same period in the prior year. As a percentage of sales, R&amp;D expenses remained constant at 2.4% in the first quarter of fiscal 2009 as compared to the first quarter of fiscal 2008, evidencing the Company’s continued commitment to innovation and new product development.</w:t>
      </w:r>
    </w:p>
    <w:p>
      <w:pPr>
        <w:spacing w:after="0" w:line="57"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Selling, general, and administrative (“SG&amp;A”) expenses decreased 3.7% to $115.9 million for the three months ended October 31, 2008, as compared to $120.4 million for the same period in the prior year. The decrease in SG&amp;A was due to the realization of savings from prior year cost reduction activities and foreign currency translation. As a percentage of sales, SG&amp;A expenses decreased to 30.6% in the first quarter of fiscal 2009 from 31.7% in the same period of fiscal 2008.</w:t>
      </w:r>
    </w:p>
    <w:p>
      <w:pPr>
        <w:spacing w:after="0" w:line="79" w:lineRule="exact"/>
        <w:rPr>
          <w:sz w:val="20"/>
          <w:szCs w:val="20"/>
          <w:color w:val="auto"/>
        </w:rPr>
      </w:pPr>
    </w:p>
    <w:p>
      <w:pPr>
        <w:ind w:right="80" w:firstLine="225"/>
        <w:spacing w:after="0" w:line="279" w:lineRule="auto"/>
        <w:rPr>
          <w:sz w:val="20"/>
          <w:szCs w:val="20"/>
          <w:color w:val="auto"/>
        </w:rPr>
      </w:pPr>
      <w:r>
        <w:rPr>
          <w:rFonts w:ascii="Arial" w:cs="Arial" w:eastAsia="Arial" w:hAnsi="Arial"/>
          <w:sz w:val="17"/>
          <w:szCs w:val="17"/>
          <w:color w:val="auto"/>
        </w:rPr>
        <w:t>Investment and other income increased to $1.9 million for the quarter ended October 31, 2008 from $0.1 million for the quarter ended October 31, 2007. Interest income earned in the first quarter of fiscal 2009 was $1.1 million, as compared to $1.2 million in the first quarter of fiscal 2008. Also included in this income statement heading, the Company recorded gains from the net effect of changes in foreign currency exchange rates on specific transactions of $0.8 million in the first quarter of fiscal 2009, as compared to a loss of $1.1 million in the first quarter of fiscal 2008.</w:t>
      </w:r>
    </w:p>
    <w:p>
      <w:pPr>
        <w:spacing w:after="0" w:line="63" w:lineRule="exact"/>
        <w:rPr>
          <w:sz w:val="20"/>
          <w:szCs w:val="20"/>
          <w:color w:val="auto"/>
        </w:rPr>
      </w:pPr>
    </w:p>
    <w:p>
      <w:pPr>
        <w:ind w:right="180" w:firstLine="225"/>
        <w:spacing w:after="0" w:line="259" w:lineRule="auto"/>
        <w:rPr>
          <w:sz w:val="20"/>
          <w:szCs w:val="20"/>
          <w:color w:val="auto"/>
        </w:rPr>
      </w:pPr>
      <w:r>
        <w:rPr>
          <w:rFonts w:ascii="Arial" w:cs="Arial" w:eastAsia="Arial" w:hAnsi="Arial"/>
          <w:sz w:val="18"/>
          <w:szCs w:val="18"/>
          <w:color w:val="auto"/>
        </w:rPr>
        <w:t>Interest expense decreased slightly to $6.4 million for the quarter ended October 31, 2008 from $6.7 million for the quarter ended October 31, 2007. In June 2008, the Company paid the first installment of $21.4 million related to the debt securities issued in June 2004. As a result of a lower principal balance under the related debt agreement, the Company’s interest expense decreased in the first quarter of fiscal 2009 as compared to the same period in the prior year.</w:t>
      </w:r>
    </w:p>
    <w:p>
      <w:pPr>
        <w:spacing w:after="0" w:line="79" w:lineRule="exact"/>
        <w:rPr>
          <w:sz w:val="20"/>
          <w:szCs w:val="20"/>
          <w:color w:val="auto"/>
        </w:rPr>
      </w:pPr>
    </w:p>
    <w:p>
      <w:pPr>
        <w:ind w:right="120" w:firstLine="222"/>
        <w:spacing w:after="0" w:line="264" w:lineRule="auto"/>
        <w:rPr>
          <w:sz w:val="20"/>
          <w:szCs w:val="20"/>
          <w:color w:val="auto"/>
        </w:rPr>
      </w:pPr>
      <w:r>
        <w:rPr>
          <w:rFonts w:ascii="Arial" w:cs="Arial" w:eastAsia="Arial" w:hAnsi="Arial"/>
          <w:sz w:val="18"/>
          <w:szCs w:val="18"/>
          <w:color w:val="auto"/>
        </w:rPr>
        <w:t>The Company’s effective tax rate was 28.2% for the quarter ended October 31, 2008, and 29.7% for the same period of the previous year. The decrease in the effective tax rate was due primarily to a shift of profits away from higher taxed jurisdictions to lower taxed jurisdictions. The Company expects the full year effective tax rate for fiscal 2009 to be approximately 28%.</w:t>
      </w:r>
    </w:p>
    <w:p>
      <w:pPr>
        <w:spacing w:after="0" w:line="73" w:lineRule="exact"/>
        <w:rPr>
          <w:sz w:val="20"/>
          <w:szCs w:val="20"/>
          <w:color w:val="auto"/>
        </w:rPr>
      </w:pPr>
    </w:p>
    <w:p>
      <w:pPr>
        <w:ind w:right="80" w:firstLine="225"/>
        <w:spacing w:after="0" w:line="342" w:lineRule="auto"/>
        <w:rPr>
          <w:sz w:val="20"/>
          <w:szCs w:val="20"/>
          <w:color w:val="auto"/>
        </w:rPr>
      </w:pPr>
      <w:r>
        <w:rPr>
          <w:rFonts w:ascii="Arial" w:cs="Arial" w:eastAsia="Arial" w:hAnsi="Arial"/>
          <w:sz w:val="16"/>
          <w:szCs w:val="16"/>
          <w:color w:val="auto"/>
        </w:rPr>
        <w:t>Net income for the three months ended October 31, 2008, increased 2.0% to $37.1 million, compared to $36.4 million for the same quarter of the previous year. Net income as a percentage of sales increased slightly to 9.8% for the quarter ended October 31, 2008 from 9.6% for the same period in the prior year.</w:t>
      </w:r>
    </w:p>
    <w:p>
      <w:pPr>
        <w:spacing w:after="0" w:line="16"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During the quarter ended October 31, 2008, the Company experienced a deceleration in its businesses. Management believes that in light of the current global economic slowdown, business will remain uncertain for the remainder of fiscal 2009. As a result of this outlook, the Company has taken actions to reduce costs throughout the business, including a reduction in the global workforce of 10 percent, a wage freeze for all employees, reductions in discretionary spending and the deferral of previously approved increases in Director fees.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Segment Operating Results</w:t>
      </w:r>
    </w:p>
    <w:p>
      <w:pPr>
        <w:spacing w:after="0" w:line="117" w:lineRule="exact"/>
        <w:rPr>
          <w:sz w:val="20"/>
          <w:szCs w:val="20"/>
          <w:color w:val="auto"/>
        </w:rPr>
      </w:pPr>
    </w:p>
    <w:p>
      <w:pPr>
        <w:ind w:right="60" w:firstLine="222"/>
        <w:spacing w:after="0" w:line="297" w:lineRule="auto"/>
        <w:rPr>
          <w:sz w:val="20"/>
          <w:szCs w:val="20"/>
          <w:color w:val="auto"/>
        </w:rPr>
      </w:pPr>
      <w:r>
        <w:rPr>
          <w:rFonts w:ascii="Arial" w:cs="Arial" w:eastAsia="Arial" w:hAnsi="Arial"/>
          <w:sz w:val="16"/>
          <w:szCs w:val="16"/>
          <w:color w:val="auto"/>
        </w:rPr>
        <w:t>The Company is organized and managed on a geographic basis by region. Each of these regions, Brady Americas, Brady Europe and Brady Asia-Pacific, has a President that reports directly to the Company’s chief operating decision maker, its Chief Executive Officer. Each region has its own distinct operations, is managed locally by its own management team, maintains its own financial reports and is evaluated based on regional segment results. In applying the criteria set forth in SFAS No. 131 “Disclosures about Segments of an Enterprise and Related Information”, the Company has determined that these regions comprise its reportable segments based on the information used by the Chief Executive Officer to allocate resources and assess performance.</w:t>
      </w:r>
    </w:p>
    <w:p>
      <w:pPr>
        <w:spacing w:after="0" w:line="50" w:lineRule="exact"/>
        <w:rPr>
          <w:sz w:val="20"/>
          <w:szCs w:val="20"/>
          <w:color w:val="auto"/>
        </w:rPr>
      </w:pPr>
    </w:p>
    <w:p>
      <w:pPr>
        <w:jc w:val="both"/>
        <w:ind w:right="300" w:firstLine="225"/>
        <w:spacing w:after="0" w:line="259" w:lineRule="auto"/>
        <w:rPr>
          <w:sz w:val="20"/>
          <w:szCs w:val="20"/>
          <w:color w:val="auto"/>
        </w:rPr>
      </w:pPr>
      <w:r>
        <w:rPr>
          <w:rFonts w:ascii="Arial" w:cs="Arial" w:eastAsia="Arial" w:hAnsi="Arial"/>
          <w:sz w:val="18"/>
          <w:szCs w:val="18"/>
          <w:color w:val="auto"/>
        </w:rPr>
        <w:t>Subsequent to the first quarter of fiscal 2008, the Company made several reporting and organizational changes in which the leadership, operations, and administrative functions of the two businesses in the Americas region were consolidated. As a result of the changes, the Company changed the number of reporting segments from four to three during the fourth quarter of fiscal 2008. Following is a summary of segment information for the three months ended October 31, 2008 and 2007:</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w w:val="93"/>
              </w:rPr>
              <w:t>Corporate</w:t>
            </w:r>
          </w:p>
        </w:tc>
        <w:tc>
          <w:tcPr>
            <w:tcW w:w="1260" w:type="dxa"/>
            <w:vAlign w:val="bottom"/>
          </w:tcPr>
          <w:p>
            <w:pPr>
              <w:spacing w:after="0"/>
              <w:rPr>
                <w:sz w:val="14"/>
                <w:szCs w:val="14"/>
                <w:color w:val="auto"/>
              </w:rPr>
            </w:pPr>
          </w:p>
        </w:tc>
      </w:tr>
      <w:tr>
        <w:trPr>
          <w:trHeight w:val="149"/>
        </w:trPr>
        <w:tc>
          <w:tcPr>
            <w:tcW w:w="3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jc w:val="right"/>
              <w:ind w:right="359"/>
              <w:spacing w:after="0" w:line="149" w:lineRule="exact"/>
              <w:rPr>
                <w:sz w:val="20"/>
                <w:szCs w:val="20"/>
                <w:color w:val="auto"/>
              </w:rPr>
            </w:pPr>
            <w:r>
              <w:rPr>
                <w:rFonts w:ascii="Arial" w:cs="Arial" w:eastAsia="Arial" w:hAnsi="Arial"/>
                <w:sz w:val="14"/>
                <w:szCs w:val="14"/>
                <w:color w:val="auto"/>
              </w:rPr>
              <w:t>Asia-</w:t>
            </w:r>
          </w:p>
        </w:tc>
        <w:tc>
          <w:tcPr>
            <w:tcW w:w="138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color w:val="auto"/>
                <w:w w:val="94"/>
              </w:rPr>
              <w:t>and</w:t>
            </w:r>
          </w:p>
        </w:tc>
        <w:tc>
          <w:tcPr>
            <w:tcW w:w="1260" w:type="dxa"/>
            <w:vAlign w:val="bottom"/>
          </w:tcPr>
          <w:p>
            <w:pPr>
              <w:spacing w:after="0"/>
              <w:rPr>
                <w:sz w:val="12"/>
                <w:szCs w:val="12"/>
                <w:color w:val="auto"/>
              </w:rPr>
            </w:pPr>
          </w:p>
        </w:tc>
      </w:tr>
      <w:tr>
        <w:trPr>
          <w:trHeight w:val="167"/>
        </w:trPr>
        <w:tc>
          <w:tcPr>
            <w:tcW w:w="3400" w:type="dxa"/>
            <w:vAlign w:val="bottom"/>
          </w:tcPr>
          <w:p>
            <w:pPr>
              <w:spacing w:after="0"/>
              <w:rPr>
                <w:sz w:val="20"/>
                <w:szCs w:val="20"/>
                <w:color w:val="auto"/>
              </w:rPr>
            </w:pPr>
            <w:r>
              <w:rPr>
                <w:rFonts w:ascii="Arial" w:cs="Arial" w:eastAsia="Arial" w:hAnsi="Arial"/>
                <w:sz w:val="14"/>
                <w:szCs w:val="14"/>
                <w:color w:val="auto"/>
              </w:rPr>
              <w:t>(Dollars in thousands)</w:t>
            </w:r>
          </w:p>
        </w:tc>
        <w:tc>
          <w:tcPr>
            <w:tcW w:w="1300" w:type="dxa"/>
            <w:vAlign w:val="bottom"/>
          </w:tcPr>
          <w:p>
            <w:pPr>
              <w:jc w:val="right"/>
              <w:ind w:right="236"/>
              <w:spacing w:after="0"/>
              <w:rPr>
                <w:sz w:val="20"/>
                <w:szCs w:val="20"/>
                <w:color w:val="auto"/>
              </w:rPr>
            </w:pPr>
            <w:r>
              <w:rPr>
                <w:rFonts w:ascii="Arial" w:cs="Arial" w:eastAsia="Arial" w:hAnsi="Arial"/>
                <w:sz w:val="14"/>
                <w:szCs w:val="14"/>
                <w:color w:val="auto"/>
              </w:rPr>
              <w:t>Americas</w:t>
            </w:r>
          </w:p>
        </w:tc>
        <w:tc>
          <w:tcPr>
            <w:tcW w:w="1340" w:type="dxa"/>
            <w:vAlign w:val="bottom"/>
          </w:tcPr>
          <w:p>
            <w:pPr>
              <w:jc w:val="right"/>
              <w:ind w:right="296"/>
              <w:spacing w:after="0"/>
              <w:rPr>
                <w:sz w:val="20"/>
                <w:szCs w:val="20"/>
                <w:color w:val="auto"/>
              </w:rPr>
            </w:pPr>
            <w:r>
              <w:rPr>
                <w:rFonts w:ascii="Arial" w:cs="Arial" w:eastAsia="Arial" w:hAnsi="Arial"/>
                <w:sz w:val="14"/>
                <w:szCs w:val="14"/>
                <w:color w:val="auto"/>
              </w:rPr>
              <w:t>Europe</w:t>
            </w:r>
          </w:p>
        </w:tc>
        <w:tc>
          <w:tcPr>
            <w:tcW w:w="420" w:type="dxa"/>
            <w:vAlign w:val="bottom"/>
          </w:tcPr>
          <w:p>
            <w:pPr>
              <w:spacing w:after="0"/>
              <w:rPr>
                <w:sz w:val="14"/>
                <w:szCs w:val="14"/>
                <w:color w:val="auto"/>
              </w:rPr>
            </w:pPr>
          </w:p>
        </w:tc>
        <w:tc>
          <w:tcPr>
            <w:tcW w:w="920" w:type="dxa"/>
            <w:vAlign w:val="bottom"/>
          </w:tcPr>
          <w:p>
            <w:pPr>
              <w:jc w:val="right"/>
              <w:ind w:right="319"/>
              <w:spacing w:after="0"/>
              <w:rPr>
                <w:sz w:val="20"/>
                <w:szCs w:val="20"/>
                <w:color w:val="auto"/>
              </w:rPr>
            </w:pPr>
            <w:r>
              <w:rPr>
                <w:rFonts w:ascii="Arial" w:cs="Arial" w:eastAsia="Arial" w:hAnsi="Arial"/>
                <w:sz w:val="14"/>
                <w:szCs w:val="14"/>
                <w:color w:val="auto"/>
              </w:rPr>
              <w:t>Pacific</w:t>
            </w:r>
          </w:p>
        </w:tc>
        <w:tc>
          <w:tcPr>
            <w:tcW w:w="1380" w:type="dxa"/>
            <w:vAlign w:val="bottom"/>
          </w:tcPr>
          <w:p>
            <w:pPr>
              <w:jc w:val="right"/>
              <w:ind w:right="296"/>
              <w:spacing w:after="0"/>
              <w:rPr>
                <w:sz w:val="20"/>
                <w:szCs w:val="20"/>
                <w:color w:val="auto"/>
              </w:rPr>
            </w:pPr>
            <w:r>
              <w:rPr>
                <w:rFonts w:ascii="Arial" w:cs="Arial" w:eastAsia="Arial" w:hAnsi="Arial"/>
                <w:sz w:val="14"/>
                <w:szCs w:val="14"/>
                <w:color w:val="auto"/>
              </w:rPr>
              <w:t>Subtotals</w:t>
            </w:r>
          </w:p>
        </w:tc>
        <w:tc>
          <w:tcPr>
            <w:tcW w:w="1400" w:type="dxa"/>
            <w:vAlign w:val="bottom"/>
          </w:tcPr>
          <w:p>
            <w:pPr>
              <w:jc w:val="center"/>
              <w:spacing w:after="0"/>
              <w:rPr>
                <w:sz w:val="20"/>
                <w:szCs w:val="20"/>
                <w:color w:val="auto"/>
              </w:rPr>
            </w:pPr>
            <w:r>
              <w:rPr>
                <w:rFonts w:ascii="Arial" w:cs="Arial" w:eastAsia="Arial" w:hAnsi="Arial"/>
                <w:sz w:val="14"/>
                <w:szCs w:val="14"/>
                <w:color w:val="auto"/>
                <w:w w:val="98"/>
              </w:rPr>
              <w:t>Eliminations</w:t>
            </w:r>
          </w:p>
        </w:tc>
        <w:tc>
          <w:tcPr>
            <w:tcW w:w="1260" w:type="dxa"/>
            <w:vAlign w:val="bottom"/>
          </w:tcPr>
          <w:p>
            <w:pPr>
              <w:jc w:val="right"/>
              <w:ind w:right="316"/>
              <w:spacing w:after="0"/>
              <w:rPr>
                <w:sz w:val="20"/>
                <w:szCs w:val="20"/>
                <w:color w:val="auto"/>
              </w:rPr>
            </w:pPr>
            <w:r>
              <w:rPr>
                <w:rFonts w:ascii="Arial" w:cs="Arial" w:eastAsia="Arial" w:hAnsi="Arial"/>
                <w:sz w:val="14"/>
                <w:szCs w:val="14"/>
                <w:color w:val="auto"/>
              </w:rPr>
              <w:t>Total</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SALES TO EXTERNAL CUSTOMERS</w:t>
            </w:r>
          </w:p>
        </w:tc>
        <w:tc>
          <w:tcPr>
            <w:tcW w:w="1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Three months ended:</w:t>
            </w:r>
          </w:p>
        </w:tc>
        <w:tc>
          <w:tcPr>
            <w:tcW w:w="1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3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October 31, 2008</w:t>
            </w:r>
          </w:p>
        </w:tc>
        <w:tc>
          <w:tcPr>
            <w:tcW w:w="130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$160,916</w:t>
            </w:r>
          </w:p>
        </w:tc>
        <w:tc>
          <w:tcPr>
            <w:tcW w:w="134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$108,215</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w w:val="89"/>
              </w:rPr>
              <w:t>109,186</w:t>
            </w:r>
          </w:p>
        </w:tc>
        <w:tc>
          <w:tcPr>
            <w:tcW w:w="138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rPr>
              <w:t>$378,317</w:t>
            </w:r>
          </w:p>
        </w:tc>
        <w:tc>
          <w:tcPr>
            <w:tcW w:w="14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$378,317</w:t>
            </w:r>
          </w:p>
        </w:tc>
      </w:tr>
      <w:tr>
        <w:trPr>
          <w:trHeight w:val="230"/>
        </w:trPr>
        <w:tc>
          <w:tcPr>
            <w:tcW w:w="3400" w:type="dxa"/>
            <w:vAlign w:val="bottom"/>
          </w:tcPr>
          <w:p>
            <w:pPr>
              <w:ind w:left="220"/>
              <w:spacing w:after="0"/>
              <w:rPr>
                <w:sz w:val="20"/>
                <w:szCs w:val="20"/>
                <w:color w:val="auto"/>
              </w:rPr>
            </w:pPr>
            <w:r>
              <w:rPr>
                <w:rFonts w:ascii="Arial" w:cs="Arial" w:eastAsia="Arial" w:hAnsi="Arial"/>
                <w:sz w:val="18"/>
                <w:szCs w:val="18"/>
                <w:color w:val="auto"/>
              </w:rPr>
              <w:t>October 31, 2007</w:t>
            </w:r>
          </w:p>
        </w:tc>
        <w:tc>
          <w:tcPr>
            <w:tcW w:w="1300" w:type="dxa"/>
            <w:vAlign w:val="bottom"/>
          </w:tcPr>
          <w:p>
            <w:pPr>
              <w:jc w:val="right"/>
              <w:ind w:right="236"/>
              <w:spacing w:after="0"/>
              <w:rPr>
                <w:sz w:val="20"/>
                <w:szCs w:val="20"/>
                <w:color w:val="auto"/>
              </w:rPr>
            </w:pPr>
            <w:r>
              <w:rPr>
                <w:rFonts w:ascii="Arial" w:cs="Arial" w:eastAsia="Arial" w:hAnsi="Arial"/>
                <w:sz w:val="18"/>
                <w:szCs w:val="18"/>
                <w:color w:val="auto"/>
              </w:rPr>
              <w:t>$ 174,775</w:t>
            </w:r>
          </w:p>
        </w:tc>
        <w:tc>
          <w:tcPr>
            <w:tcW w:w="1340" w:type="dxa"/>
            <w:vAlign w:val="bottom"/>
          </w:tcPr>
          <w:p>
            <w:pPr>
              <w:jc w:val="right"/>
              <w:ind w:right="256"/>
              <w:spacing w:after="0"/>
              <w:rPr>
                <w:sz w:val="20"/>
                <w:szCs w:val="20"/>
                <w:color w:val="auto"/>
              </w:rPr>
            </w:pPr>
            <w:r>
              <w:rPr>
                <w:rFonts w:ascii="Arial" w:cs="Arial" w:eastAsia="Arial" w:hAnsi="Arial"/>
                <w:sz w:val="18"/>
                <w:szCs w:val="18"/>
                <w:color w:val="auto"/>
              </w:rPr>
              <w:t>$ 108,914</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39"/>
              <w:spacing w:after="0"/>
              <w:rPr>
                <w:sz w:val="20"/>
                <w:szCs w:val="20"/>
                <w:color w:val="auto"/>
              </w:rPr>
            </w:pPr>
            <w:r>
              <w:rPr>
                <w:rFonts w:ascii="Arial" w:cs="Arial" w:eastAsia="Arial" w:hAnsi="Arial"/>
                <w:sz w:val="18"/>
                <w:szCs w:val="18"/>
                <w:color w:val="auto"/>
              </w:rPr>
              <w:t>96,445</w:t>
            </w:r>
          </w:p>
        </w:tc>
        <w:tc>
          <w:tcPr>
            <w:tcW w:w="1380" w:type="dxa"/>
            <w:vAlign w:val="bottom"/>
          </w:tcPr>
          <w:p>
            <w:pPr>
              <w:jc w:val="right"/>
              <w:ind w:right="296"/>
              <w:spacing w:after="0"/>
              <w:rPr>
                <w:sz w:val="20"/>
                <w:szCs w:val="20"/>
                <w:color w:val="auto"/>
              </w:rPr>
            </w:pPr>
            <w:r>
              <w:rPr>
                <w:rFonts w:ascii="Arial" w:cs="Arial" w:eastAsia="Arial" w:hAnsi="Arial"/>
                <w:sz w:val="18"/>
                <w:szCs w:val="18"/>
                <w:color w:val="auto"/>
              </w:rPr>
              <w:t>$ 380,134</w:t>
            </w:r>
          </w:p>
        </w:tc>
        <w:tc>
          <w:tcPr>
            <w:tcW w:w="1400" w:type="dxa"/>
            <w:vAlign w:val="bottom"/>
          </w:tcPr>
          <w:p>
            <w:pPr>
              <w:ind w:left="78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96"/>
              <w:spacing w:after="0"/>
              <w:rPr>
                <w:sz w:val="20"/>
                <w:szCs w:val="20"/>
                <w:color w:val="auto"/>
              </w:rPr>
            </w:pPr>
            <w:r>
              <w:rPr>
                <w:rFonts w:ascii="Arial" w:cs="Arial" w:eastAsia="Arial" w:hAnsi="Arial"/>
                <w:sz w:val="18"/>
                <w:szCs w:val="18"/>
                <w:color w:val="auto"/>
              </w:rPr>
              <w:t>$ 380,134</w:t>
            </w: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SALES GROWTH INFORMATION</w:t>
            </w:r>
          </w:p>
        </w:tc>
        <w:tc>
          <w:tcPr>
            <w:tcW w:w="5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Three months ended October 31, 2008</w:t>
            </w:r>
          </w:p>
        </w:tc>
        <w:tc>
          <w:tcPr>
            <w:tcW w:w="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Organic</w:t>
            </w:r>
          </w:p>
        </w:tc>
        <w:tc>
          <w:tcPr>
            <w:tcW w:w="5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(8.2)%</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(5.3)%</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11.0%</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400"/>
              <w:spacing w:after="0"/>
              <w:rPr>
                <w:sz w:val="20"/>
                <w:szCs w:val="20"/>
                <w:color w:val="auto"/>
              </w:rPr>
            </w:pPr>
            <w:r>
              <w:rPr>
                <w:rFonts w:ascii="Arial" w:cs="Arial" w:eastAsia="Arial" w:hAnsi="Arial"/>
                <w:sz w:val="18"/>
                <w:szCs w:val="18"/>
                <w:color w:val="auto"/>
              </w:rPr>
              <w:t>Currency</w:t>
            </w:r>
          </w:p>
        </w:tc>
        <w:tc>
          <w:tcPr>
            <w:tcW w:w="560" w:type="dxa"/>
            <w:vAlign w:val="bottom"/>
          </w:tcPr>
          <w:p>
            <w:pPr>
              <w:spacing w:after="0"/>
              <w:rPr>
                <w:sz w:val="18"/>
                <w:szCs w:val="18"/>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(1.6)%</w:t>
            </w:r>
          </w:p>
        </w:tc>
        <w:tc>
          <w:tcPr>
            <w:tcW w:w="380" w:type="dxa"/>
            <w:vAlign w:val="bottom"/>
          </w:tcPr>
          <w:p>
            <w:pPr>
              <w:spacing w:after="0"/>
              <w:rPr>
                <w:sz w:val="18"/>
                <w:szCs w:val="18"/>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2.2%</w:t>
            </w:r>
          </w:p>
        </w:tc>
        <w:tc>
          <w:tcPr>
            <w:tcW w:w="380" w:type="dxa"/>
            <w:vAlign w:val="bottom"/>
          </w:tcPr>
          <w:p>
            <w:pPr>
              <w:spacing w:after="0"/>
              <w:rPr>
                <w:sz w:val="18"/>
                <w:szCs w:val="18"/>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(0.1)%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Acquisitions</w:t>
            </w:r>
          </w:p>
        </w:tc>
        <w:tc>
          <w:tcPr>
            <w:tcW w:w="5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6.3%</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0.0%</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40" w:type="dxa"/>
            <w:vAlign w:val="bottom"/>
          </w:tcPr>
          <w:p>
            <w:pPr>
              <w:ind w:left="600"/>
              <w:spacing w:after="0"/>
              <w:rPr>
                <w:sz w:val="20"/>
                <w:szCs w:val="20"/>
                <w:color w:val="auto"/>
              </w:rPr>
            </w:pPr>
            <w:r>
              <w:rPr>
                <w:rFonts w:ascii="Arial" w:cs="Arial" w:eastAsia="Arial" w:hAnsi="Arial"/>
                <w:sz w:val="18"/>
                <w:szCs w:val="18"/>
                <w:color w:val="auto"/>
              </w:rPr>
              <w:t>Total</w:t>
            </w:r>
          </w:p>
        </w:tc>
        <w:tc>
          <w:tcPr>
            <w:tcW w:w="56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(7.9)%</w:t>
            </w:r>
          </w:p>
        </w:tc>
        <w:tc>
          <w:tcPr>
            <w:tcW w:w="180" w:type="dxa"/>
            <w:vAlign w:val="bottom"/>
          </w:tcPr>
          <w:p>
            <w:pPr>
              <w:spacing w:after="0"/>
              <w:rPr>
                <w:sz w:val="20"/>
                <w:szCs w:val="20"/>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(0.6)%</w:t>
            </w:r>
          </w:p>
        </w:tc>
        <w:tc>
          <w:tcPr>
            <w:tcW w:w="380" w:type="dxa"/>
            <w:vAlign w:val="bottom"/>
          </w:tcPr>
          <w:p>
            <w:pPr>
              <w:spacing w:after="0"/>
              <w:rPr>
                <w:sz w:val="20"/>
                <w:szCs w:val="20"/>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13.2%</w:t>
            </w:r>
          </w:p>
        </w:tc>
        <w:tc>
          <w:tcPr>
            <w:tcW w:w="380" w:type="dxa"/>
            <w:vAlign w:val="bottom"/>
          </w:tcPr>
          <w:p>
            <w:pPr>
              <w:spacing w:after="0"/>
              <w:rPr>
                <w:sz w:val="20"/>
                <w:szCs w:val="20"/>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(0.5)%</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PROFIT</w:t>
            </w:r>
          </w:p>
        </w:tc>
        <w:tc>
          <w:tcPr>
            <w:tcW w:w="5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Three months ended:</w:t>
            </w:r>
          </w:p>
        </w:tc>
        <w:tc>
          <w:tcPr>
            <w:tcW w:w="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October 31, 2008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8"/>
              </w:rPr>
              <w:t>35,524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4"/>
              </w:rPr>
              <w:t>31,138</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4"/>
              </w:rPr>
              <w:t>22,401</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4"/>
              </w:rPr>
              <w:t>89,063</w:t>
            </w:r>
          </w:p>
        </w:tc>
        <w:tc>
          <w:tcPr>
            <w:tcW w:w="108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$(2,307)</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w w:val="98"/>
              </w:rPr>
              <w:t>86,756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200"/>
              <w:spacing w:after="0"/>
              <w:rPr>
                <w:sz w:val="20"/>
                <w:szCs w:val="20"/>
                <w:color w:val="auto"/>
              </w:rPr>
            </w:pPr>
            <w:r>
              <w:rPr>
                <w:rFonts w:ascii="Arial" w:cs="Arial" w:eastAsia="Arial" w:hAnsi="Arial"/>
                <w:sz w:val="18"/>
                <w:szCs w:val="18"/>
                <w:color w:val="auto"/>
              </w:rPr>
              <w:t>October 31, 2007</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10"/>
              <w:spacing w:after="0"/>
              <w:rPr>
                <w:sz w:val="20"/>
                <w:szCs w:val="20"/>
                <w:color w:val="auto"/>
              </w:rPr>
            </w:pPr>
            <w:r>
              <w:rPr>
                <w:rFonts w:ascii="Arial" w:cs="Arial" w:eastAsia="Arial" w:hAnsi="Arial"/>
                <w:sz w:val="18"/>
                <w:szCs w:val="18"/>
                <w:color w:val="auto"/>
                <w:w w:val="98"/>
              </w:rPr>
              <w:t>44,107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50"/>
              <w:spacing w:after="0"/>
              <w:rPr>
                <w:sz w:val="20"/>
                <w:szCs w:val="20"/>
                <w:color w:val="auto"/>
              </w:rPr>
            </w:pPr>
            <w:r>
              <w:rPr>
                <w:rFonts w:ascii="Arial" w:cs="Arial" w:eastAsia="Arial" w:hAnsi="Arial"/>
                <w:sz w:val="18"/>
                <w:szCs w:val="18"/>
                <w:color w:val="auto"/>
                <w:w w:val="94"/>
              </w:rPr>
              <w:t>29,900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0"/>
              <w:spacing w:after="0"/>
              <w:rPr>
                <w:sz w:val="20"/>
                <w:szCs w:val="20"/>
                <w:color w:val="auto"/>
              </w:rPr>
            </w:pPr>
            <w:r>
              <w:rPr>
                <w:rFonts w:ascii="Arial" w:cs="Arial" w:eastAsia="Arial" w:hAnsi="Arial"/>
                <w:sz w:val="18"/>
                <w:szCs w:val="18"/>
                <w:color w:val="auto"/>
                <w:w w:val="94"/>
              </w:rPr>
              <w:t>19,390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410"/>
              <w:spacing w:after="0"/>
              <w:rPr>
                <w:sz w:val="20"/>
                <w:szCs w:val="20"/>
                <w:color w:val="auto"/>
              </w:rPr>
            </w:pPr>
            <w:r>
              <w:rPr>
                <w:rFonts w:ascii="Arial" w:cs="Arial" w:eastAsia="Arial" w:hAnsi="Arial"/>
                <w:sz w:val="18"/>
                <w:szCs w:val="18"/>
                <w:color w:val="auto"/>
                <w:w w:val="94"/>
              </w:rPr>
              <w:t>93,397</w:t>
            </w:r>
          </w:p>
        </w:tc>
        <w:tc>
          <w:tcPr>
            <w:tcW w:w="1080" w:type="dxa"/>
            <w:vAlign w:val="bottom"/>
            <w:gridSpan w:val="3"/>
          </w:tcPr>
          <w:p>
            <w:pPr>
              <w:jc w:val="right"/>
              <w:ind w:right="92"/>
              <w:spacing w:after="0"/>
              <w:rPr>
                <w:sz w:val="20"/>
                <w:szCs w:val="20"/>
                <w:color w:val="auto"/>
              </w:rPr>
            </w:pPr>
            <w:r>
              <w:rPr>
                <w:rFonts w:ascii="Arial" w:cs="Arial" w:eastAsia="Arial" w:hAnsi="Arial"/>
                <w:sz w:val="18"/>
                <w:szCs w:val="18"/>
                <w:color w:val="auto"/>
              </w:rPr>
              <w:t>$(2,237)</w:t>
            </w:r>
          </w:p>
        </w:tc>
        <w:tc>
          <w:tcPr>
            <w:tcW w:w="2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8"/>
              <w:spacing w:after="0"/>
              <w:rPr>
                <w:sz w:val="20"/>
                <w:szCs w:val="20"/>
                <w:color w:val="auto"/>
              </w:rPr>
            </w:pPr>
            <w:r>
              <w:rPr>
                <w:rFonts w:ascii="Arial" w:cs="Arial" w:eastAsia="Arial" w:hAnsi="Arial"/>
                <w:sz w:val="18"/>
                <w:szCs w:val="18"/>
                <w:color w:val="auto"/>
                <w:w w:val="98"/>
              </w:rPr>
              <w:t>91,160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Percentage increase (decrease)</w:t>
            </w:r>
          </w:p>
        </w:tc>
        <w:tc>
          <w:tcPr>
            <w:tcW w:w="5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(19.5)%</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4.1%</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15.5%</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432"/>
        </w:trPr>
        <w:tc>
          <w:tcPr>
            <w:tcW w:w="4980" w:type="dxa"/>
            <w:vAlign w:val="bottom"/>
            <w:gridSpan w:val="4"/>
          </w:tcPr>
          <w:p>
            <w:pPr>
              <w:spacing w:after="0"/>
              <w:rPr>
                <w:sz w:val="20"/>
                <w:szCs w:val="20"/>
                <w:color w:val="auto"/>
              </w:rPr>
            </w:pPr>
            <w:r>
              <w:rPr>
                <w:rFonts w:ascii="Arial" w:cs="Arial" w:eastAsia="Arial" w:hAnsi="Arial"/>
                <w:sz w:val="18"/>
                <w:szCs w:val="18"/>
                <w:b w:val="1"/>
                <w:bCs w:val="1"/>
                <w:color w:val="auto"/>
                <w:w w:val="99"/>
              </w:rPr>
              <w:t xml:space="preserve">SEGMENT PROFIT RECONCILIATION </w:t>
            </w:r>
            <w:r>
              <w:rPr>
                <w:rFonts w:ascii="Arial" w:cs="Arial" w:eastAsia="Arial" w:hAnsi="Arial"/>
                <w:sz w:val="18"/>
                <w:szCs w:val="18"/>
                <w:color w:val="auto"/>
                <w:w w:val="99"/>
              </w:rPr>
              <w:t>(Dollars in thousands)</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gridSpan w:val="6"/>
          </w:tcPr>
          <w:p>
            <w:pPr>
              <w:jc w:val="right"/>
              <w:ind w:right="52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60" w:type="dxa"/>
            <w:vAlign w:val="bottom"/>
            <w:tcBorders>
              <w:top w:val="single" w:sz="8" w:color="auto"/>
            </w:tcBorders>
            <w:gridSpan w:val="3"/>
          </w:tcPr>
          <w:p>
            <w:pPr>
              <w:spacing w:after="0" w:line="123" w:lineRule="exact"/>
              <w:rPr>
                <w:sz w:val="20"/>
                <w:szCs w:val="20"/>
                <w:color w:val="auto"/>
              </w:rPr>
            </w:pPr>
            <w:r>
              <w:rPr>
                <w:rFonts w:ascii="Arial" w:cs="Arial" w:eastAsia="Arial" w:hAnsi="Arial"/>
                <w:sz w:val="14"/>
                <w:szCs w:val="14"/>
                <w:color w:val="auto"/>
              </w:rPr>
              <w:t>October 31,</w:t>
            </w:r>
          </w:p>
        </w:tc>
        <w:tc>
          <w:tcPr>
            <w:tcW w:w="3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jc w:val="right"/>
              <w:spacing w:after="0" w:line="123" w:lineRule="exact"/>
              <w:rPr>
                <w:sz w:val="20"/>
                <w:szCs w:val="20"/>
                <w:color w:val="auto"/>
              </w:rPr>
            </w:pPr>
            <w:r>
              <w:rPr>
                <w:rFonts w:ascii="Arial" w:cs="Arial" w:eastAsia="Arial" w:hAnsi="Arial"/>
                <w:sz w:val="14"/>
                <w:szCs w:val="14"/>
                <w:color w:val="auto"/>
                <w:w w:val="98"/>
              </w:rPr>
              <w:t>October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2008</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Total profit from reportable segments</w:t>
            </w:r>
          </w:p>
        </w:tc>
        <w:tc>
          <w:tcPr>
            <w:tcW w:w="5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89,063</w:t>
            </w:r>
          </w:p>
        </w:tc>
        <w:tc>
          <w:tcPr>
            <w:tcW w:w="3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$ 93,397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Corporate and eliminations</w:t>
            </w:r>
          </w:p>
        </w:tc>
        <w:tc>
          <w:tcPr>
            <w:tcW w:w="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(2,307)</w:t>
            </w:r>
          </w:p>
        </w:tc>
        <w:tc>
          <w:tcPr>
            <w:tcW w:w="34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(2,237)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Unallocated amounts:</w:t>
            </w:r>
          </w:p>
        </w:tc>
        <w:tc>
          <w:tcPr>
            <w:tcW w:w="5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200"/>
              <w:spacing w:after="0"/>
              <w:rPr>
                <w:sz w:val="20"/>
                <w:szCs w:val="20"/>
                <w:color w:val="auto"/>
              </w:rPr>
            </w:pPr>
            <w:r>
              <w:rPr>
                <w:rFonts w:ascii="Arial" w:cs="Arial" w:eastAsia="Arial" w:hAnsi="Arial"/>
                <w:sz w:val="18"/>
                <w:szCs w:val="18"/>
                <w:color w:val="auto"/>
              </w:rPr>
              <w:t>Administrative costs</w:t>
            </w:r>
          </w:p>
        </w:tc>
        <w:tc>
          <w:tcPr>
            <w:tcW w:w="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(30,562)</w:t>
            </w:r>
          </w:p>
        </w:tc>
        <w:tc>
          <w:tcPr>
            <w:tcW w:w="34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(32,822)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and other income</w:t>
            </w:r>
          </w:p>
        </w:tc>
        <w:tc>
          <w:tcPr>
            <w:tcW w:w="5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1,852</w:t>
            </w:r>
          </w:p>
        </w:tc>
        <w:tc>
          <w:tcPr>
            <w:tcW w:w="3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(6,361)</w:t>
            </w:r>
          </w:p>
        </w:tc>
        <w:tc>
          <w:tcPr>
            <w:tcW w:w="34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(6,720)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5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51,685</w:t>
            </w:r>
          </w:p>
        </w:tc>
        <w:tc>
          <w:tcPr>
            <w:tcW w:w="3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Income taxes</w:t>
            </w:r>
          </w:p>
        </w:tc>
        <w:tc>
          <w:tcPr>
            <w:tcW w:w="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(14,575)</w:t>
            </w:r>
          </w:p>
        </w:tc>
        <w:tc>
          <w:tcPr>
            <w:tcW w:w="34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(15,366)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income</w:t>
            </w:r>
          </w:p>
        </w:tc>
        <w:tc>
          <w:tcPr>
            <w:tcW w:w="5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37,110</w:t>
            </w:r>
          </w:p>
        </w:tc>
        <w:tc>
          <w:tcPr>
            <w:tcW w:w="3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$ 36,370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222"/>
        <w:spacing w:after="0" w:line="264" w:lineRule="auto"/>
        <w:rPr>
          <w:sz w:val="20"/>
          <w:szCs w:val="20"/>
          <w:color w:val="auto"/>
        </w:rPr>
      </w:pPr>
      <w:r>
        <w:rPr>
          <w:rFonts w:ascii="Arial" w:cs="Arial" w:eastAsia="Arial" w:hAnsi="Arial"/>
          <w:sz w:val="18"/>
          <w:szCs w:val="18"/>
          <w:color w:val="auto"/>
        </w:rPr>
        <w:t>The Company evaluates performance of the businesses using sales and segment profit. Segment profit or loss does not include certain administrative costs, such as the cost of finance, information technology and human resources, which are managed as global functions. Interest, stock options, investment and other income and income taxes are also excluded when evaluating performance.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Americas:</w:t>
      </w:r>
    </w:p>
    <w:p>
      <w:pPr>
        <w:spacing w:after="0" w:line="117"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Sales in the Americas decreased 7.9% for the quarter ended October 31, 2008, compared to the same period in the prior year. Organic sales declined 8.2% in the first quarter of fiscal 2009 compared to the same period last year. Fluctuations in the exchange rates used to translate financial results into the U.S. dollar decreased sales by 0.3% in the quarter. Sales in the region were aided by the fiscal 2008 acquisition of DAWG, which increased sales by 0.6% for the quarter. The decline in organic sales was driven by weakness in the MRO markets in the U.S., partially offset by growth in Brazil, Mexico and Canada as well as moderate growth in the OEM markets in the U.S. The segment experienced a significant softening across most markets during the quarter ended October 31, 2008. Management expects that challenging business conditions will continue for the remainder of fiscal 2009.</w:t>
      </w:r>
    </w:p>
    <w:p>
      <w:pPr>
        <w:spacing w:after="0" w:line="57"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Segment profit decreased 19.5% to $35.5 million for the quarter ended October 31, 2008, compared to $44.1 million for the same period in the prior year. As a percentage of sales, segment profit decreased to 22.1% for the quarter ended October 31, 2008 from 25.2% for the same period in the prior year. The decline in segment profit as a percentage of sales was primarily due to weak sales, which impacted the Company’s ability to absorb fixed costs and overhead. The decline in segment profit as a percentage of sales was partially offset by the reduction of costs resulting from the implementation of the Brady Business Performance System (“BBPS”).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w:t>
      </w:r>
    </w:p>
    <w:p>
      <w:pPr>
        <w:spacing w:after="0" w:line="117" w:lineRule="exact"/>
        <w:rPr>
          <w:sz w:val="20"/>
          <w:szCs w:val="20"/>
          <w:color w:val="auto"/>
        </w:rPr>
      </w:pPr>
    </w:p>
    <w:p>
      <w:pPr>
        <w:ind w:right="80" w:firstLine="225"/>
        <w:spacing w:after="0" w:line="255" w:lineRule="auto"/>
        <w:rPr>
          <w:sz w:val="20"/>
          <w:szCs w:val="20"/>
          <w:color w:val="auto"/>
        </w:rPr>
      </w:pPr>
      <w:r>
        <w:rPr>
          <w:rFonts w:ascii="Arial" w:cs="Arial" w:eastAsia="Arial" w:hAnsi="Arial"/>
          <w:sz w:val="18"/>
          <w:szCs w:val="18"/>
          <w:color w:val="auto"/>
        </w:rPr>
        <w:t>Europe sales declined 0.6% for the quarter ended October 31, 2008, compared to the same period in the prior year. Organic sales were down 5.3% in the quarter as compared to the same period last year. Sales were negatively affected by fluctuations in the exchange rates used to translate financial results into the U.S. dollar, primarily the Euro and the British pound, which decreased sales within the region by 1.6% in the quarter. The fiscal 2008 acquisition of Transposafe increased sales by 6.3%. The decline in organic sales was primarily the result of a weakening European economy. Geographically, the segment experienced declines in Germany, Slovakia, Italy, and the U.K., which were partially offset by gains in Belgium, Scandinavia, and France. The European economies are experiencing an economic downturn, and management anticipates that this downturn will negatively impact the segment during the remainder of fiscal 2009.</w:t>
      </w:r>
    </w:p>
    <w:p>
      <w:pPr>
        <w:spacing w:after="0" w:line="81"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Segment profit increased 4.1% to $31.1 million for the quarter ended October 31, 2008, compared to $29.9 million for the same period of the prior year. As a percentage of sales, segment profit increased to 28.8% in the first quarter of fiscal 2009 from 27.5% in the first quarter of fiscal 2008. Despite lower than expected sales, the segment was able to improve profitability over the prior year through the reduction of costs resulting from streamlined manufacturing operations and the implementation of the BBPS.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Asia-Pacific:</w:t>
      </w:r>
    </w:p>
    <w:p>
      <w:pPr>
        <w:spacing w:after="0" w:line="117" w:lineRule="exact"/>
        <w:rPr>
          <w:sz w:val="20"/>
          <w:szCs w:val="20"/>
          <w:color w:val="auto"/>
        </w:rPr>
      </w:pPr>
    </w:p>
    <w:p>
      <w:pPr>
        <w:ind w:firstLine="215"/>
        <w:spacing w:after="0" w:line="291" w:lineRule="auto"/>
        <w:rPr>
          <w:sz w:val="20"/>
          <w:szCs w:val="20"/>
          <w:color w:val="auto"/>
        </w:rPr>
      </w:pPr>
      <w:r>
        <w:rPr>
          <w:rFonts w:ascii="Arial" w:cs="Arial" w:eastAsia="Arial" w:hAnsi="Arial"/>
          <w:sz w:val="16"/>
          <w:szCs w:val="16"/>
          <w:color w:val="auto"/>
        </w:rPr>
        <w:t>Asia-Pacific sales increased 13.2% for the quarter ended October 31, 2008, compared to the same period in the prior year. Organic growth accounted for 11.0% in the quarter as compared to the same period last year. Sales were positively affected by fluctuations in the exchange rates used to translate financial results into the U.S. dollar, which increased sales within the region by 2.2% in the quarter. The segment’s strong organic growth for the quarter exceeded reported growth in the OEM electronic industry due to the successful conversion of designs to orders, increased allocations within the OEM supply chain, and the leveraging of the Company’s unique production capabilities. Towards the end of the first quarter of fiscal 2009, the segment experienced declining demand resulting from reaction to the slowing global economy by its key accounts in the consumer electronics industry. Additionally, management expects the challenging business conditions to continue during the remainder of calendar 2008 and into calendar 2009 due to the global economic downturn.</w:t>
      </w:r>
    </w:p>
    <w:p>
      <w:pPr>
        <w:spacing w:after="0" w:line="59" w:lineRule="exact"/>
        <w:rPr>
          <w:sz w:val="20"/>
          <w:szCs w:val="20"/>
          <w:color w:val="auto"/>
        </w:rPr>
      </w:pPr>
    </w:p>
    <w:p>
      <w:pPr>
        <w:ind w:right="140" w:firstLine="225"/>
        <w:spacing w:after="0" w:line="259" w:lineRule="auto"/>
        <w:rPr>
          <w:sz w:val="20"/>
          <w:szCs w:val="20"/>
          <w:color w:val="auto"/>
        </w:rPr>
      </w:pPr>
      <w:r>
        <w:rPr>
          <w:rFonts w:ascii="Arial" w:cs="Arial" w:eastAsia="Arial" w:hAnsi="Arial"/>
          <w:sz w:val="18"/>
          <w:szCs w:val="18"/>
          <w:color w:val="auto"/>
        </w:rPr>
        <w:t>Segment profit increased 15.5% to $22.4 million for the quarter ended October 31, 2008, compared to $19.4 million for the same period in the prior year. As a percentage of sales, segment profit increased to 20.5% in the first quarter of fiscal 2009 from 20.1% in the first quarter of fiscal 2008. The increase in segment profit was primarily the result of capacity utilization within the segment, in addition to prior year consolidation of facilities and benefits achieved from BBPS initiatives.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Condition</w:t>
      </w:r>
    </w:p>
    <w:p>
      <w:pPr>
        <w:spacing w:after="0" w:line="117" w:lineRule="exact"/>
        <w:rPr>
          <w:sz w:val="20"/>
          <w:szCs w:val="20"/>
          <w:color w:val="auto"/>
        </w:rPr>
      </w:pPr>
    </w:p>
    <w:p>
      <w:pPr>
        <w:ind w:right="720" w:firstLine="222"/>
        <w:spacing w:after="0" w:line="291" w:lineRule="auto"/>
        <w:rPr>
          <w:sz w:val="20"/>
          <w:szCs w:val="20"/>
          <w:color w:val="auto"/>
        </w:rPr>
      </w:pPr>
      <w:r>
        <w:rPr>
          <w:rFonts w:ascii="Arial" w:cs="Arial" w:eastAsia="Arial" w:hAnsi="Arial"/>
          <w:sz w:val="16"/>
          <w:szCs w:val="16"/>
          <w:color w:val="auto"/>
        </w:rPr>
        <w:t>The Company’s current ratio as of October 31, 2008, was 2.4 compared to 2.3 at July 31, 2008. Cash and cash equivalents were $178.8 million at October 31, 2008, compared to $258.4 million at July 31, 2008. The decrease in cash of $79.6 million was the result of cash used in operations of</w:t>
      </w:r>
    </w:p>
    <w:p>
      <w:pPr>
        <w:spacing w:after="0"/>
        <w:rPr>
          <w:sz w:val="20"/>
          <w:szCs w:val="20"/>
          <w:color w:val="auto"/>
        </w:rPr>
      </w:pPr>
      <w:r>
        <w:rPr>
          <w:rFonts w:ascii="Arial" w:cs="Arial" w:eastAsia="Arial" w:hAnsi="Arial"/>
          <w:sz w:val="16"/>
          <w:szCs w:val="16"/>
          <w:color w:val="auto"/>
        </w:rPr>
        <w:t>$4.7 million, cash used in investing activities of $5.1 million, cash used in financing activities of $43.7 million, and the effects of the appreciation of the 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dollar against other currencies, which negatively impacted cash in the amount of $26.0 million during the quarter ended October 31, 2008.</w:t>
      </w:r>
    </w:p>
    <w:p>
      <w:pPr>
        <w:spacing w:after="0" w:line="103" w:lineRule="exact"/>
        <w:rPr>
          <w:sz w:val="20"/>
          <w:szCs w:val="20"/>
          <w:color w:val="auto"/>
        </w:rPr>
      </w:pPr>
    </w:p>
    <w:p>
      <w:pPr>
        <w:ind w:right="220" w:firstLine="215"/>
        <w:spacing w:after="0" w:line="297" w:lineRule="auto"/>
        <w:rPr>
          <w:sz w:val="20"/>
          <w:szCs w:val="20"/>
          <w:color w:val="auto"/>
        </w:rPr>
      </w:pPr>
      <w:r>
        <w:rPr>
          <w:rFonts w:ascii="Arial" w:cs="Arial" w:eastAsia="Arial" w:hAnsi="Arial"/>
          <w:sz w:val="16"/>
          <w:szCs w:val="16"/>
          <w:color w:val="auto"/>
        </w:rPr>
        <w:t>Accounts receivable decreased $19.2 million for the quarter primarily as a result of foreign currency translation, partially offset by increases in the Asia-Pacific segment due to increased sales volume. Inventories decreased $3.9 million for the quarter, primarily due to foreign currency translation, partially offset by lower than expected demand due to the economic slowdown in the Americas and Europe. The net decrease in current liabilities was $54.5 million for the quarter. The decrease was composed of a significant decrease in accrued wages due to the payment of incentives in the first quarter of fiscal 2009 related to the incentives earned in the year ended July 31, 2008, in addition to decreases in accounts payable and accrued income taxes.</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Cash used in operating activities totaled $4.7 million for the quarter ended October 31, 2008, compared to cash provided by operating activities of</w:t>
      </w:r>
    </w:p>
    <w:p>
      <w:pPr>
        <w:spacing w:after="0" w:line="3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$33.9 million for the same period last year. The decrease was the result of significant increases in inventory balances, as well as decreases in accounts payable and income tax balances as compared to the decrease reported in the first quarter of fiscal 2008.</w:t>
      </w:r>
    </w:p>
    <w:p>
      <w:pPr>
        <w:spacing w:after="0" w:line="76" w:lineRule="exact"/>
        <w:rPr>
          <w:sz w:val="20"/>
          <w:szCs w:val="20"/>
          <w:color w:val="auto"/>
        </w:rPr>
      </w:pPr>
    </w:p>
    <w:p>
      <w:pPr>
        <w:ind w:right="340" w:firstLine="225"/>
        <w:spacing w:after="0" w:line="264" w:lineRule="auto"/>
        <w:rPr>
          <w:sz w:val="20"/>
          <w:szCs w:val="20"/>
          <w:color w:val="auto"/>
        </w:rPr>
      </w:pPr>
      <w:r>
        <w:rPr>
          <w:rFonts w:ascii="Arial" w:cs="Arial" w:eastAsia="Arial" w:hAnsi="Arial"/>
          <w:sz w:val="18"/>
          <w:szCs w:val="18"/>
          <w:color w:val="auto"/>
        </w:rPr>
        <w:t>Capital expenditures were $6.4 million for the quarter ended October 31, 2008, compared to $7.4 million in the same period last year. Net cash used in financing activities was $43.7 million for the quarter ended October 31, 2008, related primarily to the repurchase of the Company’s Class A Non-Voting Common Stock and the payment of dividends.</w:t>
      </w:r>
    </w:p>
    <w:p>
      <w:pPr>
        <w:spacing w:after="0" w:line="73" w:lineRule="exact"/>
        <w:rPr>
          <w:sz w:val="20"/>
          <w:szCs w:val="20"/>
          <w:color w:val="auto"/>
        </w:rPr>
      </w:pPr>
    </w:p>
    <w:p>
      <w:pPr>
        <w:ind w:right="60" w:firstLine="225"/>
        <w:spacing w:after="0" w:line="291" w:lineRule="auto"/>
        <w:rPr>
          <w:sz w:val="20"/>
          <w:szCs w:val="20"/>
          <w:color w:val="auto"/>
        </w:rPr>
      </w:pPr>
      <w:r>
        <w:rPr>
          <w:rFonts w:ascii="Arial" w:cs="Arial" w:eastAsia="Arial" w:hAnsi="Arial"/>
          <w:sz w:val="16"/>
          <w:szCs w:val="16"/>
          <w:color w:val="auto"/>
        </w:rPr>
        <w:t>On March 23, 2007, the Company completed the private placement of $150 million in ten-year fixed notes at 5.33% interest to institutional investors. The notes will be amortized in equal installments over seven years, beginning in 2011, with interest payable on the notes semiannually on September 23 and March 23, which began in September 2007. The notes have been fully and unconditionally guaranteed on an unsecured basis by the Company’s domestic subsidiaries. The Company used the net proceeds of the offering to reduce outstanding indebtedness under the Company’s revolving loan agreement and fund its ongoing strategic growth plan. The private placement was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repaying them prior to the maturity date.</w:t>
      </w:r>
    </w:p>
    <w:p>
      <w:pPr>
        <w:spacing w:after="0" w:line="59"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On October 5, 2006, the Company entered into a $200 million multi-currency revolving loan agreement with a group of five banks that replaced the Company’s previous credit agreement. At the Company’s option, and subject to certain standard conditions, the available amount under the new credit facility may be increased from $200 million up to $300 million. Under the credit agreement, the Company has the option to select either a base interest rate (based upon the higher of the federal funds rate plus one-half of 1% or the prime rate of Bank of America) or a Eurocurrency interest rate (at the LIBOR rate plus a margin based on the Company’s consolidated leverage ratio). A commitment fee is payable on the unused amount of the facility. The agreement restricts the amount of certain types of payments, including dividends, which can be made annually to $50 million plus an amount equal to 75% of consolidated net income for the prior fiscal year of the Company. The Company believes that based on historic dividend practice, this restriction would not impede the Company in following a similar dividend practice in the future. On March 18, 2008, the Company entered into an amendment to the revolving loan agreement which extended the maturity date from October 5, 2011 to March 18, 2013. All other terms of the revolving loan agreement remained the same. As of October 31, 2008, there were no outstanding borrowings under the credit facility.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On February 14, 2006, the Company completed the private placement of $200 million in ten-year fixed notes at 5.3% interest to institutional investors. The notes will be amortized in equal installments over seven years, beginning in 2010 with interest payable on the notes semiannually on August 14 and February 14, which began in August 2006. The notes have been fully and unconditionally guaranteed on an unsecured basis by the Company’s domestic subsidiaries. The Company used the net proceeds of the offering to finance acquisitions completed in fiscal 2006 and 2007. This private placement was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repaying them prior to the maturity date.</w:t>
      </w:r>
    </w:p>
    <w:p>
      <w:pPr>
        <w:spacing w:after="0" w:line="70"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On June 30, 2004, the Company finalized a debt offering of $150 million of 5.14% fixed rate unsecured senior notes due in 2014 in an offering exempt from the registration requirements of the Securities Act of 1933. The debt offering was in conjunction with the Company’s acquisition of EMED. The notes will be repaid over seven years, which began in 2008, with interest payable on the notes semiannually on June 28 and December 28, which began in December 2004. The Company used the proceeds of the offering to reduce outstanding indebtedness under the Company’s revolving credit facilities. The debt has certain prepayment penalties for repaying the debt prior to its maturity date. The Company paid its first installment under the debt agreement in June 2008 for $21.4 million.</w:t>
      </w:r>
    </w:p>
    <w:p>
      <w:pPr>
        <w:spacing w:after="0" w:line="85" w:lineRule="exact"/>
        <w:rPr>
          <w:sz w:val="20"/>
          <w:szCs w:val="20"/>
          <w:color w:val="auto"/>
        </w:rPr>
      </w:pPr>
    </w:p>
    <w:p>
      <w:pPr>
        <w:ind w:right="20" w:firstLine="222"/>
        <w:spacing w:after="0" w:line="291" w:lineRule="auto"/>
        <w:rPr>
          <w:sz w:val="20"/>
          <w:szCs w:val="20"/>
          <w:color w:val="auto"/>
        </w:rPr>
      </w:pPr>
      <w:r>
        <w:rPr>
          <w:rFonts w:ascii="Arial" w:cs="Arial" w:eastAsia="Arial" w:hAnsi="Arial"/>
          <w:sz w:val="16"/>
          <w:szCs w:val="16"/>
          <w:color w:val="auto"/>
        </w:rPr>
        <w:t>The Company’s debt and revolving loan agreements require it to maintain certain financial covenants. The Company’s June 2004, February 2006, and March 2007 debt agreements require the Company to maintain a ratio of debt to the trailing twelve months earnings before interest, taxes, depreciation and amortization (“EBITDA”), as defined in the debt agreements, of not more than a 3.5 to 1.0 ratio (leverage ratio). The Company’s October 2006 revolving loan agreement requires the Company to maintain a ratio of debt to trailing twelve months EBITDA, as defined by the debt agreement, of not more than a 3.0 to 1.0 ratio. Additionally, the revolving loan agreement requires the Company’s trailing twelve months earnings before interest and taxes (“EBIT”) to interest expense of not less than a 3.0 to 1.0 ratio (interest expense coverage). As of October 31, 2008, the Company was in compliance and, as of the date of this Report, believes it will remain in compliance with the financial covenants of its debt and revolving loan agreements.</w:t>
      </w:r>
    </w:p>
    <w:p>
      <w:pPr>
        <w:spacing w:after="0" w:line="59" w:lineRule="exact"/>
        <w:rPr>
          <w:sz w:val="20"/>
          <w:szCs w:val="20"/>
          <w:color w:val="auto"/>
        </w:rPr>
      </w:pPr>
    </w:p>
    <w:p>
      <w:pPr>
        <w:ind w:right="20" w:firstLine="222"/>
        <w:spacing w:after="0" w:line="286" w:lineRule="auto"/>
        <w:rPr>
          <w:sz w:val="20"/>
          <w:szCs w:val="20"/>
          <w:color w:val="auto"/>
        </w:rPr>
      </w:pPr>
      <w:r>
        <w:rPr>
          <w:rFonts w:ascii="Arial" w:cs="Arial" w:eastAsia="Arial" w:hAnsi="Arial"/>
          <w:sz w:val="17"/>
          <w:szCs w:val="17"/>
          <w:color w:val="auto"/>
        </w:rPr>
        <w:t>The Company believes its cash position is solid. While the Company strives to maximize investment income on its excess cash, preservation of principal is the first priority of the Company’s investment policy. In volatile markets, as the Company has recently experienced, the Company’s investment policy is intended to preserve principal as its primary goal, possibly at the expense of the yields historically achieved.</w:t>
      </w:r>
    </w:p>
    <w:p>
      <w:pPr>
        <w:spacing w:after="0" w:line="57" w:lineRule="exact"/>
        <w:rPr>
          <w:sz w:val="20"/>
          <w:szCs w:val="20"/>
          <w:color w:val="auto"/>
        </w:rPr>
      </w:pPr>
    </w:p>
    <w:p>
      <w:pPr>
        <w:ind w:right="60" w:firstLine="222"/>
        <w:spacing w:after="0" w:line="273" w:lineRule="auto"/>
        <w:rPr>
          <w:sz w:val="20"/>
          <w:szCs w:val="20"/>
          <w:color w:val="auto"/>
        </w:rPr>
      </w:pPr>
      <w:r>
        <w:rPr>
          <w:rFonts w:ascii="Arial" w:cs="Arial" w:eastAsia="Arial" w:hAnsi="Arial"/>
          <w:sz w:val="17"/>
          <w:szCs w:val="17"/>
          <w:color w:val="auto"/>
        </w:rPr>
        <w:t>The Company’s growth has historically been funded by a combination of cash provided by operating activities and debt financing. The Company believes that its cash from operations, in addition to its sources of borrowing, are sufficient to fund its anticipated requirements for working capital, capital expenditures, restructuring activities, acquisitions, common stock repurchases, and dividend payments. Further, external funds have been available at a reasonable cost. As of the date of this Form 10-Q, the credit and financial markets are in a period of substantial instability and uncertainty that is affecting the availability of credit to borrowers. The Company believes that its current credit arrangements are sound and that the strength of its balance sheet will allow the Company the financial flexibility to respond to both internal growth opportunities and those available through acquisition.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Subsequent Events Affecting Financial Condition</w:t>
      </w:r>
    </w:p>
    <w:p>
      <w:pPr>
        <w:spacing w:after="0" w:line="117"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On November 20, 2008, the Board of Directors declared a quarterly cash dividend to shareholders of the Company’s Class A Common Stock of $0.17 per share payable on January 30, 2009 to shareholders of record at the close of business on January 9, 2009.</w:t>
      </w:r>
    </w:p>
    <w:p>
      <w:pPr>
        <w:spacing w:after="0" w:line="62"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On November 24, 2008, the Company filed a shelf registration statement on Form S-3 with the Securities and Exchange Commission (“SEC”), which will allow the Company to issue and sell, from time to time in one or more offerings, an indeterminate amount of Class A Non-Voting Common Stock and debt securities as it deems prudent or necessary to raise capital at a later date. The shelf registration statement became effective upon filing with the SEC. The Company plans to use the proceeds from any future offerings under the shelf registration for general corporate purposes, including, but not limited to, acquisitions, capital expenditures, and refinancing of debt.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225"/>
        <w:spacing w:after="0" w:line="286" w:lineRule="auto"/>
        <w:rPr>
          <w:sz w:val="20"/>
          <w:szCs w:val="20"/>
          <w:color w:val="auto"/>
        </w:rPr>
      </w:pPr>
      <w:r>
        <w:rPr>
          <w:rFonts w:ascii="Arial" w:cs="Arial" w:eastAsia="Arial" w:hAnsi="Arial"/>
          <w:sz w:val="17"/>
          <w:szCs w:val="17"/>
          <w:color w:val="auto"/>
        </w:rPr>
        <w:t>Off-Balance Sheet Arrangements — The Company does not have material off-balance sheet arrangements or related-party transactions. The Company is not aware of factors that are reasonably likely to adversely affect liquidity trends, other than the risk factors described in this and other Company filings. However, the following additional information is provided to assist those reviewing the Company’s financial statements.</w:t>
      </w:r>
    </w:p>
    <w:p>
      <w:pPr>
        <w:spacing w:after="0" w:line="57"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Operating Leases — These leases generally are entered into for investments in facilities, such as manufacturing facilities, warehouses and office buildings, computer equipment and Company vehicles, for which the economic profile is favorable.</w:t>
      </w:r>
    </w:p>
    <w:p>
      <w:pPr>
        <w:spacing w:after="0" w:line="62" w:lineRule="exact"/>
        <w:rPr>
          <w:sz w:val="20"/>
          <w:szCs w:val="20"/>
          <w:color w:val="auto"/>
        </w:rPr>
      </w:pPr>
    </w:p>
    <w:p>
      <w:pPr>
        <w:ind w:right="160" w:firstLine="225"/>
        <w:spacing w:after="0" w:line="257" w:lineRule="auto"/>
        <w:rPr>
          <w:sz w:val="20"/>
          <w:szCs w:val="20"/>
          <w:color w:val="auto"/>
        </w:rPr>
      </w:pPr>
      <w:r>
        <w:rPr>
          <w:rFonts w:ascii="Arial" w:cs="Arial" w:eastAsia="Arial" w:hAnsi="Arial"/>
          <w:sz w:val="18"/>
          <w:szCs w:val="18"/>
          <w:color w:val="auto"/>
        </w:rPr>
        <w:t>Purchase Commitments — The Company has purchase commitments for materials, supplies, services, and property, plant and equipment as part of the ordinary conduct of its business. In the aggregate, such commitments are not in excess of current market prices and are not material to the financial position of the Company. Due to the proprietary nature of many of the Company’s materials and processes, certain supply contracts contain penalty provisions for early termination. The Company does not believe a material amount of penalties will be incurred under these contracts based upon historical experience and current expectations.</w:t>
      </w:r>
    </w:p>
    <w:p>
      <w:pPr>
        <w:spacing w:after="0" w:line="80" w:lineRule="exact"/>
        <w:rPr>
          <w:sz w:val="20"/>
          <w:szCs w:val="20"/>
          <w:color w:val="auto"/>
        </w:rPr>
      </w:pPr>
    </w:p>
    <w:p>
      <w:pPr>
        <w:jc w:val="both"/>
        <w:ind w:firstLine="225"/>
        <w:spacing w:after="0" w:line="286" w:lineRule="auto"/>
        <w:rPr>
          <w:sz w:val="20"/>
          <w:szCs w:val="20"/>
          <w:color w:val="auto"/>
        </w:rPr>
      </w:pPr>
      <w:r>
        <w:rPr>
          <w:rFonts w:ascii="Arial" w:cs="Arial" w:eastAsia="Arial" w:hAnsi="Arial"/>
          <w:sz w:val="17"/>
          <w:szCs w:val="17"/>
          <w:color w:val="auto"/>
        </w:rPr>
        <w:t>Other Contractual Obligations — The Company does not have material financial guarantees or other contractual commitments that are reasonably likely to adversely affect liquidity. Under the guidelines established by FIN 48, which the Company adopted as of August 1, 2007, the Company is unable to determine the period in which the cash settlement of the liability associated with FIN 48 will occur with the respective taxing authority.</w:t>
      </w:r>
    </w:p>
    <w:p>
      <w:pPr>
        <w:spacing w:after="0" w:line="57" w:lineRule="exact"/>
        <w:rPr>
          <w:sz w:val="20"/>
          <w:szCs w:val="20"/>
          <w:color w:val="auto"/>
        </w:rPr>
      </w:pPr>
    </w:p>
    <w:p>
      <w:pPr>
        <w:ind w:right="420" w:firstLine="225"/>
        <w:spacing w:after="0" w:line="277" w:lineRule="auto"/>
        <w:rPr>
          <w:sz w:val="20"/>
          <w:szCs w:val="20"/>
          <w:color w:val="auto"/>
        </w:rPr>
      </w:pPr>
      <w:r>
        <w:rPr>
          <w:rFonts w:ascii="Arial" w:cs="Arial" w:eastAsia="Arial" w:hAnsi="Arial"/>
          <w:sz w:val="18"/>
          <w:szCs w:val="18"/>
          <w:color w:val="auto"/>
        </w:rPr>
        <w:t>Related-Party Transactions — The Company does not have any related-party transactions that materially affect the results of operations, cash flow or financial condition.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117" w:lineRule="exact"/>
        <w:rPr>
          <w:sz w:val="20"/>
          <w:szCs w:val="20"/>
          <w:color w:val="auto"/>
        </w:rPr>
      </w:pPr>
    </w:p>
    <w:p>
      <w:pPr>
        <w:ind w:firstLine="225"/>
        <w:spacing w:after="0" w:line="267" w:lineRule="auto"/>
        <w:rPr>
          <w:sz w:val="20"/>
          <w:szCs w:val="20"/>
          <w:color w:val="auto"/>
        </w:rPr>
      </w:pPr>
      <w:r>
        <w:rPr>
          <w:rFonts w:ascii="Arial" w:cs="Arial" w:eastAsia="Arial" w:hAnsi="Arial"/>
          <w:sz w:val="17"/>
          <w:szCs w:val="17"/>
          <w:color w:val="auto"/>
        </w:rPr>
        <w:t>Brady believes that certain statements in this Form 10-Q are “forward-looking statements” within the meaning of the Private Securities Litigation Reform Act of 1995. All statements related to future, not past, events included in this Form10-Q, including, without limitation, statements regarding Brady’s future financial position, business strategy, targets, projected sales, costs, earnings, capital expenditures, debt levels and cash flows, and plans and objectives of management for future operations are forward-looking statements. When used in this Form 10-Q,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future financial performance of major markets Brady serves, which include, without limitation, telecommunications, manufacturing, electrical, construction, laboratory, education, governmental, public utility, computer, transportation; difficulties in making and integrating acquisitions; risks associated with newly acquired businesses; Brady’s ability to develop and successfully market new products; changes in the supply of, or price for, parts and components; increased price pressure from suppliers and customers; fluctuations in currency rates versus the US dollar; potential write-offs of Brady’s substantial intangible assets; Brady’s ability to retain significant contracts and customers; risks associated with international operations; Brady’s ability to attract and retain key talent; technology changes; business interruptions due to implementing business systems; environmental, health and safety compliance costs and liabilities; future competition; interruptions to sources of supply; Brady’s ability to realize cost savings from operating initiatives; difficulties associated with exports; risks associated with obtaining governmental approvals and maintaining regulatory compliance for new and existing products;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located in Item 1A of Part I of Brady’s Form 10-K for the year ended July 31, 2008. These uncertainties may cause Brady’s actual future results to be materially different than those expressed in its forward-looking statements. Brady does not undertake to update its forward-looking statements.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17" w:lineRule="exact"/>
        <w:rPr>
          <w:sz w:val="20"/>
          <w:szCs w:val="20"/>
          <w:color w:val="auto"/>
        </w:rPr>
      </w:pPr>
    </w:p>
    <w:p>
      <w:pPr>
        <w:ind w:right="460" w:firstLine="222"/>
        <w:spacing w:after="0" w:line="264" w:lineRule="auto"/>
        <w:rPr>
          <w:sz w:val="20"/>
          <w:szCs w:val="20"/>
          <w:color w:val="auto"/>
        </w:rPr>
      </w:pPr>
      <w:r>
        <w:rPr>
          <w:rFonts w:ascii="Arial" w:cs="Arial" w:eastAsia="Arial" w:hAnsi="Arial"/>
          <w:sz w:val="18"/>
          <w:szCs w:val="18"/>
          <w:color w:val="auto"/>
        </w:rPr>
        <w:t>The Company’s business operations give rise to market risk exposure due to changes in foreign exchange rates. To manage that risk effectively, the Company enters into hedging transactions, according to established guidelines and policies, that enable it to mitigate the adverse effects of this financial market risk.</w:t>
      </w:r>
    </w:p>
    <w:p>
      <w:pPr>
        <w:spacing w:after="0" w:line="73" w:lineRule="exact"/>
        <w:rPr>
          <w:sz w:val="20"/>
          <w:szCs w:val="20"/>
          <w:color w:val="auto"/>
        </w:rPr>
      </w:pPr>
    </w:p>
    <w:p>
      <w:pPr>
        <w:ind w:firstLine="222"/>
        <w:spacing w:after="0" w:line="273" w:lineRule="auto"/>
        <w:rPr>
          <w:sz w:val="20"/>
          <w:szCs w:val="20"/>
          <w:color w:val="auto"/>
        </w:rPr>
      </w:pPr>
      <w:r>
        <w:rPr>
          <w:rFonts w:ascii="Arial" w:cs="Arial" w:eastAsia="Arial" w:hAnsi="Arial"/>
          <w:sz w:val="17"/>
          <w:szCs w:val="17"/>
          <w:color w:val="auto"/>
        </w:rPr>
        <w:t>The global nature of the Company’s business requires active participation in the foreign exchange markets. As a result of investments, production facilities and other operations on a global scale, the Company has assets, liabilities and cash flows in currencies other than the U.S. Dollar. The primary objective of the Company’s foreign currency exchange risk management is to minimize the impact of currency movements on intercompany transactions and foreign raw-material imports. To achieve this objective, the Company hedges a portion of known exposures using forward contracts. Main exposures are related to transactions denominated in the British Pound, the Euro, Canadian Dollar, Australian Dollar, Singapore Dollar, Swedish Krona, Korean Won and Chinese Yuan currency. As of October 31, 2008, the amount of outstanding foreign exchange contracts was $15.6 million.</w:t>
      </w:r>
    </w:p>
    <w:p>
      <w:pPr>
        <w:spacing w:after="0" w:line="70" w:lineRule="exact"/>
        <w:rPr>
          <w:sz w:val="20"/>
          <w:szCs w:val="20"/>
          <w:color w:val="auto"/>
        </w:rPr>
      </w:pPr>
    </w:p>
    <w:p>
      <w:pPr>
        <w:ind w:right="140" w:firstLine="222"/>
        <w:spacing w:after="0" w:line="259" w:lineRule="auto"/>
        <w:rPr>
          <w:sz w:val="20"/>
          <w:szCs w:val="20"/>
          <w:color w:val="auto"/>
        </w:rPr>
      </w:pPr>
      <w:r>
        <w:rPr>
          <w:rFonts w:ascii="Arial" w:cs="Arial" w:eastAsia="Arial" w:hAnsi="Arial"/>
          <w:sz w:val="18"/>
          <w:szCs w:val="18"/>
          <w:color w:val="auto"/>
        </w:rPr>
        <w:t>The Company could be exposed to interest rate risk through its corporate borrowing activities. The objective of the Company’s interest rate risk management activities is to manage the levels of the Company’s fixed and floating interest rate exposure to be consistent with the Company’s preferred mix. The interest rate risk management program allows the Company to enter into approved interest rate derivatives if there is a desire to modify the Company’s exposure to interest rates. As of October 31, 2008, the Company had no interest rate derivatives.</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Company is subject to the risk of changes in foreign currency exchange rates due to its operations in foreign countries. The Company has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manufacturing facilities in Australia, Brazil, Canada, China, Mexico, South Korea, Thailand, India and throughout Europe. It sells and distributes its products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throughout the world. As a result, the Company’s financial results could be significantly affected by factors such as changes in foreign currency exchange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rates or weak economic conditions in the foreign markets in which the Company manufactures, distributes and sells its products. The Company’s operating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results are principally exposed to changes in exchange rates between the dollar and the European currencies, primarily the euro, changes between the dollar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the Australian dollar, changes between the dollar and the Canadian dollar, and changes between the dollar and the Chinese yuan. Changes in foreign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currency exchange rates for the Company’s foreign subsidiaries reporting in local currencies are generally reported as a component of shareholders’ equity.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Company’s currency translation adjustments recorded for the three months ending October 31, 2008 and 2007 were $11.9 million unfavorable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$103.3 million favorable, respectively. As of October 31, 2008 and 2007, the Company’s foreign subsidiaries had net current assets (defined as current assets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less current liabilities) subject to foreign currency translation risk of $230.3 million and $243.1 million, respectively. The potential decrease in the net current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assets as of October 31, 2008 from a hypothetical 10 percent adverse change in quoted foreign currency exchange rates would be $23.0 million.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sensitivity analysis assumes a parallel shift in foreign currency exchange rates. Exchange rates rarely move in the same direction relative to the dollar.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assumption may overstate the impact of changing exchange rates on individual assets and liabilities denominated in a foreign currency.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17" w:lineRule="exact"/>
        <w:rPr>
          <w:sz w:val="20"/>
          <w:szCs w:val="20"/>
          <w:color w:val="auto"/>
        </w:rPr>
      </w:pPr>
    </w:p>
    <w:p>
      <w:pPr>
        <w:ind w:right="20" w:firstLine="222"/>
        <w:spacing w:after="0" w:line="293" w:lineRule="auto"/>
        <w:rPr>
          <w:sz w:val="20"/>
          <w:szCs w:val="20"/>
          <w:color w:val="auto"/>
        </w:rPr>
      </w:pPr>
      <w:r>
        <w:rPr>
          <w:rFonts w:ascii="Arial" w:cs="Arial" w:eastAsia="Arial" w:hAnsi="Arial"/>
          <w:sz w:val="16"/>
          <w:szCs w:val="16"/>
          <w:color w:val="auto"/>
        </w:rPr>
        <w:t>The Company maintains disclosure controls and procedures designed to ensure that the information the Company must disclose in its filings with the Securities and Exchange Commission is recorded, processed, summarized and reported on a timely basis. The Company’s Chief Executive Officer and Chief Financial Officer have reviewed and evaluated the Company’s disclosure controls and procedures as defined in Rules 13a-15(e) and 15d-15(e) under the Securities Exchange Act of 1934, as amended (the “Exchange Act’’) as of the end of the period covered by this report (the “Evaluation Date’’). Based on such evaluation, such officers have concluded that, as of the Evaluation Date, the Company’s disclosure controls and procedures are effective in bringing to their attention on a timely basis material information relating to the Company required to be included in the Company’s periodic filings under the Exchange Act.</w:t>
      </w:r>
    </w:p>
    <w:p>
      <w:pPr>
        <w:spacing w:after="0" w:line="57" w:lineRule="exact"/>
        <w:rPr>
          <w:sz w:val="20"/>
          <w:szCs w:val="20"/>
          <w:color w:val="auto"/>
        </w:rPr>
      </w:pPr>
    </w:p>
    <w:p>
      <w:pPr>
        <w:ind w:right="100" w:firstLine="222"/>
        <w:spacing w:after="0" w:line="264" w:lineRule="auto"/>
        <w:rPr>
          <w:sz w:val="20"/>
          <w:szCs w:val="20"/>
          <w:color w:val="auto"/>
        </w:rPr>
      </w:pPr>
      <w:r>
        <w:rPr>
          <w:rFonts w:ascii="Arial" w:cs="Arial" w:eastAsia="Arial" w:hAnsi="Arial"/>
          <w:sz w:val="18"/>
          <w:szCs w:val="18"/>
          <w:color w:val="auto"/>
        </w:rPr>
        <w:t>The Company is in the process of implementing its enterprise resource planning system, SAP, to many of its locations around the world. This implementation has resulted in certain changes to business processes and internal controls impacting financial reporting. Management is taking the necessary steps to monitor and maintain appropriate internal controls during this period of change.</w:t>
      </w:r>
    </w:p>
    <w:p>
      <w:pPr>
        <w:spacing w:after="0" w:line="73" w:lineRule="exact"/>
        <w:rPr>
          <w:sz w:val="20"/>
          <w:szCs w:val="20"/>
          <w:color w:val="auto"/>
        </w:rPr>
      </w:pPr>
    </w:p>
    <w:p>
      <w:pPr>
        <w:ind w:right="220" w:firstLine="222"/>
        <w:spacing w:after="0" w:line="264" w:lineRule="auto"/>
        <w:rPr>
          <w:sz w:val="20"/>
          <w:szCs w:val="20"/>
          <w:color w:val="auto"/>
        </w:rPr>
      </w:pPr>
      <w:r>
        <w:rPr>
          <w:rFonts w:ascii="Arial" w:cs="Arial" w:eastAsia="Arial" w:hAnsi="Arial"/>
          <w:sz w:val="18"/>
          <w:szCs w:val="18"/>
          <w:color w:val="auto"/>
        </w:rPr>
        <w:t>There were no other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2. </w:t>
      </w:r>
      <w:r>
        <w:rPr>
          <w:rFonts w:ascii="Arial" w:cs="Arial" w:eastAsia="Arial" w:hAnsi="Arial"/>
          <w:sz w:val="18"/>
          <w:szCs w:val="18"/>
          <w:u w:val="single" w:color="auto"/>
          <w:color w:val="auto"/>
        </w:rPr>
        <w:t>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 Purchases of Equity Securities by the Issuer and Affiliated Purchasers</w:t>
      </w:r>
    </w:p>
    <w:p>
      <w:pPr>
        <w:spacing w:after="0" w:line="117"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In March 2008, the Company announced that the Board of Directors of the Company authorized a share repurchase plan for up to one million shares of the Company’s Class A Nonvoting Common Stock. The share repurchase plan may be implemented by purchasing shares on the open market or in privately negotiated transactions, with repurchased shares available for use in connection with the Company’s stock-based plans and for other corporate purposes. As of July 31, 2008, the Company was authorized to purchase 650,864 shares in connection with this share repurchase plan, all of which shares were repurchased during the quarter ended October 31, 2008.</w:t>
      </w:r>
    </w:p>
    <w:p>
      <w:pPr>
        <w:spacing w:after="0" w:line="80" w:lineRule="exact"/>
        <w:rPr>
          <w:sz w:val="20"/>
          <w:szCs w:val="20"/>
          <w:color w:val="auto"/>
        </w:rPr>
      </w:pPr>
    </w:p>
    <w:p>
      <w:pPr>
        <w:ind w:right="280" w:firstLine="225"/>
        <w:spacing w:after="0" w:line="259" w:lineRule="auto"/>
        <w:rPr>
          <w:sz w:val="20"/>
          <w:szCs w:val="20"/>
          <w:color w:val="auto"/>
        </w:rPr>
      </w:pPr>
      <w:r>
        <w:rPr>
          <w:rFonts w:ascii="Arial" w:cs="Arial" w:eastAsia="Arial" w:hAnsi="Arial"/>
          <w:sz w:val="18"/>
          <w:szCs w:val="18"/>
          <w:color w:val="auto"/>
        </w:rPr>
        <w:t>In September 2008, the Company announced that the Board of Directors of the Company authorized a share repurchase plan for up to an additional one million shares of the Company’s Class A Nonvoting Common Stock. The share repurchase plan may be implemented by purchasing shares on the open market or in privately negotiated transactions, with repurchased shares available for use in connection with the Company’s stock-based plans and for other corporate purposes.</w:t>
      </w:r>
    </w:p>
    <w:p>
      <w:pPr>
        <w:spacing w:after="0" w:line="79" w:lineRule="exact"/>
        <w:rPr>
          <w:sz w:val="20"/>
          <w:szCs w:val="20"/>
          <w:color w:val="auto"/>
        </w:rPr>
      </w:pPr>
    </w:p>
    <w:p>
      <w:pPr>
        <w:ind w:right="180" w:firstLine="222"/>
        <w:spacing w:after="0" w:line="277" w:lineRule="auto"/>
        <w:rPr>
          <w:sz w:val="20"/>
          <w:szCs w:val="20"/>
          <w:color w:val="auto"/>
        </w:rPr>
      </w:pPr>
      <w:r>
        <w:rPr>
          <w:rFonts w:ascii="Arial" w:cs="Arial" w:eastAsia="Arial" w:hAnsi="Arial"/>
          <w:sz w:val="18"/>
          <w:szCs w:val="18"/>
          <w:color w:val="auto"/>
        </w:rPr>
        <w:t>The following table provides information with respect to the purchases of Class A Nonvoting Common Stock during the three months ended October 31, 2008.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ISSUER PURCHASES OF SECURITIES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2"/>
          </w:tcPr>
          <w:p>
            <w:pPr>
              <w:jc w:val="center"/>
              <w:ind w:right="620"/>
              <w:spacing w:after="0"/>
              <w:rPr>
                <w:sz w:val="20"/>
                <w:szCs w:val="20"/>
                <w:color w:val="auto"/>
              </w:rPr>
            </w:pPr>
            <w:r>
              <w:rPr>
                <w:rFonts w:ascii="Arial" w:cs="Arial" w:eastAsia="Arial" w:hAnsi="Arial"/>
                <w:sz w:val="14"/>
                <w:szCs w:val="14"/>
                <w:color w:val="auto"/>
                <w:w w:val="95"/>
              </w:rPr>
              <w:t>Total Number of</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Maximum Number</w:t>
            </w:r>
          </w:p>
        </w:tc>
      </w:tr>
      <w:tr>
        <w:trPr>
          <w:trHeight w:val="149"/>
        </w:trPr>
        <w:tc>
          <w:tcPr>
            <w:tcW w:w="4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88"/>
              </w:rPr>
              <w:t>Average</w:t>
            </w:r>
          </w:p>
        </w:tc>
        <w:tc>
          <w:tcPr>
            <w:tcW w:w="300" w:type="dxa"/>
            <w:vAlign w:val="bottom"/>
          </w:tcPr>
          <w:p>
            <w:pPr>
              <w:spacing w:after="0"/>
              <w:rPr>
                <w:sz w:val="12"/>
                <w:szCs w:val="12"/>
                <w:color w:val="auto"/>
              </w:rPr>
            </w:pPr>
          </w:p>
        </w:tc>
        <w:tc>
          <w:tcPr>
            <w:tcW w:w="166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86"/>
              </w:rPr>
              <w:t>Shares Purchased</w:t>
            </w: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of Shares that May</w:t>
            </w:r>
          </w:p>
        </w:tc>
      </w:tr>
      <w:tr>
        <w:trPr>
          <w:trHeight w:val="149"/>
        </w:trPr>
        <w:tc>
          <w:tcPr>
            <w:tcW w:w="4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Total Number of</w:t>
            </w:r>
          </w:p>
        </w:tc>
        <w:tc>
          <w:tcPr>
            <w:tcW w:w="300" w:type="dxa"/>
            <w:vAlign w:val="bottom"/>
          </w:tcPr>
          <w:p>
            <w:pPr>
              <w:spacing w:after="0"/>
              <w:rPr>
                <w:sz w:val="12"/>
                <w:szCs w:val="12"/>
                <w:color w:val="auto"/>
              </w:rPr>
            </w:pPr>
          </w:p>
        </w:tc>
        <w:tc>
          <w:tcPr>
            <w:tcW w:w="980" w:type="dxa"/>
            <w:vAlign w:val="bottom"/>
            <w:gridSpan w:val="3"/>
          </w:tcPr>
          <w:p>
            <w:pPr>
              <w:jc w:val="center"/>
              <w:ind w:right="320"/>
              <w:spacing w:after="0" w:line="149" w:lineRule="exact"/>
              <w:rPr>
                <w:sz w:val="20"/>
                <w:szCs w:val="20"/>
                <w:color w:val="auto"/>
              </w:rPr>
            </w:pPr>
            <w:r>
              <w:rPr>
                <w:rFonts w:ascii="Arial" w:cs="Arial" w:eastAsia="Arial" w:hAnsi="Arial"/>
                <w:sz w:val="14"/>
                <w:szCs w:val="14"/>
                <w:color w:val="auto"/>
                <w:w w:val="90"/>
              </w:rPr>
              <w:t>Price Paid</w:t>
            </w:r>
          </w:p>
        </w:tc>
        <w:tc>
          <w:tcPr>
            <w:tcW w:w="1960" w:type="dxa"/>
            <w:vAlign w:val="bottom"/>
            <w:gridSpan w:val="3"/>
          </w:tcPr>
          <w:p>
            <w:pPr>
              <w:jc w:val="center"/>
              <w:ind w:right="300"/>
              <w:spacing w:after="0" w:line="149" w:lineRule="exact"/>
              <w:rPr>
                <w:sz w:val="20"/>
                <w:szCs w:val="20"/>
                <w:color w:val="auto"/>
              </w:rPr>
            </w:pPr>
            <w:r>
              <w:rPr>
                <w:rFonts w:ascii="Arial" w:cs="Arial" w:eastAsia="Arial" w:hAnsi="Arial"/>
                <w:sz w:val="14"/>
                <w:szCs w:val="14"/>
                <w:color w:val="auto"/>
                <w:w w:val="94"/>
              </w:rPr>
              <w:t>as Part of Publicly</w:t>
            </w: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Yet Be Purchased</w:t>
            </w:r>
          </w:p>
        </w:tc>
      </w:tr>
      <w:tr>
        <w:trPr>
          <w:trHeight w:val="167"/>
        </w:trPr>
        <w:tc>
          <w:tcPr>
            <w:tcW w:w="4380" w:type="dxa"/>
            <w:vAlign w:val="bottom"/>
          </w:tcPr>
          <w:p>
            <w:pPr>
              <w:ind w:left="1020"/>
              <w:spacing w:after="0"/>
              <w:rPr>
                <w:sz w:val="20"/>
                <w:szCs w:val="20"/>
                <w:color w:val="auto"/>
              </w:rPr>
            </w:pPr>
            <w:r>
              <w:rPr>
                <w:rFonts w:ascii="Arial" w:cs="Arial" w:eastAsia="Arial" w:hAnsi="Arial"/>
                <w:sz w:val="14"/>
                <w:szCs w:val="14"/>
                <w:color w:val="auto"/>
              </w:rPr>
              <w:t>Period</w:t>
            </w:r>
          </w:p>
        </w:tc>
        <w:tc>
          <w:tcPr>
            <w:tcW w:w="2600" w:type="dxa"/>
            <w:vAlign w:val="bottom"/>
            <w:gridSpan w:val="3"/>
          </w:tcPr>
          <w:p>
            <w:pPr>
              <w:ind w:left="1300"/>
              <w:spacing w:after="0"/>
              <w:rPr>
                <w:sz w:val="20"/>
                <w:szCs w:val="20"/>
                <w:color w:val="auto"/>
              </w:rPr>
            </w:pPr>
            <w:r>
              <w:rPr>
                <w:rFonts w:ascii="Arial" w:cs="Arial" w:eastAsia="Arial" w:hAnsi="Arial"/>
                <w:sz w:val="14"/>
                <w:szCs w:val="14"/>
                <w:color w:val="auto"/>
              </w:rPr>
              <w:t>Shares Purchased</w:t>
            </w:r>
          </w:p>
        </w:tc>
        <w:tc>
          <w:tcPr>
            <w:tcW w:w="300" w:type="dxa"/>
            <w:vAlign w:val="bottom"/>
          </w:tcPr>
          <w:p>
            <w:pPr>
              <w:spacing w:after="0"/>
              <w:rPr>
                <w:sz w:val="14"/>
                <w:szCs w:val="14"/>
                <w:color w:val="auto"/>
              </w:rPr>
            </w:pPr>
          </w:p>
        </w:tc>
        <w:tc>
          <w:tcPr>
            <w:tcW w:w="980" w:type="dxa"/>
            <w:vAlign w:val="bottom"/>
            <w:gridSpan w:val="3"/>
          </w:tcPr>
          <w:p>
            <w:pPr>
              <w:jc w:val="center"/>
              <w:ind w:right="320"/>
              <w:spacing w:after="0"/>
              <w:rPr>
                <w:sz w:val="20"/>
                <w:szCs w:val="20"/>
                <w:color w:val="auto"/>
              </w:rPr>
            </w:pPr>
            <w:r>
              <w:rPr>
                <w:rFonts w:ascii="Arial" w:cs="Arial" w:eastAsia="Arial" w:hAnsi="Arial"/>
                <w:sz w:val="14"/>
                <w:szCs w:val="14"/>
                <w:color w:val="auto"/>
                <w:w w:val="87"/>
              </w:rPr>
              <w:t>per Share</w:t>
            </w:r>
          </w:p>
        </w:tc>
        <w:tc>
          <w:tcPr>
            <w:tcW w:w="300" w:type="dxa"/>
            <w:vAlign w:val="bottom"/>
          </w:tcPr>
          <w:p>
            <w:pPr>
              <w:spacing w:after="0"/>
              <w:rPr>
                <w:sz w:val="14"/>
                <w:szCs w:val="14"/>
                <w:color w:val="auto"/>
              </w:rPr>
            </w:pPr>
          </w:p>
        </w:tc>
        <w:tc>
          <w:tcPr>
            <w:tcW w:w="1660" w:type="dxa"/>
            <w:vAlign w:val="bottom"/>
            <w:gridSpan w:val="2"/>
          </w:tcPr>
          <w:p>
            <w:pPr>
              <w:jc w:val="center"/>
              <w:ind w:right="620"/>
              <w:spacing w:after="0"/>
              <w:rPr>
                <w:sz w:val="20"/>
                <w:szCs w:val="20"/>
                <w:color w:val="auto"/>
              </w:rPr>
            </w:pPr>
            <w:r>
              <w:rPr>
                <w:rFonts w:ascii="Arial" w:cs="Arial" w:eastAsia="Arial" w:hAnsi="Arial"/>
                <w:sz w:val="14"/>
                <w:szCs w:val="14"/>
                <w:color w:val="auto"/>
                <w:w w:val="91"/>
              </w:rPr>
              <w:t>Announced Plans</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Under the Plans</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August 1, 2008 — August 31, 2008</w:t>
            </w:r>
          </w:p>
        </w:tc>
        <w:tc>
          <w:tcPr>
            <w:tcW w:w="1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650,864</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September 1, 2008 — September 30, 2008</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255,610</w:t>
            </w:r>
          </w:p>
        </w:tc>
        <w:tc>
          <w:tcPr>
            <w:tcW w:w="3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33.81</w:t>
            </w:r>
          </w:p>
        </w:tc>
        <w:tc>
          <w:tcPr>
            <w:tcW w:w="1960" w:type="dxa"/>
            <w:vAlign w:val="bottom"/>
            <w:gridSpan w:val="3"/>
          </w:tcPr>
          <w:p>
            <w:pPr>
              <w:jc w:val="right"/>
              <w:ind w:right="600"/>
              <w:spacing w:after="0"/>
              <w:rPr>
                <w:sz w:val="20"/>
                <w:szCs w:val="20"/>
                <w:color w:val="auto"/>
              </w:rPr>
            </w:pPr>
            <w:r>
              <w:rPr>
                <w:rFonts w:ascii="Arial" w:cs="Arial" w:eastAsia="Arial" w:hAnsi="Arial"/>
                <w:sz w:val="18"/>
                <w:szCs w:val="18"/>
                <w:color w:val="auto"/>
              </w:rPr>
              <w:t>255,610</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1,395,254</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October 1, 2008 — October 31, 2008</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895,254</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31.13</w:t>
            </w:r>
          </w:p>
        </w:tc>
        <w:tc>
          <w:tcPr>
            <w:tcW w:w="19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895,254</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w:t>
            </w: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Total</w:t>
            </w:r>
          </w:p>
        </w:tc>
        <w:tc>
          <w:tcPr>
            <w:tcW w:w="13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1,150,864</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31.72</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1,150,864</w:t>
            </w:r>
          </w:p>
        </w:tc>
        <w:tc>
          <w:tcPr>
            <w:tcW w:w="6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19"/>
                <w:szCs w:val="19"/>
                <w:color w:val="auto"/>
              </w:rPr>
            </w:pPr>
          </w:p>
        </w:tc>
      </w:tr>
      <w:tr>
        <w:trPr>
          <w:trHeight w:val="20"/>
        </w:trPr>
        <w:tc>
          <w:tcPr>
            <w:tcW w:w="4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4. </w:t>
      </w:r>
      <w:r>
        <w:rPr>
          <w:rFonts w:ascii="Arial" w:cs="Arial" w:eastAsia="Arial" w:hAnsi="Arial"/>
          <w:sz w:val="18"/>
          <w:szCs w:val="18"/>
          <w:u w:val="single" w:color="auto"/>
          <w:color w:val="auto"/>
        </w:rPr>
        <w:t>Submission of Matters to a Vote of Security Holders</w:t>
      </w:r>
    </w:p>
    <w:p>
      <w:pPr>
        <w:spacing w:after="0" w:line="117" w:lineRule="exact"/>
        <w:rPr>
          <w:sz w:val="20"/>
          <w:szCs w:val="20"/>
          <w:color w:val="auto"/>
        </w:rPr>
      </w:pPr>
    </w:p>
    <w:p>
      <w:pPr>
        <w:ind w:right="260" w:firstLine="222"/>
        <w:spacing w:after="0" w:line="264" w:lineRule="auto"/>
        <w:rPr>
          <w:sz w:val="20"/>
          <w:szCs w:val="20"/>
          <w:color w:val="auto"/>
        </w:rPr>
      </w:pPr>
      <w:r>
        <w:rPr>
          <w:rFonts w:ascii="Arial" w:cs="Arial" w:eastAsia="Arial" w:hAnsi="Arial"/>
          <w:sz w:val="18"/>
          <w:szCs w:val="18"/>
          <w:color w:val="auto"/>
        </w:rPr>
        <w:t>The annual meeting of shareholders was held on November 20, 2008. At the meeting, the following persons were elected to serve as the Company’s directors by the affirmative vote of 100% of the 3,538,628 shares of Class B Voting Common Stock until the next annual meeting of shareholders and until their successors have been elected:</w:t>
      </w:r>
    </w:p>
    <w:p>
      <w:pPr>
        <w:spacing w:after="0" w:line="7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Patrick W. Allender</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Richard A. Bemis</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Robert C. Buchanan</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Chan W. Galbato</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Conrad G. Goodkind</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Frank W. Harris</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Frank M. Jaehnert</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Frank R. Jarc</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Gary E. Nei</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Elizabeth I. Pungello</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Bradley C. Richardson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6.</w:t>
      </w:r>
      <w:r>
        <w:rPr>
          <w:rFonts w:ascii="Arial" w:cs="Arial" w:eastAsia="Arial" w:hAnsi="Arial"/>
          <w:sz w:val="18"/>
          <w:szCs w:val="18"/>
          <w:u w:val="single" w:color="auto"/>
          <w:color w:val="auto"/>
        </w:rPr>
        <w:t>Exhibits</w:t>
      </w:r>
    </w:p>
    <w:p>
      <w:pPr>
        <w:spacing w:after="0" w:line="117" w:lineRule="exact"/>
        <w:rPr>
          <w:sz w:val="20"/>
          <w:szCs w:val="20"/>
          <w:color w:val="auto"/>
        </w:rPr>
      </w:pPr>
    </w:p>
    <w:p>
      <w:pPr>
        <w:ind w:left="660" w:hanging="43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31.1  Rule 13a-14(a)/15d-14(a) Certification of Frank M. Jaehnert</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31.2  Rule 13a-14(a)/15d-14(a) Certification of Thomas J. Felmer</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32.1  Section 1350 Certification of Frank M. Jaehnert</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32.2  Section 1350 Certification of Thomas J. Felmer</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SIGNATURES</w:t>
            </w:r>
          </w:p>
        </w:tc>
        <w:tc>
          <w:tcPr>
            <w:tcW w:w="4220" w:type="dxa"/>
            <w:vAlign w:val="bottom"/>
          </w:tcPr>
          <w:p>
            <w:pPr>
              <w:spacing w:after="0"/>
              <w:rPr>
                <w:sz w:val="20"/>
                <w:szCs w:val="20"/>
                <w:color w:val="auto"/>
              </w:rPr>
            </w:pPr>
          </w:p>
        </w:tc>
      </w:tr>
      <w:tr>
        <w:trPr>
          <w:trHeight w:val="432"/>
        </w:trPr>
        <w:tc>
          <w:tcPr>
            <w:tcW w:w="550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BRADY CORPORATION</w:t>
            </w:r>
          </w:p>
        </w:tc>
      </w:tr>
      <w:tr>
        <w:trPr>
          <w:trHeight w:val="432"/>
        </w:trPr>
        <w:tc>
          <w:tcPr>
            <w:tcW w:w="5500" w:type="dxa"/>
            <w:vAlign w:val="bottom"/>
          </w:tcPr>
          <w:p>
            <w:pPr>
              <w:spacing w:after="0"/>
              <w:rPr>
                <w:sz w:val="20"/>
                <w:szCs w:val="20"/>
                <w:color w:val="auto"/>
              </w:rPr>
            </w:pPr>
            <w:r>
              <w:rPr>
                <w:rFonts w:ascii="Arial" w:cs="Arial" w:eastAsia="Arial" w:hAnsi="Arial"/>
                <w:sz w:val="18"/>
                <w:szCs w:val="18"/>
                <w:color w:val="auto"/>
              </w:rPr>
              <w:t>Date: December 8, 2008</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 M. Jaehnert</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F. M. Jaehnert</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President &amp; Chief Executive Officer</w:t>
            </w:r>
          </w:p>
        </w:tc>
      </w:tr>
      <w:tr>
        <w:trPr>
          <w:trHeight w:val="648"/>
        </w:trPr>
        <w:tc>
          <w:tcPr>
            <w:tcW w:w="5500" w:type="dxa"/>
            <w:vAlign w:val="bottom"/>
          </w:tcPr>
          <w:p>
            <w:pPr>
              <w:spacing w:after="0"/>
              <w:rPr>
                <w:sz w:val="20"/>
                <w:szCs w:val="20"/>
                <w:color w:val="auto"/>
              </w:rPr>
            </w:pPr>
            <w:r>
              <w:rPr>
                <w:rFonts w:ascii="Arial" w:cs="Arial" w:eastAsia="Arial" w:hAnsi="Arial"/>
                <w:sz w:val="18"/>
                <w:szCs w:val="18"/>
                <w:color w:val="auto"/>
              </w:rPr>
              <w:t>Date: December 8, 2008</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J. Felmer</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Thomas J. Felmer</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2"/>
              </w:rPr>
              <w:t>Senior Vice President &amp; Chief Financial Officer (Principal</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Financial Officer)</w:t>
            </w:r>
          </w:p>
        </w:tc>
      </w:tr>
      <w:tr>
        <w:trPr>
          <w:trHeight w:val="621"/>
        </w:trPr>
        <w:tc>
          <w:tcPr>
            <w:tcW w:w="5500" w:type="dxa"/>
            <w:vAlign w:val="bottom"/>
          </w:tcPr>
          <w:p>
            <w:pPr>
              <w:spacing w:after="0"/>
              <w:rPr>
                <w:sz w:val="24"/>
                <w:szCs w:val="24"/>
                <w:color w:val="auto"/>
              </w:rPr>
            </w:pPr>
          </w:p>
        </w:tc>
        <w:tc>
          <w:tcPr>
            <w:tcW w:w="4220" w:type="dxa"/>
            <w:vAlign w:val="bottom"/>
          </w:tcPr>
          <w:p>
            <w:pPr>
              <w:ind w:left="120"/>
              <w:spacing w:after="0"/>
              <w:rPr>
                <w:sz w:val="20"/>
                <w:szCs w:val="20"/>
                <w:color w:val="auto"/>
              </w:rPr>
            </w:pPr>
            <w:r>
              <w:rPr>
                <w:rFonts w:ascii="Arial" w:cs="Arial" w:eastAsia="Arial" w:hAnsi="Arial"/>
                <w:sz w:val="18"/>
                <w:szCs w:val="18"/>
                <w:color w:val="auto"/>
              </w:rPr>
              <w:t>23</w:t>
            </w:r>
          </w:p>
        </w:tc>
      </w:tr>
    </w:tbl>
    <w:p>
      <w:pPr>
        <w:sectPr>
          <w:pgSz w:w="11900" w:h="16838" w:orient="portrait"/>
          <w:cols w:equalWidth="0" w:num="1">
            <w:col w:w="11280"/>
          </w:cols>
          <w:pgMar w:left="240" w:top="419" w:right="37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Frank M. Jaehnert, certify that:</w:t>
      </w:r>
    </w:p>
    <w:p>
      <w:pPr>
        <w:spacing w:after="0" w:line="117" w:lineRule="exact"/>
        <w:rPr>
          <w:sz w:val="20"/>
          <w:szCs w:val="20"/>
          <w:color w:val="auto"/>
        </w:rPr>
      </w:pPr>
    </w:p>
    <w:p>
      <w:pPr>
        <w:ind w:left="480" w:hanging="247"/>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17" w:lineRule="exact"/>
        <w:rPr>
          <w:rFonts w:ascii="Arial" w:cs="Arial" w:eastAsia="Arial" w:hAnsi="Arial"/>
          <w:sz w:val="18"/>
          <w:szCs w:val="18"/>
          <w:color w:val="auto"/>
        </w:rPr>
      </w:pPr>
    </w:p>
    <w:p>
      <w:pPr>
        <w:jc w:val="both"/>
        <w:ind w:right="440" w:firstLine="233"/>
        <w:spacing w:after="0" w:line="342" w:lineRule="auto"/>
        <w:tabs>
          <w:tab w:leader="none" w:pos="48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20" w:firstLine="233"/>
        <w:spacing w:after="0" w:line="277" w:lineRule="auto"/>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60" w:firstLine="233"/>
        <w:spacing w:after="0" w:line="264" w:lineRule="auto"/>
        <w:tabs>
          <w:tab w:leader="none" w:pos="47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jc w:val="both"/>
        <w:ind w:right="280" w:firstLine="233"/>
        <w:spacing w:after="0" w:line="264" w:lineRule="auto"/>
        <w:tabs>
          <w:tab w:leader="none" w:pos="41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120" w:firstLine="233"/>
        <w:spacing w:after="0" w:line="264"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120" w:firstLine="233"/>
        <w:spacing w:after="0" w:line="277" w:lineRule="auto"/>
        <w:tabs>
          <w:tab w:leader="none" w:pos="410" w:val="left"/>
        </w:tabs>
        <w:numPr>
          <w:ilvl w:val="0"/>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340" w:firstLine="233"/>
        <w:spacing w:after="0" w:line="264"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report)that has materially affected, or is reasonably likely to materially affect, the registrant’s internal control over financial reporting; and</w:t>
      </w:r>
    </w:p>
    <w:p>
      <w:pPr>
        <w:spacing w:after="0" w:line="73" w:lineRule="exact"/>
        <w:rPr>
          <w:sz w:val="20"/>
          <w:szCs w:val="20"/>
          <w:color w:val="auto"/>
        </w:rPr>
      </w:pPr>
    </w:p>
    <w:p>
      <w:pPr>
        <w:ind w:right="360" w:firstLine="233"/>
        <w:spacing w:after="0" w:line="308" w:lineRule="auto"/>
        <w:tabs>
          <w:tab w:leader="none" w:pos="477"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60" w:firstLine="233"/>
        <w:spacing w:after="0" w:line="277" w:lineRule="auto"/>
        <w:tabs>
          <w:tab w:leader="none" w:pos="41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280" w:firstLine="233"/>
        <w:spacing w:after="0" w:line="277"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8,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FRANK M. JAEHNERT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Frank M. Jaehnert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Thomas J. Felmer, certify that:</w:t>
      </w:r>
    </w:p>
    <w:p>
      <w:pPr>
        <w:spacing w:after="0" w:line="225" w:lineRule="exact"/>
        <w:rPr>
          <w:sz w:val="20"/>
          <w:szCs w:val="20"/>
          <w:color w:val="auto"/>
        </w:rPr>
      </w:pPr>
    </w:p>
    <w:p>
      <w:pPr>
        <w:ind w:left="480" w:hanging="247"/>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17" w:lineRule="exact"/>
        <w:rPr>
          <w:rFonts w:ascii="Arial" w:cs="Arial" w:eastAsia="Arial" w:hAnsi="Arial"/>
          <w:sz w:val="18"/>
          <w:szCs w:val="18"/>
          <w:color w:val="auto"/>
        </w:rPr>
      </w:pPr>
    </w:p>
    <w:p>
      <w:pPr>
        <w:ind w:right="440" w:firstLine="233"/>
        <w:spacing w:after="0" w:line="342" w:lineRule="auto"/>
        <w:tabs>
          <w:tab w:leader="none" w:pos="48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20" w:firstLine="233"/>
        <w:spacing w:after="0" w:line="277" w:lineRule="auto"/>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resented in this report;</w:t>
      </w:r>
    </w:p>
    <w:p>
      <w:pPr>
        <w:spacing w:after="0" w:line="62" w:lineRule="exact"/>
        <w:rPr>
          <w:rFonts w:ascii="Arial" w:cs="Arial" w:eastAsia="Arial" w:hAnsi="Arial"/>
          <w:sz w:val="18"/>
          <w:szCs w:val="18"/>
          <w:color w:val="auto"/>
        </w:rPr>
      </w:pPr>
    </w:p>
    <w:p>
      <w:pPr>
        <w:ind w:right="260" w:firstLine="233"/>
        <w:spacing w:after="0" w:line="264" w:lineRule="auto"/>
        <w:tabs>
          <w:tab w:leader="none" w:pos="477"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jc w:val="both"/>
        <w:ind w:right="280" w:firstLine="233"/>
        <w:spacing w:after="0" w:line="264" w:lineRule="auto"/>
        <w:tabs>
          <w:tab w:leader="none" w:pos="41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120" w:firstLine="233"/>
        <w:spacing w:after="0" w:line="264" w:lineRule="auto"/>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120" w:firstLine="233"/>
        <w:spacing w:after="0" w:line="277" w:lineRule="auto"/>
        <w:tabs>
          <w:tab w:leader="none" w:pos="41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340" w:firstLine="233"/>
        <w:spacing w:after="0" w:line="264" w:lineRule="auto"/>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report)that has materially affected, or is reasonably likely to materially affect, the registrant’s internal control over financial reporting; and</w:t>
      </w:r>
    </w:p>
    <w:p>
      <w:pPr>
        <w:spacing w:after="0" w:line="73" w:lineRule="exact"/>
        <w:rPr>
          <w:sz w:val="20"/>
          <w:szCs w:val="20"/>
          <w:color w:val="auto"/>
        </w:rPr>
      </w:pPr>
    </w:p>
    <w:p>
      <w:pPr>
        <w:ind w:right="360" w:firstLine="233"/>
        <w:spacing w:after="0" w:line="308" w:lineRule="auto"/>
        <w:tabs>
          <w:tab w:leader="none" w:pos="477"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60" w:firstLine="233"/>
        <w:spacing w:after="0" w:line="277" w:lineRule="auto"/>
        <w:tabs>
          <w:tab w:leader="none" w:pos="41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280" w:firstLine="233"/>
        <w:spacing w:after="0" w:line="277" w:lineRule="auto"/>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8,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THOMAS J. FELMER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Thomas J. Felmer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21"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62" w:lineRule="exact"/>
        <w:rPr>
          <w:sz w:val="20"/>
          <w:szCs w:val="20"/>
          <w:color w:val="auto"/>
        </w:rPr>
      </w:pPr>
    </w:p>
    <w:p>
      <w:pPr>
        <w:ind w:right="140" w:firstLine="233"/>
        <w:spacing w:after="0" w:line="277" w:lineRule="auto"/>
        <w:tabs>
          <w:tab w:leader="none" w:pos="47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October 31, 2008 fully complies with the requirements of Section 13(a) or 15(d) of the Securities Exchange Act of 1934; and</w:t>
      </w:r>
    </w:p>
    <w:p>
      <w:pPr>
        <w:spacing w:after="0" w:line="62" w:lineRule="exact"/>
        <w:rPr>
          <w:rFonts w:ascii="Arial" w:cs="Arial" w:eastAsia="Arial" w:hAnsi="Arial"/>
          <w:sz w:val="18"/>
          <w:szCs w:val="18"/>
          <w:color w:val="auto"/>
        </w:rPr>
      </w:pPr>
    </w:p>
    <w:p>
      <w:pPr>
        <w:ind w:left="480" w:hanging="247"/>
        <w:spacing w:after="0"/>
        <w:tabs>
          <w:tab w:leader="none" w:pos="4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that Form 10-Q fairly presents, in all material respects, the financial conditions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December 8,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FRANK M. JAEHNERT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Frank M. Jaehnert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103" w:lineRule="exact"/>
        <w:rPr>
          <w:sz w:val="20"/>
          <w:szCs w:val="20"/>
          <w:color w:val="auto"/>
        </w:rPr>
      </w:pPr>
    </w:p>
    <w:p>
      <w:pPr>
        <w:ind w:right="100" w:firstLine="215"/>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21"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62" w:lineRule="exact"/>
        <w:rPr>
          <w:sz w:val="20"/>
          <w:szCs w:val="20"/>
          <w:color w:val="auto"/>
        </w:rPr>
      </w:pPr>
    </w:p>
    <w:p>
      <w:pPr>
        <w:ind w:right="140" w:firstLine="233"/>
        <w:spacing w:after="0" w:line="277" w:lineRule="auto"/>
        <w:tabs>
          <w:tab w:leader="none" w:pos="47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October 31, 2008 fully complies with the requirements of Section 13(a) or 15(d) of the Securities Exchange Act of 1934; and</w:t>
      </w:r>
    </w:p>
    <w:p>
      <w:pPr>
        <w:spacing w:after="0" w:line="62" w:lineRule="exact"/>
        <w:rPr>
          <w:rFonts w:ascii="Arial" w:cs="Arial" w:eastAsia="Arial" w:hAnsi="Arial"/>
          <w:sz w:val="18"/>
          <w:szCs w:val="18"/>
          <w:color w:val="auto"/>
        </w:rPr>
      </w:pPr>
    </w:p>
    <w:p>
      <w:pPr>
        <w:ind w:left="480" w:hanging="247"/>
        <w:spacing w:after="0"/>
        <w:tabs>
          <w:tab w:leader="none" w:pos="4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that Form 10-Q fairly presents, in all material respects, the financial conditions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December 8,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THOMAS J. FELMER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Thomas J. Felmer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103" w:lineRule="exact"/>
        <w:rPr>
          <w:sz w:val="20"/>
          <w:szCs w:val="20"/>
          <w:color w:val="auto"/>
        </w:rPr>
      </w:pPr>
    </w:p>
    <w:p>
      <w:pPr>
        <w:ind w:right="100" w:firstLine="215"/>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o"/>
      <w:numFmt w:val="bullet"/>
      <w:start w:val="1"/>
    </w:lvl>
  </w:abstractNum>
  <w:abstractNum w:abstractNumId="2">
    <w:nsid w:val="515F007C"/>
    <w:multiLevelType w:val="hybridMultilevel"/>
    <w:lvl w:ilvl="0">
      <w:lvlJc w:val="left"/>
      <w:lvlText w:val="%1)"/>
      <w:numFmt w:val="lowerLetter"/>
      <w:start w:val="1"/>
    </w:lvl>
  </w:abstractNum>
  <w:abstractNum w:abstractNumId="3">
    <w:nsid w:val="5BD062C2"/>
    <w:multiLevelType w:val="hybridMultilevel"/>
    <w:lvl w:ilvl="0">
      <w:lvlJc w:val="left"/>
      <w:lvlText w:val="(%1)"/>
      <w:numFmt w:val="lowerLetter"/>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decimal"/>
      <w:start w:val="5"/>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decimal"/>
      <w:start w:val="5"/>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2019-12-13T14:20:47Z</dcterms:created>
  <dcterms:modified xsi:type="dcterms:W3CDTF">2019-12-13T14:20:47Z</dcterms:modified>
</cp:coreProperties>
</file>