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51435</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53340</wp:posOffset>
            </wp:positionV>
            <wp:extent cx="1499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2" w:lineRule="exact"/>
        <w:rPr>
          <w:sz w:val="24"/>
          <w:szCs w:val="24"/>
          <w:color w:val="auto"/>
        </w:rPr>
      </w:pPr>
    </w:p>
    <w:p>
      <w:pPr>
        <w:ind w:left="640" w:right="40" w:hanging="614"/>
        <w:spacing w:after="0" w:line="233" w:lineRule="auto"/>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31, 2026</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2" w:lineRule="exact"/>
        <w:rPr>
          <w:sz w:val="24"/>
          <w:szCs w:val="24"/>
          <w:color w:val="auto"/>
        </w:rPr>
      </w:pPr>
    </w:p>
    <w:p>
      <w:pPr>
        <w:ind w:left="640" w:right="6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760" w:type="dxa"/>
            <w:vAlign w:val="bottom"/>
            <w:gridSpan w:val="5"/>
          </w:tcPr>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8"/>
        </w:trPr>
        <w:tc>
          <w:tcPr>
            <w:tcW w:w="3860" w:type="dxa"/>
            <w:vAlign w:val="bottom"/>
          </w:tcPr>
          <w:p>
            <w:pPr>
              <w:spacing w:after="0"/>
              <w:rPr>
                <w:sz w:val="24"/>
                <w:szCs w:val="24"/>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0" w:type="dxa"/>
            <w:vAlign w:val="bottom"/>
          </w:tcPr>
          <w:p>
            <w:pPr>
              <w:spacing w:after="0"/>
              <w:rPr>
                <w:sz w:val="1"/>
                <w:szCs w:val="1"/>
                <w:color w:val="auto"/>
              </w:rPr>
            </w:pPr>
          </w:p>
        </w:tc>
      </w:tr>
      <w:tr>
        <w:trPr>
          <w:trHeight w:val="81"/>
        </w:trPr>
        <w:tc>
          <w:tcPr>
            <w:tcW w:w="44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8"/>
        </w:trPr>
        <w:tc>
          <w:tcPr>
            <w:tcW w:w="11260" w:type="dxa"/>
            <w:vAlign w:val="bottom"/>
            <w:gridSpan w:val="8"/>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BRADY CORPORATION</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78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91"/>
        </w:trPr>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3860" w:type="dxa"/>
            <w:vAlign w:val="bottom"/>
          </w:tcPr>
          <w:p>
            <w:pPr>
              <w:jc w:val="center"/>
              <w:ind w:left="13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0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39-0178960</w:t>
            </w:r>
          </w:p>
        </w:tc>
        <w:tc>
          <w:tcPr>
            <w:tcW w:w="0" w:type="dxa"/>
            <w:vAlign w:val="bottom"/>
          </w:tcPr>
          <w:p>
            <w:pPr>
              <w:spacing w:after="0"/>
              <w:rPr>
                <w:sz w:val="1"/>
                <w:szCs w:val="1"/>
                <w:color w:val="auto"/>
              </w:rPr>
            </w:pPr>
          </w:p>
        </w:tc>
      </w:tr>
      <w:tr>
        <w:trPr>
          <w:trHeight w:val="188"/>
        </w:trPr>
        <w:tc>
          <w:tcPr>
            <w:tcW w:w="6760" w:type="dxa"/>
            <w:vAlign w:val="bottom"/>
            <w:gridSpan w:val="5"/>
          </w:tcPr>
          <w:p>
            <w:pPr>
              <w:jc w:val="center"/>
              <w:ind w:right="136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jc w:val="center"/>
              <w:ind w:right="84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98"/>
        </w:trPr>
        <w:tc>
          <w:tcPr>
            <w:tcW w:w="3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6555 West Good Hope Road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2900" w:type="dxa"/>
            <w:vAlign w:val="bottom"/>
            <w:gridSpan w:val="4"/>
          </w:tcPr>
          <w:p>
            <w:pPr>
              <w:jc w:val="center"/>
              <w:ind w:left="541"/>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7400" w:type="dxa"/>
            <w:vAlign w:val="bottom"/>
            <w:gridSpan w:val="7"/>
          </w:tcPr>
          <w:p>
            <w:pPr>
              <w:jc w:val="center"/>
              <w:ind w:right="380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9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5"/>
        </w:trPr>
        <w:tc>
          <w:tcPr>
            <w:tcW w:w="3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right="4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4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4"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6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0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of February 17, 2026, there were 43,689,411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9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9760" w:type="dxa"/>
            <w:vAlign w:val="bottom"/>
            <w:vMerge w:val="continue"/>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1A. Risk Factors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Item 6. Exhibits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9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ITEM 1.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0" w:type="dxa"/>
            <w:vAlign w:val="bottom"/>
          </w:tcPr>
          <w:p>
            <w:pPr>
              <w:spacing w:after="0"/>
              <w:rPr>
                <w:sz w:val="1"/>
                <w:szCs w:val="1"/>
                <w:color w:val="auto"/>
              </w:rPr>
            </w:pPr>
          </w:p>
        </w:tc>
      </w:tr>
      <w:tr>
        <w:trPr>
          <w:trHeight w:val="211"/>
        </w:trPr>
        <w:tc>
          <w:tcPr>
            <w:tcW w:w="8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$7,446 and $7,876, respectively</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231,944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200,881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621,835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225,572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676,945</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25,243</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1,825,200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105,028</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21,537</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330,332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99,766</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68,379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542,042</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A nonvoting common stock—Issued 51,261,487 shares, and outstanding 43,679,050 and 43,530,012 shares,</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voting common stock—Issued and outstanding, 3,538,628 shares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1,396,642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stock—7,582,437 and 7,731,475 shares, respectively, of Class A nonvoting common stock, at cost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0" w:type="dxa"/>
            <w:vAlign w:val="bottom"/>
          </w:tcPr>
          <w:p>
            <w:pPr>
              <w:spacing w:after="0"/>
              <w:rPr>
                <w:sz w:val="1"/>
                <w:szCs w:val="1"/>
                <w:color w:val="auto"/>
              </w:rPr>
            </w:pP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1,825,200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386,198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368,208</w:t>
            </w:r>
          </w:p>
        </w:tc>
      </w:tr>
      <w:tr>
        <w:trPr>
          <w:trHeight w:val="212"/>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365,532</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37,644</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225,463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217,732</w:t>
            </w:r>
          </w:p>
        </w:tc>
      </w:tr>
      <w:tr>
        <w:trPr>
          <w:trHeight w:val="21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255,376</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110,156</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r>
      <w:tr>
        <w:trPr>
          <w:trHeight w:val="20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130,481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110,847</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23,730</w:t>
            </w: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87,117</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47,792</w:t>
            </w: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48,261</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2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40" w:type="dxa"/>
            <w:vAlign w:val="bottom"/>
          </w:tcPr>
          <w:p>
            <w:pPr>
              <w:spacing w:after="0"/>
              <w:rPr>
                <w:sz w:val="18"/>
                <w:szCs w:val="18"/>
                <w:color w:val="auto"/>
              </w:rPr>
            </w:pPr>
          </w:p>
        </w:tc>
        <w:tc>
          <w:tcPr>
            <w:tcW w:w="26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4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87,117</w:t>
            </w: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(21,259)</w:t>
            </w:r>
          </w:p>
        </w:tc>
      </w:tr>
      <w:tr>
        <w:trPr>
          <w:trHeight w:val="216"/>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gain (loss) recognized in other comprehensive income (loss)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6"/>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income</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19"/>
        </w:trPr>
        <w:tc>
          <w:tcPr>
            <w:tcW w:w="5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Pension and other post-retirement benefits actuarial gain amortization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9"/>
        </w:trPr>
        <w:tc>
          <w:tcPr>
            <w:tcW w:w="5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(21,965)</w:t>
            </w: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(22,205)</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138,397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36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STOCKHOLDERS’ EQUITY </w:t>
      </w:r>
      <w:r>
        <w:rPr>
          <w:rFonts w:ascii="Times New Roman" w:cs="Times New Roman" w:eastAsia="Times New Roman" w:hAnsi="Times New Roman"/>
          <w:sz w:val="16"/>
          <w:szCs w:val="16"/>
          <w:color w:val="auto"/>
        </w:rPr>
        <w:t>(Dollars in Thousands,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2026</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1,244,820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48,051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30,978</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$0.2450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$0.2450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361,567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1,396,642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(389,988)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1,313,020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January 31, 2026</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36,410</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excise taxes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$0.4900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$0.4734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1,396,642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1,313,020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January 31, 2025</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October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1,108,932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(20,225)</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 $0.2400 per share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 $0.2400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January 31, 2025</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plan</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 $0.4800 per share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 $0.4634 per 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January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356,531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1,238,275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1,120,468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(Dollars in Thousands,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(137,348)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(151,718)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agreement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agreement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 Months Ended January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2026 and July 31, 2025, its results of operations, comprehensive income and changes in stockholders’ equity for the three and six months ended January 31, 2026 and 2025, and cash flows for the six months ended January 31, 2026 and 2025. The condensed consolidated balance sheet as of July 31, 2025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Pronouncements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Company adopted ASU 2023-07 for the year ended July 31, 2025, with retrospective application of the expanded segment information for the years ended July 31, 2024 and 2023. Additional information regarding the Company’s reportable segments, including the application of the provisions of ASU 2023-07 for the three and six months ended January 31, 2026 and 2025, is included in Note H to the condensed consolidated financial statements.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2026 Form 10-K. The Company is currently assessing its income tax disclosures in connection with the adoption of ASU 2023-09.</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the impact this guidance will have on the Company’s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Additional Balance Sheet Information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as of January 31, 2026 and July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109,726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32,787</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58,368</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225,821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200,881</w:t>
            </w:r>
          </w:p>
        </w:tc>
      </w:tr>
      <w:tr>
        <w:trPr>
          <w:trHeight w:val="23"/>
        </w:trPr>
        <w:tc>
          <w:tcPr>
            <w:tcW w:w="7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presented net of accumulated depreciation of $325,321 and $313,778 as of January 31, 2026 and July 31, 2025,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January 31, 2026 and July 31, 2025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91,289</w:t>
            </w:r>
          </w:p>
        </w:tc>
        <w:tc>
          <w:tcPr>
            <w:tcW w:w="12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85"/>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87,070</w:t>
            </w:r>
          </w:p>
        </w:tc>
        <w:tc>
          <w:tcPr>
            <w:tcW w:w="0" w:type="dxa"/>
            <w:vAlign w:val="bottom"/>
          </w:tcPr>
          <w:p>
            <w:pPr>
              <w:spacing w:after="0"/>
              <w:rPr>
                <w:sz w:val="1"/>
                <w:szCs w:val="1"/>
                <w:color w:val="auto"/>
              </w:rPr>
            </w:pPr>
          </w:p>
        </w:tc>
      </w:tr>
      <w:tr>
        <w:trPr>
          <w:trHeight w:val="195"/>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10,427</w:t>
            </w:r>
          </w:p>
        </w:tc>
        <w:tc>
          <w:tcPr>
            <w:tcW w:w="12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0" w:type="dxa"/>
            <w:vAlign w:val="bottom"/>
          </w:tcPr>
          <w:p>
            <w:pPr>
              <w:spacing w:after="0"/>
              <w:rPr>
                <w:sz w:val="1"/>
                <w:szCs w:val="1"/>
                <w:color w:val="auto"/>
              </w:rPr>
            </w:pPr>
          </w:p>
        </w:tc>
      </w:tr>
      <w:tr>
        <w:trPr>
          <w:trHeight w:val="221"/>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January 31, 2026 compared to July 31, 2025 was primarily due to the acquisition of MECCO Partners LLC (“Mecco”) completed during the six months ended January 31, 2026, partially offset by the removal of a fully amortized technology asset. Refer to Note N, “Acquisitions,” for additional information on intangible assets acquired.</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on intangible assets was $5,172 and $4,671 for the three months ended January 31, 2026 and 2025, respectively, and $10,513 and $9,384 for the six months ended January 31, 2026 and 2025,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Leases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 and office spaces, and vehicles accounted for as operating leases. Lease terms typically range from one year to ten years. As of January 31, 2026, the Company did not have any finance leases.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expense was $5,274 and $4,539 for the three months ended January 31, 2026 and 2025, respectively, and $10,496 and $9,274 for the six months ended January 31, 2026 and 2025, respectively, which was recognized in either “Cost of goods sold” or “Selling, general and administrative” expenses in the condensed consolidated statements of income, based on the nature of the lease. Short-term lease expense, variable lease expenses, and sublease income were immaterial to the condensed consolidated statements of income for the three and six months ended January 31, 2026 and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six months ended January 31, 2026 and 2025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520" w:type="dxa"/>
            <w:vAlign w:val="bottom"/>
            <w:tcBorders>
              <w:bottom w:val="single" w:sz="8" w:color="auto"/>
            </w:tcBorders>
          </w:tcPr>
          <w:p>
            <w:pPr>
              <w:spacing w:after="0"/>
              <w:rPr>
                <w:sz w:val="18"/>
                <w:szCs w:val="18"/>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r>
      <w:tr>
        <w:trPr>
          <w:trHeight w:val="28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12,749</w:t>
            </w:r>
          </w:p>
        </w:tc>
      </w:tr>
    </w:tbl>
    <w:p>
      <w:pPr>
        <w:spacing w:after="0" w:line="11"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new leases, acquired leases and remeasurements or modifications of existing leases.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Accumulated Other Comprehensive Loss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and losses from cash flow hedges, and the unamortized gain or loss on post-retirement plans, net of their related tax effects.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six months ended January 31,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 (loss)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gain on cash flow</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 post-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retirement 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35,060</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(56,710)</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(55,749)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January 31, 2026 compared to July 31, 2025 was primarily due to the depreciation of the U.S. dollar against certain other currencies during the six-month period.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six months ended January 31, 2025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July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before reclassification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tcBorders>
              <w:top w:val="single" w:sz="8" w:color="CCEEFF"/>
            </w:tcBorders>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(21,259)</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January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(131,194)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(131,827)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January 31, 2025 compared to July 31, 2024 was primarily due to the appreciation of the U.S. dollar against certain other currencies during the six-month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Of the amounts reclassified from accumulated other comprehensive loss during the six months ended January 31, 2026 and 2025, unrealized gains or losses on cash flow hedges were reclassified to “Cost of goods sold” and unamortized gains or losses on post-retirement plans were reclassified into “Investment and other income” on the condensed consolidated statements of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loss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Revenue Recognition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and direct part marking solutions, high-performance materials and workplace safety products that are shipped and billed to customers. All revenue is from contracts with customers and is included in “Net sales” on the condensed consolidated statements of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net sales by segment and geographic region for the three and six months ended January 31,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416,580</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62,694</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233,846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479,274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226,630</w:t>
            </w:r>
          </w:p>
        </w:tc>
        <w:tc>
          <w:tcPr>
            <w:tcW w:w="0" w:type="dxa"/>
            <w:vAlign w:val="bottom"/>
          </w:tcPr>
          <w:p>
            <w:pPr>
              <w:spacing w:after="0"/>
              <w:rPr>
                <w:sz w:val="1"/>
                <w:szCs w:val="1"/>
                <w:color w:val="auto"/>
              </w:rPr>
            </w:pPr>
          </w:p>
        </w:tc>
      </w:tr>
      <w:tr>
        <w:trPr>
          <w:trHeight w:val="214"/>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27,836</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122,829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254,466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$3,292 and $3,060 as of January 31, 2026 and July 31, 2025, respectively. The current portion and non-current portion of contract liabilities are included in “Other current liabilities” and “Other liabilities,” respectively, on the condensed consolidated balance sheets. The Company recognized revenue of $381 and $341 during the three months ended January 31, 2026 and 2025, respectively, and $755 and $678 during the six months ended January 31, 2026 and 2025, respectively, that was included in the contract liability balance at the beginning of the respective period from the amortization of extended service warranties. Of the contract liability balance outstanding at January 31, 2026, the Company expects to recognize 22% by the end of fiscal 2026, an additional 35% by the end of fiscal 2027, and the remaining balance thereafter.</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for payments received in advance for certain software and services. These amounts are classified as contract liabilities and recognized as revenue over the service period. The balance of contract liabilities related to software and services was $10,582 and $9,246 as of January 31, 2026 and July 31, 2025, respectively. The Company recognized revenue of $2,262 and $1,664 during the three months ended January 31, 2026 and 2025, respectively, and $5,026 and $3,730 during the six months ended January 31, 2026 and 2025, respectively, which was previously included in the beginning balance of deferred revenue as of July 31, 2025 and July 31,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Segment Information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Company’s Chief Executive Officer (“CEO”), who is also the Company’s Chief Operating Decision Maker (“CODM”), uses segment profit in measuring segment performance, allocating resources, evaluating performance in periodic reviews, and during the development of the annual budget and the regular forecasting process. The CODM considers budget-to-actual variances on a quarterly basis, as well as segment-specific forecasting, when making decisions about the allocation of operating and capital resources to each segment. The CODM also uses the segment’s net sales in measuring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as of and for the three and six months ended January 31,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Americas &amp; Asia</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251,604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233,846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520,497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479,274</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238,251</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241,023</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114,010</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73,262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140,137</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100,886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Europe &amp; Australia</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132,533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254,466</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129,957</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124,509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88,500</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49,692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100,017</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24,492</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57,364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income before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125,378</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(15,222)</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62,005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110,847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Information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13,097</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w:t>
            </w: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22,205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9,453</w:t>
            </w:r>
          </w:p>
        </w:tc>
      </w:tr>
      <w:tr>
        <w:trPr>
          <w:trHeight w:val="21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w:t>
            </w:r>
          </w:p>
        </w:tc>
      </w:tr>
      <w:tr>
        <w:trPr>
          <w:trHeight w:val="207"/>
        </w:trPr>
        <w:tc>
          <w:tcPr>
            <w:tcW w:w="5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14,423</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Net Income per Common Share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48,051</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52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48,051</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101,251</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86,373</w:t>
            </w:r>
          </w:p>
        </w:tc>
        <w:tc>
          <w:tcPr>
            <w:tcW w:w="0" w:type="dxa"/>
            <w:vAlign w:val="bottom"/>
          </w:tcPr>
          <w:p>
            <w:pPr>
              <w:spacing w:after="0"/>
              <w:rPr>
                <w:sz w:val="1"/>
                <w:szCs w:val="1"/>
                <w:color w:val="auto"/>
              </w:rPr>
            </w:pPr>
          </w:p>
        </w:tc>
      </w:tr>
      <w:tr>
        <w:trPr>
          <w:trHeight w:val="194"/>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47,738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47,734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There were no anti-dilutive shares for the three months ended January 31, 2026 and 2025. The amount of anti-dilutive shares were 9,234 and 8,639 for the six months ended January 31, 2026 and 2025,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Fair Value Measurements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July 31,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19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120" w:type="dxa"/>
            <w:vAlign w:val="bottom"/>
          </w:tcPr>
          <w:p>
            <w:pPr>
              <w:spacing w:after="0"/>
              <w:rPr>
                <w:sz w:val="18"/>
                <w:szCs w:val="18"/>
                <w:color w:val="auto"/>
              </w:rPr>
            </w:pPr>
          </w:p>
        </w:tc>
        <w:tc>
          <w:tcPr>
            <w:tcW w:w="156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9"/>
              </w:rPr>
              <w:t>Level 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 assets: </w:t>
      </w:r>
      <w:r>
        <w:rPr>
          <w:rFonts w:ascii="Times New Roman" w:cs="Times New Roman" w:eastAsia="Times New Roman" w:hAnsi="Times New Roman"/>
          <w:sz w:val="18"/>
          <w:szCs w:val="18"/>
          <w:color w:val="auto"/>
        </w:rPr>
        <w:t>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accounts receivable, accounts payable, and other liabilities approximated carrying values due to their short-term nature.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Derivatives and Hedging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20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53,542</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r>
      <w:tr>
        <w:trPr>
          <w:trHeight w:val="237"/>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2026 and July 31, 2025, unrealized gains of $1,138 and unrealized losses of $493 have been included in 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January 31, 2026 and July 31, 2025, the cumulative balances recognized in accumulated other comprehensive income were losses of $4,394 and $2,753, respectively, on any outstanding foreign currency denominated debt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0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280" w:type="dxa"/>
            <w:vAlign w:val="bottom"/>
          </w:tcPr>
          <w:p>
            <w:pPr>
              <w:spacing w:after="0"/>
              <w:rPr>
                <w:sz w:val="18"/>
                <w:szCs w:val="18"/>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1"/>
        </w:trPr>
        <w:tc>
          <w:tcPr>
            <w:tcW w:w="5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recognized in OCI:</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reclassified from OCI into cost of goods sold</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exchange contracts (cash flow hedges)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p>
      <w:pPr>
        <w:spacing w:after="0" w:line="30" w:lineRule="exact"/>
        <w:rPr>
          <w:sz w:val="20"/>
          <w:szCs w:val="20"/>
          <w:color w:val="auto"/>
        </w:rPr>
      </w:pPr>
    </w:p>
    <w:p>
      <w:pPr>
        <w:jc w:val="right"/>
        <w:ind w:left="20" w:right="680"/>
        <w:spacing w:after="0" w:line="308" w:lineRule="auto"/>
        <w:rPr>
          <w:sz w:val="20"/>
          <w:szCs w:val="20"/>
          <w:color w:val="auto"/>
        </w:rPr>
      </w:pPr>
      <w:r>
        <w:rPr>
          <w:rFonts w:ascii="Times New Roman" w:cs="Times New Roman" w:eastAsia="Times New Roman" w:hAnsi="Times New Roman"/>
          <w:sz w:val="16"/>
          <w:szCs w:val="16"/>
          <w:b w:val="1"/>
          <w:bCs w:val="1"/>
          <w:color w:val="auto"/>
        </w:rPr>
        <w:t xml:space="preserve">Derivatives not designated as hedging instruments: </w:t>
      </w:r>
      <w:r>
        <w:rPr>
          <w:rFonts w:ascii="Times New Roman" w:cs="Times New Roman" w:eastAsia="Times New Roman" w:hAnsi="Times New Roman"/>
          <w:sz w:val="16"/>
          <w:szCs w:val="16"/>
          <w:color w:val="auto"/>
        </w:rPr>
        <w:t>Foreign exchange contracts (non-designated hedges)</w:t>
      </w:r>
    </w:p>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408"/>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435"/>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-864870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-591185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-316865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118"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rate for both the three months ended January 31, 2026 and 2025 was 22.5%. The income tax rate for the six months ended January 31, 2026 and 2025, was 21.8% and 21.4%,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Contingencies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Acquisitions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4, 2025, the Company acquired all of the membership interest of Mecco for $19,166, net of cash acquired. The purchase price includes a cash payment of $17,416 and a holdback liability of $1,750. Based in Pittsburgh, Pennsylvania, Mecco specializes in industrial product marking and identification systems designed for a variety of applications and industries. The acquisition of Mecco complements the Company’s existing offering of direct part marking solutions and advances the Company’s strategy to provide customers with a variety of end-to-end direct part marking and specialty identification products. The acquisition was funded through cash on hand. The Company recorded its preliminary purchase price allocation based on its estimates of the fair value of the acquired assets and assumed liabilities as of the acquisition date. The preliminary purchase price allocation included goodwill of $3,412, intangible assets of $14,040, and net tangible assets of $1,714. The goodwill for this acquisition is assigned to the Americas &amp; Asia segment and is deductible for tax purposes. The final purchase price allocation is subject to post-closing adjustments and the finalization of certain intangible asset valuations and deferred tax adjustments. The accompanying condensed consolidated financial statements include the results of Mecco from the date of acquisition through January 31, 2026. Pro forma and other financial information are not presented for the Mecco acquisition because its impact on the Company’s results of operations and financial position is immaterial.</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and direct part marking solutions, high-performance materials and workplace safety products that identify and protect premises, products and people. The Company is organized and managed on a geographic basis with two reportable segments: Americas &amp; Asia and Europe &amp; Australia. This regional operating structure allows the Company to further integrate its businesses, support continued growth through the application of the best go-to-market strategies in key geographies, facilitate new product development within recent acquisitions and further simplify and scale the global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89"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direct part marking, engraving equipment, brand protection labeling, work in process labeling, finished product identification, asset tracking labels, asset tags and industrial track and trace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intensifying efforts to leverage our diverse product portfolio and synergies across our business, improving the overall customer experience, developing technologically advanced, innovative, and proprietary products, and improving our digital capabilities.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key initiatives supporting our strategy in fiscal 2026:</w:t>
      </w:r>
    </w:p>
    <w:p>
      <w:pPr>
        <w:spacing w:after="0" w:line="171"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high-quality customer experience by aligning with customers’ preferred communications channels and leveraging technology to strengthen engagement.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remain competitive.</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and evaluating future acquisition opportunities to enhance our strategic position and accelerate long-term sales growth.</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operational excellence by executing sustainable efficiency gains within our selling, general and administrative structures and within our global operations, including cost reduction initiatives, insourcing of critical products and manufacturing activities, and reducing the Company’s environmental footprint.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high-performance culture, which rewards execution, fosters inclusion, and strengthens employee engagement, recruitment, and retention.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performance are subject to the risks and uncertainties inherent in the global economic environment, including inflationary pressures, supply chain disruptions, and other macroeconomic challenges. These pressures may impact the Company’s business, financial condition and results of operations as the global economic outlook remains uncertain.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trade environment remains complex and is rapidly evolving, driven by the imposition of tariffs on goods entering the U.S. and countermeasures from other nations. Our business has incurred, and expects to continue to incur, additional costs as it relates to these incremental tariffs and countermeasures for the foreseeable future. The Company has taken and will continue to take action to mitigate inflationary pressures caused by the incremental tariffs through a combination of targeted price increases and surcharges, strategic sourcing adjustments, product portfolio optimization, as well as our ongoing efforts to drive sustainable efficiency gains in our operations and administrative structures.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uncertain situation relating to tariffs, 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opportunistic share repurchases.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as necessary, are sufficient to support the execution of our growth strategy and to manage the impact of economic or geopolitical events that could potentially reduce sales, net income, or cash provided by operating activities. Refer to Risk Factors, included in Part I, Item 1A of our Annual Report on Form 10-K for the year ended July 31, 2025, for further discussion of the possible impact of global economic or geopolitical events on our business.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comparability of the operating results for the three and six months ended January 31, 2026 compared to the same periods in the prior year have been impacted by the acquisitions of Microfluidic Solutions business unit of Funai Electric Co., Ltd. (“Microfluidic Solutions”) on April 1, 2025 and MECCO Partners LLC (“Mecco”) on August 4, 2025. The comparability of the operating results for the six months ended January 31, 2026 compared to the same period in the prior year has also been impacted by the acquisition of American Barcode and RFID Incorporated (“AB&amp;R”) on October 1, 2024. All three entities have been included in the Americas &amp; Asia reportable segment since their respective acquisition dates.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six months ended January 31, 2026 and 2025,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384,137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789,424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733,740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194,394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49.8 %</w:t>
            </w:r>
          </w:p>
        </w:tc>
      </w:tr>
      <w:tr>
        <w:trPr>
          <w:trHeight w:val="21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47,601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107,895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225,463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07"/>
        </w:trPr>
        <w:tc>
          <w:tcPr>
            <w:tcW w:w="3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132,204</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124,609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255,376</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34.8 %</w:t>
            </w:r>
          </w:p>
        </w:tc>
      </w:tr>
      <w:tr>
        <w:trPr>
          <w:trHeight w:val="235"/>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110,156</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Quarterly Report on Form 10-Q to “organic sales” refer to sales calculated in accordance with GAAP, excluding the impact of foreign currency translation, sales recorded from acquired companies prior to the first anniversary date of their acquisition, and sales recorded from divested companies up to the first anniversary of their divestiture.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January 31, 2026 increased 7.7% to $384.1 million compared to $356.7 million in the same period in the prior year. The increase consisted of organic sales growth of 1.6%, sales growth from acquisitions of 2.3%, and a 3.8% increase from foreign currency translation. Organic sales grew 3.1% in the Americas &amp; Asia segment, while organic sales declined 1.1% in the Europe &amp; Australia segment during the three months ended January 31, 2026 compared to the same period in the prior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for the six months ended January 31, 2026 increased 7.6% to $789.4 million compared to $733.7 million in the same period in the prior year. The increase consisted of organic sales growth of 2.2%, sales growth from acquisitions of 2.8%, and a 2.6% increase from foreign currency translation. Organic sales grew 3.9% in the Americas &amp; Asia segment, while organic sales declined 0.9% in the Europe &amp; Australia segment during the six months ended January 31, 2026 compared to the same period in the prior year.</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Gross margin increased 10.5% to $194.4 million in the three months ended January 31, 2026 compared to $175.8 million in the same period in the prior year. As a percentage of net sales, gross margin increased to 50.6% from 49.3% in the three-month period. Gross margin increased 10.3% to $403.2 million in the six months ended January 31, 2026 compared to $365.5 million in the same period in the prior year. As a percentage of net sales, gross margin increased to 51.1% from 49.8% in the six-month period. The increase in gross margin as a percentage of net sales during the three-month period is primarily driven by the absence of facility closure and other reorganization costs of $1.9 million recorded in the prior-year period. The increase in gross margin as a percentage of net sales during the six months ended January 31, 2026 was primarily due to the absence of a $4.1 million non-recurring fair value adjustment related to acquisition inventory, as well as the facility closure and other reorganization costs recorded in the prior-year period. Organic sales growth in higher gross margin product lines also contributed to the increase in both the three and six-month periods, which was partially offset by incremental tariffs in the same periods.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R&amp;D expenses increased 29.8% to $24.3 million in the three months ended January 31, 2026 compared to $18.7 million in the same period in the prior year. As a percentage of net sales, R&amp;D expenses increased to 6.3% in the three-month period compared to 5.2% in the same period in the prior year. R&amp;D expenses increased 26.5% to $47.6 million in the six months ended January 31, 2026 compared to $37.6 million in the same period in the prior year. As a percentage of net sales, R&amp;D expenses increased to 6.0% from 5.1% in the six-month period. The increase in R&amp;D spending was primarily due to the acquisitions of Microfluidic Solutions and Mecco, and, to a lesser extent, an increase in R&amp;D headcount within the Company’s organic business. The Company remains committed to investing in innovative product development to drive long-term organic sales growth. Investments in new printing systems, pressure sensitive materials, engraving systems, microfluidic technologies, scanners and software remain the primary focus of R&amp;D expenditures in fiscal 2026.</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1.9% to $107.9 million in the three months ended January 31, 2026 compared to $105.9 million in the same period in the prior year. As a percentage of net sales, SG&amp;A expenses decreased to 28.1% from 29.7% in the three-month period. SG&amp;A expenses increased 3.6% to $225.5 million for the six months ended January 31, 2026 compared to $217.7 million in the same period in the prior year. As a percentage of net sales, SG&amp;A expenses decreased to 28.6% from 29.7% in the six-month period. The increase in SG&amp;A expenses during the three and six months ended January 31, 2026 was primarily due to foreign currency translation, as well as increased headcount and other costs from acquisitions, including incremental amortization expense from the acquired intangible assets. The decrease in SG&amp;A as a percentage of net sales for both the three and six-month periods is primarily due to cost reductions from facility closures and other reorganization activities completed in the prior fiscal year, as well as the absence of $3.8 million of charges related to those activities recorded in the prior-year periods.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Operating income increased 21.4% to $62.2 million and increased 18.2% to $130.2 million in the three and six months ended January 31, 2026, respectively, compared to $51.2 million and $110.2 million in the same periods in the prior year. The increase in operating income in both the three and six-month periods was driven by organic sales growth in the Americas &amp; Asia reportable segment, gross margin improvement across both reportable segments, and SG&amp;A cost efficiencies in the Europe &amp; Australia segment. Additionally, operating income for the three and six months ended January 31, 2025 included facility closure and other reorganization costs of $5.7 million. Operating income for the six months ended January 31, 2025 also included non-recurring acquisition-related and other costs of $5.1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84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130,162</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110,847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21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13,954</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37"/>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48,051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101,987</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87,117</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income tax rate was 22.5% for both the three months ended January 31, 2026 and 2025, and the income tax rate was 21.8% and 21.4% for the six months ended January 31, 2026 and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six months ended January 31,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January 31,</w:t>
            </w:r>
          </w:p>
        </w:tc>
        <w:tc>
          <w:tcPr>
            <w:tcW w:w="320" w:type="dxa"/>
            <w:vAlign w:val="bottom"/>
          </w:tcPr>
          <w:p>
            <w:pPr>
              <w:spacing w:after="0"/>
              <w:rPr>
                <w:sz w:val="18"/>
                <w:szCs w:val="18"/>
                <w:color w:val="auto"/>
              </w:rPr>
            </w:pPr>
          </w:p>
        </w:tc>
        <w:tc>
          <w:tcPr>
            <w:tcW w:w="28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5"/>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53,751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45,986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113,614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100,886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24,492</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69,173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57,364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147,768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125,378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net sales increased 7.6% to $251.6 million in the three months ended January 31, 2026 compared to $233.8 million in the same period in the prior year, which consisted of organic sales growth of 3.1%, sales growth from acquisitions of 3.5%, and a 1.0% increase from foreign currency translation. Americas &amp; Asia net sales increased 8.6% to $520.5 million in the six months ended January 31, 2026 compared to $479.3 million in the same period in the prior year, which consisted of organic sales growth of 3.9%, sales growth from acquisitions of 4.2%, and a 0.5% increase from foreign currency translation.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in the low-single digits in both the three and six months ended January 31, 2026 compared to the same periods in the prior year. Organic sales growth in both the three and six-month periods was driven by growth in the wire identification and product identification product lines, which was partially offset by an organic sales decline in the people identification product line.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Asia increased approximately 14% in the three months ended January 31, 2026, and increased approximately 13% in the six months ended January 31, 2026 compared to the same periods in the prior year. The organic sales increase in both the three month and six-month periods was realized throughout Asia with continued growth from electronics manufacturing services providers, technology companies, and industrial suppliers across the region. Organic sales growth in both the three and six-month periods was primarily driven by increased organic sales in China, India and Malaysia, as well as Japan in the six-month period.</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Americas &amp; Asia segment profit increased 16.9% to $53.8 million in the three months ended January 31, 2026 compared to $46.0 million in the same period in the prior year. Segment profit increased 12.6% to $113.6 million in the six months ended January 31, 2026 compared to $100.9 million in the same period in the prior year. As a percentage of net sales, segment profit increased to 21.4% from 19.7% in the three-month period and segment profit increased to 21.8% from 21.0% in the six-month period ended January 31, 2026 compared to the same periods in the prior year. The increase in segment profit as a percentage of net sales was due to increased profit from organic sales growth in both the three and six-month periods, as well as the absence of costs from the prior year period related to the closure of two facilities during the three-month period and incremental amortization and purchase accounting adjustments during the six-month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Europe &amp; Australia net sales increased 7.9% to $132.5 million in the three months ended January 31, 2026 compared to $122.8 million in the same period in the prior year. The increase was due to foreign currency translation of 9.0%, which was partially offset by an organic sales decline of 1.1%. Europe &amp; Australia net sales increased 5.7% to $268.9 million in the six months ended January 31, 2026 compared to $254.5 million in the same period in the prior year, which consisted of an increase of 6.6% from foreign currency translation, which was partially offset by an organic sales decline of 0.9%.</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declined in the low-single digits in both the three and six months ended January 31, 2026 compared to the same periods in the prior year. For both the three and six-month periods, the organic sales decline was primarily driven by lower volume in the safety and facility identification and product identification product lines, which was partially offset by organic growth in the wire identification product line.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declined in the low-single digits in both the three and six months ended January 31, 2026 compared to the same periods in the prior year. The organic sales decline in both the three and six-month periods was driven by an organic sales decline in the product identification and safety and facility identification product lines, which was partially offset by organic sales growth in the wire identification product line.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Europe &amp; Australia segment profit increased 35.5% to $15.4 million in the three months ended January 31, 2026 compared to $11.4 million in the same period in the prior year. Segment profit increased 39.4% to $34.2 million in the six months ended January 31, 2026 compared to $24.5 million in the same period in the prior year. As a percentage of net sales, segment profit increased to 11.6% from 9.3% for the three-month period and segment profit increased to 12.7% from 9.6% for the six-month period ended January 31, 2026, compared to the same periods in the prior year. The increase in segment profit was primarily driven by a more efficient cost structure following reorganization activities completed in the prior fiscal year. Additionally, segment profit for the three and six months ended January 31, 2025 included reorganization costs and purchase accounting adjustments.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January 31, 2026, approximately 98%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share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$176.5 million at January 31, 2026, an increase of $2.1 million from July 31, 2025. The significant changes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January 31,</w:t>
            </w: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(151,718)</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(22,343)</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(111,666)</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$86.7 million in the six months ended January 31, 2026, compared to $63.0 million in the same period of the prior year. The increase in cash provided by operating activities was primarily due to improved segment profit from both reportable segments.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$41.3 million in the six months ended January 31, 2026, which consisted of the acquisition of a business of $17.4 million and capital expenditures of $21.9 million. Net cash used in investing activities was $151.7 million in the six months ended January 31, 2025, which consisted of the acquisition of businesses totaling $137.3 million and capital expenditures of $14.4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$47.9 million in the six months ended January 31, 2026, compared to $22.3 million used in the same period of the prior year. The change was primarily driven by increased net repayments on the Company's credit agreement and, to a lesser extent, increased share repurchases during the six months ended January 31, 2026 compared to the same period in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repayment of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to, among other items,</w:t>
      </w:r>
    </w:p>
    <w:p>
      <w:pPr>
        <w:spacing w:after="0" w:line="27" w:lineRule="exact"/>
        <w:rPr>
          <w:sz w:val="20"/>
          <w:szCs w:val="20"/>
          <w:color w:val="auto"/>
        </w:rPr>
      </w:pPr>
    </w:p>
    <w:p>
      <w:pPr>
        <w:jc w:val="both"/>
        <w:ind w:firstLine="8"/>
        <w:spacing w:after="0" w:line="253" w:lineRule="auto"/>
        <w:tabs>
          <w:tab w:leader="none" w:pos="2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the credit agreement to, among other items, change the applicable benchmark rate for borrowings denominated in Canadian Dollars under the credit agreement.</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January 31, 2026, the outstanding balance on the Company’s credit agreement was $78.7 million. The maximum amount outstanding on the credit agreement during the six months ended January 31, 2026 was $119.6 million. As of January 31, 2026, the U.S. dollar-denominated borrowings of $15.0 million bear interest at 4.9%; the Euro-denominated borrowings of €44.0 million bear interest at 2.8%; and the British Pound-denominated borrowings of £8.0 million bear interest at 4.6%. The Company had letters of credit outstanding under the credit agreement of $2.1 million as of January 31, 2026, and there was $219.2 million available for future borrowing, which can be increased to $1,169.2 million at the Company’s option, subject to certain conditions. The credit agreement has a final maturity date of November 14, 2027. As such, borrowings were classified as long-term on the condensed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Compliance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January 31, 2026, the Company was in compliance with these financial covenants, with a ratio of debt to EBITDA, as defined by the agreements, equal to 0.2 to 1.0 and the interest expense coverage ratio equal to 77.9 to 1.0.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540" w:hanging="330"/>
        <w:spacing w:after="0" w:line="261"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raw materials, labor, material shortages and supply chain disruptions, including as a result of tariffs or other impacts of the global trade environment</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w:t>
      </w:r>
    </w:p>
    <w:p>
      <w:pPr>
        <w:spacing w:after="0" w:line="9" w:lineRule="exact"/>
        <w:rPr>
          <w:rFonts w:ascii="Times New Roman" w:cs="Times New Roman" w:eastAsia="Times New Roman" w:hAnsi="Times New Roman"/>
          <w:sz w:val="18"/>
          <w:szCs w:val="18"/>
          <w:color w:val="auto"/>
        </w:rPr>
      </w:pPr>
    </w:p>
    <w:p>
      <w:pPr>
        <w:ind w:left="54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20" w:hanging="310"/>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540" w:right="20" w:hanging="330"/>
        <w:spacing w:after="0" w:line="250"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540" w:hanging="330"/>
        <w:spacing w:after="0" w:line="253" w:lineRule="auto"/>
        <w:tabs>
          <w:tab w:leader="none" w:pos="5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(“SEC”) filings, including, but not limited to, those factors listed in the “Risk Factors” section within Item 1A of Part I of Brady’s Form 10-K for the year ended July 31, 2025.</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2025 (“2025 Form 10-K”). There has been no material change in this information since the 2025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(the “Chief Executive Officer”) and its Chief Financial Officer, Chief Accounting Officer and Treasurer (the “Chief Financial Officer”), of the effectiveness of the design and operation of the Company’s disclosure controls and procedures pursuant to Rule 13a-15 of the Exchange Act. Based on that evaluation, the Company’s Chief Executive Officer and Chief Financial Officer concluded that the Company’s disclosure controls and procedures were effective as of the end of the period covered by this report.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Note M, “Contingencies” included in this Quarterly Report on Form 10-Q is incorporated herein by reference.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financial condition, and cash flows are subject to various risks and uncertainties, including those described in Part I, Item 1A, “Risk Factors” of Company’s Annual Report on Form 10-K for the year ended July 31, 2025. There have been no material changes from the risk factors set forth in the 2025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available for use in connection with the Company’s stock-based plans and for other corporate purposes.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4, 2024, the Company’s Board of Directors authorized an increase in the Company’s share repurchase program, authorizing the repurchase of an additional $100.0 million of the Company’s Class A Nonvoting Common Stock, which expanded upon the Company’s prior authorization for a total authorized amount of $137.8 million. The share repurchase program may be implemented from time to time on the open market or in privately negotiated transactions and has no expiration date. As of January 31, 2026, there was $78.0 million worth of shares authorized to purchase remaining pursuant to the existing share repurchase program.</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January 31,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7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7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214"/>
        </w:trPr>
        <w:tc>
          <w:tcPr>
            <w:tcW w:w="3580" w:type="dxa"/>
            <w:vAlign w:val="bottom"/>
            <w:gridSpan w:val="2"/>
            <w:vMerge w:val="continue"/>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7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2025 - November 30, 2025</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77,987</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2025 - December 31, 2025</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77,987</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77,987</w:t>
            </w:r>
          </w:p>
        </w:tc>
        <w:tc>
          <w:tcPr>
            <w:tcW w:w="0" w:type="dxa"/>
            <w:vAlign w:val="bottom"/>
          </w:tcPr>
          <w:p>
            <w:pPr>
              <w:spacing w:after="0"/>
              <w:rPr>
                <w:sz w:val="1"/>
                <w:szCs w:val="1"/>
                <w:color w:val="auto"/>
              </w:rPr>
            </w:pP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77,987</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no director or Section 16 officer of the Company adopted or terminated a “Rule 10b5-1 trading arrangement” or “non-Rule 10b5-1 trading arrangement,” as each term is identified in Item 408(a)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40" w:type="dxa"/>
            <w:vAlign w:val="bottom"/>
            <w:tcBorders>
              <w:top w:val="single" w:sz="8" w:color="auto"/>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Russell R. Shaller</w:t>
            </w:r>
          </w:p>
        </w:tc>
        <w:tc>
          <w:tcPr>
            <w:tcW w:w="4620" w:type="dxa"/>
            <w:vAlign w:val="bottom"/>
            <w:tcBorders>
              <w:top w:val="single" w:sz="8" w:color="auto"/>
            </w:tcBorders>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Ann E. Thornton</w:t>
            </w: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Russell R. Shaller</w:t>
            </w:r>
          </w:p>
        </w:tc>
        <w:tc>
          <w:tcPr>
            <w:tcW w:w="820" w:type="dxa"/>
            <w:vAlign w:val="bottom"/>
            <w:tcBorders>
              <w:top w:val="single" w:sz="8" w:color="0000FF"/>
            </w:tcBorders>
          </w:tcPr>
          <w:p>
            <w:pPr>
              <w:spacing w:after="0"/>
              <w:rPr>
                <w:sz w:val="24"/>
                <w:szCs w:val="24"/>
                <w:color w:val="auto"/>
              </w:rPr>
            </w:pPr>
          </w:p>
        </w:tc>
        <w:tc>
          <w:tcPr>
            <w:tcW w:w="4700" w:type="dxa"/>
            <w:vAlign w:val="bottom"/>
            <w:gridSpan w:val="2"/>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Ann E. Thornton</w:t>
            </w:r>
          </w:p>
        </w:tc>
        <w:tc>
          <w:tcPr>
            <w:tcW w:w="5580" w:type="dxa"/>
            <w:vAlign w:val="bottom"/>
            <w:gridSpan w:val="4"/>
          </w:tcPr>
          <w:p>
            <w:pPr>
              <w:spacing w:after="0"/>
              <w:rPr>
                <w:sz w:val="24"/>
                <w:szCs w:val="24"/>
                <w:color w:val="auto"/>
              </w:rPr>
            </w:pPr>
          </w:p>
        </w:tc>
      </w:tr>
      <w:tr>
        <w:trPr>
          <w:trHeight w:val="47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w:t>
            </w:r>
          </w:p>
        </w:tc>
      </w:tr>
      <w:tr>
        <w:trPr>
          <w:trHeight w:val="234"/>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9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50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50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RUSSELL R. SHALLER</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Russell R. Shaller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4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2026</w:t>
            </w:r>
          </w:p>
        </w:tc>
        <w:tc>
          <w:tcPr>
            <w:tcW w:w="4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ANN E. THORNTON</w:t>
            </w:r>
          </w:p>
        </w:tc>
      </w:tr>
      <w:tr>
        <w:trPr>
          <w:trHeight w:val="218"/>
        </w:trPr>
        <w:tc>
          <w:tcPr>
            <w:tcW w:w="716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 E. Thornton</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Chief Financial Officer, Chief Accounting Officer</w:t>
            </w:r>
          </w:p>
        </w:tc>
      </w:tr>
      <w:tr>
        <w:trPr>
          <w:trHeight w:val="230"/>
        </w:trPr>
        <w:tc>
          <w:tcPr>
            <w:tcW w:w="716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Treasurer</w:t>
            </w:r>
          </w:p>
        </w:tc>
      </w:tr>
      <w:tr>
        <w:trPr>
          <w:trHeight w:val="189"/>
        </w:trPr>
        <w:tc>
          <w:tcPr>
            <w:tcW w:w="7160" w:type="dxa"/>
            <w:vAlign w:val="bottom"/>
          </w:tcPr>
          <w:p>
            <w:pPr>
              <w:spacing w:after="0"/>
              <w:rPr>
                <w:sz w:val="16"/>
                <w:szCs w:val="16"/>
                <w:color w:val="auto"/>
              </w:rPr>
            </w:pPr>
          </w:p>
        </w:tc>
        <w:tc>
          <w:tcPr>
            <w:tcW w:w="406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6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53"/>
        <w:spacing w:after="0" w:line="266" w:lineRule="auto"/>
        <w:tabs>
          <w:tab w:leader="none" w:pos="6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firstLine="453"/>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2026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firstLine="453"/>
        <w:spacing w:after="0" w:line="282"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January 31, 2026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2026-02-19T06:18:03Z</dcterms:created>
  <dcterms:modified xsi:type="dcterms:W3CDTF">2026-02-19T06:18:03Z</dcterms:modified>
</cp:coreProperties>
</file>