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20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205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74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PUNGELLO ELIZABETH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94 RED BUD LANE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12/16/2009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0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23"/>
          </w:cols>
          <w:pgMar w:left="240" w:top="226" w:right="179" w:bottom="742"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CHAPEL HILL</w:t>
            </w:r>
          </w:p>
        </w:tc>
        <w:tc>
          <w:tcPr>
            <w:tcW w:w="920" w:type="dxa"/>
            <w:vAlign w:val="bottom"/>
          </w:tcPr>
          <w:p>
            <w:pPr>
              <w:ind w:left="80"/>
              <w:spacing w:after="0"/>
              <w:rPr>
                <w:sz w:val="20"/>
                <w:szCs w:val="20"/>
                <w:color w:val="auto"/>
              </w:rPr>
            </w:pPr>
            <w:r>
              <w:rPr>
                <w:rFonts w:ascii="Arial" w:cs="Arial" w:eastAsia="Arial" w:hAnsi="Arial"/>
                <w:sz w:val="18"/>
                <w:szCs w:val="18"/>
                <w:color w:val="0000FF"/>
              </w:rPr>
              <w:t>NC</w:t>
            </w:r>
          </w:p>
        </w:tc>
        <w:tc>
          <w:tcPr>
            <w:tcW w:w="1680" w:type="dxa"/>
            <w:vAlign w:val="bottom"/>
          </w:tcPr>
          <w:p>
            <w:pPr>
              <w:ind w:left="420"/>
              <w:spacing w:after="0"/>
              <w:rPr>
                <w:sz w:val="20"/>
                <w:szCs w:val="20"/>
                <w:color w:val="auto"/>
              </w:rPr>
            </w:pPr>
            <w:r>
              <w:rPr>
                <w:rFonts w:ascii="Arial" w:cs="Arial" w:eastAsia="Arial" w:hAnsi="Arial"/>
                <w:sz w:val="18"/>
                <w:szCs w:val="18"/>
                <w:color w:val="0000FF"/>
              </w:rPr>
              <w:t>27514</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00"/>
          </w:cols>
          <w:pgMar w:left="240" w:top="226" w:right="179" w:bottom="742"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4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91"/>
              </w:rPr>
              <w:t>Class A Common Stock (Robert and</w:t>
            </w:r>
          </w:p>
        </w:tc>
        <w:tc>
          <w:tcPr>
            <w:tcW w:w="1540" w:type="dxa"/>
            <w:vAlign w:val="bottom"/>
            <w:gridSpan w:val="2"/>
            <w:vMerge w:val="restart"/>
          </w:tcPr>
          <w:p>
            <w:pPr>
              <w:ind w:left="620"/>
              <w:spacing w:after="0"/>
              <w:rPr>
                <w:sz w:val="20"/>
                <w:szCs w:val="20"/>
                <w:color w:val="auto"/>
              </w:rPr>
            </w:pPr>
            <w:r>
              <w:rPr>
                <w:rFonts w:ascii="Arial" w:cs="Arial" w:eastAsia="Arial" w:hAnsi="Arial"/>
                <w:sz w:val="18"/>
                <w:szCs w:val="18"/>
                <w:color w:val="0000FF"/>
                <w:w w:val="99"/>
              </w:rPr>
              <w:t>12/16/2009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720" w:type="dxa"/>
            <w:vAlign w:val="bottom"/>
            <w:vMerge w:val="restart"/>
          </w:tcPr>
          <w:p>
            <w:pPr>
              <w:jc w:val="right"/>
              <w:ind w:right="14"/>
              <w:spacing w:after="0"/>
              <w:rPr>
                <w:sz w:val="20"/>
                <w:szCs w:val="20"/>
                <w:color w:val="auto"/>
              </w:rPr>
            </w:pPr>
            <w:r>
              <w:rPr>
                <w:rFonts w:ascii="Arial" w:cs="Arial" w:eastAsia="Arial" w:hAnsi="Arial"/>
                <w:sz w:val="18"/>
                <w:szCs w:val="18"/>
                <w:color w:val="0000FF"/>
              </w:rPr>
              <w:t>5,000</w:t>
            </w:r>
          </w:p>
        </w:tc>
        <w:tc>
          <w:tcPr>
            <w:tcW w:w="7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29.73</w:t>
            </w: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435,706</w:t>
            </w:r>
            <w:r>
              <w:rPr>
                <w:rFonts w:ascii="Arial" w:cs="Arial" w:eastAsia="Arial" w:hAnsi="Arial"/>
                <w:sz w:val="22"/>
                <w:szCs w:val="22"/>
                <w:color w:val="008000"/>
                <w:w w:val="84"/>
                <w:vertAlign w:val="superscript"/>
              </w:rPr>
              <w:t>(1)</w:t>
            </w:r>
          </w:p>
        </w:tc>
        <w:tc>
          <w:tcPr>
            <w:tcW w:w="320" w:type="dxa"/>
            <w:vAlign w:val="bottom"/>
          </w:tcPr>
          <w:p>
            <w:pPr>
              <w:spacing w:after="0"/>
              <w:rPr>
                <w:sz w:val="22"/>
                <w:szCs w:val="22"/>
                <w:color w:val="auto"/>
              </w:rPr>
            </w:pPr>
          </w:p>
        </w:tc>
        <w:tc>
          <w:tcPr>
            <w:tcW w:w="560" w:type="dxa"/>
            <w:vAlign w:val="bottom"/>
            <w:vMerge w:val="restart"/>
          </w:tcPr>
          <w:p>
            <w:pPr>
              <w:jc w:val="center"/>
              <w:ind w:right="287"/>
              <w:spacing w:after="0"/>
              <w:rPr>
                <w:sz w:val="20"/>
                <w:szCs w:val="20"/>
                <w:color w:val="auto"/>
              </w:rPr>
            </w:pPr>
            <w:r>
              <w:rPr>
                <w:rFonts w:ascii="Arial" w:cs="Arial" w:eastAsia="Arial" w:hAnsi="Arial"/>
                <w:sz w:val="18"/>
                <w:szCs w:val="18"/>
                <w:color w:val="0000FF"/>
                <w:w w:val="91"/>
              </w:rPr>
              <w:t>D</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40" w:type="dxa"/>
            <w:vAlign w:val="bottom"/>
            <w:gridSpan w:val="3"/>
            <w:vMerge w:val="restart"/>
          </w:tcPr>
          <w:p>
            <w:pPr>
              <w:ind w:left="60"/>
              <w:spacing w:after="0"/>
              <w:rPr>
                <w:sz w:val="20"/>
                <w:szCs w:val="20"/>
                <w:color w:val="auto"/>
              </w:rPr>
            </w:pPr>
            <w:r>
              <w:rPr>
                <w:rFonts w:ascii="Arial" w:cs="Arial" w:eastAsia="Arial" w:hAnsi="Arial"/>
                <w:sz w:val="18"/>
                <w:szCs w:val="18"/>
                <w:color w:val="0000FF"/>
              </w:rPr>
              <w:t>Elizabeth Pungello JTWROS)</w:t>
            </w: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91"/>
              </w:rPr>
              <w:t>Class A Common Stock (Robert and</w:t>
            </w:r>
          </w:p>
        </w:tc>
        <w:tc>
          <w:tcPr>
            <w:tcW w:w="1540" w:type="dxa"/>
            <w:vAlign w:val="bottom"/>
            <w:gridSpan w:val="2"/>
            <w:vMerge w:val="restart"/>
          </w:tcPr>
          <w:p>
            <w:pPr>
              <w:ind w:left="620"/>
              <w:spacing w:after="0"/>
              <w:rPr>
                <w:sz w:val="20"/>
                <w:szCs w:val="20"/>
                <w:color w:val="auto"/>
              </w:rPr>
            </w:pPr>
            <w:r>
              <w:rPr>
                <w:rFonts w:ascii="Arial" w:cs="Arial" w:eastAsia="Arial" w:hAnsi="Arial"/>
                <w:sz w:val="18"/>
                <w:szCs w:val="18"/>
                <w:color w:val="0000FF"/>
                <w:w w:val="99"/>
              </w:rPr>
              <w:t>12/29/2009</w:t>
            </w: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720" w:type="dxa"/>
            <w:vAlign w:val="bottom"/>
            <w:vMerge w:val="restart"/>
          </w:tcPr>
          <w:p>
            <w:pPr>
              <w:jc w:val="right"/>
              <w:ind w:right="14"/>
              <w:spacing w:after="0"/>
              <w:rPr>
                <w:sz w:val="20"/>
                <w:szCs w:val="20"/>
                <w:color w:val="auto"/>
              </w:rPr>
            </w:pPr>
            <w:r>
              <w:rPr>
                <w:rFonts w:ascii="Arial" w:cs="Arial" w:eastAsia="Arial" w:hAnsi="Arial"/>
                <w:sz w:val="18"/>
                <w:szCs w:val="18"/>
                <w:color w:val="0000FF"/>
              </w:rPr>
              <w:t>5,000</w:t>
            </w:r>
          </w:p>
        </w:tc>
        <w:tc>
          <w:tcPr>
            <w:tcW w:w="70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30.515</w:t>
            </w: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4"/>
              </w:rPr>
              <w:t>430,706</w:t>
            </w:r>
            <w:r>
              <w:rPr>
                <w:rFonts w:ascii="Arial" w:cs="Arial" w:eastAsia="Arial" w:hAnsi="Arial"/>
                <w:sz w:val="22"/>
                <w:szCs w:val="22"/>
                <w:color w:val="008000"/>
                <w:w w:val="84"/>
                <w:vertAlign w:val="superscript"/>
              </w:rPr>
              <w:t>(1)</w:t>
            </w:r>
          </w:p>
        </w:tc>
        <w:tc>
          <w:tcPr>
            <w:tcW w:w="320" w:type="dxa"/>
            <w:vAlign w:val="bottom"/>
          </w:tcPr>
          <w:p>
            <w:pPr>
              <w:spacing w:after="0"/>
              <w:rPr>
                <w:sz w:val="22"/>
                <w:szCs w:val="22"/>
                <w:color w:val="auto"/>
              </w:rPr>
            </w:pPr>
          </w:p>
        </w:tc>
        <w:tc>
          <w:tcPr>
            <w:tcW w:w="560" w:type="dxa"/>
            <w:vAlign w:val="bottom"/>
            <w:vMerge w:val="restart"/>
          </w:tcPr>
          <w:p>
            <w:pPr>
              <w:jc w:val="center"/>
              <w:ind w:right="287"/>
              <w:spacing w:after="0"/>
              <w:rPr>
                <w:sz w:val="20"/>
                <w:szCs w:val="20"/>
                <w:color w:val="auto"/>
              </w:rPr>
            </w:pPr>
            <w:r>
              <w:rPr>
                <w:rFonts w:ascii="Arial" w:cs="Arial" w:eastAsia="Arial" w:hAnsi="Arial"/>
                <w:sz w:val="18"/>
                <w:szCs w:val="18"/>
                <w:color w:val="0000FF"/>
                <w:w w:val="91"/>
              </w:rPr>
              <w:t>D</w:t>
            </w: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40" w:type="dxa"/>
            <w:vAlign w:val="bottom"/>
            <w:gridSpan w:val="3"/>
            <w:vMerge w:val="restart"/>
          </w:tcPr>
          <w:p>
            <w:pPr>
              <w:ind w:left="60"/>
              <w:spacing w:after="0"/>
              <w:rPr>
                <w:sz w:val="20"/>
                <w:szCs w:val="20"/>
                <w:color w:val="auto"/>
              </w:rPr>
            </w:pPr>
            <w:r>
              <w:rPr>
                <w:rFonts w:ascii="Arial" w:cs="Arial" w:eastAsia="Arial" w:hAnsi="Arial"/>
                <w:sz w:val="18"/>
                <w:szCs w:val="18"/>
                <w:color w:val="0000FF"/>
              </w:rPr>
              <w:t>Elizabeth Pungello JTWROS)</w:t>
            </w: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rPr>
              <w:t>Class B Common Stock (Brady</w:t>
            </w: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5"/>
              </w:rPr>
              <w:t>1,769,304</w:t>
            </w:r>
            <w:r>
              <w:rPr>
                <w:rFonts w:ascii="Arial" w:cs="Arial" w:eastAsia="Arial" w:hAnsi="Arial"/>
                <w:sz w:val="22"/>
                <w:szCs w:val="22"/>
                <w:color w:val="008000"/>
                <w:w w:val="85"/>
                <w:vertAlign w:val="superscript"/>
              </w:rPr>
              <w:t>(2)</w:t>
            </w:r>
          </w:p>
        </w:tc>
        <w:tc>
          <w:tcPr>
            <w:tcW w:w="320" w:type="dxa"/>
            <w:vAlign w:val="bottom"/>
          </w:tcPr>
          <w:p>
            <w:pPr>
              <w:spacing w:after="0"/>
              <w:rPr>
                <w:sz w:val="22"/>
                <w:szCs w:val="22"/>
                <w:color w:val="auto"/>
              </w:rPr>
            </w:pPr>
          </w:p>
        </w:tc>
        <w:tc>
          <w:tcPr>
            <w:tcW w:w="560" w:type="dxa"/>
            <w:vAlign w:val="bottom"/>
            <w:vMerge w:val="restart"/>
          </w:tcPr>
          <w:p>
            <w:pPr>
              <w:jc w:val="center"/>
              <w:ind w:right="307"/>
              <w:spacing w:after="0"/>
              <w:rPr>
                <w:sz w:val="20"/>
                <w:szCs w:val="20"/>
                <w:color w:val="auto"/>
              </w:rPr>
            </w:pPr>
            <w:r>
              <w:rPr>
                <w:rFonts w:ascii="Arial" w:cs="Arial" w:eastAsia="Arial" w:hAnsi="Arial"/>
                <w:sz w:val="18"/>
                <w:szCs w:val="18"/>
                <w:color w:val="0000FF"/>
              </w:rPr>
              <w:t>I</w:t>
            </w: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w w:val="98"/>
              </w:rPr>
              <w:t>Beneficiary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Corporation Class B Stock Trust)</w:t>
            </w: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820" w:type="dxa"/>
            <w:vAlign w:val="bottom"/>
            <w:tcBorders>
              <w:bottom w:val="single" w:sz="8" w:color="2C2C2C"/>
            </w:tcBorders>
            <w:gridSpan w:val="4"/>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4"/>
          </w:tcPr>
          <w:p>
            <w:pPr>
              <w:ind w:left="60"/>
              <w:spacing w:after="0"/>
              <w:rPr>
                <w:sz w:val="20"/>
                <w:szCs w:val="20"/>
                <w:color w:val="auto"/>
              </w:rPr>
            </w:pPr>
            <w:r>
              <w:rPr>
                <w:rFonts w:ascii="Arial" w:cs="Arial" w:eastAsia="Arial" w:hAnsi="Arial"/>
                <w:sz w:val="18"/>
                <w:szCs w:val="18"/>
                <w:color w:val="0000FF"/>
              </w:rPr>
              <w:t>Class A Common Stock (EBL Inheritance</w:t>
            </w: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35"/>
                <w:szCs w:val="35"/>
                <w:color w:val="0000FF"/>
                <w:w w:val="76"/>
                <w:vertAlign w:val="subscript"/>
              </w:rPr>
              <w:t>30</w:t>
            </w:r>
            <w:r>
              <w:rPr>
                <w:rFonts w:ascii="Arial" w:cs="Arial" w:eastAsia="Arial" w:hAnsi="Arial"/>
                <w:sz w:val="11"/>
                <w:szCs w:val="11"/>
                <w:color w:val="008000"/>
                <w:w w:val="76"/>
              </w:rPr>
              <w:t>(2)</w:t>
            </w:r>
          </w:p>
        </w:tc>
        <w:tc>
          <w:tcPr>
            <w:tcW w:w="320" w:type="dxa"/>
            <w:vAlign w:val="bottom"/>
          </w:tcPr>
          <w:p>
            <w:pPr>
              <w:spacing w:after="0"/>
              <w:rPr>
                <w:sz w:val="22"/>
                <w:szCs w:val="22"/>
                <w:color w:val="auto"/>
              </w:rPr>
            </w:pPr>
          </w:p>
        </w:tc>
        <w:tc>
          <w:tcPr>
            <w:tcW w:w="560" w:type="dxa"/>
            <w:vAlign w:val="bottom"/>
            <w:vMerge w:val="restart"/>
          </w:tcPr>
          <w:p>
            <w:pPr>
              <w:jc w:val="center"/>
              <w:ind w:right="307"/>
              <w:spacing w:after="0"/>
              <w:rPr>
                <w:sz w:val="20"/>
                <w:szCs w:val="20"/>
                <w:color w:val="auto"/>
              </w:rPr>
            </w:pPr>
            <w:r>
              <w:rPr>
                <w:rFonts w:ascii="Arial" w:cs="Arial" w:eastAsia="Arial" w:hAnsi="Arial"/>
                <w:sz w:val="18"/>
                <w:szCs w:val="18"/>
                <w:color w:val="0000FF"/>
              </w:rPr>
              <w:t>I</w:t>
            </w: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w w:val="98"/>
              </w:rPr>
              <w:t>Beneficiary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8"/>
                <w:szCs w:val="18"/>
                <w:color w:val="0000FF"/>
              </w:rPr>
              <w:t>Trust)</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4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3"/>
          </w:tcPr>
          <w:p>
            <w:pPr>
              <w:ind w:left="60"/>
              <w:spacing w:after="0"/>
              <w:rPr>
                <w:sz w:val="20"/>
                <w:szCs w:val="20"/>
                <w:color w:val="auto"/>
              </w:rPr>
            </w:pPr>
            <w:r>
              <w:rPr>
                <w:rFonts w:ascii="Arial" w:cs="Arial" w:eastAsia="Arial" w:hAnsi="Arial"/>
                <w:sz w:val="18"/>
                <w:szCs w:val="18"/>
                <w:color w:val="0000FF"/>
                <w:w w:val="89"/>
              </w:rPr>
              <w:t>Class A Common Stock (Elizabeth B.</w:t>
            </w: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876,796</w:t>
            </w:r>
          </w:p>
        </w:tc>
        <w:tc>
          <w:tcPr>
            <w:tcW w:w="320" w:type="dxa"/>
            <w:vAlign w:val="bottom"/>
          </w:tcPr>
          <w:p>
            <w:pPr>
              <w:spacing w:after="0"/>
              <w:rPr>
                <w:sz w:val="22"/>
                <w:szCs w:val="22"/>
                <w:color w:val="auto"/>
              </w:rPr>
            </w:pPr>
          </w:p>
        </w:tc>
        <w:tc>
          <w:tcPr>
            <w:tcW w:w="560" w:type="dxa"/>
            <w:vAlign w:val="bottom"/>
            <w:vMerge w:val="restart"/>
          </w:tcPr>
          <w:p>
            <w:pPr>
              <w:jc w:val="center"/>
              <w:ind w:right="307"/>
              <w:spacing w:after="0"/>
              <w:rPr>
                <w:sz w:val="20"/>
                <w:szCs w:val="20"/>
                <w:color w:val="auto"/>
              </w:rPr>
            </w:pPr>
            <w:r>
              <w:rPr>
                <w:rFonts w:ascii="Arial" w:cs="Arial" w:eastAsia="Arial" w:hAnsi="Arial"/>
                <w:sz w:val="18"/>
                <w:szCs w:val="18"/>
                <w:color w:val="0000FF"/>
              </w:rPr>
              <w:t>I</w:t>
            </w:r>
          </w:p>
        </w:tc>
        <w:tc>
          <w:tcPr>
            <w:tcW w:w="980" w:type="dxa"/>
            <w:vAlign w:val="bottom"/>
            <w:gridSpan w:val="3"/>
            <w:vMerge w:val="restart"/>
          </w:tcPr>
          <w:p>
            <w:pPr>
              <w:ind w:left="80"/>
              <w:spacing w:after="0"/>
              <w:rPr>
                <w:sz w:val="20"/>
                <w:szCs w:val="20"/>
                <w:color w:val="auto"/>
              </w:rPr>
            </w:pPr>
            <w:r>
              <w:rPr>
                <w:rFonts w:ascii="Arial" w:cs="Arial" w:eastAsia="Arial" w:hAnsi="Arial"/>
                <w:sz w:val="18"/>
                <w:szCs w:val="18"/>
                <w:color w:val="0000FF"/>
                <w:w w:val="98"/>
              </w:rPr>
              <w:t>Beneficiary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Lurie Living Trust)</w:t>
            </w:r>
          </w:p>
        </w:tc>
        <w:tc>
          <w:tcPr>
            <w:tcW w:w="1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76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520" w:type="dxa"/>
            <w:vAlign w:val="bottom"/>
            <w:gridSpan w:val="10"/>
          </w:tcPr>
          <w:p>
            <w:pPr>
              <w:ind w:left="56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2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200" w:type="dxa"/>
            <w:vAlign w:val="bottom"/>
          </w:tcPr>
          <w:p>
            <w:pPr>
              <w:spacing w:after="0"/>
              <w:rPr>
                <w:sz w:val="11"/>
                <w:szCs w:val="11"/>
                <w:color w:val="auto"/>
              </w:rPr>
            </w:pPr>
          </w:p>
        </w:tc>
        <w:tc>
          <w:tcPr>
            <w:tcW w:w="108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14"/>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34"/>
              <w:spacing w:after="0"/>
              <w:rPr>
                <w:sz w:val="20"/>
                <w:szCs w:val="20"/>
                <w:color w:val="auto"/>
              </w:rPr>
            </w:pPr>
            <w:r>
              <w:rPr>
                <w:rFonts w:ascii="Arial" w:cs="Arial" w:eastAsia="Arial" w:hAnsi="Arial"/>
                <w:sz w:val="11"/>
                <w:szCs w:val="11"/>
                <w:color w:val="008000"/>
              </w:rPr>
              <w:t>(3)</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180"/>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color w:val="0000FF"/>
                <w:w w:val="88"/>
              </w:rPr>
              <w:t>2,080.1367</w:t>
            </w:r>
            <w:r>
              <w:rPr>
                <w:rFonts w:ascii="Arial" w:cs="Arial" w:eastAsia="Arial" w:hAnsi="Arial"/>
                <w:sz w:val="22"/>
                <w:szCs w:val="22"/>
                <w:color w:val="008000"/>
                <w:w w:val="88"/>
                <w:vertAlign w:val="superscript"/>
              </w:rPr>
              <w:t>(3)</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Comp</w:t>
            </w:r>
          </w:p>
        </w:tc>
        <w:tc>
          <w:tcPr>
            <w:tcW w:w="82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60" w:type="dxa"/>
            <w:vAlign w:val="bottom"/>
          </w:tcPr>
          <w:p>
            <w:pPr>
              <w:ind w:left="400"/>
              <w:spacing w:after="0" w:line="149" w:lineRule="exact"/>
              <w:rPr>
                <w:sz w:val="20"/>
                <w:szCs w:val="20"/>
                <w:color w:val="auto"/>
              </w:rPr>
            </w:pPr>
            <w:r>
              <w:rPr>
                <w:rFonts w:ascii="Arial" w:cs="Arial" w:eastAsia="Arial" w:hAnsi="Arial"/>
                <w:sz w:val="14"/>
                <w:szCs w:val="14"/>
                <w:color w:val="0000FF"/>
              </w:rPr>
              <w:t>D</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to the extent jointly owned and this report shall not be deemed an admission that the reporting person is the beneficiary for Section 16 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non-derivative security is held by the filer as a beneficiary of the Trust.</w:t>
      </w:r>
    </w:p>
    <w:p>
      <w:pPr>
        <w:spacing w:after="0" w:line="41" w:lineRule="exact"/>
        <w:rPr>
          <w:rFonts w:ascii="Arial" w:cs="Arial" w:eastAsia="Arial" w:hAnsi="Arial"/>
          <w:sz w:val="14"/>
          <w:szCs w:val="14"/>
          <w:color w:val="008000"/>
        </w:rPr>
      </w:pPr>
    </w:p>
    <w:p>
      <w:pPr>
        <w:ind w:left="40" w:right="2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director deferred compensation plan. Each deferred compensation unit is the economic equivalent of one share of Class A Common Stock. The deferred compensation units become payable in shares of Brady's Class A Common Stock upon the reporting persons cessation of service as a director.</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3"/>
              </w:rPr>
              <w:t>Krista Ebbens, as Attoney-In-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01/04/2010</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74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95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2019-12-18T12:24:41Z</dcterms:created>
  <dcterms:modified xsi:type="dcterms:W3CDTF">2019-12-18T12:24:41Z</dcterms:modified>
</cp:coreProperties>
</file>