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226695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360"/>
          </w:cols>
          <w:pgMar w:left="240" w:top="1165" w:right="29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39-0178960</w:t>
      </w:r>
    </w:p>
    <w:p>
      <w:pPr>
        <w:spacing w:after="0" w:line="82" w:lineRule="exact"/>
        <w:rPr>
          <w:sz w:val="24"/>
          <w:szCs w:val="24"/>
          <w:color w:val="auto"/>
        </w:rPr>
      </w:pPr>
    </w:p>
    <w:p>
      <w:pPr>
        <w:sectPr>
          <w:pgSz w:w="11900" w:h="16838" w:orient="portrait"/>
          <w:cols w:equalWidth="0" w:num="2">
            <w:col w:w="7540" w:space="720"/>
            <w:col w:w="3100"/>
          </w:cols>
          <w:pgMar w:left="240" w:top="1165" w:right="299" w:bottom="1440" w:gutter="0" w:footer="0" w:header="0"/>
          <w:type w:val="continuous"/>
        </w:sectPr>
      </w:pPr>
    </w:p>
    <w:p>
      <w:pPr>
        <w:jc w:val="center"/>
        <w:ind w:right="178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78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400" w:space="720"/>
            <w:col w:w="3240"/>
          </w:cols>
          <w:pgMar w:left="240" w:top="1165" w:right="299" w:bottom="1440" w:gutter="0" w:footer="0" w:header="0"/>
          <w:type w:val="continuous"/>
        </w:sect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and Zip Code)</w:t>
      </w:r>
    </w:p>
    <w:p>
      <w:pPr>
        <w:sectPr>
          <w:pgSz w:w="11900" w:h="16838" w:orient="portrait"/>
          <w:cols w:equalWidth="0" w:num="1">
            <w:col w:w="11360"/>
          </w:cols>
          <w:pgMar w:left="240" w:top="1165" w:right="29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Louis T. Bolognini (414) 358-6600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2835275</wp:posOffset>
            </wp:positionH>
            <wp:positionV relativeFrom="paragraph">
              <wp:posOffset>167640</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13p-1 under the Securities Exchange Act (17 CFR 240.13p-1) for the reporting period from January 1 to December 31, 2018</w:t>
      </w:r>
    </w:p>
    <w:p>
      <w:pPr>
        <w:sectPr>
          <w:pgSz w:w="11900" w:h="16838" w:orient="portrait"/>
          <w:cols w:equalWidth="0" w:num="1">
            <w:col w:w="11360"/>
          </w:cols>
          <w:pgMar w:left="240" w:top="1165"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40" w:lineRule="exact"/>
        <w:rPr>
          <w:sz w:val="20"/>
          <w:szCs w:val="20"/>
          <w:color w:val="auto"/>
        </w:rPr>
      </w:pPr>
    </w:p>
    <w:p>
      <w:pPr>
        <w:ind w:left="80" w:right="20"/>
        <w:spacing w:after="0" w:line="270" w:lineRule="auto"/>
        <w:rPr>
          <w:sz w:val="20"/>
          <w:szCs w:val="20"/>
          <w:color w:val="auto"/>
        </w:rPr>
      </w:pPr>
      <w:r>
        <w:rPr>
          <w:rFonts w:ascii="Arial" w:cs="Arial" w:eastAsia="Arial" w:hAnsi="Arial"/>
          <w:sz w:val="17"/>
          <w:szCs w:val="17"/>
          <w:color w:val="auto"/>
        </w:rPr>
        <w:t>Brady Corporation and its subsidiaries (“Brady”, “Company”, “we”, “us”,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or an adjoining country (the “Covered Countries”). For calendar year 2018,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82" w:lineRule="exact"/>
        <w:rPr>
          <w:sz w:val="20"/>
          <w:szCs w:val="20"/>
          <w:color w:val="auto"/>
        </w:rPr>
      </w:pPr>
    </w:p>
    <w:p>
      <w:pPr>
        <w:ind w:left="80" w:right="120"/>
        <w:spacing w:after="0" w:line="286" w:lineRule="auto"/>
        <w:rPr>
          <w:sz w:val="20"/>
          <w:szCs w:val="20"/>
          <w:color w:val="auto"/>
        </w:rPr>
      </w:pPr>
      <w:r>
        <w:rPr>
          <w:rFonts w:ascii="Arial" w:cs="Arial" w:eastAsia="Arial" w:hAnsi="Arial"/>
          <w:sz w:val="17"/>
          <w:szCs w:val="17"/>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Conflict Minerals Disclosure</w:t>
      </w:r>
    </w:p>
    <w:p>
      <w:pPr>
        <w:spacing w:after="0" w:line="23" w:lineRule="exact"/>
        <w:rPr>
          <w:sz w:val="20"/>
          <w:szCs w:val="20"/>
          <w:color w:val="auto"/>
        </w:rPr>
      </w:pPr>
    </w:p>
    <w:p>
      <w:pPr>
        <w:ind w:left="80"/>
        <w:spacing w:after="0" w:line="261" w:lineRule="auto"/>
        <w:rPr>
          <w:sz w:val="20"/>
          <w:szCs w:val="20"/>
          <w:color w:val="auto"/>
        </w:rPr>
      </w:pPr>
      <w:r>
        <w:rPr>
          <w:rFonts w:ascii="Arial" w:cs="Arial" w:eastAsia="Arial" w:hAnsi="Arial"/>
          <w:sz w:val="18"/>
          <w:szCs w:val="18"/>
          <w:color w:val="auto"/>
        </w:rPr>
        <w:t>For calendar year 2018, Brady Corporation is filing a Conflict Minerals Report which is attached as Exhibit 1.01 in Item 2.01 and is also publicly available on our website at the below link.</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8"/>
          <w:szCs w:val="18"/>
          <w:color w:val="auto"/>
        </w:rPr>
        <w:t>https://www.bradyid.com/en-us/corporate/sustainability-and-supplier-information</w:t>
      </w:r>
    </w:p>
    <w:p>
      <w:pPr>
        <w:spacing w:after="0" w:line="167" w:lineRule="exact"/>
        <w:rPr>
          <w:sz w:val="20"/>
          <w:szCs w:val="20"/>
          <w:color w:val="auto"/>
        </w:rPr>
      </w:pPr>
    </w:p>
    <w:p>
      <w:pPr>
        <w:ind w:left="40"/>
        <w:spacing w:after="0"/>
        <w:tabs>
          <w:tab w:leader="none" w:pos="8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2.01 Exhibits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1.01 Conflict Minerals Report as required by Items 1.01 and 1.02 of this Form SD for calendar year ended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/s/ AARON J. PEARCE</w:t>
      </w:r>
      <w:r>
        <w:rPr>
          <w:sz w:val="20"/>
          <w:szCs w:val="20"/>
          <w:color w:val="auto"/>
        </w:rPr>
        <w:tab/>
      </w:r>
      <w:r>
        <w:rPr>
          <w:rFonts w:ascii="Arial" w:cs="Arial" w:eastAsia="Arial" w:hAnsi="Arial"/>
          <w:sz w:val="16"/>
          <w:szCs w:val="16"/>
          <w:color w:val="auto"/>
        </w:rPr>
        <w:t>Date: May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Aaron J. Pearce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79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This report has been prepared by the management of Brady Corporation (hereinafter referred to as “Brady”, the “Company,” “we,” “us,” or “our”) pursuant to Rule 13p-1 under the Securities Exchange Act of 1934 as amended, for the reporting period January 1 to December 31, 2018.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2018.</w:t>
      </w:r>
    </w:p>
    <w:p>
      <w:pPr>
        <w:spacing w:after="0" w:line="1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statements below are based on the activities performed to date in good faith by Brady and are based on information available at the time of this filing.</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00" w:lineRule="exact"/>
        <w:rPr>
          <w:sz w:val="20"/>
          <w:szCs w:val="20"/>
          <w:color w:val="auto"/>
        </w:rPr>
      </w:pPr>
    </w:p>
    <w:p>
      <w:pPr>
        <w:spacing w:after="0" w:line="205"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2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Our 2018 RCOI began with identifying the products we manufacture or contract to manufacture that have a possibility of containing 3TG Minerals, or where 3TG minerals are required for the functionality or production of such products. In 2018, Brady expanded the scope of the review of its product lines by evaluating new products and their material suppliers during the filing year, and where there was uncertainty about whether a particular product potentially contained 3TG Minerals, it was included in the 2018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165"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Brady conducted its RCOI of those suppliers deemed in scope, using the Conflict Materials Reporting Template (CMRT v.5.11),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15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2018, as compared to previous filing years, a number of the surveyed suppliers reported a significant improvement in their own supply chain RCOI initiatives, and 287 unique smelters were identified as potentially being part of our supply chain. In addition, Brady undertook due diligence on the identified smelters to determine their status regarding conflict minerals.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such, we believe our process was reasonably designed and performed in good faith.</w:t>
      </w:r>
    </w:p>
    <w:p>
      <w:pPr>
        <w:sectPr>
          <w:pgSz w:w="11900" w:h="16838" w:orient="portrait"/>
          <w:cols w:equalWidth="0" w:num="1">
            <w:col w:w="11420"/>
          </w:cols>
          <w:pgMar w:left="240" w:top="580" w:right="239" w:bottom="1440" w:gutter="0" w:footer="0" w:header="0"/>
        </w:sectPr>
      </w:pPr>
    </w:p>
    <w:bookmarkStart w:id="3" w:name="page4"/>
    <w:bookmarkEnd w:id="3"/>
    <w:p>
      <w:pPr>
        <w:ind w:left="652" w:hanging="652"/>
        <w:spacing w:after="0"/>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Design of Due Diligence Measures</w:t>
      </w:r>
    </w:p>
    <w:p>
      <w:pPr>
        <w:spacing w:after="0" w:line="229" w:lineRule="exact"/>
        <w:rPr>
          <w:rFonts w:ascii="Arial" w:cs="Arial" w:eastAsia="Arial" w:hAnsi="Arial"/>
          <w:sz w:val="18"/>
          <w:szCs w:val="18"/>
          <w:b w:val="1"/>
          <w:bCs w:val="1"/>
          <w:color w:val="auto"/>
        </w:rPr>
      </w:pPr>
    </w:p>
    <w:p>
      <w:pPr>
        <w:ind w:left="652"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Brady designed its 3TG Minerals compliance procedures based on, and in conformity with, the five step framework the </w:t>
      </w:r>
      <w:r>
        <w:rPr>
          <w:rFonts w:ascii="Arial" w:cs="Arial" w:eastAsia="Arial" w:hAnsi="Arial"/>
          <w:sz w:val="18"/>
          <w:szCs w:val="18"/>
          <w:i w:val="1"/>
          <w:iCs w:val="1"/>
          <w:color w:val="auto"/>
        </w:rPr>
        <w:t>OECD Due Diligence</w:t>
      </w:r>
      <w:r>
        <w:rPr>
          <w:rFonts w:ascii="Arial" w:cs="Arial" w:eastAsia="Arial" w:hAnsi="Arial"/>
          <w:sz w:val="18"/>
          <w:szCs w:val="18"/>
          <w:color w:val="auto"/>
        </w:rPr>
        <w:t xml:space="preserve"> </w:t>
      </w:r>
      <w:r>
        <w:rPr>
          <w:rFonts w:ascii="Arial" w:cs="Arial" w:eastAsia="Arial" w:hAnsi="Arial"/>
          <w:sz w:val="18"/>
          <w:szCs w:val="18"/>
          <w:i w:val="1"/>
          <w:iCs w:val="1"/>
          <w:color w:val="auto"/>
        </w:rPr>
        <w:t>Guidance for Responsible Supply Chains of Minerals from Conflict-Affected and High-Risk Areas: Third Edition</w:t>
      </w:r>
      <w:r>
        <w:rPr>
          <w:rFonts w:ascii="Arial" w:cs="Arial" w:eastAsia="Arial" w:hAnsi="Arial"/>
          <w:sz w:val="18"/>
          <w:szCs w:val="18"/>
          <w:color w:val="auto"/>
        </w:rPr>
        <w:t>, and related supplements on tin,</w:t>
      </w:r>
      <w:r>
        <w:rPr>
          <w:rFonts w:ascii="Arial" w:cs="Arial" w:eastAsia="Arial" w:hAnsi="Arial"/>
          <w:sz w:val="18"/>
          <w:szCs w:val="18"/>
          <w:i w:val="1"/>
          <w:iCs w:val="1"/>
          <w:color w:val="auto"/>
        </w:rPr>
        <w:t xml:space="preserve"> </w:t>
      </w:r>
      <w:r>
        <w:rPr>
          <w:rFonts w:ascii="Arial" w:cs="Arial" w:eastAsia="Arial" w:hAnsi="Arial"/>
          <w:sz w:val="18"/>
          <w:szCs w:val="18"/>
          <w:color w:val="auto"/>
        </w:rPr>
        <w:t>tungsten, tantalum, and the supplement on gold (collectively, the “OECD guidance”) as these relate to our position in the supply chain as a downstream user.</w:t>
      </w:r>
    </w:p>
    <w:p>
      <w:pPr>
        <w:spacing w:after="0" w:line="18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Step 1: Establish strong company management systems</w:t>
      </w:r>
    </w:p>
    <w:p>
      <w:pPr>
        <w:spacing w:after="0" w:line="23"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Step 2: Identify and assess risks in the supply chain</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Step 3: Design and implement a strategy to respond to identified risks</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Step 4: Carry out independent third-party audit of smelter/refiner's due diligence practices</w:t>
      </w:r>
    </w:p>
    <w:p>
      <w:pPr>
        <w:spacing w:after="0" w:line="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Step 5: Report annually on supply chain due diligence</w:t>
      </w:r>
    </w:p>
    <w:p>
      <w:pPr>
        <w:spacing w:after="0" w:line="206"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 Performed by Brady Corporation</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following are the due diligence measures performed by Brady with respect to the reporting year:</w:t>
      </w:r>
    </w:p>
    <w:p>
      <w:pPr>
        <w:spacing w:after="0" w:line="221" w:lineRule="exact"/>
        <w:rPr>
          <w:rFonts w:ascii="Arial" w:cs="Arial" w:eastAsia="Arial" w:hAnsi="Arial"/>
          <w:sz w:val="18"/>
          <w:szCs w:val="18"/>
          <w:b w:val="1"/>
          <w:bCs w:val="1"/>
          <w:color w:val="auto"/>
        </w:rPr>
      </w:pPr>
    </w:p>
    <w:p>
      <w:pPr>
        <w:ind w:left="972" w:hanging="324"/>
        <w:spacing w:after="0"/>
        <w:tabs>
          <w:tab w:leader="none" w:pos="972"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1-Maintain strong company management systems</w:t>
      </w:r>
    </w:p>
    <w:p>
      <w:pPr>
        <w:spacing w:after="0" w:line="229" w:lineRule="exact"/>
        <w:rPr>
          <w:rFonts w:ascii="Arial" w:cs="Arial" w:eastAsia="Arial" w:hAnsi="Arial"/>
          <w:sz w:val="18"/>
          <w:szCs w:val="18"/>
          <w:b w:val="1"/>
          <w:bCs w:val="1"/>
          <w:color w:val="auto"/>
        </w:rPr>
      </w:pPr>
    </w:p>
    <w:p>
      <w:pPr>
        <w:ind w:left="1292" w:right="380" w:hanging="320"/>
        <w:spacing w:after="0" w:line="258"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Brady maintains an internal conflict minerals team involving sourcing and global product compliance staff. The focus of this team is to implement our conflict minerals program and ensure compliance.</w:t>
      </w:r>
    </w:p>
    <w:p>
      <w:pPr>
        <w:spacing w:after="0" w:line="1" w:lineRule="exact"/>
        <w:rPr>
          <w:rFonts w:ascii="Arial" w:cs="Arial" w:eastAsia="Arial" w:hAnsi="Arial"/>
          <w:sz w:val="18"/>
          <w:szCs w:val="18"/>
          <w:color w:val="auto"/>
        </w:rPr>
      </w:pPr>
    </w:p>
    <w:p>
      <w:pPr>
        <w:ind w:left="1292" w:right="300" w:hanging="320"/>
        <w:spacing w:after="0" w:line="250"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Brady maintains a Conflict Minerals policy, which is available on our company website (see link below) in addition to our due diligence process for assessing the chain of custody of 3TG Minerals. </w:t>
      </w:r>
      <w:r>
        <w:rPr>
          <w:rFonts w:ascii="Arial" w:cs="Arial" w:eastAsia="Arial" w:hAnsi="Arial"/>
          <w:sz w:val="18"/>
          <w:szCs w:val="18"/>
          <w:u w:val="single" w:color="auto"/>
          <w:color w:val="auto"/>
        </w:rPr>
        <w:t>(https://www.bradyid.com/en-us/corporate/sustainability-and-supplier-information)</w:t>
      </w:r>
    </w:p>
    <w:p>
      <w:pPr>
        <w:spacing w:after="0" w:line="1" w:lineRule="exact"/>
        <w:rPr>
          <w:rFonts w:ascii="Arial" w:cs="Arial" w:eastAsia="Arial" w:hAnsi="Arial"/>
          <w:sz w:val="18"/>
          <w:szCs w:val="18"/>
          <w:color w:val="auto"/>
        </w:rPr>
      </w:pPr>
    </w:p>
    <w:p>
      <w:pPr>
        <w:ind w:left="1292" w:right="40" w:hanging="320"/>
        <w:spacing w:after="0" w:line="250"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Internal engagement - Brady conducted internal training to educate relevant employees in our conflict minerals program including reporting obligations.</w:t>
      </w:r>
    </w:p>
    <w:p>
      <w:pPr>
        <w:ind w:left="1292" w:hanging="320"/>
        <w:spacing w:after="0"/>
        <w:tabs>
          <w:tab w:leader="none" w:pos="1292" w:val="left"/>
        </w:tabs>
        <w:numPr>
          <w:ilvl w:val="2"/>
          <w:numId w:val="4"/>
        </w:numPr>
        <w:rPr>
          <w:rFonts w:ascii="Arial" w:cs="Arial" w:eastAsia="Arial" w:hAnsi="Arial"/>
          <w:sz w:val="17"/>
          <w:szCs w:val="17"/>
          <w:color w:val="auto"/>
        </w:rPr>
      </w:pPr>
      <w:r>
        <w:rPr>
          <w:rFonts w:ascii="Arial" w:cs="Arial" w:eastAsia="Arial" w:hAnsi="Arial"/>
          <w:sz w:val="17"/>
          <w:szCs w:val="17"/>
          <w:color w:val="auto"/>
        </w:rPr>
        <w:t>Supplier engagement - Brady communicated the requirements of the conflict minerals rule to its suppliers regarding 3TG Minerals.</w:t>
      </w:r>
    </w:p>
    <w:p>
      <w:pPr>
        <w:spacing w:after="0" w:line="20" w:lineRule="exact"/>
        <w:rPr>
          <w:rFonts w:ascii="Arial" w:cs="Arial" w:eastAsia="Arial" w:hAnsi="Arial"/>
          <w:sz w:val="17"/>
          <w:szCs w:val="17"/>
          <w:color w:val="auto"/>
        </w:rPr>
      </w:pPr>
    </w:p>
    <w:p>
      <w:pPr>
        <w:ind w:left="1292" w:hanging="320"/>
        <w:spacing w:after="0"/>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Brady uses the CMRT for supply chain surveys to identify the smelters.</w:t>
      </w:r>
    </w:p>
    <w:p>
      <w:pPr>
        <w:spacing w:after="0" w:line="9" w:lineRule="exact"/>
        <w:rPr>
          <w:rFonts w:ascii="Arial" w:cs="Arial" w:eastAsia="Arial" w:hAnsi="Arial"/>
          <w:sz w:val="18"/>
          <w:szCs w:val="18"/>
          <w:color w:val="auto"/>
        </w:rPr>
      </w:pPr>
    </w:p>
    <w:p>
      <w:pPr>
        <w:ind w:left="1292" w:hanging="320"/>
        <w:spacing w:after="0"/>
        <w:tabs>
          <w:tab w:leader="none" w:pos="1292" w:val="left"/>
        </w:tabs>
        <w:numPr>
          <w:ilvl w:val="2"/>
          <w:numId w:val="4"/>
        </w:numPr>
        <w:rPr>
          <w:rFonts w:ascii="Arial" w:cs="Arial" w:eastAsia="Arial" w:hAnsi="Arial"/>
          <w:sz w:val="17"/>
          <w:szCs w:val="17"/>
          <w:color w:val="auto"/>
        </w:rPr>
      </w:pPr>
      <w:r>
        <w:rPr>
          <w:rFonts w:ascii="Arial" w:cs="Arial" w:eastAsia="Arial" w:hAnsi="Arial"/>
          <w:sz w:val="17"/>
          <w:szCs w:val="17"/>
          <w:color w:val="auto"/>
        </w:rPr>
        <w:t>The conflict minerals team reports on our conflict minerals program to relevant business leaders and the head of Global Compliance.</w:t>
      </w:r>
    </w:p>
    <w:p>
      <w:pPr>
        <w:spacing w:after="0" w:line="20" w:lineRule="exact"/>
        <w:rPr>
          <w:rFonts w:ascii="Arial" w:cs="Arial" w:eastAsia="Arial" w:hAnsi="Arial"/>
          <w:sz w:val="17"/>
          <w:szCs w:val="17"/>
          <w:color w:val="auto"/>
        </w:rPr>
      </w:pPr>
    </w:p>
    <w:p>
      <w:pPr>
        <w:ind w:left="1292" w:right="260" w:hanging="320"/>
        <w:spacing w:after="0" w:line="250"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We maintain a mechanism to enable the reporting of and response to any customer facing questions related to conflict minerals and other supply chain matters.</w:t>
      </w:r>
    </w:p>
    <w:p>
      <w:pPr>
        <w:ind w:left="1292" w:hanging="320"/>
        <w:spacing w:after="0"/>
        <w:tabs>
          <w:tab w:leader="none" w:pos="1292" w:val="left"/>
        </w:tabs>
        <w:numPr>
          <w:ilvl w:val="2"/>
          <w:numId w:val="4"/>
        </w:numPr>
        <w:rPr>
          <w:rFonts w:ascii="Arial" w:cs="Arial" w:eastAsia="Arial" w:hAnsi="Arial"/>
          <w:sz w:val="16"/>
          <w:szCs w:val="16"/>
          <w:color w:val="auto"/>
        </w:rPr>
      </w:pPr>
      <w:r>
        <w:rPr>
          <w:rFonts w:ascii="Arial" w:cs="Arial" w:eastAsia="Arial" w:hAnsi="Arial"/>
          <w:sz w:val="16"/>
          <w:szCs w:val="16"/>
          <w:color w:val="auto"/>
        </w:rPr>
        <w:t>We retain conflict minerals program documentation in accordance with the Company’s existing corporate retention policy and procedures.</w:t>
      </w:r>
    </w:p>
    <w:p>
      <w:pPr>
        <w:spacing w:after="0" w:line="229" w:lineRule="exact"/>
        <w:rPr>
          <w:rFonts w:ascii="Arial" w:cs="Arial" w:eastAsia="Arial" w:hAnsi="Arial"/>
          <w:sz w:val="16"/>
          <w:szCs w:val="16"/>
          <w:color w:val="auto"/>
        </w:rPr>
      </w:pPr>
    </w:p>
    <w:p>
      <w:pPr>
        <w:ind w:left="972" w:hanging="324"/>
        <w:spacing w:after="0"/>
        <w:tabs>
          <w:tab w:leader="none" w:pos="972"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2-Identify and assess risk in the supply chain</w:t>
      </w:r>
    </w:p>
    <w:p>
      <w:pPr>
        <w:spacing w:after="0" w:line="229" w:lineRule="exact"/>
        <w:rPr>
          <w:rFonts w:ascii="Arial" w:cs="Arial" w:eastAsia="Arial" w:hAnsi="Arial"/>
          <w:sz w:val="18"/>
          <w:szCs w:val="18"/>
          <w:b w:val="1"/>
          <w:bCs w:val="1"/>
          <w:color w:val="auto"/>
        </w:rPr>
      </w:pPr>
    </w:p>
    <w:p>
      <w:pPr>
        <w:ind w:left="1292" w:right="280" w:hanging="320"/>
        <w:spacing w:after="0" w:line="258"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Brady conflict minerals team conducted a detailed review of the products manufactured or contracted to be manufactured during the reporting year 2018 to identify products that may be in scope of the rule.</w:t>
      </w:r>
    </w:p>
    <w:p>
      <w:pPr>
        <w:spacing w:after="0" w:line="1" w:lineRule="exact"/>
        <w:rPr>
          <w:rFonts w:ascii="Arial" w:cs="Arial" w:eastAsia="Arial" w:hAnsi="Arial"/>
          <w:sz w:val="18"/>
          <w:szCs w:val="18"/>
          <w:color w:val="auto"/>
        </w:rPr>
      </w:pPr>
    </w:p>
    <w:p>
      <w:pPr>
        <w:ind w:left="1292" w:hanging="320"/>
        <w:spacing w:after="0"/>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Brady identified the direct suppliers of products or components that may contain 3TG Minerals.</w:t>
      </w:r>
    </w:p>
    <w:p>
      <w:pPr>
        <w:spacing w:after="0" w:line="9" w:lineRule="exact"/>
        <w:rPr>
          <w:rFonts w:ascii="Arial" w:cs="Arial" w:eastAsia="Arial" w:hAnsi="Arial"/>
          <w:sz w:val="18"/>
          <w:szCs w:val="18"/>
          <w:color w:val="auto"/>
        </w:rPr>
      </w:pPr>
    </w:p>
    <w:p>
      <w:pPr>
        <w:ind w:left="1292" w:right="200" w:hanging="320"/>
        <w:spacing w:after="0" w:line="250"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Brady conducted supply chain surveys of the in 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Arial" w:cs="Arial" w:eastAsia="Arial" w:hAnsi="Arial"/>
          <w:sz w:val="18"/>
          <w:szCs w:val="18"/>
          <w:color w:val="auto"/>
        </w:rPr>
      </w:pPr>
    </w:p>
    <w:p>
      <w:pPr>
        <w:ind w:left="1292" w:hanging="320"/>
        <w:spacing w:after="0"/>
        <w:tabs>
          <w:tab w:leader="none" w:pos="1292" w:val="left"/>
        </w:tabs>
        <w:numPr>
          <w:ilvl w:val="2"/>
          <w:numId w:val="4"/>
        </w:numPr>
        <w:rPr>
          <w:rFonts w:ascii="Arial" w:cs="Arial" w:eastAsia="Arial" w:hAnsi="Arial"/>
          <w:sz w:val="16"/>
          <w:szCs w:val="16"/>
          <w:color w:val="auto"/>
        </w:rPr>
      </w:pPr>
      <w:r>
        <w:rPr>
          <w:rFonts w:ascii="Arial" w:cs="Arial" w:eastAsia="Arial" w:hAnsi="Arial"/>
          <w:sz w:val="16"/>
          <w:szCs w:val="16"/>
          <w:color w:val="auto"/>
        </w:rPr>
        <w:t>We conducted follow ups with non-responding direct suppliers and also worked to clarify and validate the responses from the suppliers.</w:t>
      </w:r>
    </w:p>
    <w:p>
      <w:pPr>
        <w:spacing w:after="0" w:line="32" w:lineRule="exact"/>
        <w:rPr>
          <w:rFonts w:ascii="Arial" w:cs="Arial" w:eastAsia="Arial" w:hAnsi="Arial"/>
          <w:sz w:val="16"/>
          <w:szCs w:val="16"/>
          <w:color w:val="auto"/>
        </w:rPr>
      </w:pPr>
    </w:p>
    <w:p>
      <w:pPr>
        <w:ind w:left="1292" w:right="280" w:hanging="320"/>
        <w:spacing w:after="0" w:line="261"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179" w:lineRule="exact"/>
        <w:rPr>
          <w:rFonts w:ascii="Arial" w:cs="Arial" w:eastAsia="Arial" w:hAnsi="Arial"/>
          <w:sz w:val="18"/>
          <w:szCs w:val="18"/>
          <w:color w:val="auto"/>
        </w:rPr>
      </w:pPr>
    </w:p>
    <w:p>
      <w:pPr>
        <w:ind w:left="972" w:hanging="324"/>
        <w:spacing w:after="0"/>
        <w:tabs>
          <w:tab w:leader="none" w:pos="972"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Step 3-Design and implement a strategy to respond to identified risks</w:t>
      </w:r>
    </w:p>
    <w:p>
      <w:pPr>
        <w:spacing w:after="0" w:line="229" w:lineRule="exact"/>
        <w:rPr>
          <w:rFonts w:ascii="Arial" w:cs="Arial" w:eastAsia="Arial" w:hAnsi="Arial"/>
          <w:sz w:val="18"/>
          <w:szCs w:val="18"/>
          <w:b w:val="1"/>
          <w:bCs w:val="1"/>
          <w:color w:val="auto"/>
        </w:rPr>
      </w:pPr>
    </w:p>
    <w:p>
      <w:pPr>
        <w:ind w:left="1292" w:right="520" w:hanging="320"/>
        <w:spacing w:after="0" w:line="258" w:lineRule="auto"/>
        <w:tabs>
          <w:tab w:leader="none" w:pos="1292" w:val="left"/>
        </w:tabs>
        <w:numPr>
          <w:ilvl w:val="2"/>
          <w:numId w:val="4"/>
        </w:numPr>
        <w:rPr>
          <w:rFonts w:ascii="Arial" w:cs="Arial" w:eastAsia="Arial" w:hAnsi="Arial"/>
          <w:sz w:val="18"/>
          <w:szCs w:val="18"/>
          <w:color w:val="auto"/>
        </w:rPr>
      </w:pPr>
      <w:r>
        <w:rPr>
          <w:rFonts w:ascii="Arial" w:cs="Arial" w:eastAsia="Arial" w:hAnsi="Arial"/>
          <w:sz w:val="18"/>
          <w:szCs w:val="18"/>
          <w:color w:val="auto"/>
        </w:rPr>
        <w:t>Brady has a risk management plan that addresses known issues with suppliers that do not meet the requirements of Brady’s corporate sourcing policy.</w:t>
      </w:r>
    </w:p>
    <w:p>
      <w:pPr>
        <w:spacing w:after="0" w:line="1" w:lineRule="exact"/>
        <w:rPr>
          <w:rFonts w:ascii="Arial" w:cs="Arial" w:eastAsia="Arial" w:hAnsi="Arial"/>
          <w:sz w:val="18"/>
          <w:szCs w:val="18"/>
          <w:color w:val="auto"/>
        </w:rPr>
      </w:pPr>
    </w:p>
    <w:p>
      <w:pPr>
        <w:ind w:left="1292" w:hanging="320"/>
        <w:spacing w:after="0"/>
        <w:tabs>
          <w:tab w:leader="none" w:pos="1292" w:val="left"/>
        </w:tabs>
        <w:numPr>
          <w:ilvl w:val="2"/>
          <w:numId w:val="4"/>
        </w:numPr>
        <w:rPr>
          <w:rFonts w:ascii="Arial" w:cs="Arial" w:eastAsia="Arial" w:hAnsi="Arial"/>
          <w:sz w:val="16"/>
          <w:szCs w:val="16"/>
          <w:color w:val="auto"/>
        </w:rPr>
      </w:pPr>
      <w:r>
        <w:rPr>
          <w:rFonts w:ascii="Arial" w:cs="Arial" w:eastAsia="Arial" w:hAnsi="Arial"/>
          <w:sz w:val="16"/>
          <w:szCs w:val="16"/>
          <w:color w:val="auto"/>
        </w:rPr>
        <w:t>The conflict minerals team reports to relevant business leaders and the head of Global Compliance on the status of direct supplier responses.</w:t>
      </w:r>
    </w:p>
    <w:p>
      <w:pPr>
        <w:sectPr>
          <w:pgSz w:w="11900" w:h="16838" w:orient="portrait"/>
          <w:cols w:equalWidth="0" w:num="1">
            <w:col w:w="11412"/>
          </w:cols>
          <w:pgMar w:left="248" w:top="810" w:right="239" w:bottom="1440" w:gutter="0" w:footer="0" w:header="0"/>
        </w:sectPr>
      </w:pPr>
    </w:p>
    <w:bookmarkStart w:id="4" w:name="page5"/>
    <w:bookmarkEnd w:id="4"/>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4- Carry out independent third-party audit of smelter/refiner's due diligence practices</w:t>
      </w:r>
    </w:p>
    <w:p>
      <w:pPr>
        <w:spacing w:after="0" w:line="229" w:lineRule="exact"/>
        <w:rPr>
          <w:rFonts w:ascii="Arial" w:cs="Arial" w:eastAsia="Arial" w:hAnsi="Arial"/>
          <w:sz w:val="18"/>
          <w:szCs w:val="18"/>
          <w:b w:val="1"/>
          <w:bCs w:val="1"/>
          <w:color w:val="auto"/>
        </w:rPr>
      </w:pPr>
    </w:p>
    <w:p>
      <w:pPr>
        <w:ind w:left="1300" w:right="60" w:hanging="320"/>
        <w:spacing w:after="0" w:line="256"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ind w:left="1300" w:right="360" w:hanging="320"/>
        <w:spacing w:after="0" w:line="290"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We supported the development and implementation of independent third party audits of smelters/refiners through our Conflict Minerals Policy and procurement practices, which encourage suppliers to purchase materials from audited smelters/refiners.</w:t>
      </w:r>
    </w:p>
    <w:p>
      <w:pPr>
        <w:spacing w:after="0" w:line="157"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 5-Report on supply chain due diligence</w:t>
      </w:r>
    </w:p>
    <w:p>
      <w:pPr>
        <w:spacing w:after="0" w:line="229" w:lineRule="exact"/>
        <w:rPr>
          <w:rFonts w:ascii="Arial" w:cs="Arial" w:eastAsia="Arial" w:hAnsi="Arial"/>
          <w:sz w:val="18"/>
          <w:szCs w:val="18"/>
          <w:b w:val="1"/>
          <w:bCs w:val="1"/>
          <w:color w:val="auto"/>
        </w:rPr>
      </w:pPr>
    </w:p>
    <w:p>
      <w:pPr>
        <w:ind w:left="1300" w:right="3800" w:hanging="320"/>
        <w:spacing w:after="0" w:line="291"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Brady has publicly communicated its Conflict Minerals Policy on our company website (</w:t>
      </w:r>
      <w:r>
        <w:rPr>
          <w:rFonts w:ascii="Arial" w:cs="Arial" w:eastAsia="Arial" w:hAnsi="Arial"/>
          <w:sz w:val="16"/>
          <w:szCs w:val="16"/>
          <w:u w:val="single" w:color="auto"/>
          <w:color w:val="auto"/>
        </w:rPr>
        <w:t>https://www.bradyid.com/en-us/corporate/sustainability-and-supplier-information</w:t>
      </w:r>
      <w:r>
        <w:rPr>
          <w:rFonts w:ascii="Arial" w:cs="Arial" w:eastAsia="Arial" w:hAnsi="Arial"/>
          <w:sz w:val="16"/>
          <w:szCs w:val="16"/>
          <w:color w:val="auto"/>
        </w:rPr>
        <w:t>)</w:t>
      </w:r>
    </w:p>
    <w:p>
      <w:pPr>
        <w:ind w:left="1300" w:right="140" w:hanging="320"/>
        <w:spacing w:after="0" w:line="261"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Brady’s Form SD and Conflict Minerals Report were filed with the SEC and are also available on our company website at the web address referenced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the Due Diligence measures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a changed since December 31, 2018. Brady is working closely with its suppliers to ensure that all the smelters in its supply chain get audited. Additional due diligence is on-going, since most suppliers provided a company-level and not product-level declaration.</w:t>
      </w:r>
    </w:p>
    <w:p>
      <w:pPr>
        <w:spacing w:after="0" w:line="4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Product Description; Processing Facilities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of our inquiry covered the following products, which we believe are the most likely to contain metallic forms of 3TG Minerals:</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Inkjet and thermal transfer printers - both hand held and desktop models - containing electronic parts;</w:t>
      </w:r>
    </w:p>
    <w:p>
      <w:pPr>
        <w:spacing w:after="0" w:line="23"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Labels and tapes for thermal transfer printing, some of which are in cassettes containing electronic parts;</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Preprinted labels and tapes, some with external coating, pipe and wire markers, and metal asset tags;</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Safety signs and traffic signs;</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Pads for medical applications and sorbent materials for environmental clean-up;</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Lockout / Tagout devices (primarily plastic);</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Visitor identification badges, badge holders and lanyards, and wristbands; and</w:t>
      </w:r>
    </w:p>
    <w:p>
      <w:pPr>
        <w:spacing w:after="0" w:line="9"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Die-cut materials for the telecommunications industry - primarily plastics and polyester foams.</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of our Lockout / Tagout devices. Brady also develops software for products that are factory installed or downloadable. All of the foregoing products are not within the scope of this report.</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38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Steps to Improve Due Diligence</w:t>
      </w:r>
    </w:p>
    <w:p>
      <w:pPr>
        <w:spacing w:after="0" w:line="229"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detailed on-site assessments that examine policies, procedures and practices. We will continue to monitor changes in circumstances that may</w:t>
      </w:r>
    </w:p>
    <w:p>
      <w:pPr>
        <w:sectPr>
          <w:pgSz w:w="11900" w:h="16838" w:orient="portrait"/>
          <w:cols w:equalWidth="0" w:num="1">
            <w:col w:w="11420"/>
          </w:cols>
          <w:pgMar w:left="240" w:top="796" w:right="239" w:bottom="1440" w:gutter="0" w:footer="0" w:header="0"/>
        </w:sectPr>
      </w:pPr>
    </w:p>
    <w:bookmarkStart w:id="5" w:name="page6"/>
    <w:bookmarkEnd w:id="5"/>
    <w:p>
      <w:pPr>
        <w:jc w:val="both"/>
        <w:ind w:left="660"/>
        <w:spacing w:after="0" w:line="257" w:lineRule="auto"/>
        <w:rPr>
          <w:sz w:val="20"/>
          <w:szCs w:val="20"/>
          <w:color w:val="auto"/>
        </w:rPr>
      </w:pPr>
      <w:r>
        <w:rPr>
          <w:rFonts w:ascii="Arial" w:cs="Arial" w:eastAsia="Arial" w:hAnsi="Arial"/>
          <w:sz w:val="18"/>
          <w:szCs w:val="18"/>
          <w:color w:val="auto"/>
        </w:rPr>
        <w:t>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40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Independent Private Sector Audit</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Pursuant to SEC rules and related guidance, an independent private sector audit was not required for Brady’s conflict minerals filing for calendar year 2018.</w:t>
      </w:r>
    </w:p>
    <w:p>
      <w:pPr>
        <w:sectPr>
          <w:pgSz w:w="11900" w:h="16838" w:orient="portrait"/>
          <w:cols w:equalWidth="0" w:num="1">
            <w:col w:w="11420"/>
          </w:cols>
          <w:pgMar w:left="240" w:top="584" w:right="239" w:bottom="1440" w:gutter="0" w:footer="0" w:header="0"/>
        </w:sectPr>
      </w:pPr>
    </w:p>
    <w:bookmarkStart w:id="6" w:name="page7"/>
    <w:bookmarkEnd w:id="6"/>
    <w:p>
      <w:pPr>
        <w:ind w:left="5280"/>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Smelters/Refiners Identified by Suppliers Identified in Brady’s Supply Chain</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Metal</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Country Location</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Advanced Chemical Company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 Etihad Gold Refinery DMCC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CID000035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CID000041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Argor-Heraeus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Pretec Corp.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Canada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Asahi Refining USA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 Traders and Refiners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Aurubis AG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CID000113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Bangalore Refinery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Bangko Sentral ng Pilipinas (Central Bank of the Philippines)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CID000128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Boliden AB</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SWEDEN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 Hafner GmbH + Co. KG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Cendres + Metaux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Chimet S.p.A.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Chugai Mining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Daejin Indus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CID000328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CID000343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CID000362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 PRETECH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DSC (Do Sung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Eco-System Recycling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CID000425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Emirates Gold DMCC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ARAB EMIRATES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Geib Refining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CID002243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CID000651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CID000671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HeeSung Metal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CID000689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Heimerle + Meule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96" w:right="9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CID000711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CID000773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22"/>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Inner Mongolia Qiankun Gold and Silver Refinery Share Co.,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CID000801</w:t>
            </w:r>
          </w:p>
        </w:tc>
      </w:tr>
      <w:tr>
        <w:trPr>
          <w:trHeight w:val="230"/>
        </w:trPr>
        <w:tc>
          <w:tcPr>
            <w:tcW w:w="132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3300" w:type="dxa"/>
            <w:vAlign w:val="bottom"/>
            <w:tcBorders>
              <w:right w:val="single" w:sz="8" w:color="00000A"/>
            </w:tcBorders>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CID000807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Istanbul Gold Refinery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Italpreziosi</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Mint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Copper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JSC Uralelectromed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CID000937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Kazakhmys Smelting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Kazzinc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Kennecott Utah Copper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Kojima Chemicals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Korea Zinc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Kyrgyzaltyn JSC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KYRGYZSTAN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CID002865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L'azurde Company For Jewelry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SAUDI ARABIA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CID001032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Gold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L'Orfebre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ANDORRA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LS-NIKKO Copper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Marsam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CID002606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Materion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Matsuda Sangyo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SINGAPORE</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Technologies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MMTC-PAMP India Pvt.,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TURKEY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CID001220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UZBEKISTAN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NH Recytech Company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CID003189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Nihon Material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Ogussa Osterreichische Gold- und Silber-Scheideanstalt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CID001325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14" w:right="91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7"/>
              </w:rPr>
              <w:t>OJSC "The Gulidov Krasnoyarsk Non-Ferrous Metals Plant"</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CID001326</w:t>
            </w:r>
          </w:p>
        </w:tc>
      </w:tr>
      <w:tr>
        <w:trPr>
          <w:trHeight w:val="230"/>
        </w:trPr>
        <w:tc>
          <w:tcPr>
            <w:tcW w:w="132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Krastsvetmet)</w:t>
            </w:r>
          </w:p>
        </w:tc>
        <w:tc>
          <w:tcPr>
            <w:tcW w:w="3300" w:type="dxa"/>
            <w:vAlign w:val="bottom"/>
            <w:tcBorders>
              <w:right w:val="single" w:sz="8" w:color="00000A"/>
            </w:tcBorders>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OJSC Novosibirsk Refinery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PAMP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Pease &amp; Curren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CID002872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CID001362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CHILE</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CID001386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PX Precinox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QG Refining,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CID003324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Rand Refinery (Pty)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SOUTH AFRICA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REMONDIS PMR B.V.</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NETHERLANDS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Royal Canadian Mint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CANADA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SAAMP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FRANCE</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CID002761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Sabin Metal Corp.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Safimet S.p.A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CID002973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Sai Refinery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*Samduck Precious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SAXONIA Edelmetalle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SEMPSA Joyeria Plateria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CID001622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CID001736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Singway Technology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 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 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22"/>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State Research Institute Center for Physical Sciences and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LITHUANIA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CID003153</w:t>
            </w:r>
          </w:p>
        </w:tc>
      </w:tr>
      <w:tr>
        <w:trPr>
          <w:trHeight w:val="230"/>
        </w:trPr>
        <w:tc>
          <w:tcPr>
            <w:tcW w:w="132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Technology</w:t>
            </w:r>
          </w:p>
        </w:tc>
        <w:tc>
          <w:tcPr>
            <w:tcW w:w="3300" w:type="dxa"/>
            <w:vAlign w:val="bottom"/>
            <w:tcBorders>
              <w:right w:val="single" w:sz="8" w:color="00000A"/>
            </w:tcBorders>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SungEel HiMetal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CID002918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T.C.A S.p.A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ITALY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Tanaka Kikinzoku Kogyo K.K.</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Tokuriki Honten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CID001938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CID001947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TOO Tau-Ken-Altyn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Torecom</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Brasil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CID001980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Valcambi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SWITZERLAND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14" w:right="9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AUSTRALIA</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CID002030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WIELAND Edelmetalle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Yamakin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Yokohama Metal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CID000197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Gold</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CID002224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Asaka Riken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CID000092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 Block Metals,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Exotech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F&amp;X Electro-Materials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FIR Metals &amp; Resource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Aizu</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Rising Rare Metals-EO Materials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CID000291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CID000616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Hermsdorf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Janny New Material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Tanbre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MEXICO</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KEMET Blue Powder</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CID002568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LSM Brasil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CID001163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CID001277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NPM Silmet AS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ESTONIA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Power Resources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NORTH MACEDONIA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QuantumClean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Taki Chemical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Telex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KAZAKHSTAN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Tantalum</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14" w:right="9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Alpha</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Yunxiang Mining and Metallurgy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CID000228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Chifeng Dajingzi Tin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CID003190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 Tin Group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Ayi Jaya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Dua Sekawan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Gita Pesona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United Smelting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CV Venus Inti Perkasa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CID002455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Dowa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EM Vinto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BOLIVIA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CID000438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Estanho de Rondonia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Fenix Metals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Fengming Metallurgy Chemical Plant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CID000942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CID000538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CID001908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CID000555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CID003116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New Nanshan Technology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CID001231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CID002468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CID001105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Melt Metais e Ligas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Metallic Resources,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 Belgium N.V.</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BELGIUM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Metallo Spain S.L.U.</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SPAIN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Mineracao Taboca 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Minsur</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PERU</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Modeltech Sdn Bhd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MALAYSIA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CID001314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Pongpipat Company Limited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MYANMAR</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CID003208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Aries Kencana Sejahtera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CID000309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Artha Cipta Langgeng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ATD Makmur Mandiri Jaya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Babel Inti Perkasa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CID001402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Prima Tin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CID002776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Serumpun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CID003205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Bangka Tin Industry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14" w:right="9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PT Belitung Industri Sejahtera</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CID001421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Bukit Timah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CID001428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DS Jaya Abadi</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CID001434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Inti Stania Prima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CID002530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Karimun Mining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CID001448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Kijang Jaya Mandiri</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Menara Cipta Mulia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Mitra Stania Prima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Panca Mega Persada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Premium Tin Indonesia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CID000313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Prima Timah Utama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Rajehan Ariq</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Refined Bangka Tin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Sariwiguna Binasentosa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Stanindo Inti Perkasa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CID001468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Sukses Inti Makmur</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Sumber Jaya Indah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CID001471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Tinindo Inter Nusa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PT Tommy Utama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INDONESIA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CID001493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Rui Da Hung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TAIWAN, PROVINCE OF 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CID001539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Soft Metais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Super Ligas</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CID002756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Thaisarco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THAILAND</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Tin Technology &amp; Refining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CID003325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CID002036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Tin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Yunnan Tin Company Limited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A.L.M.T. Corp.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ACL Metais Eireli</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BRAZIL</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CID002513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CID000258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CID000499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CID000875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CID002494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CID000218</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H.C. Starck Tungsten GmbH</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GERMANY</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CID002579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CID000769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0740"/>
          </w:cols>
          <w:pgMar w:left="240" w:top="714" w:right="9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3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Hunan Litian Tungsten Industry Co., Ltd.</w:t>
            </w:r>
          </w:p>
        </w:tc>
        <w:tc>
          <w:tcPr>
            <w:tcW w:w="33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CID003182</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Hydrometallurg, JSC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 New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JAPAN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CID002551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Dayu Longxintai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22"/>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Tonggu Non-ferrous Metallurgical &amp; Chemical Co.,</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CID002318</w:t>
            </w:r>
          </w:p>
        </w:tc>
      </w:tr>
      <w:tr>
        <w:trPr>
          <w:trHeight w:val="230"/>
        </w:trPr>
        <w:tc>
          <w:tcPr>
            <w:tcW w:w="132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Ltd.</w:t>
            </w:r>
          </w:p>
        </w:tc>
        <w:tc>
          <w:tcPr>
            <w:tcW w:w="3300" w:type="dxa"/>
            <w:vAlign w:val="bottom"/>
            <w:tcBorders>
              <w:right w:val="single" w:sz="8" w:color="00000A"/>
            </w:tcBorders>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Fallon</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Kennametal Huntsville</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Masan Tungsten Chemical LLC (MTC)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CID002543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Moliren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Niagara Refining LLC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UNITED STATES OF AMERICA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PHILIPPINES</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CID002827</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22"/>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South-East Nonferrous Metal Company Limited of Hengyang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CID002815</w:t>
            </w:r>
          </w:p>
        </w:tc>
      </w:tr>
      <w:tr>
        <w:trPr>
          <w:trHeight w:val="230"/>
        </w:trPr>
        <w:tc>
          <w:tcPr>
            <w:tcW w:w="1320" w:type="dxa"/>
            <w:vAlign w:val="bottom"/>
            <w:tcBorders>
              <w:left w:val="single" w:sz="8" w:color="00000A"/>
              <w:right w:val="single" w:sz="8" w:color="00000A"/>
            </w:tcBorders>
          </w:tcPr>
          <w:p>
            <w:pPr>
              <w:spacing w:after="0"/>
              <w:rPr>
                <w:sz w:val="20"/>
                <w:szCs w:val="20"/>
                <w:color w:val="auto"/>
              </w:rPr>
            </w:pP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City</w:t>
            </w:r>
          </w:p>
        </w:tc>
        <w:tc>
          <w:tcPr>
            <w:tcW w:w="3300" w:type="dxa"/>
            <w:vAlign w:val="bottom"/>
            <w:tcBorders>
              <w:right w:val="single" w:sz="8" w:color="00000A"/>
            </w:tcBorders>
          </w:tcPr>
          <w:p>
            <w:pPr>
              <w:spacing w:after="0"/>
              <w:rPr>
                <w:sz w:val="20"/>
                <w:szCs w:val="20"/>
                <w:color w:val="auto"/>
              </w:rPr>
            </w:pPr>
          </w:p>
        </w:tc>
        <w:tc>
          <w:tcPr>
            <w:tcW w:w="1400" w:type="dxa"/>
            <w:vAlign w:val="bottom"/>
            <w:tcBorders>
              <w:right w:val="single" w:sz="8" w:color="00000A"/>
            </w:tcBorders>
          </w:tcPr>
          <w:p>
            <w:pPr>
              <w:spacing w:after="0"/>
              <w:rPr>
                <w:sz w:val="20"/>
                <w:szCs w:val="20"/>
                <w:color w:val="auto"/>
              </w:rPr>
            </w:pP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VIET NAM</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RUSSIAN FEDERATION</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AUSTRIA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Woltech Korea Co., Ltd.</w:t>
            </w:r>
          </w:p>
        </w:tc>
        <w:tc>
          <w:tcPr>
            <w:tcW w:w="33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REPUBLIC OF KOREA</w:t>
            </w:r>
          </w:p>
        </w:tc>
        <w:tc>
          <w:tcPr>
            <w:tcW w:w="14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CID002843</w:t>
            </w:r>
          </w:p>
        </w:tc>
      </w:tr>
      <w:tr>
        <w:trPr>
          <w:trHeight w:val="27"/>
        </w:trPr>
        <w:tc>
          <w:tcPr>
            <w:tcW w:w="1320" w:type="dxa"/>
            <w:vAlign w:val="bottom"/>
            <w:tcBorders>
              <w:left w:val="single" w:sz="8" w:color="00000A"/>
              <w:bottom w:val="single" w:sz="8" w:color="00000A"/>
              <w:right w:val="single" w:sz="8" w:color="00000A"/>
            </w:tcBorders>
          </w:tcPr>
          <w:p>
            <w:pPr>
              <w:spacing w:after="0"/>
              <w:rPr>
                <w:sz w:val="2"/>
                <w:szCs w:val="2"/>
                <w:color w:val="auto"/>
              </w:rPr>
            </w:pPr>
          </w:p>
        </w:tc>
        <w:tc>
          <w:tcPr>
            <w:tcW w:w="4720" w:type="dxa"/>
            <w:vAlign w:val="bottom"/>
            <w:tcBorders>
              <w:bottom w:val="single" w:sz="8" w:color="00000A"/>
              <w:right w:val="single" w:sz="8" w:color="00000A"/>
            </w:tcBorders>
          </w:tcPr>
          <w:p>
            <w:pPr>
              <w:spacing w:after="0"/>
              <w:rPr>
                <w:sz w:val="2"/>
                <w:szCs w:val="2"/>
                <w:color w:val="auto"/>
              </w:rPr>
            </w:pPr>
          </w:p>
        </w:tc>
        <w:tc>
          <w:tcPr>
            <w:tcW w:w="3300" w:type="dxa"/>
            <w:vAlign w:val="bottom"/>
            <w:tcBorders>
              <w:bottom w:val="single" w:sz="8" w:color="00000A"/>
              <w:right w:val="single" w:sz="8" w:color="00000A"/>
            </w:tcBorders>
          </w:tcPr>
          <w:p>
            <w:pPr>
              <w:spacing w:after="0"/>
              <w:rPr>
                <w:sz w:val="2"/>
                <w:szCs w:val="2"/>
                <w:color w:val="auto"/>
              </w:rPr>
            </w:pPr>
          </w:p>
        </w:tc>
        <w:tc>
          <w:tcPr>
            <w:tcW w:w="1400" w:type="dxa"/>
            <w:vAlign w:val="bottom"/>
            <w:tcBorders>
              <w:bottom w:val="single" w:sz="8" w:color="00000A"/>
              <w:right w:val="single" w:sz="8" w:color="00000A"/>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22"/>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Xinfeng Huarui Tungsten &amp; Molybdenum New Material Co.,</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CID002830</w:t>
            </w:r>
          </w:p>
        </w:tc>
      </w:tr>
      <w:tr>
        <w:trPr>
          <w:trHeight w:val="230"/>
        </w:trPr>
        <w:tc>
          <w:tcPr>
            <w:tcW w:w="1320" w:type="dxa"/>
            <w:vAlign w:val="bottom"/>
            <w:tcBorders>
              <w:left w:val="single" w:sz="8" w:color="auto"/>
              <w:right w:val="single" w:sz="8" w:color="auto"/>
            </w:tcBorders>
          </w:tcPr>
          <w:p>
            <w:pPr>
              <w:spacing w:after="0"/>
              <w:rPr>
                <w:sz w:val="20"/>
                <w:szCs w:val="20"/>
                <w:color w:val="auto"/>
              </w:rPr>
            </w:pP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Ltd.</w:t>
            </w:r>
          </w:p>
        </w:tc>
        <w:tc>
          <w:tcPr>
            <w:tcW w:w="3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37"/>
        </w:trPr>
        <w:tc>
          <w:tcPr>
            <w:tcW w:w="1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Tungsten</w:t>
            </w:r>
          </w:p>
        </w:tc>
        <w:tc>
          <w:tcPr>
            <w:tcW w:w="4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3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CID002095</w:t>
            </w:r>
          </w:p>
        </w:tc>
      </w:tr>
      <w:tr>
        <w:trPr>
          <w:trHeight w:val="27"/>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Brady’s supplier has stated that this smelter is in a process of being removed from their supply chain.</w:t>
      </w:r>
    </w:p>
    <w:p>
      <w:pPr>
        <w:sectPr>
          <w:pgSz w:w="11900" w:h="16838" w:orient="portrait"/>
          <w:cols w:equalWidth="0" w:num="1">
            <w:col w:w="10740"/>
          </w:cols>
          <w:pgMar w:left="240" w:top="714" w:right="91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820" w:type="dxa"/>
            <w:vAlign w:val="bottom"/>
          </w:tcPr>
          <w:p>
            <w:pPr>
              <w:ind w:left="1840"/>
              <w:spacing w:after="0"/>
              <w:rPr>
                <w:sz w:val="20"/>
                <w:szCs w:val="20"/>
                <w:color w:val="auto"/>
              </w:rPr>
            </w:pPr>
            <w:r>
              <w:rPr>
                <w:rFonts w:ascii="Arial" w:cs="Arial" w:eastAsia="Arial" w:hAnsi="Arial"/>
                <w:sz w:val="18"/>
                <w:szCs w:val="18"/>
                <w:b w:val="1"/>
                <w:bCs w:val="1"/>
                <w:color w:val="auto"/>
              </w:rPr>
              <w:t>Appendix 2</w:t>
            </w: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b w:val="1"/>
                <w:bCs w:val="1"/>
                <w:color w:val="auto"/>
              </w:rPr>
              <w:t>Countries of Origin**</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4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Mauritania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Mongolia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Benin</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Mozambique</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Nicaragua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Niger</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Portugal</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Democratic Republic of the Congo</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Ecuador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Eritrea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Ethiopia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Ghana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Swaziland</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Guinea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Guyana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Indonesia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Togo</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Laos</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Madagascar</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Kingdom of Great Britain and Northern</w:t>
            </w:r>
          </w:p>
        </w:tc>
        <w:tc>
          <w:tcPr>
            <w:tcW w:w="0" w:type="dxa"/>
            <w:vAlign w:val="bottom"/>
          </w:tcPr>
          <w:p>
            <w:pPr>
              <w:spacing w:after="0"/>
              <w:rPr>
                <w:sz w:val="1"/>
                <w:szCs w:val="1"/>
                <w:color w:val="auto"/>
              </w:rPr>
            </w:pPr>
          </w:p>
        </w:tc>
      </w:tr>
      <w:tr>
        <w:trPr>
          <w:trHeight w:val="122"/>
        </w:trPr>
        <w:tc>
          <w:tcPr>
            <w:tcW w:w="3440" w:type="dxa"/>
            <w:vAlign w:val="bottom"/>
            <w:tcBorders>
              <w:left w:val="single" w:sz="8" w:color="auto"/>
              <w:right w:val="single" w:sz="8" w:color="auto"/>
            </w:tcBorders>
            <w:vMerge w:val="continue"/>
          </w:tcPr>
          <w:p>
            <w:pPr>
              <w:spacing w:after="0"/>
              <w:rPr>
                <w:sz w:val="10"/>
                <w:szCs w:val="10"/>
                <w:color w:val="auto"/>
              </w:rPr>
            </w:pPr>
          </w:p>
        </w:tc>
        <w:tc>
          <w:tcPr>
            <w:tcW w:w="38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108"/>
        </w:trPr>
        <w:tc>
          <w:tcPr>
            <w:tcW w:w="3440" w:type="dxa"/>
            <w:vAlign w:val="bottom"/>
            <w:tcBorders>
              <w:left w:val="single" w:sz="8" w:color="auto"/>
              <w:right w:val="single" w:sz="8" w:color="auto"/>
            </w:tcBorders>
          </w:tcPr>
          <w:p>
            <w:pPr>
              <w:spacing w:after="0"/>
              <w:rPr>
                <w:sz w:val="9"/>
                <w:szCs w:val="9"/>
                <w:color w:val="auto"/>
              </w:rPr>
            </w:pPr>
          </w:p>
        </w:tc>
        <w:tc>
          <w:tcPr>
            <w:tcW w:w="3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Malaysia</w:t>
            </w: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Mali</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sectPr>
      <w:pgSz w:w="11900" w:h="16838" w:orient="portrait"/>
      <w:cols w:equalWidth="0" w:num="1">
        <w:col w:w="11400"/>
      </w:cols>
      <w:pgMar w:left="240" w:top="79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start w:val="9"/>
    </w:lvl>
  </w:abstractNum>
  <w:abstractNum w:abstractNumId="2">
    <w:nsid w:val="46E87CCD"/>
    <w:multiLevelType w:val="hybridMultilevel"/>
    <w:lvl w:ilvl="0">
      <w:lvlJc w:val="left"/>
      <w:lvlText w:val="%1."/>
      <w:numFmt w:val="upperLetter"/>
      <w:start w:val="35"/>
    </w:lvl>
  </w:abstractNum>
  <w:abstractNum w:abstractNumId="3">
    <w:nsid w:val="3D1B58BA"/>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2019-12-02T06:04:11Z</dcterms:created>
  <dcterms:modified xsi:type="dcterms:W3CDTF">2019-12-02T06:04:11Z</dcterms:modified>
</cp:coreProperties>
</file>