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51435</wp:posOffset>
            </wp:positionV>
            <wp:extent cx="15862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1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87630</wp:posOffset>
            </wp:positionV>
            <wp:extent cx="1586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64770</wp:posOffset>
            </wp:positionV>
            <wp:extent cx="15862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BRADY CORPORATION</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64770</wp:posOffset>
            </wp:positionV>
            <wp:extent cx="1586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303"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6320" w:type="dxa"/>
            <w:vAlign w:val="bottom"/>
            <w:gridSpan w:val="3"/>
          </w:tcPr>
          <w:p>
            <w:pPr>
              <w:jc w:val="center"/>
              <w:ind w:left="2777"/>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tc>
        <w:tc>
          <w:tcPr>
            <w:tcW w:w="2160" w:type="dxa"/>
            <w:vAlign w:val="bottom"/>
          </w:tcPr>
          <w:p>
            <w:pPr>
              <w:spacing w:after="0"/>
              <w:rPr>
                <w:sz w:val="20"/>
                <w:szCs w:val="20"/>
                <w:color w:val="auto"/>
              </w:rPr>
            </w:pPr>
          </w:p>
        </w:tc>
      </w:tr>
      <w:tr>
        <w:trPr>
          <w:trHeight w:val="396"/>
        </w:trPr>
        <w:tc>
          <w:tcPr>
            <w:tcW w:w="6320" w:type="dxa"/>
            <w:vAlign w:val="bottom"/>
            <w:gridSpan w:val="3"/>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2160" w:type="dxa"/>
            <w:vAlign w:val="bottom"/>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39-0178960</w:t>
            </w:r>
          </w:p>
        </w:tc>
      </w:tr>
      <w:tr>
        <w:trPr>
          <w:trHeight w:val="188"/>
        </w:trPr>
        <w:tc>
          <w:tcPr>
            <w:tcW w:w="6320" w:type="dxa"/>
            <w:vAlign w:val="bottom"/>
            <w:gridSpan w:val="3"/>
          </w:tcPr>
          <w:p>
            <w:pPr>
              <w:jc w:val="center"/>
              <w:ind w:right="28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160" w:type="dxa"/>
            <w:vAlign w:val="bottom"/>
          </w:tcPr>
          <w:p>
            <w:pPr>
              <w:jc w:val="center"/>
              <w:ind w:left="9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406"/>
        </w:trPr>
        <w:tc>
          <w:tcPr>
            <w:tcW w:w="3320" w:type="dxa"/>
            <w:vAlign w:val="bottom"/>
          </w:tcPr>
          <w:p>
            <w:pPr>
              <w:spacing w:after="0"/>
              <w:rPr>
                <w:sz w:val="24"/>
                <w:szCs w:val="24"/>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6555 West Good Hope Road</w:t>
            </w:r>
          </w:p>
        </w:tc>
        <w:tc>
          <w:tcPr>
            <w:tcW w:w="2160" w:type="dxa"/>
            <w:vAlign w:val="bottom"/>
          </w:tcPr>
          <w:p>
            <w:pPr>
              <w:spacing w:after="0"/>
              <w:rPr>
                <w:sz w:val="24"/>
                <w:szCs w:val="24"/>
                <w:color w:val="auto"/>
              </w:rPr>
            </w:pPr>
          </w:p>
        </w:tc>
      </w:tr>
      <w:tr>
        <w:trPr>
          <w:trHeight w:val="216"/>
        </w:trPr>
        <w:tc>
          <w:tcPr>
            <w:tcW w:w="3320" w:type="dxa"/>
            <w:vAlign w:val="bottom"/>
          </w:tcPr>
          <w:p>
            <w:pPr>
              <w:spacing w:after="0"/>
              <w:rPr>
                <w:sz w:val="18"/>
                <w:szCs w:val="18"/>
                <w:color w:val="auto"/>
              </w:rPr>
            </w:pPr>
          </w:p>
        </w:tc>
        <w:tc>
          <w:tcPr>
            <w:tcW w:w="30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Milwaukee, Wisconsin 53223</w:t>
            </w:r>
          </w:p>
        </w:tc>
        <w:tc>
          <w:tcPr>
            <w:tcW w:w="2160" w:type="dxa"/>
            <w:vAlign w:val="bottom"/>
          </w:tcPr>
          <w:p>
            <w:pPr>
              <w:spacing w:after="0"/>
              <w:rPr>
                <w:sz w:val="18"/>
                <w:szCs w:val="18"/>
                <w:color w:val="auto"/>
              </w:rPr>
            </w:pPr>
          </w:p>
        </w:tc>
      </w:tr>
      <w:tr>
        <w:trPr>
          <w:trHeight w:val="188"/>
        </w:trPr>
        <w:tc>
          <w:tcPr>
            <w:tcW w:w="6320" w:type="dxa"/>
            <w:vAlign w:val="bottom"/>
            <w:gridSpan w:val="3"/>
          </w:tcPr>
          <w:p>
            <w:pPr>
              <w:jc w:val="center"/>
              <w:ind w:left="2777"/>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tc>
        <w:tc>
          <w:tcPr>
            <w:tcW w:w="2160" w:type="dxa"/>
            <w:vAlign w:val="bottom"/>
          </w:tcPr>
          <w:p>
            <w:pPr>
              <w:spacing w:after="0"/>
              <w:rPr>
                <w:sz w:val="16"/>
                <w:szCs w:val="16"/>
                <w:color w:val="auto"/>
              </w:rPr>
            </w:pPr>
          </w:p>
        </w:tc>
      </w:tr>
      <w:tr>
        <w:trPr>
          <w:trHeight w:val="365"/>
        </w:trPr>
        <w:tc>
          <w:tcPr>
            <w:tcW w:w="5820" w:type="dxa"/>
            <w:vAlign w:val="bottom"/>
            <w:gridSpan w:val="2"/>
          </w:tcPr>
          <w:p>
            <w:pPr>
              <w:jc w:val="center"/>
              <w:ind w:left="3257"/>
              <w:spacing w:after="0"/>
              <w:rPr>
                <w:sz w:val="20"/>
                <w:szCs w:val="20"/>
                <w:color w:val="auto"/>
              </w:rPr>
            </w:pPr>
            <w:r>
              <w:rPr>
                <w:rFonts w:ascii="Times New Roman" w:cs="Times New Roman" w:eastAsia="Times New Roman" w:hAnsi="Times New Roman"/>
                <w:sz w:val="18"/>
                <w:szCs w:val="18"/>
                <w:b w:val="1"/>
                <w:bCs w:val="1"/>
                <w:color w:val="auto"/>
                <w:w w:val="99"/>
              </w:rPr>
              <w:t>(414) 358-6600</w:t>
            </w:r>
          </w:p>
        </w:tc>
        <w:tc>
          <w:tcPr>
            <w:tcW w:w="5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88"/>
        </w:trPr>
        <w:tc>
          <w:tcPr>
            <w:tcW w:w="3320" w:type="dxa"/>
            <w:vAlign w:val="bottom"/>
          </w:tcPr>
          <w:p>
            <w:pPr>
              <w:spacing w:after="0"/>
              <w:rPr>
                <w:sz w:val="16"/>
                <w:szCs w:val="16"/>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rPr>
              <w:t>(Registrant’s Telephone Number)</w:t>
            </w:r>
          </w:p>
        </w:tc>
        <w:tc>
          <w:tcPr>
            <w:tcW w:w="2160" w:type="dxa"/>
            <w:vAlign w:val="bottom"/>
          </w:tcPr>
          <w:p>
            <w:pPr>
              <w:spacing w:after="0"/>
              <w:rPr>
                <w:sz w:val="16"/>
                <w:szCs w:val="16"/>
                <w:color w:val="auto"/>
              </w:rPr>
            </w:pPr>
          </w:p>
        </w:tc>
      </w:tr>
      <w:tr>
        <w:trPr>
          <w:trHeight w:val="91"/>
        </w:trPr>
        <w:tc>
          <w:tcPr>
            <w:tcW w:w="3320" w:type="dxa"/>
            <w:vAlign w:val="bottom"/>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160" w:type="dxa"/>
            <w:vAlign w:val="bottom"/>
          </w:tcPr>
          <w:p>
            <w:pPr>
              <w:spacing w:after="0"/>
              <w:rPr>
                <w:sz w:val="7"/>
                <w:szCs w:val="7"/>
                <w:color w:val="auto"/>
              </w:rPr>
            </w:pPr>
          </w:p>
        </w:tc>
      </w:tr>
    </w:tbl>
    <w:p>
      <w:pPr>
        <w:spacing w:after="0" w:line="23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6"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61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6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BRC</w:t>
            </w: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38" w:lineRule="exact"/>
        <w:rPr>
          <w:sz w:val="24"/>
          <w:szCs w:val="24"/>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21" w:lineRule="exact"/>
        <w:rPr>
          <w:sz w:val="24"/>
          <w:szCs w:val="24"/>
          <w:color w:val="auto"/>
        </w:rPr>
      </w:pPr>
    </w:p>
    <w:p>
      <w:pPr>
        <w:jc w:val="both"/>
        <w:ind w:right="2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516890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37" w:right="31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8"/>
          <w:szCs w:val="18"/>
          <w:color w:val="auto"/>
        </w:rPr>
        <w:t>Item 5.02</w:t>
      </w:r>
    </w:p>
    <w:p>
      <w:pPr>
        <w:spacing w:after="0" w:line="20" w:lineRule="exact"/>
        <w:rPr>
          <w:sz w:val="20"/>
          <w:szCs w:val="20"/>
          <w:color w:val="auto"/>
        </w:rPr>
      </w:pPr>
      <w:r>
        <w:rPr>
          <w:sz w:val="20"/>
          <w:szCs w:val="20"/>
          <w:color w:val="auto"/>
        </w:rPr>
        <w:br w:type="column"/>
      </w:r>
    </w:p>
    <w:p>
      <w:pPr>
        <w:ind w:right="780"/>
        <w:spacing w:after="0" w:line="237" w:lineRule="auto"/>
        <w:rPr>
          <w:sz w:val="20"/>
          <w:szCs w:val="20"/>
          <w:color w:val="auto"/>
        </w:rPr>
      </w:pPr>
      <w:r>
        <w:rPr>
          <w:rFonts w:ascii="Times New Roman" w:cs="Times New Roman" w:eastAsia="Times New Roman" w:hAnsi="Times New Roman"/>
          <w:sz w:val="18"/>
          <w:szCs w:val="18"/>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720" w:space="680"/>
            <w:col w:w="9840"/>
          </w:cols>
          <w:pgMar w:left="320" w:top="931" w:right="339" w:bottom="1440" w:gutter="0" w:footer="0" w:header="0"/>
        </w:sectPr>
      </w:pPr>
    </w:p>
    <w:p>
      <w:pPr>
        <w:spacing w:after="0" w:line="1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25, 2025, the Board of Directors of Brady Corporation (the “Company”) elected Anne De Greef-Safft to join the Board of Directors, effective immediately. Ms. De Greef-Safft had been nominated for election to the Board of Directors through a process conducted by the Corporate Governance Committee of the Board of Directors. Ms. De Greef-Safft has been appointed to the Audit Committee of the Board of Directors.</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From 2018 to 2024, Ms. De Greef-Safft provided strategic and operational consulting services to private equity firms, including Windjammer Capital, and their portfolio companies. She was Group President of the Food Service Equipment Group for Standex International from 2015 to 2017. Ms. De Greef-Safft serves on the boards of Ag Growth International (AGI), Benchmark Electronics and Ambarella. There are no actual or proposed transactions between Ms. De Greef-Safft or any of her related persons and the Company that would require disclosure under Item 404 (a) of Regulation S-K in connection with her appointment as a director the Company.</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Ms. De Greef-Safft will be entitled to the standard compensation provided to non-employee directors as described in the Company’s Annual Report on Form 10-K. Ms. De Greef-Safft will receive an award of $135,000 in fair value of unrestricted Class A Nonvoting Common Stock with a grant date of February 25, 2025.</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February 28, 2025, the Company issued a press release announcing the election of Ms. De Greef-Safft to the Board of Directors. A copy of the press release is being provided to the Securities and Exchange Commission as Exhibit 99.1 attached hereto and is incorporated herein by reference.</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9.01</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STATEMENTS AND EXHIBITS</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9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3"/>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9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9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77"/>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of Brady Corporation, dated February 28, 2025, relating to the election of Anne De Greef-Safft to the Board of Directors.</w:t>
            </w:r>
          </w:p>
        </w:tc>
      </w:tr>
      <w:tr>
        <w:trPr>
          <w:trHeight w:val="439"/>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7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c>
          <w:tcPr>
            <w:tcW w:w="80" w:type="dxa"/>
            <w:vAlign w:val="bottom"/>
          </w:tcPr>
          <w:p>
            <w:pPr>
              <w:spacing w:after="0"/>
              <w:rPr>
                <w:sz w:val="24"/>
                <w:szCs w:val="24"/>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28, 2025</w:t>
      </w:r>
    </w:p>
    <w:p>
      <w:pPr>
        <w:spacing w:after="0" w:line="293"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17145</wp:posOffset>
            </wp:positionV>
            <wp:extent cx="2408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16"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Ann E. Thornton</w:t>
      </w:r>
    </w:p>
    <w:p>
      <w:pPr>
        <w:spacing w:after="0" w:line="2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Financial Officer, Chief Accounting Officer</w:t>
      </w:r>
    </w:p>
    <w:p>
      <w:pPr>
        <w:ind w:left="7460"/>
        <w:spacing w:after="0"/>
        <w:rPr>
          <w:sz w:val="20"/>
          <w:szCs w:val="20"/>
          <w:color w:val="auto"/>
        </w:rPr>
      </w:pPr>
      <w:r>
        <w:rPr>
          <w:rFonts w:ascii="Times New Roman" w:cs="Times New Roman" w:eastAsia="Times New Roman" w:hAnsi="Times New Roman"/>
          <w:sz w:val="18"/>
          <w:szCs w:val="18"/>
          <w:color w:val="auto"/>
        </w:rPr>
        <w:t>and Treasurer</w:t>
      </w:r>
    </w:p>
    <w:p>
      <w:pPr>
        <w:sectPr>
          <w:pgSz w:w="11900" w:h="16838" w:orient="portrait"/>
          <w:cols w:equalWidth="0" w:num="1">
            <w:col w:w="11240"/>
          </w:cols>
          <w:pgMar w:left="320" w:top="931" w:right="339" w:bottom="1440" w:gutter="0" w:footer="0" w:header="0"/>
          <w:type w:val="continuous"/>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99.1</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For More Information:</w:t>
      </w:r>
    </w:p>
    <w:p>
      <w:pPr>
        <w:spacing w:after="0" w:line="233" w:lineRule="auto"/>
        <w:rPr>
          <w:sz w:val="20"/>
          <w:szCs w:val="20"/>
          <w:color w:val="auto"/>
        </w:rPr>
      </w:pPr>
      <w:r>
        <w:rPr>
          <w:rFonts w:ascii="Times New Roman" w:cs="Times New Roman" w:eastAsia="Times New Roman" w:hAnsi="Times New Roman"/>
          <w:sz w:val="20"/>
          <w:szCs w:val="20"/>
          <w:color w:val="auto"/>
        </w:rPr>
        <w:t>Investor contact: Ann Thornton 414-438-6887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Media contact: Kate Venne 414-358-5176</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Anne De Greef-Safft joins Brady Corporation Board of Directors</w:t>
      </w:r>
    </w:p>
    <w:p>
      <w:pPr>
        <w:spacing w:after="0" w:line="274"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20"/>
          <w:szCs w:val="20"/>
          <w:color w:val="auto"/>
        </w:rPr>
        <w:t>MILWAUKEE (February 28, 2025)—Brady Corporation (NYSE:BRC) (“Brady” or “Company”) announced that Anne De Greef-Safft has joined its Board of Directors, effective February 25, 2025.</w:t>
      </w:r>
    </w:p>
    <w:p>
      <w:pPr>
        <w:spacing w:after="0" w:line="2" w:lineRule="exact"/>
        <w:rPr>
          <w:sz w:val="20"/>
          <w:szCs w:val="20"/>
          <w:color w:val="auto"/>
        </w:rPr>
      </w:pPr>
    </w:p>
    <w:p>
      <w:pPr>
        <w:jc w:val="both"/>
        <w:ind w:firstLine="648"/>
        <w:spacing w:after="0" w:line="324" w:lineRule="auto"/>
        <w:rPr>
          <w:sz w:val="20"/>
          <w:szCs w:val="20"/>
          <w:color w:val="auto"/>
        </w:rPr>
      </w:pPr>
      <w:r>
        <w:rPr>
          <w:rFonts w:ascii="Times New Roman" w:cs="Times New Roman" w:eastAsia="Times New Roman" w:hAnsi="Times New Roman"/>
          <w:sz w:val="20"/>
          <w:szCs w:val="20"/>
          <w:color w:val="auto"/>
        </w:rPr>
        <w:t>From 2018 to 2024, Ms. De Greef-Safft provided strategic and operational consulting services to private equity firms, including Windjammer Capital, and their portfolio companies. She was Group President of the Food Service Equipment Group for Standex International from 2015 to 2017. Prior to Standex, she held four successive positions at Danaher as President of increasingly complex, global operating companies over a period of 12 years. She previously served in a variety of engineering, marketing, sales and business development roles within several global manufacturing companies. Ms. De Greef-Safft serves on the boards of Ag Growth International (AGI), Benchmark Electronics and Ambarella.</w:t>
      </w:r>
    </w:p>
    <w:p>
      <w:pPr>
        <w:jc w:val="both"/>
        <w:ind w:right="20" w:firstLine="648"/>
        <w:spacing w:after="0" w:line="309" w:lineRule="auto"/>
        <w:rPr>
          <w:sz w:val="20"/>
          <w:szCs w:val="20"/>
          <w:color w:val="auto"/>
        </w:rPr>
      </w:pPr>
      <w:r>
        <w:rPr>
          <w:rFonts w:ascii="Times New Roman" w:cs="Times New Roman" w:eastAsia="Times New Roman" w:hAnsi="Times New Roman"/>
          <w:sz w:val="20"/>
          <w:szCs w:val="20"/>
          <w:color w:val="auto"/>
        </w:rPr>
        <w:t>A native of Belgium, Ms. De Greef-Safft has a bachelor’s and master’s degree in electronics engineering from the Catholic University of Louvain in Belgium, and a master of business administration from Babson College in Wellesley, Massachusetts.</w:t>
      </w:r>
    </w:p>
    <w:p>
      <w:pPr>
        <w:spacing w:after="0" w:line="2" w:lineRule="exact"/>
        <w:rPr>
          <w:sz w:val="20"/>
          <w:szCs w:val="20"/>
          <w:color w:val="auto"/>
        </w:rPr>
      </w:pPr>
    </w:p>
    <w:p>
      <w:pPr>
        <w:jc w:val="both"/>
        <w:ind w:firstLine="648"/>
        <w:spacing w:after="0" w:line="326" w:lineRule="auto"/>
        <w:rPr>
          <w:sz w:val="20"/>
          <w:szCs w:val="20"/>
          <w:color w:val="auto"/>
        </w:rPr>
      </w:pPr>
      <w:r>
        <w:rPr>
          <w:rFonts w:ascii="Times New Roman" w:cs="Times New Roman" w:eastAsia="Times New Roman" w:hAnsi="Times New Roman"/>
          <w:sz w:val="19"/>
          <w:szCs w:val="19"/>
          <w:color w:val="auto"/>
        </w:rPr>
        <w:t>“Multiple manufacturing operations I led throughout my career trusted Brady’s identification, safety and compliance solutions, and I am very impressed with Brady’s commitment to driving global growth through innovation based upon deep insights into customers’ needs. I am excited to collaborate with Brady’s leadership team and the Board of Directors to continue to drive future success,” said De Greef-Safft.</w:t>
      </w:r>
    </w:p>
    <w:p>
      <w:pPr>
        <w:spacing w:after="0" w:line="1"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0"/>
          <w:szCs w:val="20"/>
          <w:color w:val="auto"/>
        </w:rPr>
        <w:t>“Anne’s broad business acumen, her public company board experience and her international background make her an excellent addition to the Brady Board of Directors,” said Bradley C. Richardson, Chair of Brady’s Board of Directors. “Her wide range of experiences, both internationally and domestically, demonstrates Brady’s commitment to a high-quality Board of Directors with exceptional leadership skills.”</w:t>
      </w:r>
    </w:p>
    <w:p>
      <w:pPr>
        <w:spacing w:after="0" w:line="4" w:lineRule="exact"/>
        <w:rPr>
          <w:sz w:val="20"/>
          <w:szCs w:val="20"/>
          <w:color w:val="auto"/>
        </w:rPr>
      </w:pPr>
    </w:p>
    <w:p>
      <w:pPr>
        <w:jc w:val="both"/>
        <w:ind w:firstLine="648"/>
        <w:spacing w:after="0" w:line="324" w:lineRule="auto"/>
        <w:rPr>
          <w:sz w:val="20"/>
          <w:szCs w:val="20"/>
          <w:color w:val="auto"/>
        </w:rPr>
      </w:pPr>
      <w:r>
        <w:rPr>
          <w:rFonts w:ascii="Times New Roman" w:cs="Times New Roman" w:eastAsia="Times New Roman" w:hAnsi="Times New Roman"/>
          <w:sz w:val="20"/>
          <w:szCs w:val="20"/>
          <w:color w:val="auto"/>
        </w:rPr>
        <w:t>“I look forward to Anne bringing her breadth of experience from roles in innovation-driven global industrial companies, which will be invaluable as we move forward and continue to drive long-term shareholder value,” said Russell R. Shaller, Brady’s President and Chief Executive Officer.</w:t>
      </w:r>
    </w:p>
    <w:p>
      <w:pPr>
        <w:spacing w:after="0" w:line="203" w:lineRule="exact"/>
        <w:rPr>
          <w:sz w:val="20"/>
          <w:szCs w:val="20"/>
          <w:color w:val="auto"/>
        </w:rPr>
      </w:pPr>
    </w:p>
    <w:p>
      <w:pPr>
        <w:jc w:val="both"/>
        <w:ind w:firstLine="648"/>
        <w:spacing w:after="0" w:line="314" w:lineRule="auto"/>
        <w:rPr>
          <w:sz w:val="20"/>
          <w:szCs w:val="20"/>
          <w:color w:val="auto"/>
        </w:rPr>
      </w:pPr>
      <w:r>
        <w:rPr>
          <w:rFonts w:ascii="Times New Roman" w:cs="Times New Roman" w:eastAsia="Times New Roman" w:hAnsi="Times New Roman"/>
          <w:sz w:val="20"/>
          <w:szCs w:val="20"/>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2024, employed approximately 5,700 people in its worldwide businesses. Brady’s fiscal 2024 sales were approximately $1.34 billion. Brady stock trades on the New York Stock Exchange under the symbol BRC. More information is available at </w:t>
      </w:r>
      <w:r>
        <w:rPr>
          <w:rFonts w:ascii="Times New Roman" w:cs="Times New Roman" w:eastAsia="Times New Roman" w:hAnsi="Times New Roman"/>
          <w:sz w:val="20"/>
          <w:szCs w:val="20"/>
          <w:color w:val="0000FF"/>
        </w:rPr>
        <w:t>www.bradycorp.com</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2"/>
          <w:szCs w:val="22"/>
          <w:color w:val="auto"/>
        </w:rPr>
        <w:t>###</w:t>
      </w: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2025-02-28T06:18:23Z</dcterms:created>
  <dcterms:modified xsi:type="dcterms:W3CDTF">2025-02-28T06:18:23Z</dcterms:modified>
</cp:coreProperties>
</file>