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BRADY CORPORATION</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Class A Common Stock</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104674106</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12/31/2020</w:t>
      </w:r>
    </w:p>
    <w:p>
      <w:pPr>
        <w:spacing w:after="0" w:line="200" w:lineRule="exact"/>
        <w:rPr>
          <w:sz w:val="24"/>
          <w:szCs w:val="24"/>
          <w:color w:val="auto"/>
        </w:rPr>
      </w:pPr>
    </w:p>
    <w:p>
      <w:pPr>
        <w:spacing w:after="0" w:line="204" w:lineRule="exact"/>
        <w:rPr>
          <w:sz w:val="24"/>
          <w:szCs w:val="24"/>
          <w:color w:val="auto"/>
        </w:rPr>
      </w:pPr>
    </w:p>
    <w:p>
      <w:pPr>
        <w:ind w:right="327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1" w:lineRule="exact"/>
        <w:rPr>
          <w:sz w:val="24"/>
          <w:szCs w:val="24"/>
          <w:color w:val="auto"/>
        </w:rPr>
      </w:pPr>
    </w:p>
    <w:p>
      <w:pPr>
        <w:ind w:right="2979" w:firstLine="8"/>
        <w:spacing w:after="0" w:line="26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9" w:lineRule="exact"/>
        <w:rPr>
          <w:sz w:val="24"/>
          <w:szCs w:val="24"/>
          <w:color w:val="auto"/>
        </w:rPr>
      </w:pPr>
    </w:p>
    <w:p>
      <w:pPr>
        <w:ind w:right="3079"/>
        <w:spacing w:after="0" w:line="30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104674106</w:t>
      </w:r>
    </w:p>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420" w:right="45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Henderson Group plc</w:t>
      </w: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EIN #00-0000000</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9" w:lineRule="exact"/>
        <w:rPr>
          <w:sz w:val="24"/>
          <w:szCs w:val="24"/>
          <w:color w:val="auto"/>
        </w:rPr>
      </w:pP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960" w:hanging="531"/>
        <w:spacing w:after="0"/>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960" w:right="5919" w:hanging="952"/>
        <w:spacing w:after="0" w:line="402" w:lineRule="auto"/>
        <w:tabs>
          <w:tab w:leader="none" w:pos="43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Jersey, Channel Islands</w:t>
      </w: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540" w:right="781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9" w:lineRule="exact"/>
        <w:rPr>
          <w:rFonts w:ascii="Courier New" w:cs="Courier New" w:eastAsia="Courier New" w:hAnsi="Courier New"/>
          <w:sz w:val="18"/>
          <w:szCs w:val="18"/>
          <w:color w:val="auto"/>
        </w:rPr>
      </w:pPr>
    </w:p>
    <w:p>
      <w:pPr>
        <w:ind w:left="540" w:right="759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3,230,045**</w:t>
      </w:r>
    </w:p>
    <w:p>
      <w:pPr>
        <w:spacing w:after="0" w:line="19" w:lineRule="exact"/>
        <w:rPr>
          <w:rFonts w:ascii="Courier New" w:cs="Courier New" w:eastAsia="Courier New" w:hAnsi="Courier New"/>
          <w:sz w:val="18"/>
          <w:szCs w:val="18"/>
          <w:color w:val="auto"/>
        </w:rPr>
      </w:pPr>
    </w:p>
    <w:p>
      <w:pPr>
        <w:ind w:left="540" w:right="7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9" w:lineRule="exact"/>
        <w:rPr>
          <w:rFonts w:ascii="Courier New" w:cs="Courier New" w:eastAsia="Courier New" w:hAnsi="Courier New"/>
          <w:sz w:val="18"/>
          <w:szCs w:val="18"/>
          <w:color w:val="auto"/>
        </w:rPr>
      </w:pPr>
    </w:p>
    <w:p>
      <w:pPr>
        <w:ind w:left="540" w:right="70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3,230,045**</w:t>
      </w:r>
    </w:p>
    <w:p>
      <w:pPr>
        <w:spacing w:after="0" w:line="19" w:lineRule="exact"/>
        <w:rPr>
          <w:rFonts w:ascii="Courier New" w:cs="Courier New" w:eastAsia="Courier New" w:hAnsi="Courier New"/>
          <w:sz w:val="18"/>
          <w:szCs w:val="18"/>
          <w:color w:val="auto"/>
        </w:rPr>
      </w:pPr>
    </w:p>
    <w:p>
      <w:pPr>
        <w:ind w:left="540" w:right="3279" w:hanging="532"/>
        <w:spacing w:after="0" w:line="346"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3,230,045**</w:t>
      </w:r>
    </w:p>
    <w:p>
      <w:pPr>
        <w:spacing w:after="0" w:line="19" w:lineRule="exact"/>
        <w:rPr>
          <w:rFonts w:ascii="Courier New" w:cs="Courier New" w:eastAsia="Courier New" w:hAnsi="Courier New"/>
          <w:sz w:val="18"/>
          <w:szCs w:val="18"/>
          <w:color w:val="auto"/>
        </w:rPr>
      </w:pPr>
    </w:p>
    <w:p>
      <w:pPr>
        <w:ind w:right="3179" w:firstLine="8"/>
        <w:spacing w:after="0" w:line="346" w:lineRule="auto"/>
        <w:tabs>
          <w:tab w:leader="none" w:pos="52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ectPr>
          <w:pgSz w:w="11900" w:h="17004" w:orient="portrait"/>
          <w:cols w:equalWidth="0" w:num="1">
            <w:col w:w="10139"/>
          </w:cols>
          <w:pgMar w:left="320" w:top="218"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420" w:right="455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6.7%**</w:t>
      </w:r>
    </w:p>
    <w:p>
      <w:pPr>
        <w:spacing w:after="0" w:line="19" w:lineRule="exact"/>
        <w:rPr>
          <w:rFonts w:ascii="Courier New" w:cs="Courier New" w:eastAsia="Courier New" w:hAnsi="Courier New"/>
          <w:sz w:val="18"/>
          <w:szCs w:val="18"/>
          <w:color w:val="auto"/>
        </w:rPr>
      </w:pPr>
    </w:p>
    <w:p>
      <w:pPr>
        <w:ind w:left="420" w:right="7179" w:hanging="412"/>
        <w:spacing w:after="0" w:line="346"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See Item 4 of this filing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BRADY CORPORATION ("Brady")</w:t>
      </w:r>
    </w:p>
    <w:p>
      <w:pPr>
        <w:spacing w:after="0" w:line="16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6555 West Good Hope Road</w:t>
      </w:r>
    </w:p>
    <w:p>
      <w:pPr>
        <w:spacing w:after="0" w:line="3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Milwaukee, Wisconsin 53223</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(a).-(c). Name, Principal Business Address, and Citizenship of</w:t>
      </w:r>
    </w:p>
    <w:p>
      <w:pPr>
        <w:ind w:left="220"/>
        <w:spacing w:after="0"/>
        <w:rPr>
          <w:sz w:val="20"/>
          <w:szCs w:val="20"/>
          <w:color w:val="auto"/>
        </w:rPr>
      </w:pPr>
      <w:r>
        <w:rPr>
          <w:rFonts w:ascii="Courier New" w:cs="Courier New" w:eastAsia="Courier New" w:hAnsi="Courier New"/>
          <w:sz w:val="18"/>
          <w:szCs w:val="18"/>
          <w:color w:val="auto"/>
        </w:rPr>
        <w:t>Persons Filing:</w:t>
      </w:r>
    </w:p>
    <w:p>
      <w:pPr>
        <w:spacing w:after="0" w:line="169" w:lineRule="exact"/>
        <w:rPr>
          <w:sz w:val="20"/>
          <w:szCs w:val="20"/>
          <w:color w:val="auto"/>
        </w:rPr>
      </w:pPr>
    </w:p>
    <w:p>
      <w:pPr>
        <w:ind w:left="1480" w:right="6019" w:hanging="524"/>
        <w:spacing w:after="0" w:line="257" w:lineRule="auto"/>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Henderson Group plc 201 Bishopsgate</w:t>
      </w:r>
    </w:p>
    <w:p>
      <w:pPr>
        <w:ind w:left="1480" w:right="485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EC2M 3AE, United Kingdom Citizenship: Jersey, Channel Islands</w:t>
      </w:r>
    </w:p>
    <w:p>
      <w:pPr>
        <w:spacing w:after="0" w:line="6"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Class A 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104674106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859"/>
        <w:spacing w:after="0" w:line="274"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Henderson Group plc ("Janus Henderson") is a parent holding company/control person in accordance with Section 240.13d-1(b)(ii)(G). See Item 4 for additional information.</w:t>
      </w:r>
    </w:p>
    <w:p>
      <w:pPr>
        <w:spacing w:after="0" w:line="8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 w:lineRule="exact"/>
        <w:rPr>
          <w:sz w:val="20"/>
          <w:szCs w:val="20"/>
          <w:color w:val="auto"/>
        </w:rPr>
      </w:pPr>
    </w:p>
    <w:p>
      <w:pPr>
        <w:ind w:right="2859"/>
        <w:spacing w:after="0" w:line="248" w:lineRule="auto"/>
        <w:rPr>
          <w:sz w:val="20"/>
          <w:szCs w:val="20"/>
          <w:color w:val="auto"/>
        </w:rPr>
      </w:pPr>
      <w:r>
        <w:rPr>
          <w:rFonts w:ascii="Courier New" w:cs="Courier New" w:eastAsia="Courier New" w:hAnsi="Courier New"/>
          <w:sz w:val="18"/>
          <w:szCs w:val="18"/>
          <w:color w:val="auto"/>
        </w:rPr>
        <w:t>Janus Henderson has an indirect 97% ownership stake in Intech Investment Management LLC ("Intech") and a 100% ownership stake in Janus Capital Management LLC ("JCM"), Perkins Investment Management LLC ("Perkins"), Henderson Global Investors Limited ("HGIL")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w:t>
      </w:r>
    </w:p>
    <w:p>
      <w:pPr>
        <w:spacing w:after="0" w:line="104" w:lineRule="exact"/>
        <w:rPr>
          <w:sz w:val="20"/>
          <w:szCs w:val="20"/>
          <w:color w:val="auto"/>
        </w:rPr>
      </w:pPr>
    </w:p>
    <w:p>
      <w:pPr>
        <w:ind w:right="3079"/>
        <w:spacing w:after="0" w:line="293" w:lineRule="auto"/>
        <w:rPr>
          <w:sz w:val="20"/>
          <w:szCs w:val="20"/>
          <w:color w:val="auto"/>
        </w:rPr>
      </w:pPr>
      <w:r>
        <w:rPr>
          <w:rFonts w:ascii="Courier New" w:cs="Courier New" w:eastAsia="Courier New" w:hAnsi="Courier New"/>
          <w:sz w:val="16"/>
          <w:szCs w:val="16"/>
          <w:color w:val="auto"/>
        </w:rPr>
        <w:t>As a result of its role as investment adviser or sub-adviser to the Managed Portfolios, JCM may be deemed to be the beneficial owner of 3,230,045 shares or 6.7% of the shares outstanding of Brady Class A Common Stock held by such Managed Portfolios. However, JCM does not have the right to receive any dividends from, or the proceeds from the sale of, the securities held in the Managed Portfolios and disclaims any ownership associated with such rights.</w:t>
      </w:r>
    </w:p>
    <w:p>
      <w:pPr>
        <w:spacing w:after="0" w:line="7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right="3279"/>
        <w:spacing w:after="0" w:line="346"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66" w:lineRule="exact"/>
        <w:rPr>
          <w:sz w:val="20"/>
          <w:szCs w:val="20"/>
          <w:color w:val="auto"/>
        </w:rPr>
      </w:pPr>
    </w:p>
    <w:p>
      <w:pPr>
        <w:ind w:right="3079"/>
        <w:spacing w:after="0" w:line="346"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These shares were acquired in the ordinary course of business, and</w:t>
      </w:r>
    </w:p>
    <w:p>
      <w:pPr>
        <w:sectPr>
          <w:pgSz w:w="11900" w:h="16838" w:orient="portrait"/>
          <w:cols w:equalWidth="0" w:num="1">
            <w:col w:w="10139"/>
          </w:cols>
          <w:pgMar w:left="320" w:top="110"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not with the purpose of changing or influencing control of the Issuer.</w:t>
      </w:r>
    </w:p>
    <w:p>
      <w:pPr>
        <w:spacing w:after="0" w:line="224" w:lineRule="exact"/>
        <w:rPr>
          <w:sz w:val="20"/>
          <w:szCs w:val="20"/>
          <w:color w:val="auto"/>
        </w:rPr>
      </w:pPr>
    </w:p>
    <w:p>
      <w:pPr>
        <w:ind w:right="285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right="2979"/>
        <w:spacing w:after="0" w:line="292" w:lineRule="auto"/>
        <w:rPr>
          <w:sz w:val="20"/>
          <w:szCs w:val="20"/>
          <w:color w:val="auto"/>
        </w:rPr>
      </w:pPr>
      <w:r>
        <w:rPr>
          <w:rFonts w:ascii="Courier New" w:cs="Courier New" w:eastAsia="Courier New" w:hAnsi="Courier New"/>
          <w:sz w:val="18"/>
          <w:szCs w:val="18"/>
          <w:color w:val="auto"/>
        </w:rPr>
        <w:t>Intech, JCM, Perkins, HGIL and JHIAIFML are indirect subsidiaries of Janus Henderson and are registered investment advisers furnishing investment advice to Managed Portfolios.</w:t>
      </w:r>
    </w:p>
    <w:p>
      <w:pPr>
        <w:spacing w:after="0" w:line="6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right="297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29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HENDERSON GROUP PLC</w:t>
      </w:r>
    </w:p>
    <w:p>
      <w:pPr>
        <w:spacing w:after="0" w:line="201" w:lineRule="exact"/>
        <w:rPr>
          <w:sz w:val="20"/>
          <w:szCs w:val="20"/>
          <w:color w:val="auto"/>
        </w:rPr>
      </w:pPr>
    </w:p>
    <w:p>
      <w:pPr>
        <w:spacing w:after="0"/>
        <w:tabs>
          <w:tab w:leader="none" w:pos="400" w:val="left"/>
          <w:tab w:leader="none" w:pos="94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Kristin Mariani</w:t>
      </w:r>
    </w:p>
    <w:p>
      <w:pPr>
        <w:spacing w:after="0" w:line="31" w:lineRule="exact"/>
        <w:rPr>
          <w:sz w:val="20"/>
          <w:szCs w:val="20"/>
          <w:color w:val="auto"/>
        </w:rPr>
      </w:pPr>
    </w:p>
    <w:p>
      <w:pPr>
        <w:ind w:right="4439"/>
        <w:spacing w:after="0" w:line="309" w:lineRule="auto"/>
        <w:rPr>
          <w:sz w:val="20"/>
          <w:szCs w:val="20"/>
          <w:color w:val="auto"/>
        </w:rPr>
      </w:pPr>
      <w:r>
        <w:rPr>
          <w:rFonts w:ascii="Courier New" w:cs="Courier New" w:eastAsia="Courier New" w:hAnsi="Courier New"/>
          <w:sz w:val="18"/>
          <w:szCs w:val="18"/>
          <w:color w:val="auto"/>
        </w:rPr>
        <w:t>Kristin Mariani, Head of North America Compliance, CCO Date 2/12/2021</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lvl w:ilvl="1">
      <w:lvlJc w:val="left"/>
      <w:lvlText w:val="%2."/>
      <w:numFmt w:val="lowerLetter"/>
      <w:start w:val="1"/>
    </w:lvl>
  </w:abstractNum>
  <w:abstractNum w:abstractNumId="4">
    <w:nsid w:val="2EB141F2"/>
    <w:multiLevelType w:val="hybridMultilevel"/>
    <w:lvl w:ilvl="0">
      <w:lvlJc w:val="left"/>
      <w:lvlText w:val="%1."/>
      <w:numFmt w:val="decimal"/>
      <w:start w:val="3"/>
    </w:lvl>
    <w:lvl w:ilvl="1">
      <w:lvlJc w:val="left"/>
      <w:lvlText w:val="%2"/>
      <w:numFmt w:val="lowerLetter"/>
      <w:start w:val="1"/>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2021-02-12T14:05:31Z</dcterms:created>
  <dcterms:modified xsi:type="dcterms:W3CDTF">2021-02-12T14:05:31Z</dcterms:modified>
</cp:coreProperties>
</file>