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50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20" w:type="dxa"/>
            <w:vAlign w:val="bottom"/>
            <w:gridSpan w:val="2"/>
          </w:tcPr>
          <w:p>
            <w:pPr>
              <w:jc w:val="center"/>
              <w:ind w:right="2072"/>
              <w:spacing w:after="0"/>
              <w:rPr>
                <w:sz w:val="20"/>
                <w:szCs w:val="20"/>
                <w:color w:val="auto"/>
              </w:rPr>
            </w:pPr>
            <w:r>
              <w:rPr>
                <w:rFonts w:ascii="Arial" w:cs="Arial" w:eastAsia="Arial" w:hAnsi="Arial"/>
                <w:sz w:val="22"/>
                <w:szCs w:val="22"/>
                <w:b w:val="1"/>
                <w:bCs w:val="1"/>
                <w:color w:val="auto"/>
                <w:w w:val="97"/>
              </w:rPr>
              <w:t>UNITED STATES</w:t>
            </w:r>
          </w:p>
        </w:tc>
      </w:tr>
      <w:tr>
        <w:trPr>
          <w:trHeight w:val="261"/>
        </w:trPr>
        <w:tc>
          <w:tcPr>
            <w:tcW w:w="760" w:type="dxa"/>
            <w:vAlign w:val="bottom"/>
          </w:tcPr>
          <w:p>
            <w:pPr>
              <w:spacing w:after="0"/>
              <w:rPr>
                <w:sz w:val="22"/>
                <w:szCs w:val="22"/>
                <w:color w:val="auto"/>
              </w:rPr>
            </w:pPr>
          </w:p>
        </w:tc>
        <w:tc>
          <w:tcPr>
            <w:tcW w:w="5840" w:type="dxa"/>
            <w:vAlign w:val="bottom"/>
            <w:gridSpan w:val="3"/>
          </w:tcPr>
          <w:p>
            <w:pPr>
              <w:jc w:val="center"/>
              <w:ind w:right="852"/>
              <w:spacing w:after="0"/>
              <w:rPr>
                <w:sz w:val="20"/>
                <w:szCs w:val="20"/>
                <w:color w:val="auto"/>
              </w:rPr>
            </w:pPr>
            <w:r>
              <w:rPr>
                <w:rFonts w:ascii="Arial" w:cs="Arial" w:eastAsia="Arial" w:hAnsi="Arial"/>
                <w:sz w:val="22"/>
                <w:szCs w:val="22"/>
                <w:b w:val="1"/>
                <w:bCs w:val="1"/>
                <w:color w:val="auto"/>
                <w:w w:val="99"/>
              </w:rPr>
              <w:t>SECURITIES AND EXCHANGE COMMISSION</w:t>
            </w:r>
          </w:p>
        </w:tc>
      </w:tr>
      <w:tr>
        <w:trPr>
          <w:trHeight w:val="186"/>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gridSpan w:val="2"/>
          </w:tcPr>
          <w:p>
            <w:pPr>
              <w:jc w:val="center"/>
              <w:ind w:right="2092"/>
              <w:spacing w:after="0"/>
              <w:rPr>
                <w:sz w:val="20"/>
                <w:szCs w:val="20"/>
                <w:color w:val="auto"/>
              </w:rPr>
            </w:pPr>
            <w:r>
              <w:rPr>
                <w:rFonts w:ascii="Arial" w:cs="Arial" w:eastAsia="Arial" w:hAnsi="Arial"/>
                <w:sz w:val="14"/>
                <w:szCs w:val="14"/>
                <w:b w:val="1"/>
                <w:bCs w:val="1"/>
                <w:color w:val="auto"/>
                <w:w w:val="93"/>
              </w:rPr>
              <w:t>Washington, D.C. 20549</w:t>
            </w:r>
          </w:p>
        </w:tc>
      </w:tr>
      <w:tr>
        <w:trPr>
          <w:trHeight w:val="219"/>
        </w:trPr>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100" w:type="dxa"/>
            <w:vAlign w:val="bottom"/>
          </w:tcPr>
          <w:p>
            <w:pPr>
              <w:spacing w:after="0"/>
              <w:rPr>
                <w:sz w:val="19"/>
                <w:szCs w:val="19"/>
                <w:color w:val="auto"/>
              </w:rPr>
            </w:pPr>
          </w:p>
        </w:tc>
      </w:tr>
      <w:tr>
        <w:trPr>
          <w:trHeight w:val="305"/>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20" w:type="dxa"/>
            <w:vAlign w:val="bottom"/>
            <w:gridSpan w:val="2"/>
          </w:tcPr>
          <w:p>
            <w:pPr>
              <w:jc w:val="center"/>
              <w:ind w:right="2072"/>
              <w:spacing w:after="0"/>
              <w:rPr>
                <w:sz w:val="20"/>
                <w:szCs w:val="20"/>
                <w:color w:val="auto"/>
              </w:rPr>
            </w:pPr>
            <w:r>
              <w:rPr>
                <w:rFonts w:ascii="Arial" w:cs="Arial" w:eastAsia="Arial" w:hAnsi="Arial"/>
                <w:sz w:val="22"/>
                <w:szCs w:val="22"/>
                <w:b w:val="1"/>
                <w:bCs w:val="1"/>
                <w:color w:val="auto"/>
                <w:w w:val="99"/>
              </w:rPr>
              <w:t>FORM 8-K</w:t>
            </w:r>
          </w:p>
        </w:tc>
      </w:tr>
      <w:tr>
        <w:trPr>
          <w:trHeight w:val="161"/>
        </w:trPr>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100" w:type="dxa"/>
            <w:vAlign w:val="bottom"/>
          </w:tcPr>
          <w:p>
            <w:pPr>
              <w:spacing w:after="0"/>
              <w:rPr>
                <w:sz w:val="14"/>
                <w:szCs w:val="14"/>
                <w:color w:val="auto"/>
              </w:rPr>
            </w:pPr>
          </w:p>
        </w:tc>
      </w:tr>
      <w:tr>
        <w:trPr>
          <w:trHeight w:val="246"/>
        </w:trPr>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20" w:type="dxa"/>
            <w:vAlign w:val="bottom"/>
            <w:gridSpan w:val="2"/>
          </w:tcPr>
          <w:p>
            <w:pPr>
              <w:jc w:val="center"/>
              <w:ind w:right="2052"/>
              <w:spacing w:after="0"/>
              <w:rPr>
                <w:sz w:val="20"/>
                <w:szCs w:val="20"/>
                <w:color w:val="auto"/>
              </w:rPr>
            </w:pPr>
            <w:r>
              <w:rPr>
                <w:rFonts w:ascii="Arial" w:cs="Arial" w:eastAsia="Arial" w:hAnsi="Arial"/>
                <w:sz w:val="17"/>
                <w:szCs w:val="17"/>
                <w:b w:val="1"/>
                <w:bCs w:val="1"/>
                <w:color w:val="auto"/>
                <w:w w:val="98"/>
              </w:rPr>
              <w:t>CURRENT REPORT</w:t>
            </w:r>
          </w:p>
        </w:tc>
      </w:tr>
      <w:tr>
        <w:trPr>
          <w:trHeight w:val="265"/>
        </w:trPr>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20" w:type="dxa"/>
            <w:vAlign w:val="bottom"/>
            <w:gridSpan w:val="2"/>
          </w:tcPr>
          <w:p>
            <w:pPr>
              <w:jc w:val="center"/>
              <w:ind w:right="2072"/>
              <w:spacing w:after="0"/>
              <w:rPr>
                <w:sz w:val="20"/>
                <w:szCs w:val="20"/>
                <w:color w:val="auto"/>
              </w:rPr>
            </w:pPr>
            <w:r>
              <w:rPr>
                <w:rFonts w:ascii="Arial" w:cs="Arial" w:eastAsia="Arial" w:hAnsi="Arial"/>
                <w:sz w:val="14"/>
                <w:szCs w:val="14"/>
                <w:b w:val="1"/>
                <w:bCs w:val="1"/>
                <w:color w:val="auto"/>
                <w:w w:val="92"/>
              </w:rPr>
              <w:t>Pursuant to Section 13 or 15(d) of the</w:t>
            </w:r>
          </w:p>
        </w:tc>
      </w:tr>
      <w:tr>
        <w:trPr>
          <w:trHeight w:val="186"/>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gridSpan w:val="2"/>
          </w:tcPr>
          <w:p>
            <w:pPr>
              <w:jc w:val="center"/>
              <w:ind w:right="2072"/>
              <w:spacing w:after="0"/>
              <w:rPr>
                <w:sz w:val="20"/>
                <w:szCs w:val="20"/>
                <w:color w:val="auto"/>
              </w:rPr>
            </w:pPr>
            <w:r>
              <w:rPr>
                <w:rFonts w:ascii="Arial" w:cs="Arial" w:eastAsia="Arial" w:hAnsi="Arial"/>
                <w:sz w:val="14"/>
                <w:szCs w:val="14"/>
                <w:b w:val="1"/>
                <w:bCs w:val="1"/>
                <w:color w:val="auto"/>
                <w:w w:val="91"/>
              </w:rPr>
              <w:t>Securities Exchange Act of 1934</w:t>
            </w:r>
          </w:p>
        </w:tc>
      </w:tr>
      <w:tr>
        <w:trPr>
          <w:trHeight w:val="279"/>
        </w:trPr>
        <w:tc>
          <w:tcPr>
            <w:tcW w:w="760" w:type="dxa"/>
            <w:vAlign w:val="bottom"/>
          </w:tcPr>
          <w:p>
            <w:pPr>
              <w:spacing w:after="0"/>
              <w:rPr>
                <w:sz w:val="24"/>
                <w:szCs w:val="24"/>
                <w:color w:val="auto"/>
              </w:rPr>
            </w:pPr>
          </w:p>
        </w:tc>
        <w:tc>
          <w:tcPr>
            <w:tcW w:w="5840" w:type="dxa"/>
            <w:vAlign w:val="bottom"/>
            <w:gridSpan w:val="3"/>
          </w:tcPr>
          <w:p>
            <w:pPr>
              <w:jc w:val="center"/>
              <w:ind w:right="832"/>
              <w:spacing w:after="0"/>
              <w:rPr>
                <w:sz w:val="20"/>
                <w:szCs w:val="20"/>
                <w:color w:val="auto"/>
              </w:rPr>
            </w:pPr>
            <w:r>
              <w:rPr>
                <w:rFonts w:ascii="Arial" w:cs="Arial" w:eastAsia="Arial" w:hAnsi="Arial"/>
                <w:sz w:val="14"/>
                <w:szCs w:val="14"/>
                <w:b w:val="1"/>
                <w:bCs w:val="1"/>
                <w:color w:val="auto"/>
                <w:w w:val="93"/>
              </w:rPr>
              <w:t>Date of Report (Date of earliest event reported): September 4, 2019</w:t>
            </w:r>
          </w:p>
        </w:tc>
      </w:tr>
      <w:tr>
        <w:trPr>
          <w:trHeight w:val="210"/>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100" w:type="dxa"/>
            <w:vAlign w:val="bottom"/>
          </w:tcPr>
          <w:p>
            <w:pPr>
              <w:spacing w:after="0"/>
              <w:rPr>
                <w:sz w:val="18"/>
                <w:szCs w:val="18"/>
                <w:color w:val="auto"/>
              </w:rPr>
            </w:pPr>
          </w:p>
        </w:tc>
      </w:tr>
      <w:tr>
        <w:trPr>
          <w:trHeight w:val="372"/>
        </w:trPr>
        <w:tc>
          <w:tcPr>
            <w:tcW w:w="760" w:type="dxa"/>
            <w:vAlign w:val="bottom"/>
          </w:tcPr>
          <w:p>
            <w:pPr>
              <w:spacing w:after="0"/>
              <w:rPr>
                <w:sz w:val="24"/>
                <w:szCs w:val="24"/>
                <w:color w:val="auto"/>
              </w:rPr>
            </w:pPr>
          </w:p>
        </w:tc>
        <w:tc>
          <w:tcPr>
            <w:tcW w:w="5840" w:type="dxa"/>
            <w:vAlign w:val="bottom"/>
            <w:gridSpan w:val="3"/>
          </w:tcPr>
          <w:p>
            <w:pPr>
              <w:jc w:val="center"/>
              <w:ind w:right="852"/>
              <w:spacing w:after="0"/>
              <w:rPr>
                <w:sz w:val="20"/>
                <w:szCs w:val="20"/>
                <w:color w:val="auto"/>
              </w:rPr>
            </w:pPr>
            <w:r>
              <w:rPr>
                <w:rFonts w:ascii="Arial" w:cs="Arial" w:eastAsia="Arial" w:hAnsi="Arial"/>
                <w:sz w:val="29"/>
                <w:szCs w:val="29"/>
                <w:b w:val="1"/>
                <w:bCs w:val="1"/>
                <w:color w:val="auto"/>
                <w:w w:val="99"/>
              </w:rPr>
              <w:t>BRADY CORPORATION</w:t>
            </w:r>
          </w:p>
        </w:tc>
      </w:tr>
      <w:tr>
        <w:trPr>
          <w:trHeight w:val="157"/>
        </w:trPr>
        <w:tc>
          <w:tcPr>
            <w:tcW w:w="760" w:type="dxa"/>
            <w:vAlign w:val="bottom"/>
          </w:tcPr>
          <w:p>
            <w:pPr>
              <w:spacing w:after="0"/>
              <w:rPr>
                <w:sz w:val="13"/>
                <w:szCs w:val="13"/>
                <w:color w:val="auto"/>
              </w:rPr>
            </w:pPr>
          </w:p>
        </w:tc>
        <w:tc>
          <w:tcPr>
            <w:tcW w:w="5840" w:type="dxa"/>
            <w:vAlign w:val="bottom"/>
            <w:gridSpan w:val="3"/>
          </w:tcPr>
          <w:p>
            <w:pPr>
              <w:jc w:val="center"/>
              <w:ind w:right="852"/>
              <w:spacing w:after="0"/>
              <w:rPr>
                <w:sz w:val="20"/>
                <w:szCs w:val="20"/>
                <w:color w:val="auto"/>
              </w:rPr>
            </w:pPr>
            <w:r>
              <w:rPr>
                <w:rFonts w:ascii="Arial" w:cs="Arial" w:eastAsia="Arial" w:hAnsi="Arial"/>
                <w:sz w:val="12"/>
                <w:szCs w:val="12"/>
                <w:b w:val="1"/>
                <w:bCs w:val="1"/>
                <w:color w:val="auto"/>
                <w:w w:val="90"/>
              </w:rPr>
              <w:t>(Exact name of registrant as specified in its charter)</w:t>
            </w:r>
          </w:p>
        </w:tc>
      </w:tr>
      <w:tr>
        <w:trPr>
          <w:trHeight w:val="171"/>
        </w:trPr>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100" w:type="dxa"/>
            <w:vAlign w:val="bottom"/>
          </w:tcPr>
          <w:p>
            <w:pPr>
              <w:spacing w:after="0"/>
              <w:rPr>
                <w:sz w:val="14"/>
                <w:szCs w:val="14"/>
                <w:color w:val="auto"/>
              </w:rPr>
            </w:pPr>
          </w:p>
        </w:tc>
      </w:tr>
      <w:tr>
        <w:trPr>
          <w:trHeight w:val="187"/>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gridSpan w:val="2"/>
          </w:tcPr>
          <w:p>
            <w:pPr>
              <w:jc w:val="center"/>
              <w:ind w:right="2072"/>
              <w:spacing w:after="0"/>
              <w:rPr>
                <w:sz w:val="20"/>
                <w:szCs w:val="20"/>
                <w:color w:val="auto"/>
              </w:rPr>
            </w:pPr>
            <w:r>
              <w:rPr>
                <w:rFonts w:ascii="Arial" w:cs="Arial" w:eastAsia="Arial" w:hAnsi="Arial"/>
                <w:sz w:val="12"/>
                <w:szCs w:val="12"/>
                <w:b w:val="1"/>
                <w:bCs w:val="1"/>
                <w:color w:val="auto"/>
                <w:w w:val="90"/>
              </w:rPr>
              <w:t>Commission File Number 1-14959</w:t>
            </w:r>
          </w:p>
        </w:tc>
      </w:tr>
      <w:tr>
        <w:trPr>
          <w:trHeight w:val="468"/>
        </w:trPr>
        <w:tc>
          <w:tcPr>
            <w:tcW w:w="760" w:type="dxa"/>
            <w:vAlign w:val="bottom"/>
          </w:tcPr>
          <w:p>
            <w:pPr>
              <w:jc w:val="center"/>
              <w:ind w:right="108"/>
              <w:spacing w:after="0"/>
              <w:rPr>
                <w:sz w:val="20"/>
                <w:szCs w:val="20"/>
                <w:color w:val="auto"/>
              </w:rPr>
            </w:pPr>
            <w:r>
              <w:rPr>
                <w:rFonts w:ascii="Arial" w:cs="Arial" w:eastAsia="Arial" w:hAnsi="Arial"/>
                <w:sz w:val="12"/>
                <w:szCs w:val="12"/>
                <w:b w:val="1"/>
                <w:bCs w:val="1"/>
                <w:color w:val="auto"/>
                <w:w w:val="86"/>
              </w:rPr>
              <w:t>Wisconsin</w:t>
            </w:r>
          </w:p>
        </w:tc>
        <w:tc>
          <w:tcPr>
            <w:tcW w:w="5840" w:type="dxa"/>
            <w:vAlign w:val="bottom"/>
            <w:gridSpan w:val="3"/>
          </w:tcPr>
          <w:p>
            <w:pPr>
              <w:jc w:val="center"/>
              <w:ind w:left="4996"/>
              <w:spacing w:after="0"/>
              <w:rPr>
                <w:sz w:val="20"/>
                <w:szCs w:val="20"/>
                <w:color w:val="auto"/>
              </w:rPr>
            </w:pPr>
            <w:r>
              <w:rPr>
                <w:rFonts w:ascii="Arial" w:cs="Arial" w:eastAsia="Arial" w:hAnsi="Arial"/>
                <w:sz w:val="12"/>
                <w:szCs w:val="12"/>
                <w:b w:val="1"/>
                <w:bCs w:val="1"/>
                <w:color w:val="auto"/>
                <w:w w:val="93"/>
              </w:rPr>
              <w:t>39-0971239</w:t>
            </w:r>
          </w:p>
        </w:tc>
      </w:tr>
      <w:tr>
        <w:trPr>
          <w:trHeight w:val="121"/>
        </w:trPr>
        <w:tc>
          <w:tcPr>
            <w:tcW w:w="760" w:type="dxa"/>
            <w:vAlign w:val="bottom"/>
          </w:tcPr>
          <w:p>
            <w:pPr>
              <w:jc w:val="center"/>
              <w:ind w:right="88"/>
              <w:spacing w:after="0"/>
              <w:rPr>
                <w:sz w:val="20"/>
                <w:szCs w:val="20"/>
                <w:color w:val="auto"/>
              </w:rPr>
            </w:pPr>
            <w:r>
              <w:rPr>
                <w:rFonts w:ascii="Arial" w:cs="Arial" w:eastAsia="Arial" w:hAnsi="Arial"/>
                <w:sz w:val="10"/>
                <w:szCs w:val="10"/>
                <w:b w:val="1"/>
                <w:bCs w:val="1"/>
                <w:color w:val="auto"/>
                <w:w w:val="84"/>
              </w:rPr>
              <w:t>(State of</w:t>
            </w:r>
          </w:p>
        </w:tc>
        <w:tc>
          <w:tcPr>
            <w:tcW w:w="12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100" w:type="dxa"/>
            <w:vAlign w:val="bottom"/>
          </w:tcPr>
          <w:p>
            <w:pPr>
              <w:jc w:val="center"/>
              <w:ind w:left="1292"/>
              <w:spacing w:after="0"/>
              <w:rPr>
                <w:sz w:val="20"/>
                <w:szCs w:val="20"/>
                <w:color w:val="auto"/>
              </w:rPr>
            </w:pPr>
            <w:r>
              <w:rPr>
                <w:rFonts w:ascii="Arial" w:cs="Arial" w:eastAsia="Arial" w:hAnsi="Arial"/>
                <w:sz w:val="10"/>
                <w:szCs w:val="10"/>
                <w:b w:val="1"/>
                <w:bCs w:val="1"/>
                <w:color w:val="auto"/>
                <w:w w:val="93"/>
              </w:rPr>
              <w:t>(IRS Employer</w:t>
            </w:r>
          </w:p>
        </w:tc>
      </w:tr>
      <w:tr>
        <w:trPr>
          <w:trHeight w:val="119"/>
        </w:trPr>
        <w:tc>
          <w:tcPr>
            <w:tcW w:w="760" w:type="dxa"/>
            <w:vAlign w:val="bottom"/>
          </w:tcPr>
          <w:p>
            <w:pPr>
              <w:jc w:val="center"/>
              <w:ind w:right="88"/>
              <w:spacing w:after="0"/>
              <w:rPr>
                <w:sz w:val="20"/>
                <w:szCs w:val="20"/>
                <w:color w:val="auto"/>
              </w:rPr>
            </w:pPr>
            <w:r>
              <w:rPr>
                <w:rFonts w:ascii="Arial" w:cs="Arial" w:eastAsia="Arial" w:hAnsi="Arial"/>
                <w:sz w:val="10"/>
                <w:szCs w:val="10"/>
                <w:b w:val="1"/>
                <w:bCs w:val="1"/>
                <w:color w:val="auto"/>
                <w:w w:val="91"/>
              </w:rPr>
              <w:t>Incorporation)</w:t>
            </w:r>
          </w:p>
        </w:tc>
        <w:tc>
          <w:tcPr>
            <w:tcW w:w="12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100" w:type="dxa"/>
            <w:vAlign w:val="bottom"/>
          </w:tcPr>
          <w:p>
            <w:pPr>
              <w:jc w:val="center"/>
              <w:ind w:left="1292"/>
              <w:spacing w:after="0"/>
              <w:rPr>
                <w:sz w:val="20"/>
                <w:szCs w:val="20"/>
                <w:color w:val="auto"/>
              </w:rPr>
            </w:pPr>
            <w:r>
              <w:rPr>
                <w:rFonts w:ascii="Arial" w:cs="Arial" w:eastAsia="Arial" w:hAnsi="Arial"/>
                <w:sz w:val="10"/>
                <w:szCs w:val="10"/>
                <w:b w:val="1"/>
                <w:bCs w:val="1"/>
                <w:color w:val="auto"/>
                <w:w w:val="89"/>
              </w:rPr>
              <w:t>Identification No.)</w:t>
            </w:r>
          </w:p>
        </w:tc>
      </w:tr>
      <w:tr>
        <w:trPr>
          <w:trHeight w:val="144"/>
        </w:trPr>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20" w:type="dxa"/>
            <w:vAlign w:val="bottom"/>
            <w:gridSpan w:val="2"/>
          </w:tcPr>
          <w:p>
            <w:pPr>
              <w:jc w:val="center"/>
              <w:ind w:right="2052"/>
              <w:spacing w:after="0"/>
              <w:rPr>
                <w:sz w:val="20"/>
                <w:szCs w:val="20"/>
                <w:color w:val="auto"/>
              </w:rPr>
            </w:pPr>
            <w:r>
              <w:rPr>
                <w:rFonts w:ascii="Arial" w:cs="Arial" w:eastAsia="Arial" w:hAnsi="Arial"/>
                <w:sz w:val="12"/>
                <w:szCs w:val="12"/>
                <w:b w:val="1"/>
                <w:bCs w:val="1"/>
                <w:color w:val="auto"/>
                <w:w w:val="89"/>
              </w:rPr>
              <w:t>6555 West Good Hope Road</w:t>
            </w:r>
          </w:p>
        </w:tc>
      </w:tr>
      <w:tr>
        <w:trPr>
          <w:trHeight w:val="143"/>
        </w:trPr>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20" w:type="dxa"/>
            <w:vAlign w:val="bottom"/>
            <w:gridSpan w:val="2"/>
          </w:tcPr>
          <w:p>
            <w:pPr>
              <w:jc w:val="center"/>
              <w:ind w:right="2052"/>
              <w:spacing w:after="0"/>
              <w:rPr>
                <w:sz w:val="20"/>
                <w:szCs w:val="20"/>
                <w:color w:val="auto"/>
              </w:rPr>
            </w:pPr>
            <w:r>
              <w:rPr>
                <w:rFonts w:ascii="Arial" w:cs="Arial" w:eastAsia="Arial" w:hAnsi="Arial"/>
                <w:sz w:val="12"/>
                <w:szCs w:val="12"/>
                <w:b w:val="1"/>
                <w:bCs w:val="1"/>
                <w:color w:val="auto"/>
                <w:w w:val="90"/>
              </w:rPr>
              <w:t>Milwaukee, Wisconsin 53223</w:t>
            </w:r>
          </w:p>
        </w:tc>
      </w:tr>
      <w:tr>
        <w:trPr>
          <w:trHeight w:val="124"/>
        </w:trPr>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20" w:type="dxa"/>
            <w:vAlign w:val="bottom"/>
            <w:gridSpan w:val="2"/>
          </w:tcPr>
          <w:p>
            <w:pPr>
              <w:jc w:val="center"/>
              <w:ind w:right="2072"/>
              <w:spacing w:after="0"/>
              <w:rPr>
                <w:sz w:val="20"/>
                <w:szCs w:val="20"/>
                <w:color w:val="auto"/>
              </w:rPr>
            </w:pPr>
            <w:r>
              <w:rPr>
                <w:rFonts w:ascii="Arial" w:cs="Arial" w:eastAsia="Arial" w:hAnsi="Arial"/>
                <w:sz w:val="10"/>
                <w:szCs w:val="10"/>
                <w:b w:val="1"/>
                <w:bCs w:val="1"/>
                <w:color w:val="auto"/>
                <w:w w:val="86"/>
              </w:rPr>
              <w:t>(Address of Principal Executive Offices and Zip Code)</w:t>
            </w:r>
          </w:p>
        </w:tc>
      </w:tr>
      <w:tr>
        <w:trPr>
          <w:trHeight w:val="251"/>
        </w:trPr>
        <w:tc>
          <w:tcPr>
            <w:tcW w:w="760" w:type="dxa"/>
            <w:vAlign w:val="bottom"/>
          </w:tcPr>
          <w:p>
            <w:pPr>
              <w:spacing w:after="0"/>
              <w:rPr>
                <w:sz w:val="21"/>
                <w:szCs w:val="21"/>
                <w:color w:val="auto"/>
              </w:rPr>
            </w:pPr>
          </w:p>
        </w:tc>
        <w:tc>
          <w:tcPr>
            <w:tcW w:w="3740" w:type="dxa"/>
            <w:vAlign w:val="bottom"/>
            <w:gridSpan w:val="2"/>
          </w:tcPr>
          <w:p>
            <w:pPr>
              <w:jc w:val="center"/>
              <w:ind w:left="1116"/>
              <w:spacing w:after="0"/>
              <w:rPr>
                <w:sz w:val="20"/>
                <w:szCs w:val="20"/>
                <w:color w:val="auto"/>
              </w:rPr>
            </w:pPr>
            <w:r>
              <w:rPr>
                <w:rFonts w:ascii="Arial" w:cs="Arial" w:eastAsia="Arial" w:hAnsi="Arial"/>
                <w:sz w:val="12"/>
                <w:szCs w:val="12"/>
                <w:b w:val="1"/>
                <w:bCs w:val="1"/>
                <w:color w:val="auto"/>
                <w:w w:val="90"/>
              </w:rPr>
              <w:t>(414) 358-6600</w:t>
            </w:r>
          </w:p>
        </w:tc>
        <w:tc>
          <w:tcPr>
            <w:tcW w:w="2100" w:type="dxa"/>
            <w:vAlign w:val="bottom"/>
          </w:tcPr>
          <w:p>
            <w:pPr>
              <w:spacing w:after="0"/>
              <w:rPr>
                <w:sz w:val="21"/>
                <w:szCs w:val="21"/>
                <w:color w:val="auto"/>
              </w:rPr>
            </w:pPr>
          </w:p>
        </w:tc>
      </w:tr>
      <w:tr>
        <w:trPr>
          <w:trHeight w:val="127"/>
        </w:trPr>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620" w:type="dxa"/>
            <w:vAlign w:val="bottom"/>
            <w:gridSpan w:val="2"/>
          </w:tcPr>
          <w:p>
            <w:pPr>
              <w:jc w:val="center"/>
              <w:ind w:right="2072"/>
              <w:spacing w:after="0"/>
              <w:rPr>
                <w:sz w:val="20"/>
                <w:szCs w:val="20"/>
                <w:color w:val="auto"/>
              </w:rPr>
            </w:pPr>
            <w:r>
              <w:rPr>
                <w:rFonts w:ascii="Arial" w:cs="Arial" w:eastAsia="Arial" w:hAnsi="Arial"/>
                <w:sz w:val="10"/>
                <w:szCs w:val="10"/>
                <w:b w:val="1"/>
                <w:bCs w:val="1"/>
                <w:color w:val="auto"/>
                <w:w w:val="87"/>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119380</wp:posOffset>
            </wp:positionV>
            <wp:extent cx="16014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1470" cy="5715"/>
                    </a:xfrm>
                    <a:prstGeom prst="rect">
                      <a:avLst/>
                    </a:prstGeom>
                    <a:noFill/>
                  </pic:spPr>
                </pic:pic>
              </a:graphicData>
            </a:graphic>
          </wp:anchor>
        </w:drawing>
      </w:r>
    </w:p>
    <w:p>
      <w:pPr>
        <w:spacing w:after="0" w:line="222"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32" w:lineRule="exact"/>
        <w:rPr>
          <w:rFonts w:ascii="MS PGothic" w:cs="MS PGothic" w:eastAsia="MS PGothic" w:hAnsi="MS PGothic"/>
          <w:sz w:val="12"/>
          <w:szCs w:val="12"/>
          <w:color w:val="auto"/>
        </w:rPr>
      </w:pPr>
    </w:p>
    <w:p>
      <w:pPr>
        <w:ind w:right="5420" w:firstLine="10"/>
        <w:spacing w:after="0" w:line="415" w:lineRule="auto"/>
        <w:tabs>
          <w:tab w:leader="none" w:pos="712"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38"/>
        </w:trPr>
        <w:tc>
          <w:tcPr>
            <w:tcW w:w="6340" w:type="dxa"/>
            <w:vAlign w:val="bottom"/>
            <w:tcBorders>
              <w:top w:val="single" w:sz="8" w:color="auto"/>
              <w:left w:val="single" w:sz="8" w:color="auto"/>
              <w:right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w:t>
            </w:r>
          </w:p>
        </w:tc>
        <w:tc>
          <w:tcPr>
            <w:tcW w:w="3440" w:type="dxa"/>
            <w:vAlign w:val="bottom"/>
            <w:tcBorders>
              <w:top w:val="single" w:sz="8" w:color="auto"/>
              <w:right w:val="single" w:sz="8" w:color="auto"/>
            </w:tcBorders>
          </w:tcPr>
          <w:p>
            <w:pPr>
              <w:spacing w:after="0"/>
              <w:rPr>
                <w:sz w:val="12"/>
                <w:szCs w:val="12"/>
                <w:color w:val="auto"/>
              </w:rPr>
            </w:pPr>
          </w:p>
        </w:tc>
      </w:tr>
      <w:tr>
        <w:trPr>
          <w:trHeight w:val="166"/>
        </w:trPr>
        <w:tc>
          <w:tcPr>
            <w:tcW w:w="6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Symbol</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Name of each exchange on which registered</w:t>
            </w:r>
          </w:p>
        </w:tc>
      </w:tr>
      <w:tr>
        <w:trPr>
          <w:trHeight w:val="169"/>
        </w:trPr>
        <w:tc>
          <w:tcPr>
            <w:tcW w:w="6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Class A Nonvoting Common Stock, par value $0.01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BRC</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New York Stock Exchange</w:t>
            </w:r>
          </w:p>
        </w:tc>
      </w:tr>
    </w:tbl>
    <w:p>
      <w:pPr>
        <w:spacing w:after="0" w:line="45" w:lineRule="exact"/>
        <w:rPr>
          <w:sz w:val="24"/>
          <w:szCs w:val="24"/>
          <w:color w:val="auto"/>
        </w:rPr>
      </w:pPr>
    </w:p>
    <w:p>
      <w:pPr>
        <w:ind w:right="640"/>
        <w:spacing w:after="0" w:line="182"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2"/>
          <w:szCs w:val="12"/>
          <w:color w:val="auto"/>
        </w:rPr>
        <w:t>☐</w:t>
      </w:r>
    </w:p>
    <w:p>
      <w:pPr>
        <w:spacing w:after="0" w:line="43" w:lineRule="exact"/>
        <w:rPr>
          <w:sz w:val="24"/>
          <w:szCs w:val="24"/>
          <w:color w:val="auto"/>
        </w:rPr>
      </w:pPr>
    </w:p>
    <w:p>
      <w:pPr>
        <w:ind w:right="28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480"/>
          </w:cols>
          <w:pgMar w:left="220" w:top="535" w:right="199" w:bottom="1440" w:gutter="0" w:footer="0" w:header="0"/>
        </w:sectPr>
      </w:pPr>
    </w:p>
    <w:bookmarkStart w:id="1" w:name="page2"/>
    <w:bookmarkEnd w:id="1"/>
    <w:p>
      <w:pPr>
        <w:ind w:left="20"/>
        <w:spacing w:after="0"/>
        <w:tabs>
          <w:tab w:leader="none" w:pos="700" w:val="left"/>
        </w:tabs>
        <w:rPr>
          <w:sz w:val="20"/>
          <w:szCs w:val="20"/>
          <w:color w:val="auto"/>
        </w:rPr>
      </w:pPr>
      <w:r>
        <w:rPr>
          <w:rFonts w:ascii="Arial" w:cs="Arial" w:eastAsia="Arial" w:hAnsi="Arial"/>
          <w:sz w:val="12"/>
          <w:szCs w:val="12"/>
          <w:color w:val="auto"/>
        </w:rPr>
        <w:t>Item 2.02</w:t>
      </w:r>
      <w:r>
        <w:rPr>
          <w:sz w:val="20"/>
          <w:szCs w:val="20"/>
          <w:color w:val="auto"/>
        </w:rPr>
        <w:tab/>
      </w:r>
      <w:r>
        <w:rPr>
          <w:rFonts w:ascii="Arial" w:cs="Arial" w:eastAsia="Arial" w:hAnsi="Arial"/>
          <w:sz w:val="11"/>
          <w:szCs w:val="11"/>
          <w:color w:val="auto"/>
        </w:rPr>
        <w:t>RESULTS OF OPERATIONS AND FINANCIAL CONDITION</w:t>
      </w:r>
    </w:p>
    <w:p>
      <w:pPr>
        <w:spacing w:after="0" w:line="168"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On September 6, 2019, Brady Corporation (the “Company”) issued a press release announcing its fiscal 2019 fourth quarter financial results. A copy of the press release is being furnished to the Securities and Exchange Commission as Exhibit 99.1 attached hereto and is incorporated herein by reference.</w:t>
      </w:r>
    </w:p>
    <w:p>
      <w:pPr>
        <w:spacing w:after="0" w:line="223"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Item 7.01</w:t>
      </w:r>
      <w:r>
        <w:rPr>
          <w:sz w:val="20"/>
          <w:szCs w:val="20"/>
          <w:color w:val="auto"/>
        </w:rPr>
        <w:tab/>
      </w:r>
      <w:r>
        <w:rPr>
          <w:rFonts w:ascii="Arial" w:cs="Arial" w:eastAsia="Arial" w:hAnsi="Arial"/>
          <w:sz w:val="11"/>
          <w:szCs w:val="11"/>
          <w:color w:val="auto"/>
        </w:rPr>
        <w:t>REGULATION FD DISCLOSURE</w:t>
      </w:r>
    </w:p>
    <w:p>
      <w:pPr>
        <w:spacing w:after="0" w:line="16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On September 6, 2019, the Company hosted a conference call related to its fiscal 2019 fourth quarter financial results. A copy of the slides referenced in the conference call, which is also posted on the Company's website, is being furnished to the Securities and Exchange Commission as Exhibit 99.3 attached hereto and is incorporated herein by reference.</w:t>
      </w:r>
    </w:p>
    <w:p>
      <w:pPr>
        <w:spacing w:after="0" w:line="232"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Item 8.01</w:t>
      </w:r>
      <w:r>
        <w:rPr>
          <w:sz w:val="20"/>
          <w:szCs w:val="20"/>
          <w:color w:val="auto"/>
        </w:rPr>
        <w:tab/>
      </w:r>
      <w:r>
        <w:rPr>
          <w:rFonts w:ascii="Arial" w:cs="Arial" w:eastAsia="Arial" w:hAnsi="Arial"/>
          <w:sz w:val="11"/>
          <w:szCs w:val="11"/>
          <w:color w:val="auto"/>
        </w:rPr>
        <w:t>OTHER EVENTS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Increase in Annual Dividend</w:t>
      </w:r>
    </w:p>
    <w:p>
      <w:pPr>
        <w:spacing w:after="0" w:line="159"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On September 4, 2019, the Company's Board of Directors approved an increase in the annual cash dividend on its Class A Common Stock from $0.85 to $0.87 per share. A quarterly dividend in the amount of $0.2175 per share will be paid on October 31, 2019, to shareholders of record as of the close of business on October 10, 2019. A copy of the press release regarding the dividend is attached hereto as Exhibit 99.2 and is incorporated herein by reference.</w:t>
      </w:r>
    </w:p>
    <w:p>
      <w:pPr>
        <w:spacing w:after="0" w:line="209"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Item 9.01</w:t>
      </w:r>
      <w:r>
        <w:rPr>
          <w:sz w:val="20"/>
          <w:szCs w:val="20"/>
          <w:color w:val="auto"/>
        </w:rPr>
        <w:tab/>
      </w:r>
      <w:r>
        <w:rPr>
          <w:rFonts w:ascii="Arial" w:cs="Arial" w:eastAsia="Arial" w:hAnsi="Arial"/>
          <w:sz w:val="11"/>
          <w:szCs w:val="11"/>
          <w:color w:val="auto"/>
        </w:rPr>
        <w:t>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40" w:type="dxa"/>
            <w:vAlign w:val="bottom"/>
          </w:tcPr>
          <w:p>
            <w:pPr>
              <w:ind w:left="20"/>
              <w:spacing w:after="0"/>
              <w:rPr>
                <w:sz w:val="20"/>
                <w:szCs w:val="20"/>
                <w:color w:val="auto"/>
              </w:rPr>
            </w:pPr>
            <w:r>
              <w:rPr>
                <w:rFonts w:ascii="Arial" w:cs="Arial" w:eastAsia="Arial" w:hAnsi="Arial"/>
                <w:sz w:val="11"/>
                <w:szCs w:val="11"/>
                <w:color w:val="auto"/>
              </w:rPr>
              <w:t>EXHIBIT</w:t>
            </w:r>
          </w:p>
        </w:tc>
        <w:tc>
          <w:tcPr>
            <w:tcW w:w="5640" w:type="dxa"/>
            <w:vAlign w:val="bottom"/>
            <w:gridSpan w:val="5"/>
            <w:vMerge w:val="restart"/>
          </w:tcPr>
          <w:p>
            <w:pPr>
              <w:spacing w:after="0"/>
              <w:rPr>
                <w:sz w:val="20"/>
                <w:szCs w:val="20"/>
                <w:color w:val="auto"/>
              </w:rPr>
            </w:pPr>
            <w:r>
              <w:rPr>
                <w:rFonts w:ascii="Arial" w:cs="Arial" w:eastAsia="Arial" w:hAnsi="Arial"/>
                <w:sz w:val="12"/>
                <w:szCs w:val="12"/>
                <w:color w:val="auto"/>
              </w:rPr>
              <w:t>DESCRIPTION</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NUMBER</w:t>
            </w:r>
          </w:p>
        </w:tc>
        <w:tc>
          <w:tcPr>
            <w:tcW w:w="5640" w:type="dxa"/>
            <w:vAlign w:val="bottom"/>
            <w:tcBorders>
              <w:bottom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40" w:type="dxa"/>
            <w:vAlign w:val="bottom"/>
          </w:tcPr>
          <w:p>
            <w:pPr>
              <w:ind w:left="20"/>
              <w:spacing w:after="0"/>
              <w:rPr>
                <w:sz w:val="20"/>
                <w:szCs w:val="20"/>
                <w:color w:val="auto"/>
              </w:rPr>
            </w:pPr>
            <w:r>
              <w:rPr>
                <w:rFonts w:ascii="Arial" w:cs="Arial" w:eastAsia="Arial" w:hAnsi="Arial"/>
                <w:sz w:val="12"/>
                <w:szCs w:val="12"/>
                <w:color w:val="auto"/>
              </w:rPr>
              <w:t>99.1</w:t>
            </w:r>
          </w:p>
        </w:tc>
        <w:tc>
          <w:tcPr>
            <w:tcW w:w="5640" w:type="dxa"/>
            <w:vAlign w:val="bottom"/>
            <w:gridSpan w:val="5"/>
          </w:tcPr>
          <w:p>
            <w:pPr>
              <w:spacing w:after="0"/>
              <w:rPr>
                <w:rFonts w:ascii="Arial" w:cs="Arial" w:eastAsia="Arial" w:hAnsi="Arial"/>
                <w:sz w:val="12"/>
                <w:szCs w:val="12"/>
                <w:color w:val="0000FF"/>
                <w:w w:val="90"/>
              </w:rPr>
            </w:pPr>
            <w:hyperlink w:anchor="page3">
              <w:r>
                <w:rPr>
                  <w:rFonts w:ascii="Arial" w:cs="Arial" w:eastAsia="Arial" w:hAnsi="Arial"/>
                  <w:sz w:val="12"/>
                  <w:szCs w:val="12"/>
                  <w:color w:val="0000FF"/>
                  <w:w w:val="90"/>
                </w:rPr>
                <w:t>Press Release of Brady Corporation, dated September 6, 2019, relating to fourth quarter fiscal 2019 financial results.</w:t>
              </w:r>
            </w:hyperlink>
          </w:p>
        </w:tc>
        <w:tc>
          <w:tcPr>
            <w:tcW w:w="0" w:type="dxa"/>
            <w:vAlign w:val="bottom"/>
          </w:tcPr>
          <w:p>
            <w:pPr>
              <w:spacing w:after="0"/>
              <w:rPr>
                <w:sz w:val="1"/>
                <w:szCs w:val="1"/>
                <w:color w:val="auto"/>
              </w:rPr>
            </w:pPr>
          </w:p>
        </w:tc>
      </w:tr>
      <w:tr>
        <w:trPr>
          <w:trHeight w:val="268"/>
        </w:trPr>
        <w:tc>
          <w:tcPr>
            <w:tcW w:w="840" w:type="dxa"/>
            <w:vAlign w:val="bottom"/>
          </w:tcPr>
          <w:p>
            <w:pPr>
              <w:ind w:left="20"/>
              <w:spacing w:after="0"/>
              <w:rPr>
                <w:sz w:val="20"/>
                <w:szCs w:val="20"/>
                <w:color w:val="auto"/>
              </w:rPr>
            </w:pPr>
            <w:r>
              <w:rPr>
                <w:rFonts w:ascii="Arial" w:cs="Arial" w:eastAsia="Arial" w:hAnsi="Arial"/>
                <w:sz w:val="12"/>
                <w:szCs w:val="12"/>
                <w:color w:val="auto"/>
              </w:rPr>
              <w:t>99.2</w:t>
            </w:r>
          </w:p>
        </w:tc>
        <w:tc>
          <w:tcPr>
            <w:tcW w:w="5600" w:type="dxa"/>
            <w:vAlign w:val="bottom"/>
            <w:tcBorders>
              <w:top w:val="single" w:sz="8" w:color="0000FF"/>
            </w:tcBorders>
            <w:gridSpan w:val="4"/>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Press Release of Brady Corporation, dated September 5, 2019, relating to increase in annual dividend.</w:t>
              </w:r>
            </w:hyperlink>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vMerge w:val="restart"/>
          </w:tcPr>
          <w:p>
            <w:pPr>
              <w:ind w:left="20"/>
              <w:spacing w:after="0"/>
              <w:rPr>
                <w:sz w:val="20"/>
                <w:szCs w:val="20"/>
                <w:color w:val="auto"/>
              </w:rPr>
            </w:pPr>
            <w:r>
              <w:rPr>
                <w:rFonts w:ascii="Arial" w:cs="Arial" w:eastAsia="Arial" w:hAnsi="Arial"/>
                <w:sz w:val="12"/>
                <w:szCs w:val="12"/>
                <w:color w:val="auto"/>
              </w:rPr>
              <w:t>99.3</w:t>
            </w:r>
          </w:p>
        </w:tc>
        <w:tc>
          <w:tcPr>
            <w:tcW w:w="5640" w:type="dxa"/>
            <w:vAlign w:val="bottom"/>
            <w:gridSpan w:val="5"/>
          </w:tcPr>
          <w:p>
            <w:pPr>
              <w:spacing w:after="0"/>
              <w:rPr>
                <w:rFonts w:ascii="Arial" w:cs="Arial" w:eastAsia="Arial" w:hAnsi="Arial"/>
                <w:sz w:val="12"/>
                <w:szCs w:val="12"/>
                <w:color w:val="0000FF"/>
                <w:w w:val="92"/>
              </w:rPr>
            </w:pPr>
            <w:hyperlink w:anchor="page12">
              <w:r>
                <w:rPr>
                  <w:rFonts w:ascii="Arial" w:cs="Arial" w:eastAsia="Arial" w:hAnsi="Arial"/>
                  <w:sz w:val="12"/>
                  <w:szCs w:val="12"/>
                  <w:color w:val="0000FF"/>
                  <w:w w:val="92"/>
                </w:rPr>
                <w:t>Informational slides provided by Brady Corporation, dated September 6, 2019, relating to fourth quarter fiscal 2019</w:t>
              </w:r>
            </w:hyperlink>
          </w:p>
        </w:tc>
        <w:tc>
          <w:tcPr>
            <w:tcW w:w="0" w:type="dxa"/>
            <w:vAlign w:val="bottom"/>
          </w:tcPr>
          <w:p>
            <w:pPr>
              <w:spacing w:after="0"/>
              <w:rPr>
                <w:sz w:val="1"/>
                <w:szCs w:val="1"/>
                <w:color w:val="auto"/>
              </w:rPr>
            </w:pPr>
          </w:p>
        </w:tc>
      </w:tr>
      <w:tr>
        <w:trPr>
          <w:trHeight w:val="79"/>
        </w:trPr>
        <w:tc>
          <w:tcPr>
            <w:tcW w:w="840" w:type="dxa"/>
            <w:vAlign w:val="bottom"/>
            <w:vMerge w:val="continue"/>
          </w:tcPr>
          <w:p>
            <w:pPr>
              <w:spacing w:after="0"/>
              <w:rPr>
                <w:sz w:val="6"/>
                <w:szCs w:val="6"/>
                <w:color w:val="auto"/>
              </w:rPr>
            </w:pPr>
          </w:p>
        </w:tc>
        <w:tc>
          <w:tcPr>
            <w:tcW w:w="5560" w:type="dxa"/>
            <w:vAlign w:val="bottom"/>
            <w:tcBorders>
              <w:top w:val="single" w:sz="8" w:color="0000FF"/>
            </w:tcBorders>
            <w:gridSpan w:val="3"/>
            <w:vMerge w:val="restart"/>
          </w:tcPr>
          <w:p>
            <w:pPr>
              <w:spacing w:after="0" w:line="124" w:lineRule="exact"/>
              <w:rPr>
                <w:rFonts w:ascii="Arial" w:cs="Arial" w:eastAsia="Arial" w:hAnsi="Arial"/>
                <w:sz w:val="12"/>
                <w:szCs w:val="12"/>
                <w:color w:val="0000FF"/>
              </w:rPr>
            </w:pPr>
            <w:hyperlink w:anchor="page12">
              <w:r>
                <w:rPr>
                  <w:rFonts w:ascii="Arial" w:cs="Arial" w:eastAsia="Arial" w:hAnsi="Arial"/>
                  <w:sz w:val="12"/>
                  <w:szCs w:val="12"/>
                  <w:color w:val="0000FF"/>
                </w:rPr>
                <w:t>financial results.</w:t>
              </w:r>
            </w:hyperlink>
          </w:p>
        </w:tc>
        <w:tc>
          <w:tcPr>
            <w:tcW w:w="8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840" w:type="dxa"/>
            <w:vAlign w:val="bottom"/>
          </w:tcPr>
          <w:p>
            <w:pPr>
              <w:spacing w:after="0"/>
              <w:rPr>
                <w:sz w:val="3"/>
                <w:szCs w:val="3"/>
                <w:color w:val="auto"/>
              </w:rPr>
            </w:pPr>
          </w:p>
        </w:tc>
        <w:tc>
          <w:tcPr>
            <w:tcW w:w="5560" w:type="dxa"/>
            <w:vAlign w:val="bottom"/>
            <w:gridSpan w:val="3"/>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400"/>
        <w:spacing w:after="0"/>
        <w:rPr>
          <w:sz w:val="20"/>
          <w:szCs w:val="20"/>
          <w:color w:val="auto"/>
        </w:rPr>
      </w:pPr>
      <w:r>
        <w:rPr>
          <w:rFonts w:ascii="Arial" w:cs="Arial" w:eastAsia="Arial" w:hAnsi="Arial"/>
          <w:sz w:val="12"/>
          <w:szCs w:val="12"/>
          <w:color w:val="auto"/>
        </w:rPr>
        <w:t>SIGNATURE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BRADY CORPORATION</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5960" w:val="left"/>
        </w:tabs>
        <w:rPr>
          <w:sz w:val="20"/>
          <w:szCs w:val="20"/>
          <w:color w:val="auto"/>
        </w:rPr>
      </w:pPr>
      <w:r>
        <w:rPr>
          <w:rFonts w:ascii="Arial" w:cs="Arial" w:eastAsia="Arial" w:hAnsi="Arial"/>
          <w:sz w:val="12"/>
          <w:szCs w:val="12"/>
          <w:color w:val="auto"/>
        </w:rPr>
        <w:t>Date: September 6, 2019</w:t>
      </w:r>
      <w:r>
        <w:rPr>
          <w:sz w:val="20"/>
          <w:szCs w:val="20"/>
          <w:color w:val="auto"/>
        </w:rPr>
        <w:tab/>
      </w:r>
      <w:r>
        <w:rPr>
          <w:rFonts w:ascii="Arial" w:cs="Arial" w:eastAsia="Arial" w:hAnsi="Arial"/>
          <w:sz w:val="11"/>
          <w:szCs w:val="11"/>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20955</wp:posOffset>
            </wp:positionV>
            <wp:extent cx="35001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00120" cy="5715"/>
                    </a:xfrm>
                    <a:prstGeom prst="rect">
                      <a:avLst/>
                    </a:prstGeom>
                    <a:noFill/>
                  </pic:spPr>
                </pic:pic>
              </a:graphicData>
            </a:graphic>
          </wp:anchor>
        </w:drawing>
      </w:r>
    </w:p>
    <w:p>
      <w:pPr>
        <w:spacing w:after="0" w:line="31"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Aaron J. Pearce</w:t>
      </w:r>
    </w:p>
    <w:p>
      <w:pPr>
        <w:spacing w:after="0" w:line="42"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Chief Financial Officer and Treasurer</w:t>
      </w:r>
    </w:p>
    <w:p>
      <w:pPr>
        <w:sectPr>
          <w:pgSz w:w="11900" w:h="16838" w:orient="portrait"/>
          <w:cols w:equalWidth="0" w:num="1">
            <w:col w:w="11480"/>
          </w:cols>
          <w:pgMar w:left="220" w:top="54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3"/>
          <w:szCs w:val="13"/>
          <w:b w:val="1"/>
          <w:bCs w:val="1"/>
          <w:u w:val="single" w:color="auto"/>
          <w:color w:val="auto"/>
        </w:rPr>
        <w:t>EXHIBIT 99.1</w:t>
      </w: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Reports Fiscal 2019 Fourth Quarter Results and Announces its Fiscal 2020 EPS Guidance</w:t>
      </w:r>
    </w:p>
    <w:p>
      <w:pPr>
        <w:spacing w:after="0" w:line="251" w:lineRule="exact"/>
        <w:rPr>
          <w:sz w:val="20"/>
          <w:szCs w:val="20"/>
          <w:color w:val="auto"/>
        </w:rPr>
      </w:pPr>
    </w:p>
    <w:p>
      <w:pPr>
        <w:ind w:left="420" w:right="40" w:hanging="212"/>
        <w:spacing w:after="0" w:line="361"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Income before income taxes was $47.1 million in the fourth quarter of fiscal 2019 compared to $45.2 million in the fourth quarter of fiscal 2018. Income before income taxes in the fourth quarter of fiscal 2018 included a gain on the sale of the Runelandhs business of $4.7 million.</w:t>
      </w:r>
    </w:p>
    <w:p>
      <w:pPr>
        <w:ind w:left="420" w:right="240" w:hanging="212"/>
        <w:spacing w:after="0" w:line="361"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Diluted EPS was $0.68 in the fourth quarter of fiscal 2019 compared to $0.66 in the same quarter of the prior year. The sale of the Runelandhs business contributed approximately $0.09 per diluted Class A Nonvoting Common Share in the fourth quarter of fiscal 2018.</w:t>
      </w:r>
    </w:p>
    <w:p>
      <w:pPr>
        <w:ind w:left="420" w:right="20" w:hanging="212"/>
        <w:spacing w:after="0" w:line="361"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Sales for the quarter ended July 31, 2019 decreased 0.7 percent due to foreign currency and the impact of the sale of the Runelandhs business in fiscal 2018. Organic revenues increased 1.7 percent in the fourth quarter of fiscal 2019.</w:t>
      </w: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Diluted EPS guidance for the full year ending July 31, 2020 announced at a range of $2.45 to $2.55.</w:t>
      </w:r>
    </w:p>
    <w:p>
      <w:pPr>
        <w:spacing w:after="0" w:line="301" w:lineRule="exact"/>
        <w:rPr>
          <w:sz w:val="20"/>
          <w:szCs w:val="20"/>
          <w:color w:val="auto"/>
        </w:rPr>
      </w:pPr>
    </w:p>
    <w:p>
      <w:pPr>
        <w:ind w:right="200"/>
        <w:spacing w:after="0" w:line="387" w:lineRule="auto"/>
        <w:rPr>
          <w:sz w:val="20"/>
          <w:szCs w:val="20"/>
          <w:color w:val="auto"/>
        </w:rPr>
      </w:pPr>
      <w:r>
        <w:rPr>
          <w:rFonts w:ascii="Arial" w:cs="Arial" w:eastAsia="Arial" w:hAnsi="Arial"/>
          <w:sz w:val="13"/>
          <w:szCs w:val="13"/>
          <w:color w:val="auto"/>
        </w:rPr>
        <w:t>MILWAUKEE (September 6, 2019)--Brady Corporation (NYSE: BRC) (“Brady” or “Company”), a world leader in identification solutions, today reported its financial results for its fiscal 2019 fourth quarter ended July 31, 2019.</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 Ended July 31, 2019 Financial Results:</w:t>
      </w:r>
    </w:p>
    <w:p>
      <w:pPr>
        <w:spacing w:after="0" w:line="80" w:lineRule="exact"/>
        <w:rPr>
          <w:sz w:val="20"/>
          <w:szCs w:val="20"/>
          <w:color w:val="auto"/>
        </w:rPr>
      </w:pPr>
    </w:p>
    <w:p>
      <w:pPr>
        <w:ind w:right="20" w:firstLine="432"/>
        <w:spacing w:after="0" w:line="361" w:lineRule="auto"/>
        <w:rPr>
          <w:sz w:val="20"/>
          <w:szCs w:val="20"/>
          <w:color w:val="auto"/>
        </w:rPr>
      </w:pPr>
      <w:r>
        <w:rPr>
          <w:rFonts w:ascii="Arial" w:cs="Arial" w:eastAsia="Arial" w:hAnsi="Arial"/>
          <w:sz w:val="13"/>
          <w:szCs w:val="13"/>
          <w:color w:val="auto"/>
        </w:rPr>
        <w:t>Income before income taxes was $47.1 million for the fourth quarter of fiscal 2019 compared to $45.2 million for the fourth quarter of fiscal 2018. Income before income taxes included a gain on the sale of the Runelandhs business of $4.7 million in the fourth quarter of fiscal 2018.</w:t>
      </w:r>
    </w:p>
    <w:p>
      <w:pPr>
        <w:spacing w:after="0" w:line="1" w:lineRule="exact"/>
        <w:rPr>
          <w:sz w:val="20"/>
          <w:szCs w:val="20"/>
          <w:color w:val="auto"/>
        </w:rPr>
      </w:pPr>
    </w:p>
    <w:p>
      <w:pPr>
        <w:jc w:val="both"/>
        <w:ind w:right="300" w:firstLine="432"/>
        <w:spacing w:after="0" w:line="361" w:lineRule="auto"/>
        <w:rPr>
          <w:sz w:val="20"/>
          <w:szCs w:val="20"/>
          <w:color w:val="auto"/>
        </w:rPr>
      </w:pPr>
      <w:r>
        <w:rPr>
          <w:rFonts w:ascii="Arial" w:cs="Arial" w:eastAsia="Arial" w:hAnsi="Arial"/>
          <w:sz w:val="13"/>
          <w:szCs w:val="13"/>
          <w:color w:val="auto"/>
        </w:rPr>
        <w:t>Net income for the quarter ended July 31, 2019, was $36.6 million compared to $35.0 million in the same quarter last year. The sale of the Runelandhs business increased net income by $4.7 million in the fourth quarter of fiscal 2018.</w:t>
      </w:r>
    </w:p>
    <w:p>
      <w:pPr>
        <w:spacing w:after="0" w:line="1" w:lineRule="exact"/>
        <w:rPr>
          <w:sz w:val="20"/>
          <w:szCs w:val="20"/>
          <w:color w:val="auto"/>
        </w:rPr>
      </w:pPr>
    </w:p>
    <w:p>
      <w:pPr>
        <w:ind w:right="160" w:firstLine="432"/>
        <w:spacing w:after="0" w:line="361" w:lineRule="auto"/>
        <w:rPr>
          <w:sz w:val="20"/>
          <w:szCs w:val="20"/>
          <w:color w:val="auto"/>
        </w:rPr>
      </w:pPr>
      <w:r>
        <w:rPr>
          <w:rFonts w:ascii="Arial" w:cs="Arial" w:eastAsia="Arial" w:hAnsi="Arial"/>
          <w:sz w:val="13"/>
          <w:szCs w:val="13"/>
          <w:color w:val="auto"/>
        </w:rPr>
        <w:t>Earnings per diluted Class A Nonvoting Common Share were $0.68 for the fourth quarter of fiscal 2019, compared to $0.66 in the same quarter last year. Results were increased in the fourth quarter of fiscal 2018 by approximately $0.09 per diluted Class A Nonvoting Common Share due to the sale of the Runelandhs business.</w:t>
      </w:r>
    </w:p>
    <w:p>
      <w:pPr>
        <w:spacing w:after="0" w:line="1" w:lineRule="exact"/>
        <w:rPr>
          <w:sz w:val="20"/>
          <w:szCs w:val="20"/>
          <w:color w:val="auto"/>
        </w:rPr>
      </w:pPr>
    </w:p>
    <w:p>
      <w:pPr>
        <w:jc w:val="both"/>
        <w:ind w:right="300" w:firstLine="432"/>
        <w:spacing w:after="0" w:line="415" w:lineRule="auto"/>
        <w:rPr>
          <w:sz w:val="20"/>
          <w:szCs w:val="20"/>
          <w:color w:val="auto"/>
        </w:rPr>
      </w:pPr>
      <w:r>
        <w:rPr>
          <w:rFonts w:ascii="Arial" w:cs="Arial" w:eastAsia="Arial" w:hAnsi="Arial"/>
          <w:sz w:val="12"/>
          <w:szCs w:val="12"/>
          <w:color w:val="auto"/>
        </w:rPr>
        <w:t>Sales for the quarter ended July 31, 2019 decreased 0.7 percent, which consisted of organic sales growth of 1.7 percent, a decrease in sales of 1.9 percent from foreign currency translation, and a decline in sales of 0.5 percent from the divestiture of our Runelandhs business during the fourth quarter of fiscal 2018. Sales for the quarter ended July 31, 2019 were $295.3 million compared to $297.5 million in the same quarter last year. By segment, sales increased 1.8 percent in Identification Solutions and decreased 7.8 percent in Workplace Safety, which consisted of</w:t>
      </w:r>
    </w:p>
    <w:p>
      <w:pPr>
        <w:sectPr>
          <w:pgSz w:w="11900" w:h="16838" w:orient="portrait"/>
          <w:cols w:equalWidth="0" w:num="1">
            <w:col w:w="11480"/>
          </w:cols>
          <w:pgMar w:left="220" w:top="431" w:right="199" w:bottom="1440" w:gutter="0" w:footer="0" w:header="0"/>
        </w:sectPr>
      </w:pPr>
    </w:p>
    <w:bookmarkStart w:id="3" w:name="page4"/>
    <w:bookmarkEnd w:id="3"/>
    <w:p>
      <w:pPr>
        <w:spacing w:after="0"/>
        <w:rPr>
          <w:sz w:val="20"/>
          <w:szCs w:val="20"/>
          <w:color w:val="auto"/>
        </w:rPr>
      </w:pPr>
      <w:r>
        <w:rPr>
          <w:rFonts w:ascii="Arial" w:cs="Arial" w:eastAsia="Arial" w:hAnsi="Arial"/>
          <w:sz w:val="13"/>
          <w:szCs w:val="13"/>
          <w:color w:val="auto"/>
        </w:rPr>
        <w:t>organic sales growth of 3.3 percent in Identification Solutions and an organic sales decline of 2.6 percent in Workplace Safety.</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Year Ended July 31, 2019 Financial Results:</w:t>
      </w:r>
    </w:p>
    <w:p>
      <w:pPr>
        <w:spacing w:after="0" w:line="80" w:lineRule="exact"/>
        <w:rPr>
          <w:sz w:val="20"/>
          <w:szCs w:val="20"/>
          <w:color w:val="auto"/>
        </w:rPr>
      </w:pPr>
    </w:p>
    <w:p>
      <w:pPr>
        <w:ind w:right="440" w:firstLine="432"/>
        <w:spacing w:after="0" w:line="361" w:lineRule="auto"/>
        <w:rPr>
          <w:sz w:val="20"/>
          <w:szCs w:val="20"/>
          <w:color w:val="auto"/>
        </w:rPr>
      </w:pPr>
      <w:r>
        <w:rPr>
          <w:rFonts w:ascii="Arial" w:cs="Arial" w:eastAsia="Arial" w:hAnsi="Arial"/>
          <w:sz w:val="13"/>
          <w:szCs w:val="13"/>
          <w:color w:val="auto"/>
        </w:rPr>
        <w:t>Income before income taxes increased 8.3 percent, finishing at $164.6 million for the year ended July 31, 2019, compared to $152.0 million last year. Fiscal 2018 results include a gain on the sale of the Runelandhs business of $4.7 million.</w:t>
      </w:r>
    </w:p>
    <w:p>
      <w:pPr>
        <w:spacing w:after="0" w:line="1" w:lineRule="exact"/>
        <w:rPr>
          <w:sz w:val="20"/>
          <w:szCs w:val="20"/>
          <w:color w:val="auto"/>
        </w:rPr>
      </w:pPr>
    </w:p>
    <w:p>
      <w:pPr>
        <w:ind w:right="180" w:firstLine="432"/>
        <w:spacing w:after="0" w:line="361" w:lineRule="auto"/>
        <w:rPr>
          <w:sz w:val="20"/>
          <w:szCs w:val="20"/>
          <w:color w:val="auto"/>
        </w:rPr>
      </w:pPr>
      <w:r>
        <w:rPr>
          <w:rFonts w:ascii="Arial" w:cs="Arial" w:eastAsia="Arial" w:hAnsi="Arial"/>
          <w:sz w:val="13"/>
          <w:szCs w:val="13"/>
          <w:color w:val="auto"/>
        </w:rPr>
        <w:t>Net income for the year ended July 31, 2019, was $131.3 million compared to $91.1 million last year. Fiscal 2018 net income was reduced by $21.1 million due to income tax charges primarily related to the enactment of U.S. tax legislation, and was increased by $4.7 million due to the sale of the Runelandhs business.</w:t>
      </w:r>
    </w:p>
    <w:p>
      <w:pPr>
        <w:spacing w:after="0" w:line="1" w:lineRule="exact"/>
        <w:rPr>
          <w:sz w:val="20"/>
          <w:szCs w:val="20"/>
          <w:color w:val="auto"/>
        </w:rPr>
      </w:pPr>
    </w:p>
    <w:p>
      <w:pPr>
        <w:jc w:val="both"/>
        <w:ind w:right="40" w:firstLine="432"/>
        <w:spacing w:after="0" w:line="361" w:lineRule="auto"/>
        <w:rPr>
          <w:sz w:val="20"/>
          <w:szCs w:val="20"/>
          <w:color w:val="auto"/>
        </w:rPr>
      </w:pPr>
      <w:r>
        <w:rPr>
          <w:rFonts w:ascii="Arial" w:cs="Arial" w:eastAsia="Arial" w:hAnsi="Arial"/>
          <w:sz w:val="13"/>
          <w:szCs w:val="13"/>
          <w:color w:val="auto"/>
        </w:rPr>
        <w:t>Earnings per diluted Class A Nonvoting Common Share were $2.46 for the year ended July 31, 2019, compared to $1.73 last year. Fiscal 2018 results were decreased by approximately $0.40 per diluted Class A Nonvoting Common Share due to income tax charges primarily related to the enactment of U.S. tax legislation, and results were increased by approximately $0.09 per diluted Class A Nonvoting Common Share due to the sale of the Runelandhs business.</w:t>
      </w:r>
    </w:p>
    <w:p>
      <w:pPr>
        <w:spacing w:after="0" w:line="1" w:lineRule="exact"/>
        <w:rPr>
          <w:sz w:val="20"/>
          <w:szCs w:val="20"/>
          <w:color w:val="auto"/>
        </w:rPr>
      </w:pPr>
    </w:p>
    <w:p>
      <w:pPr>
        <w:ind w:firstLine="432"/>
        <w:spacing w:after="0" w:line="464" w:lineRule="auto"/>
        <w:rPr>
          <w:sz w:val="20"/>
          <w:szCs w:val="20"/>
          <w:color w:val="auto"/>
        </w:rPr>
      </w:pPr>
      <w:r>
        <w:rPr>
          <w:rFonts w:ascii="Arial" w:cs="Arial" w:eastAsia="Arial" w:hAnsi="Arial"/>
          <w:sz w:val="11"/>
          <w:szCs w:val="11"/>
          <w:color w:val="auto"/>
        </w:rPr>
        <w:t>Sales for the year ended July 31, 2019 decreased 1.1 percent, which consisted of organic sales growth of 2.8 percent, a decrease in sales of 2.6 percent from foreign currency translation, and a decline in sales of 1.3 percent from the divestiture of our Runelandhs business during fiscal 2018. Fiscal 2019 sales were $1.16 billion compared to $1.17 billion last year. By segment, sales increased 2.0 percent in Identification Solutions and decreased 9.2 percent in Workplace Safety, which consisted of organic sales growth of 4.1 percent in Identification Solutions and an organic sales decline of 0.7 percent in Workplace Safety.</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Commentary:</w:t>
      </w:r>
    </w:p>
    <w:p>
      <w:pPr>
        <w:spacing w:after="0" w:line="80" w:lineRule="exact"/>
        <w:rPr>
          <w:sz w:val="20"/>
          <w:szCs w:val="20"/>
          <w:color w:val="auto"/>
        </w:rPr>
      </w:pPr>
    </w:p>
    <w:p>
      <w:pPr>
        <w:ind w:right="180" w:firstLine="432"/>
        <w:spacing w:after="0" w:line="361" w:lineRule="auto"/>
        <w:rPr>
          <w:sz w:val="20"/>
          <w:szCs w:val="20"/>
          <w:color w:val="auto"/>
        </w:rPr>
      </w:pPr>
      <w:r>
        <w:rPr>
          <w:rFonts w:ascii="Arial" w:cs="Arial" w:eastAsia="Arial" w:hAnsi="Arial"/>
          <w:sz w:val="13"/>
          <w:szCs w:val="13"/>
          <w:color w:val="auto"/>
        </w:rPr>
        <w:t>“Our investment in the development of innovative new products, and our dedication to providing excellent customer service continue to drive positive results as we posted our ninth consecutive quarter of organic sales growth,” said Brady’s President and Chief Executive Officer, J. Michael Nauman. “We have seen signs of a weakening industrial economic environment. However, our previous investments along with strong execution have helped us continue to generate organic sales growth in this difficult environment. Our priorities in fiscal 2020 are to continue to launch high-quality new products while further developing our new product pipeline, continue our positive momentum in improving all of our businesses, and execute sustainable efficiency gains throughout Brady. We believe that our actions today will result in continued improvement in our financial results and long-term value for our shareholders.”</w:t>
      </w:r>
    </w:p>
    <w:p>
      <w:pPr>
        <w:spacing w:after="0" w:line="2" w:lineRule="exact"/>
        <w:rPr>
          <w:sz w:val="20"/>
          <w:szCs w:val="20"/>
          <w:color w:val="auto"/>
        </w:rPr>
      </w:pPr>
    </w:p>
    <w:p>
      <w:pPr>
        <w:ind w:right="120" w:firstLine="432"/>
        <w:spacing w:after="0" w:line="374" w:lineRule="auto"/>
        <w:rPr>
          <w:sz w:val="20"/>
          <w:szCs w:val="20"/>
          <w:color w:val="auto"/>
        </w:rPr>
      </w:pPr>
      <w:r>
        <w:rPr>
          <w:rFonts w:ascii="Arial" w:cs="Arial" w:eastAsia="Arial" w:hAnsi="Arial"/>
          <w:sz w:val="13"/>
          <w:szCs w:val="13"/>
          <w:color w:val="auto"/>
        </w:rPr>
        <w:t>“Our organic sales growth and our focus on operational efficiencies continue to drive profit improvements and strong cash flow,” said Brady’s Chief Financial Officer, Aaron Pearce. “Our net cash position increased by $100.1 million this fiscal year, finishing at $228.9 million at July 31, 2019. We generated $162.2 million of cash from operating activities this year, we invested $32.8 million in capital expenditures, and we returned $47.9 million</w:t>
      </w:r>
    </w:p>
    <w:p>
      <w:pPr>
        <w:sectPr>
          <w:pgSz w:w="11900" w:h="16838" w:orient="portrait"/>
          <w:cols w:equalWidth="0" w:num="1">
            <w:col w:w="11480"/>
          </w:cols>
          <w:pgMar w:left="220" w:top="471" w:right="199"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auto"/>
        </w:rPr>
        <w:t>to our shareholders in the form of dividends and share buybacks. Our balance sheet provides significant flexibility for further investments to drive long-term shareholder value and to return funds to our shareholders.”</w:t>
      </w: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2020 Guidance:</w:t>
      </w:r>
    </w:p>
    <w:p>
      <w:pPr>
        <w:spacing w:after="0" w:line="80" w:lineRule="exact"/>
        <w:rPr>
          <w:sz w:val="20"/>
          <w:szCs w:val="20"/>
          <w:color w:val="auto"/>
        </w:rPr>
      </w:pPr>
    </w:p>
    <w:p>
      <w:pPr>
        <w:ind w:right="20" w:firstLine="432"/>
        <w:spacing w:after="0" w:line="407" w:lineRule="auto"/>
        <w:rPr>
          <w:sz w:val="20"/>
          <w:szCs w:val="20"/>
          <w:color w:val="auto"/>
        </w:rPr>
      </w:pPr>
      <w:r>
        <w:rPr>
          <w:rFonts w:ascii="Arial" w:cs="Arial" w:eastAsia="Arial" w:hAnsi="Arial"/>
          <w:sz w:val="12"/>
          <w:szCs w:val="12"/>
          <w:color w:val="auto"/>
        </w:rPr>
        <w:t>The Company expects organic sales growth to be approximately 1.5 to 2.5 percent for the year ending July 31, 2020. Brady expects earnings per diluted Class A Nonvoting Common Share to range from $2.45 to $2.55. This guidance is based upon a full-year income tax rate in the low twenties percent range, and depreciation and amortization expense of approximately $25 million. The Company expects to achieve efficiency gains in its manufacturing facilities and in selling, general and administrative expenses while increasing investments in research and development. Capital expenditures are expected to be approximately $35 million during the year ending July 31, 2020. The Company’s fiscal 2020 guidance is based on foreign currency exchange rates as of July 31, 2019.</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A webcast regarding Brady’s fiscal 2019 fourth quarter financial results will be available at </w:t>
      </w:r>
      <w:r>
        <w:rPr>
          <w:rFonts w:ascii="Arial" w:cs="Arial" w:eastAsia="Arial" w:hAnsi="Arial"/>
          <w:sz w:val="13"/>
          <w:szCs w:val="13"/>
          <w:u w:val="single" w:color="auto"/>
          <w:color w:val="0000FF"/>
        </w:rPr>
        <w:t>www.bradycorp.com/investors</w:t>
      </w:r>
      <w:r>
        <w:rPr>
          <w:rFonts w:ascii="Arial" w:cs="Arial" w:eastAsia="Arial" w:hAnsi="Arial"/>
          <w:sz w:val="13"/>
          <w:szCs w:val="13"/>
          <w:color w:val="auto"/>
        </w:rPr>
        <w:t xml:space="preserve"> beginning at 9:30 a.m. Central Time today.</w:t>
      </w:r>
    </w:p>
    <w:p>
      <w:pPr>
        <w:spacing w:after="0" w:line="301" w:lineRule="exact"/>
        <w:rPr>
          <w:sz w:val="20"/>
          <w:szCs w:val="20"/>
          <w:color w:val="auto"/>
        </w:rPr>
      </w:pPr>
    </w:p>
    <w:p>
      <w:pPr>
        <w:ind w:firstLine="432"/>
        <w:spacing w:after="0" w:line="367" w:lineRule="auto"/>
        <w:rPr>
          <w:sz w:val="20"/>
          <w:szCs w:val="20"/>
          <w:color w:val="auto"/>
        </w:rPr>
      </w:pPr>
      <w:r>
        <w:rPr>
          <w:rFonts w:ascii="Arial" w:cs="Arial" w:eastAsia="Arial" w:hAnsi="Arial"/>
          <w:sz w:val="13"/>
          <w:szCs w:val="13"/>
          <w:color w:val="auto"/>
        </w:rPr>
        <w:t>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2019, employed approximately 6,100 people in its worldwide businesses. Brady’s fiscal 2019 sales were approximately $1.16 billion. Brady stock trades on the New York Stock Exchange under the symbol BRC. More information is available on the Internet at www.bradycorp.com.</w:t>
      </w:r>
    </w:p>
    <w:p>
      <w:pPr>
        <w:sectPr>
          <w:pgSz w:w="11900" w:h="16838" w:orient="portrait"/>
          <w:cols w:equalWidth="0" w:num="1">
            <w:col w:w="11460"/>
          </w:cols>
          <w:pgMar w:left="220" w:top="471" w:right="21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3"/>
          <w:szCs w:val="13"/>
          <w:color w:val="auto"/>
        </w:rPr>
        <w:t>###</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15" w:lineRule="exact"/>
        <w:rPr>
          <w:sz w:val="20"/>
          <w:szCs w:val="20"/>
          <w:color w:val="auto"/>
        </w:rPr>
      </w:pPr>
    </w:p>
    <w:p>
      <w:pPr>
        <w:ind w:right="100"/>
        <w:spacing w:after="0" w:line="280" w:lineRule="auto"/>
        <w:rPr>
          <w:sz w:val="20"/>
          <w:szCs w:val="20"/>
          <w:color w:val="auto"/>
        </w:rPr>
      </w:pPr>
      <w:r>
        <w:rPr>
          <w:rFonts w:ascii="Arial" w:cs="Arial" w:eastAsia="Arial" w:hAnsi="Arial"/>
          <w:sz w:val="11"/>
          <w:szCs w:val="11"/>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our ability to compete effectively or to successfully execute our strategy; Brady’s ability to develop technologically advanced products that meet customer demands; difficulties in protecting our websites, networks, and systems against security breaches; decreased demand for our products; raw material and other cost increases;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foreign currency fluctuations; the impact of the Tax Reform Act and any other changes in tax legislation and tax rates; potential write-offs of Brady’s substantial intangible assets; differing interests of voting and non-voting shareholders;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2019.</w:t>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20"/>
          </w:cols>
          <w:pgMar w:left="220" w:top="471" w:right="25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EARNINGS</w:t>
      </w:r>
    </w:p>
    <w:p>
      <w:pPr>
        <w:spacing w:after="0"/>
        <w:rPr>
          <w:sz w:val="20"/>
          <w:szCs w:val="20"/>
          <w:color w:val="auto"/>
        </w:rPr>
      </w:pPr>
      <w:r>
        <w:rPr>
          <w:rFonts w:ascii="Arial" w:cs="Arial" w:eastAsia="Arial" w:hAnsi="Arial"/>
          <w:sz w:val="11"/>
          <w:szCs w:val="11"/>
          <w:b w:val="1"/>
          <w:bCs w:val="1"/>
          <w:color w:val="auto"/>
        </w:rPr>
        <w:t>(Unaudited; Dollars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5"/>
          </w:tcPr>
          <w:p>
            <w:pPr>
              <w:ind w:left="60"/>
              <w:spacing w:after="0"/>
              <w:rPr>
                <w:sz w:val="20"/>
                <w:szCs w:val="20"/>
                <w:color w:val="auto"/>
              </w:rPr>
            </w:pPr>
            <w:r>
              <w:rPr>
                <w:rFonts w:ascii="Arial" w:cs="Arial" w:eastAsia="Arial" w:hAnsi="Arial"/>
                <w:sz w:val="11"/>
                <w:szCs w:val="11"/>
                <w:color w:val="auto"/>
              </w:rPr>
              <w:t>Three months ended July 31,</w:t>
            </w:r>
          </w:p>
        </w:tc>
        <w:tc>
          <w:tcPr>
            <w:tcW w:w="180" w:type="dxa"/>
            <w:vAlign w:val="bottom"/>
          </w:tcPr>
          <w:p>
            <w:pPr>
              <w:spacing w:after="0"/>
              <w:rPr>
                <w:sz w:val="11"/>
                <w:szCs w:val="11"/>
                <w:color w:val="auto"/>
              </w:rPr>
            </w:pPr>
          </w:p>
        </w:tc>
        <w:tc>
          <w:tcPr>
            <w:tcW w:w="1480" w:type="dxa"/>
            <w:vAlign w:val="bottom"/>
            <w:gridSpan w:val="4"/>
          </w:tcPr>
          <w:p>
            <w:pPr>
              <w:jc w:val="right"/>
              <w:ind w:right="346"/>
              <w:spacing w:after="0"/>
              <w:rPr>
                <w:sz w:val="20"/>
                <w:szCs w:val="20"/>
                <w:color w:val="auto"/>
              </w:rPr>
            </w:pPr>
            <w:r>
              <w:rPr>
                <w:rFonts w:ascii="Arial" w:cs="Arial" w:eastAsia="Arial" w:hAnsi="Arial"/>
                <w:sz w:val="11"/>
                <w:szCs w:val="11"/>
                <w:color w:val="auto"/>
              </w:rPr>
              <w:t>Year ended July 31,</w:t>
            </w:r>
          </w:p>
        </w:tc>
      </w:tr>
      <w:tr>
        <w:trPr>
          <w:trHeight w:val="22"/>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7"/>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226"/>
              <w:spacing w:after="0"/>
              <w:rPr>
                <w:sz w:val="20"/>
                <w:szCs w:val="20"/>
                <w:color w:val="auto"/>
              </w:rPr>
            </w:pPr>
            <w:r>
              <w:rPr>
                <w:rFonts w:ascii="Arial" w:cs="Arial" w:eastAsia="Arial" w:hAnsi="Arial"/>
                <w:sz w:val="11"/>
                <w:szCs w:val="11"/>
                <w:color w:val="auto"/>
              </w:rPr>
              <w:t>2019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color w:val="auto"/>
              </w:rPr>
              <w:t>2018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46"/>
              <w:spacing w:after="0"/>
              <w:rPr>
                <w:sz w:val="20"/>
                <w:szCs w:val="20"/>
                <w:color w:val="auto"/>
              </w:rPr>
            </w:pPr>
            <w:r>
              <w:rPr>
                <w:rFonts w:ascii="Arial" w:cs="Arial" w:eastAsia="Arial" w:hAnsi="Arial"/>
                <w:sz w:val="11"/>
                <w:szCs w:val="11"/>
                <w:color w:val="auto"/>
              </w:rPr>
              <w:t>2019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46"/>
              <w:spacing w:after="0"/>
              <w:rPr>
                <w:sz w:val="20"/>
                <w:szCs w:val="20"/>
                <w:color w:val="auto"/>
              </w:rPr>
            </w:pPr>
            <w:r>
              <w:rPr>
                <w:rFonts w:ascii="Arial" w:cs="Arial" w:eastAsia="Arial" w:hAnsi="Arial"/>
                <w:sz w:val="11"/>
                <w:szCs w:val="11"/>
                <w:color w:val="auto"/>
              </w:rPr>
              <w:t>2018</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295,278</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297,499</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1,160,645</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1,173,851</w:t>
            </w:r>
          </w:p>
        </w:tc>
      </w:tr>
      <w:tr>
        <w:trPr>
          <w:trHeight w:val="158"/>
        </w:trPr>
        <w:tc>
          <w:tcPr>
            <w:tcW w:w="3100" w:type="dxa"/>
            <w:vAlign w:val="bottom"/>
          </w:tcPr>
          <w:p>
            <w:pPr>
              <w:ind w:left="20"/>
              <w:spacing w:after="0"/>
              <w:rPr>
                <w:sz w:val="20"/>
                <w:szCs w:val="20"/>
                <w:color w:val="auto"/>
              </w:rPr>
            </w:pPr>
            <w:r>
              <w:rPr>
                <w:rFonts w:ascii="Arial" w:cs="Arial" w:eastAsia="Arial" w:hAnsi="Arial"/>
                <w:sz w:val="11"/>
                <w:szCs w:val="11"/>
                <w:color w:val="auto"/>
              </w:rPr>
              <w:t>Cost of goods sold</w:t>
            </w:r>
          </w:p>
        </w:tc>
        <w:tc>
          <w:tcPr>
            <w:tcW w:w="14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148,698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150,047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581,967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585,560</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Gross margin</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146,580</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147,452</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578,678</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588,291</w:t>
            </w:r>
          </w:p>
        </w:tc>
      </w:tr>
      <w:tr>
        <w:trPr>
          <w:trHeight w:val="158"/>
        </w:trPr>
        <w:tc>
          <w:tcPr>
            <w:tcW w:w="310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Research and development</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11,331</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11,741</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45,168</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45,253</w:t>
            </w:r>
          </w:p>
        </w:tc>
      </w:tr>
      <w:tr>
        <w:trPr>
          <w:trHeight w:val="158"/>
        </w:trPr>
        <w:tc>
          <w:tcPr>
            <w:tcW w:w="3100" w:type="dxa"/>
            <w:vAlign w:val="bottom"/>
          </w:tcPr>
          <w:p>
            <w:pPr>
              <w:ind w:left="180"/>
              <w:spacing w:after="0"/>
              <w:rPr>
                <w:sz w:val="20"/>
                <w:szCs w:val="20"/>
                <w:color w:val="auto"/>
              </w:rPr>
            </w:pPr>
            <w:r>
              <w:rPr>
                <w:rFonts w:ascii="Arial" w:cs="Arial" w:eastAsia="Arial" w:hAnsi="Arial"/>
                <w:sz w:val="11"/>
                <w:szCs w:val="11"/>
                <w:color w:val="auto"/>
              </w:rPr>
              <w:t>Selling, general and administrative</w:t>
            </w:r>
          </w:p>
        </w:tc>
        <w:tc>
          <w:tcPr>
            <w:tcW w:w="14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89,094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90,931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371,082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390,342</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shd w:val="clear" w:color="auto" w:fill="CCEEFF"/>
              </w:rPr>
              <w:t>Total operating expenses</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100,425</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102,672</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416,250</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435,595</w:t>
            </w:r>
          </w:p>
        </w:tc>
      </w:tr>
      <w:tr>
        <w:trPr>
          <w:trHeight w:val="144"/>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shd w:val="clear" w:color="auto" w:fill="CCEEFF"/>
              </w:rPr>
              <w:t>Operating income</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46,155</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44,780</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162,428</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152,696</w:t>
            </w:r>
          </w:p>
        </w:tc>
      </w:tr>
      <w:tr>
        <w:trPr>
          <w:trHeight w:val="144"/>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shd w:val="clear" w:color="auto" w:fill="CCEEFF"/>
              </w:rPr>
              <w:t>Other income (expense):</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r>
      <w:tr>
        <w:trPr>
          <w:trHeight w:val="158"/>
        </w:trPr>
        <w:tc>
          <w:tcPr>
            <w:tcW w:w="3100" w:type="dxa"/>
            <w:vAlign w:val="bottom"/>
          </w:tcPr>
          <w:p>
            <w:pPr>
              <w:ind w:left="180"/>
              <w:spacing w:after="0"/>
              <w:rPr>
                <w:sz w:val="20"/>
                <w:szCs w:val="20"/>
                <w:color w:val="auto"/>
              </w:rPr>
            </w:pPr>
            <w:r>
              <w:rPr>
                <w:rFonts w:ascii="Arial" w:cs="Arial" w:eastAsia="Arial" w:hAnsi="Arial"/>
                <w:sz w:val="11"/>
                <w:szCs w:val="11"/>
                <w:color w:val="auto"/>
              </w:rPr>
              <w:t>Investment and other income</w:t>
            </w:r>
          </w:p>
        </w:tc>
        <w:tc>
          <w:tcPr>
            <w:tcW w:w="14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1,621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1,184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5,046</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2,487</w:t>
            </w:r>
          </w:p>
        </w:tc>
      </w:tr>
      <w:tr>
        <w:trPr>
          <w:trHeight w:val="22"/>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shd w:val="clear" w:color="auto" w:fill="CCEEFF"/>
              </w:rPr>
              <w:t>Interest expense</w:t>
            </w: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(693)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(2,830)</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(3,168)</w:t>
            </w:r>
          </w:p>
        </w:tc>
      </w:tr>
      <w:tr>
        <w:trPr>
          <w:trHeight w:val="133"/>
        </w:trPr>
        <w:tc>
          <w:tcPr>
            <w:tcW w:w="3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shd w:val="clear" w:color="auto" w:fill="CCEEFF"/>
              </w:rPr>
              <w:t>Income before income taxes</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47,083</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45,249</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164,644</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152,015</w:t>
            </w:r>
          </w:p>
        </w:tc>
      </w:tr>
      <w:tr>
        <w:trPr>
          <w:trHeight w:val="144"/>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8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shd w:val="clear" w:color="auto" w:fill="CCEEFF"/>
              </w:rPr>
              <w:t>Income tax expense</w:t>
            </w: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10,470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10,298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33,386</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60,955</w:t>
            </w:r>
          </w:p>
        </w:tc>
      </w:tr>
      <w:tr>
        <w:trPr>
          <w:trHeight w:val="133"/>
        </w:trPr>
        <w:tc>
          <w:tcPr>
            <w:tcW w:w="3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7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shd w:val="clear" w:color="auto" w:fill="CCEEFF"/>
              </w:rPr>
              <w:t>Net income</w:t>
            </w: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36,613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34,951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131,258</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91,060</w:t>
            </w:r>
          </w:p>
        </w:tc>
      </w:tr>
      <w:tr>
        <w:trPr>
          <w:trHeight w:val="144"/>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4"/>
        </w:trPr>
        <w:tc>
          <w:tcPr>
            <w:tcW w:w="3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8"/>
        </w:trPr>
        <w:tc>
          <w:tcPr>
            <w:tcW w:w="3100" w:type="dxa"/>
            <w:vAlign w:val="bottom"/>
          </w:tcPr>
          <w:p>
            <w:pPr>
              <w:ind w:left="20"/>
              <w:spacing w:after="0"/>
              <w:rPr>
                <w:sz w:val="20"/>
                <w:szCs w:val="20"/>
                <w:color w:val="auto"/>
              </w:rPr>
            </w:pPr>
            <w:r>
              <w:rPr>
                <w:rFonts w:ascii="Arial" w:cs="Arial" w:eastAsia="Arial" w:hAnsi="Arial"/>
                <w:sz w:val="11"/>
                <w:szCs w:val="11"/>
                <w:color w:val="auto"/>
              </w:rPr>
              <w:t>Net income per Class A Nonvoting Common Share:</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shd w:val="clear" w:color="auto" w:fill="CCEEFF"/>
              </w:rPr>
              <w:t>Basic</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0.69</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0.67</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2.50</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1.76</w:t>
            </w:r>
          </w:p>
        </w:tc>
      </w:tr>
      <w:tr>
        <w:trPr>
          <w:trHeight w:val="158"/>
        </w:trPr>
        <w:tc>
          <w:tcPr>
            <w:tcW w:w="3100" w:type="dxa"/>
            <w:vAlign w:val="bottom"/>
          </w:tcPr>
          <w:p>
            <w:pPr>
              <w:ind w:left="180"/>
              <w:spacing w:after="0"/>
              <w:rPr>
                <w:sz w:val="20"/>
                <w:szCs w:val="20"/>
                <w:color w:val="auto"/>
              </w:rPr>
            </w:pPr>
            <w:r>
              <w:rPr>
                <w:rFonts w:ascii="Arial" w:cs="Arial" w:eastAsia="Arial" w:hAnsi="Arial"/>
                <w:sz w:val="11"/>
                <w:szCs w:val="11"/>
                <w:color w:val="auto"/>
              </w:rPr>
              <w:t>Diluted</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0.68</w:t>
            </w:r>
          </w:p>
        </w:tc>
        <w:tc>
          <w:tcPr>
            <w:tcW w:w="8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0.66</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2.46</w:t>
            </w:r>
          </w:p>
        </w:tc>
        <w:tc>
          <w:tcPr>
            <w:tcW w:w="6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1.73</w:t>
            </w:r>
          </w:p>
        </w:tc>
      </w:tr>
      <w:tr>
        <w:trPr>
          <w:trHeight w:val="22"/>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shd w:val="clear" w:color="auto" w:fill="CCEEFF"/>
              </w:rPr>
              <w:t>Dividends</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0.21</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0.85</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0.83</w:t>
            </w:r>
          </w:p>
        </w:tc>
      </w:tr>
      <w:tr>
        <w:trPr>
          <w:trHeight w:val="144"/>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shd w:val="clear" w:color="auto" w:fill="CCEEFF"/>
              </w:rPr>
              <w:t>Net income per Class B Voting Common Share:</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r>
      <w:tr>
        <w:trPr>
          <w:trHeight w:val="158"/>
        </w:trPr>
        <w:tc>
          <w:tcPr>
            <w:tcW w:w="3100" w:type="dxa"/>
            <w:vAlign w:val="bottom"/>
          </w:tcPr>
          <w:p>
            <w:pPr>
              <w:ind w:left="180"/>
              <w:spacing w:after="0"/>
              <w:rPr>
                <w:sz w:val="20"/>
                <w:szCs w:val="20"/>
                <w:color w:val="auto"/>
              </w:rPr>
            </w:pPr>
            <w:r>
              <w:rPr>
                <w:rFonts w:ascii="Arial" w:cs="Arial" w:eastAsia="Arial" w:hAnsi="Arial"/>
                <w:sz w:val="11"/>
                <w:szCs w:val="11"/>
                <w:color w:val="auto"/>
              </w:rPr>
              <w:t>Basic</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0.69</w:t>
            </w:r>
          </w:p>
        </w:tc>
        <w:tc>
          <w:tcPr>
            <w:tcW w:w="8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0.67</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2.48</w:t>
            </w:r>
          </w:p>
        </w:tc>
        <w:tc>
          <w:tcPr>
            <w:tcW w:w="6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1.75</w:t>
            </w:r>
          </w:p>
        </w:tc>
      </w:tr>
      <w:tr>
        <w:trPr>
          <w:trHeight w:val="22"/>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shd w:val="clear" w:color="auto" w:fill="CCEEFF"/>
              </w:rPr>
              <w:t>Diluted</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0.68</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0.66</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2.45</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1.72</w:t>
            </w:r>
          </w:p>
        </w:tc>
      </w:tr>
      <w:tr>
        <w:trPr>
          <w:trHeight w:val="158"/>
        </w:trPr>
        <w:tc>
          <w:tcPr>
            <w:tcW w:w="3100" w:type="dxa"/>
            <w:vAlign w:val="bottom"/>
          </w:tcPr>
          <w:p>
            <w:pPr>
              <w:ind w:left="180"/>
              <w:spacing w:after="0"/>
              <w:rPr>
                <w:sz w:val="20"/>
                <w:szCs w:val="20"/>
                <w:color w:val="auto"/>
              </w:rPr>
            </w:pPr>
            <w:r>
              <w:rPr>
                <w:rFonts w:ascii="Arial" w:cs="Arial" w:eastAsia="Arial" w:hAnsi="Arial"/>
                <w:sz w:val="11"/>
                <w:szCs w:val="11"/>
                <w:color w:val="auto"/>
              </w:rPr>
              <w:t>Dividends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0.21</w:t>
            </w:r>
          </w:p>
        </w:tc>
        <w:tc>
          <w:tcPr>
            <w:tcW w:w="8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0.21</w:t>
            </w:r>
          </w:p>
        </w:tc>
        <w:tc>
          <w:tcPr>
            <w:tcW w:w="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0.83</w:t>
            </w:r>
          </w:p>
        </w:tc>
        <w:tc>
          <w:tcPr>
            <w:tcW w:w="6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0.81</w:t>
            </w:r>
          </w:p>
        </w:tc>
      </w:tr>
      <w:tr>
        <w:trPr>
          <w:trHeight w:val="22"/>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4"/>
        </w:trPr>
        <w:tc>
          <w:tcPr>
            <w:tcW w:w="3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8"/>
        </w:trPr>
        <w:tc>
          <w:tcPr>
            <w:tcW w:w="3100" w:type="dxa"/>
            <w:vAlign w:val="bottom"/>
          </w:tcPr>
          <w:p>
            <w:pPr>
              <w:ind w:left="20"/>
              <w:spacing w:after="0"/>
              <w:rPr>
                <w:sz w:val="20"/>
                <w:szCs w:val="20"/>
                <w:color w:val="auto"/>
              </w:rPr>
            </w:pPr>
            <w:r>
              <w:rPr>
                <w:rFonts w:ascii="Arial" w:cs="Arial" w:eastAsia="Arial" w:hAnsi="Arial"/>
                <w:sz w:val="11"/>
                <w:szCs w:val="11"/>
                <w:color w:val="auto"/>
              </w:rPr>
              <w:t>Weighted average common shares outstanding:</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shd w:val="clear" w:color="auto" w:fill="CCEEFF"/>
              </w:rPr>
              <w:t>Basic</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52,885</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51,822</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52,596</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51,677</w:t>
            </w:r>
          </w:p>
        </w:tc>
      </w:tr>
      <w:tr>
        <w:trPr>
          <w:trHeight w:val="158"/>
        </w:trPr>
        <w:tc>
          <w:tcPr>
            <w:tcW w:w="3100" w:type="dxa"/>
            <w:vAlign w:val="bottom"/>
          </w:tcPr>
          <w:p>
            <w:pPr>
              <w:ind w:left="180"/>
              <w:spacing w:after="0"/>
              <w:rPr>
                <w:sz w:val="20"/>
                <w:szCs w:val="20"/>
                <w:color w:val="auto"/>
              </w:rPr>
            </w:pPr>
            <w:r>
              <w:rPr>
                <w:rFonts w:ascii="Arial" w:cs="Arial" w:eastAsia="Arial" w:hAnsi="Arial"/>
                <w:sz w:val="11"/>
                <w:szCs w:val="11"/>
                <w:color w:val="auto"/>
              </w:rPr>
              <w:t>Diluted</w:t>
            </w:r>
          </w:p>
        </w:tc>
        <w:tc>
          <w:tcPr>
            <w:tcW w:w="14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53,647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52,658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53,323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52,524</w:t>
            </w:r>
          </w:p>
        </w:tc>
      </w:tr>
    </w:tbl>
    <w:p>
      <w:pPr>
        <w:sectPr>
          <w:pgSz w:w="11900" w:h="16838" w:orient="portrait"/>
          <w:cols w:equalWidth="0" w:num="1">
            <w:col w:w="10239"/>
          </w:cols>
          <w:pgMar w:left="220" w:top="437" w:right="1440"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BALANCE SHEETS</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color w:val="auto"/>
              </w:rPr>
              <w:t>July 31, 2019</w:t>
            </w:r>
          </w:p>
        </w:tc>
        <w:tc>
          <w:tcPr>
            <w:tcW w:w="120" w:type="dxa"/>
            <w:vAlign w:val="bottom"/>
          </w:tcPr>
          <w:p>
            <w:pPr>
              <w:spacing w:after="0"/>
              <w:rPr>
                <w:sz w:val="11"/>
                <w:szCs w:val="11"/>
                <w:color w:val="auto"/>
              </w:rPr>
            </w:pPr>
          </w:p>
        </w:tc>
        <w:tc>
          <w:tcPr>
            <w:tcW w:w="820" w:type="dxa"/>
            <w:vAlign w:val="bottom"/>
          </w:tcPr>
          <w:p>
            <w:pPr>
              <w:jc w:val="right"/>
              <w:ind w:right="126"/>
              <w:spacing w:after="0"/>
              <w:rPr>
                <w:sz w:val="20"/>
                <w:szCs w:val="20"/>
                <w:color w:val="auto"/>
              </w:rPr>
            </w:pPr>
            <w:r>
              <w:rPr>
                <w:rFonts w:ascii="Arial" w:cs="Arial" w:eastAsia="Arial" w:hAnsi="Arial"/>
                <w:sz w:val="11"/>
                <w:szCs w:val="11"/>
                <w:color w:val="auto"/>
                <w:w w:val="94"/>
              </w:rPr>
              <w:t>July 31, 2018</w:t>
            </w:r>
          </w:p>
        </w:tc>
      </w:tr>
      <w:tr>
        <w:trPr>
          <w:trHeight w:val="22"/>
        </w:trPr>
        <w:tc>
          <w:tcPr>
            <w:tcW w:w="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9"/>
        </w:trPr>
        <w:tc>
          <w:tcPr>
            <w:tcW w:w="4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center"/>
              <w:spacing w:after="0" w:line="106" w:lineRule="exact"/>
              <w:rPr>
                <w:sz w:val="20"/>
                <w:szCs w:val="20"/>
                <w:color w:val="auto"/>
              </w:rPr>
            </w:pPr>
            <w:r>
              <w:rPr>
                <w:rFonts w:ascii="Arial" w:cs="Arial" w:eastAsia="Arial" w:hAnsi="Arial"/>
                <w:sz w:val="11"/>
                <w:szCs w:val="11"/>
                <w:b w:val="1"/>
                <w:bCs w:val="1"/>
                <w:color w:val="auto"/>
                <w:w w:val="90"/>
              </w:rPr>
              <w:t>ASSETS</w:t>
            </w:r>
          </w:p>
        </w:tc>
        <w:tc>
          <w:tcPr>
            <w:tcW w:w="2020" w:type="dxa"/>
            <w:vAlign w:val="bottom"/>
            <w:tcBorders>
              <w:bottom w:val="single" w:sz="8" w:color="CCEEFF"/>
            </w:tcBorders>
            <w:gridSpan w:val="2"/>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r>
      <w:tr>
        <w:trPr>
          <w:trHeight w:val="149"/>
        </w:trPr>
        <w:tc>
          <w:tcPr>
            <w:tcW w:w="4440" w:type="dxa"/>
            <w:vAlign w:val="bottom"/>
            <w:gridSpan w:val="9"/>
          </w:tcPr>
          <w:p>
            <w:pPr>
              <w:ind w:left="20"/>
              <w:spacing w:after="0"/>
              <w:rPr>
                <w:sz w:val="20"/>
                <w:szCs w:val="20"/>
                <w:color w:val="auto"/>
              </w:rPr>
            </w:pPr>
            <w:r>
              <w:rPr>
                <w:rFonts w:ascii="Arial" w:cs="Arial" w:eastAsia="Arial" w:hAnsi="Arial"/>
                <w:sz w:val="11"/>
                <w:szCs w:val="11"/>
                <w:color w:val="auto"/>
              </w:rPr>
              <w:t>Current assets: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31"/>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0"/>
        </w:trPr>
        <w:tc>
          <w:tcPr>
            <w:tcW w:w="4440" w:type="dxa"/>
            <w:vAlign w:val="bottom"/>
            <w:tcBorders>
              <w:bottom w:val="single" w:sz="8" w:color="CCEEFF"/>
            </w:tcBorders>
            <w:gridSpan w:val="9"/>
            <w:shd w:val="clear" w:color="auto" w:fill="CCEEFF"/>
          </w:tcPr>
          <w:p>
            <w:pPr>
              <w:ind w:left="2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279,072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181,427</w:t>
            </w:r>
          </w:p>
        </w:tc>
      </w:tr>
      <w:tr>
        <w:trPr>
          <w:trHeight w:val="158"/>
        </w:trPr>
        <w:tc>
          <w:tcPr>
            <w:tcW w:w="4440" w:type="dxa"/>
            <w:vAlign w:val="bottom"/>
            <w:gridSpan w:val="9"/>
          </w:tcPr>
          <w:p>
            <w:pPr>
              <w:ind w:left="240"/>
              <w:spacing w:after="0"/>
              <w:rPr>
                <w:sz w:val="20"/>
                <w:szCs w:val="20"/>
                <w:color w:val="auto"/>
              </w:rPr>
            </w:pPr>
            <w:r>
              <w:rPr>
                <w:rFonts w:ascii="Arial" w:cs="Arial" w:eastAsia="Arial" w:hAnsi="Arial"/>
                <w:sz w:val="11"/>
                <w:szCs w:val="11"/>
                <w:color w:val="auto"/>
              </w:rPr>
              <w:t>Accounts receivable—net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158,114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161,282</w:t>
            </w:r>
          </w:p>
        </w:tc>
      </w:tr>
      <w:tr>
        <w:trPr>
          <w:trHeight w:val="22"/>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4440" w:type="dxa"/>
            <w:vAlign w:val="bottom"/>
            <w:tcBorders>
              <w:bottom w:val="single" w:sz="8" w:color="CCEEFF"/>
            </w:tcBorders>
            <w:gridSpan w:val="9"/>
            <w:shd w:val="clear" w:color="auto" w:fill="CCEEFF"/>
          </w:tcPr>
          <w:p>
            <w:pPr>
              <w:ind w:left="240"/>
              <w:spacing w:after="0"/>
              <w:rPr>
                <w:sz w:val="20"/>
                <w:szCs w:val="20"/>
                <w:color w:val="auto"/>
              </w:rPr>
            </w:pPr>
            <w:r>
              <w:rPr>
                <w:rFonts w:ascii="Arial" w:cs="Arial" w:eastAsia="Arial" w:hAnsi="Arial"/>
                <w:sz w:val="11"/>
                <w:szCs w:val="11"/>
                <w:color w:val="auto"/>
              </w:rPr>
              <w:t>Inventories</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120,037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113,071</w:t>
            </w:r>
          </w:p>
        </w:tc>
      </w:tr>
      <w:tr>
        <w:trPr>
          <w:trHeight w:val="158"/>
        </w:trPr>
        <w:tc>
          <w:tcPr>
            <w:tcW w:w="4440" w:type="dxa"/>
            <w:vAlign w:val="bottom"/>
            <w:gridSpan w:val="9"/>
          </w:tcPr>
          <w:p>
            <w:pPr>
              <w:ind w:left="240"/>
              <w:spacing w:after="0"/>
              <w:rPr>
                <w:sz w:val="20"/>
                <w:szCs w:val="20"/>
                <w:color w:val="auto"/>
              </w:rPr>
            </w:pPr>
            <w:r>
              <w:rPr>
                <w:rFonts w:ascii="Arial" w:cs="Arial" w:eastAsia="Arial" w:hAnsi="Arial"/>
                <w:sz w:val="11"/>
                <w:szCs w:val="11"/>
                <w:color w:val="auto"/>
              </w:rPr>
              <w:t>Prepaid expenses and other current assets</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16,056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15,559</w:t>
            </w:r>
          </w:p>
        </w:tc>
      </w:tr>
      <w:tr>
        <w:trPr>
          <w:trHeight w:val="22"/>
        </w:trPr>
        <w:tc>
          <w:tcPr>
            <w:tcW w:w="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0"/>
        </w:trPr>
        <w:tc>
          <w:tcPr>
            <w:tcW w:w="4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shd w:val="clear" w:color="auto" w:fill="CCEEFF"/>
          </w:tcPr>
          <w:p>
            <w:pPr>
              <w:spacing w:after="0" w:line="124" w:lineRule="exact"/>
              <w:rPr>
                <w:sz w:val="20"/>
                <w:szCs w:val="20"/>
                <w:color w:val="auto"/>
              </w:rPr>
            </w:pPr>
            <w:r>
              <w:rPr>
                <w:rFonts w:ascii="Arial" w:cs="Arial" w:eastAsia="Arial" w:hAnsi="Arial"/>
                <w:sz w:val="11"/>
                <w:szCs w:val="11"/>
                <w:color w:val="auto"/>
                <w:w w:val="82"/>
                <w:shd w:val="clear" w:color="auto" w:fill="CCEEFF"/>
              </w:rPr>
              <w:t>Total current assets</w:t>
            </w:r>
          </w:p>
        </w:tc>
        <w:tc>
          <w:tcPr>
            <w:tcW w:w="74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gridSpan w:val="2"/>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573,279</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471,339</w:t>
            </w:r>
          </w:p>
        </w:tc>
      </w:tr>
      <w:tr>
        <w:trPr>
          <w:trHeight w:val="158"/>
        </w:trPr>
        <w:tc>
          <w:tcPr>
            <w:tcW w:w="4440" w:type="dxa"/>
            <w:vAlign w:val="bottom"/>
            <w:gridSpan w:val="9"/>
          </w:tcPr>
          <w:p>
            <w:pPr>
              <w:ind w:left="20"/>
              <w:spacing w:after="0"/>
              <w:rPr>
                <w:sz w:val="20"/>
                <w:szCs w:val="20"/>
                <w:color w:val="auto"/>
              </w:rPr>
            </w:pPr>
            <w:r>
              <w:rPr>
                <w:rFonts w:ascii="Arial" w:cs="Arial" w:eastAsia="Arial" w:hAnsi="Arial"/>
                <w:sz w:val="11"/>
                <w:szCs w:val="11"/>
                <w:color w:val="auto"/>
              </w:rPr>
              <w:t>Property, plant and equipment—net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110,048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97,945</w:t>
            </w:r>
          </w:p>
        </w:tc>
      </w:tr>
      <w:tr>
        <w:trPr>
          <w:trHeight w:val="22"/>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89"/>
                <w:shd w:val="clear" w:color="auto" w:fill="CCEEFF"/>
              </w:rPr>
              <w:t>Goodwill</w:t>
            </w:r>
          </w:p>
        </w:tc>
        <w:tc>
          <w:tcPr>
            <w:tcW w:w="580" w:type="dxa"/>
            <w:vAlign w:val="bottom"/>
            <w:tcBorders>
              <w:bottom w:val="single" w:sz="8" w:color="CCEEFF"/>
            </w:tcBorders>
            <w:gridSpan w:val="2"/>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spacing w:after="0"/>
              <w:rPr>
                <w:sz w:val="13"/>
                <w:szCs w:val="13"/>
                <w:color w:val="auto"/>
              </w:rPr>
            </w:pPr>
          </w:p>
        </w:tc>
        <w:tc>
          <w:tcPr>
            <w:tcW w:w="1380" w:type="dxa"/>
            <w:vAlign w:val="bottom"/>
            <w:tcBorders>
              <w:bottom w:val="single" w:sz="8" w:color="CCEEFF"/>
            </w:tcBorders>
            <w:gridSpan w:val="2"/>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410,987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419,815</w:t>
            </w:r>
          </w:p>
        </w:tc>
      </w:tr>
      <w:tr>
        <w:trPr>
          <w:trHeight w:val="158"/>
        </w:trPr>
        <w:tc>
          <w:tcPr>
            <w:tcW w:w="4440" w:type="dxa"/>
            <w:vAlign w:val="bottom"/>
            <w:gridSpan w:val="9"/>
          </w:tcPr>
          <w:p>
            <w:pPr>
              <w:ind w:left="20"/>
              <w:spacing w:after="0"/>
              <w:rPr>
                <w:sz w:val="20"/>
                <w:szCs w:val="20"/>
                <w:color w:val="auto"/>
              </w:rPr>
            </w:pPr>
            <w:r>
              <w:rPr>
                <w:rFonts w:ascii="Arial" w:cs="Arial" w:eastAsia="Arial" w:hAnsi="Arial"/>
                <w:sz w:val="11"/>
                <w:szCs w:val="11"/>
                <w:color w:val="auto"/>
              </w:rPr>
              <w:t>Other intangible assets</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36,123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42,588</w:t>
            </w:r>
          </w:p>
        </w:tc>
      </w:tr>
      <w:tr>
        <w:trPr>
          <w:trHeight w:val="22"/>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w w:val="86"/>
                <w:shd w:val="clear" w:color="auto" w:fill="CCEEFF"/>
              </w:rPr>
              <w:t>Deferred income taxes</w:t>
            </w:r>
          </w:p>
        </w:tc>
        <w:tc>
          <w:tcPr>
            <w:tcW w:w="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spacing w:after="0"/>
              <w:rPr>
                <w:sz w:val="13"/>
                <w:szCs w:val="13"/>
                <w:color w:val="auto"/>
              </w:rPr>
            </w:pPr>
          </w:p>
        </w:tc>
        <w:tc>
          <w:tcPr>
            <w:tcW w:w="1380" w:type="dxa"/>
            <w:vAlign w:val="bottom"/>
            <w:tcBorders>
              <w:bottom w:val="single" w:sz="8" w:color="CCEEFF"/>
            </w:tcBorders>
            <w:gridSpan w:val="2"/>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7,298</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7,582</w:t>
            </w:r>
          </w:p>
        </w:tc>
      </w:tr>
      <w:tr>
        <w:trPr>
          <w:trHeight w:val="158"/>
        </w:trPr>
        <w:tc>
          <w:tcPr>
            <w:tcW w:w="4440" w:type="dxa"/>
            <w:vAlign w:val="bottom"/>
            <w:gridSpan w:val="9"/>
          </w:tcPr>
          <w:p>
            <w:pPr>
              <w:ind w:left="20"/>
              <w:spacing w:after="0"/>
              <w:rPr>
                <w:sz w:val="20"/>
                <w:szCs w:val="20"/>
                <w:color w:val="auto"/>
              </w:rPr>
            </w:pPr>
            <w:r>
              <w:rPr>
                <w:rFonts w:ascii="Arial" w:cs="Arial" w:eastAsia="Arial" w:hAnsi="Arial"/>
                <w:sz w:val="11"/>
                <w:szCs w:val="11"/>
                <w:color w:val="auto"/>
              </w:rPr>
              <w:t>Other</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19,573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17,662</w:t>
            </w:r>
          </w:p>
        </w:tc>
      </w:tr>
      <w:tr>
        <w:trPr>
          <w:trHeight w:val="22"/>
        </w:trPr>
        <w:tc>
          <w:tcPr>
            <w:tcW w:w="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5"/>
        </w:trPr>
        <w:tc>
          <w:tcPr>
            <w:tcW w:w="444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1,157,308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1,056,931</w:t>
            </w:r>
          </w:p>
        </w:tc>
      </w:tr>
      <w:tr>
        <w:trPr>
          <w:trHeight w:val="95"/>
        </w:trPr>
        <w:tc>
          <w:tcPr>
            <w:tcW w:w="4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540" w:type="dxa"/>
            <w:vAlign w:val="bottom"/>
            <w:tcBorders>
              <w:top w:val="single" w:sz="8" w:color="CCEEFF"/>
            </w:tcBorders>
          </w:tcPr>
          <w:p>
            <w:pPr>
              <w:spacing w:after="0"/>
              <w:rPr>
                <w:sz w:val="8"/>
                <w:szCs w:val="8"/>
                <w:color w:val="auto"/>
              </w:rPr>
            </w:pPr>
          </w:p>
        </w:tc>
        <w:tc>
          <w:tcPr>
            <w:tcW w:w="3440" w:type="dxa"/>
            <w:vAlign w:val="bottom"/>
            <w:tcBorders>
              <w:top w:val="single" w:sz="8" w:color="CCEEFF"/>
            </w:tcBorders>
            <w:gridSpan w:val="6"/>
          </w:tcPr>
          <w:p>
            <w:pPr>
              <w:jc w:val="center"/>
              <w:ind w:right="1000"/>
              <w:spacing w:after="0" w:line="95" w:lineRule="exact"/>
              <w:rPr>
                <w:sz w:val="20"/>
                <w:szCs w:val="20"/>
                <w:color w:val="auto"/>
              </w:rPr>
            </w:pPr>
            <w:r>
              <w:rPr>
                <w:rFonts w:ascii="Arial" w:cs="Arial" w:eastAsia="Arial" w:hAnsi="Arial"/>
                <w:sz w:val="11"/>
                <w:szCs w:val="11"/>
                <w:b w:val="1"/>
                <w:bCs w:val="1"/>
                <w:color w:val="auto"/>
              </w:rPr>
              <w:t>LIABILITIES AND STOCKHOLDERS’ EQUITY</w:t>
            </w: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r>
      <w:tr>
        <w:trPr>
          <w:trHeight w:val="52"/>
        </w:trPr>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160"/>
        </w:trPr>
        <w:tc>
          <w:tcPr>
            <w:tcW w:w="444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58"/>
        </w:trPr>
        <w:tc>
          <w:tcPr>
            <w:tcW w:w="4440" w:type="dxa"/>
            <w:vAlign w:val="bottom"/>
            <w:gridSpan w:val="9"/>
          </w:tcPr>
          <w:p>
            <w:pPr>
              <w:ind w:left="240"/>
              <w:spacing w:after="0"/>
              <w:rPr>
                <w:sz w:val="20"/>
                <w:szCs w:val="20"/>
                <w:color w:val="auto"/>
              </w:rPr>
            </w:pPr>
            <w:r>
              <w:rPr>
                <w:rFonts w:ascii="Arial" w:cs="Arial" w:eastAsia="Arial" w:hAnsi="Arial"/>
                <w:sz w:val="11"/>
                <w:szCs w:val="11"/>
                <w:color w:val="auto"/>
              </w:rPr>
              <w:t>Accounts payable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64,810</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66,538</w:t>
            </w:r>
          </w:p>
        </w:tc>
      </w:tr>
      <w:tr>
        <w:trPr>
          <w:trHeight w:val="22"/>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2020" w:type="dxa"/>
            <w:vAlign w:val="bottom"/>
            <w:tcBorders>
              <w:bottom w:val="single" w:sz="8" w:color="CCEEFF"/>
            </w:tcBorders>
            <w:gridSpan w:val="6"/>
            <w:shd w:val="clear" w:color="auto" w:fill="CCEEFF"/>
          </w:tcPr>
          <w:p>
            <w:pPr>
              <w:ind w:left="240"/>
              <w:spacing w:after="0"/>
              <w:rPr>
                <w:sz w:val="20"/>
                <w:szCs w:val="20"/>
                <w:color w:val="auto"/>
              </w:rPr>
            </w:pPr>
            <w:r>
              <w:rPr>
                <w:rFonts w:ascii="Arial" w:cs="Arial" w:eastAsia="Arial" w:hAnsi="Arial"/>
                <w:sz w:val="11"/>
                <w:szCs w:val="11"/>
                <w:color w:val="auto"/>
                <w:shd w:val="clear" w:color="auto" w:fill="CCEEFF"/>
              </w:rPr>
              <w:t>Accrued compensation and benefits</w:t>
            </w:r>
          </w:p>
        </w:tc>
        <w:tc>
          <w:tcPr>
            <w:tcW w:w="2420" w:type="dxa"/>
            <w:vAlign w:val="bottom"/>
            <w:tcBorders>
              <w:bottom w:val="single" w:sz="8" w:color="CCEEFF"/>
            </w:tcBorders>
            <w:gridSpan w:val="3"/>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62,509</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67,619</w:t>
            </w:r>
          </w:p>
        </w:tc>
      </w:tr>
      <w:tr>
        <w:trPr>
          <w:trHeight w:val="158"/>
        </w:trPr>
        <w:tc>
          <w:tcPr>
            <w:tcW w:w="4440" w:type="dxa"/>
            <w:vAlign w:val="bottom"/>
            <w:gridSpan w:val="9"/>
          </w:tcPr>
          <w:p>
            <w:pPr>
              <w:ind w:left="240"/>
              <w:spacing w:after="0"/>
              <w:rPr>
                <w:sz w:val="20"/>
                <w:szCs w:val="20"/>
                <w:color w:val="auto"/>
              </w:rPr>
            </w:pPr>
            <w:r>
              <w:rPr>
                <w:rFonts w:ascii="Arial" w:cs="Arial" w:eastAsia="Arial" w:hAnsi="Arial"/>
                <w:sz w:val="11"/>
                <w:szCs w:val="11"/>
                <w:color w:val="auto"/>
              </w:rPr>
              <w:t>Taxes, other than income taxes</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8,107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8,318</w:t>
            </w:r>
          </w:p>
        </w:tc>
      </w:tr>
      <w:tr>
        <w:trPr>
          <w:trHeight w:val="22"/>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4440" w:type="dxa"/>
            <w:vAlign w:val="bottom"/>
            <w:tcBorders>
              <w:bottom w:val="single" w:sz="8" w:color="CCEEFF"/>
            </w:tcBorders>
            <w:gridSpan w:val="9"/>
            <w:shd w:val="clear" w:color="auto" w:fill="CCEEFF"/>
          </w:tcPr>
          <w:p>
            <w:pPr>
              <w:ind w:left="240"/>
              <w:spacing w:after="0"/>
              <w:rPr>
                <w:sz w:val="20"/>
                <w:szCs w:val="20"/>
                <w:color w:val="auto"/>
              </w:rPr>
            </w:pPr>
            <w:r>
              <w:rPr>
                <w:rFonts w:ascii="Arial" w:cs="Arial" w:eastAsia="Arial" w:hAnsi="Arial"/>
                <w:sz w:val="11"/>
                <w:szCs w:val="11"/>
                <w:color w:val="auto"/>
              </w:rPr>
              <w:t>Accrued income taxes</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6,557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3,885</w:t>
            </w:r>
          </w:p>
        </w:tc>
      </w:tr>
      <w:tr>
        <w:trPr>
          <w:trHeight w:val="158"/>
        </w:trPr>
        <w:tc>
          <w:tcPr>
            <w:tcW w:w="4440" w:type="dxa"/>
            <w:vAlign w:val="bottom"/>
            <w:gridSpan w:val="9"/>
          </w:tcPr>
          <w:p>
            <w:pPr>
              <w:ind w:left="240"/>
              <w:spacing w:after="0"/>
              <w:rPr>
                <w:sz w:val="20"/>
                <w:szCs w:val="20"/>
                <w:color w:val="auto"/>
              </w:rPr>
            </w:pPr>
            <w:r>
              <w:rPr>
                <w:rFonts w:ascii="Arial" w:cs="Arial" w:eastAsia="Arial" w:hAnsi="Arial"/>
                <w:sz w:val="11"/>
                <w:szCs w:val="11"/>
                <w:color w:val="auto"/>
              </w:rPr>
              <w:t>Other current liabilities</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49,796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44,567</w:t>
            </w:r>
          </w:p>
        </w:tc>
      </w:tr>
      <w:tr>
        <w:trPr>
          <w:trHeight w:val="22"/>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0"/>
        </w:trPr>
        <w:tc>
          <w:tcPr>
            <w:tcW w:w="4440" w:type="dxa"/>
            <w:vAlign w:val="bottom"/>
            <w:tcBorders>
              <w:bottom w:val="single" w:sz="8" w:color="CCEEFF"/>
            </w:tcBorders>
            <w:gridSpan w:val="9"/>
            <w:shd w:val="clear" w:color="auto" w:fill="CCEEFF"/>
          </w:tcPr>
          <w:p>
            <w:pPr>
              <w:ind w:left="240"/>
              <w:spacing w:after="0"/>
              <w:rPr>
                <w:sz w:val="20"/>
                <w:szCs w:val="20"/>
                <w:color w:val="auto"/>
              </w:rPr>
            </w:pPr>
            <w:r>
              <w:rPr>
                <w:rFonts w:ascii="Arial" w:cs="Arial" w:eastAsia="Arial" w:hAnsi="Arial"/>
                <w:sz w:val="11"/>
                <w:szCs w:val="11"/>
                <w:color w:val="auto"/>
              </w:rPr>
              <w:t>Current maturities on long-term debt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50,166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8"/>
        </w:trPr>
        <w:tc>
          <w:tcPr>
            <w:tcW w:w="420" w:type="dxa"/>
            <w:vAlign w:val="bottom"/>
          </w:tcPr>
          <w:p>
            <w:pPr>
              <w:spacing w:after="0"/>
              <w:rPr>
                <w:sz w:val="12"/>
                <w:szCs w:val="12"/>
                <w:color w:val="auto"/>
              </w:rPr>
            </w:pPr>
          </w:p>
        </w:tc>
        <w:tc>
          <w:tcPr>
            <w:tcW w:w="4020" w:type="dxa"/>
            <w:vAlign w:val="bottom"/>
            <w:gridSpan w:val="8"/>
          </w:tcPr>
          <w:p>
            <w:pPr>
              <w:ind w:left="40"/>
              <w:spacing w:after="0"/>
              <w:rPr>
                <w:sz w:val="20"/>
                <w:szCs w:val="20"/>
                <w:color w:val="auto"/>
              </w:rPr>
            </w:pPr>
            <w:r>
              <w:rPr>
                <w:rFonts w:ascii="Arial" w:cs="Arial" w:eastAsia="Arial" w:hAnsi="Arial"/>
                <w:sz w:val="11"/>
                <w:szCs w:val="11"/>
                <w:color w:val="auto"/>
              </w:rPr>
              <w:t>Total current liabilities</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241,945</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190,927</w:t>
            </w:r>
          </w:p>
        </w:tc>
      </w:tr>
      <w:tr>
        <w:trPr>
          <w:trHeight w:val="22"/>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444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1"/>
                <w:szCs w:val="11"/>
                <w:color w:val="auto"/>
              </w:rPr>
              <w:t>Long-term obligations, less current maturities</w:t>
            </w:r>
          </w:p>
        </w:tc>
        <w:tc>
          <w:tcPr>
            <w:tcW w:w="1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52,618</w:t>
            </w:r>
          </w:p>
        </w:tc>
      </w:tr>
      <w:tr>
        <w:trPr>
          <w:trHeight w:val="158"/>
        </w:trPr>
        <w:tc>
          <w:tcPr>
            <w:tcW w:w="4440" w:type="dxa"/>
            <w:vAlign w:val="bottom"/>
            <w:gridSpan w:val="9"/>
          </w:tcPr>
          <w:p>
            <w:pPr>
              <w:ind w:left="20"/>
              <w:spacing w:after="0"/>
              <w:rPr>
                <w:sz w:val="20"/>
                <w:szCs w:val="20"/>
                <w:color w:val="auto"/>
              </w:rPr>
            </w:pPr>
            <w:r>
              <w:rPr>
                <w:rFonts w:ascii="Arial" w:cs="Arial" w:eastAsia="Arial" w:hAnsi="Arial"/>
                <w:sz w:val="11"/>
                <w:szCs w:val="11"/>
                <w:color w:val="auto"/>
              </w:rPr>
              <w:t>Other liabilities</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64,589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61,274</w:t>
            </w:r>
          </w:p>
        </w:tc>
      </w:tr>
      <w:tr>
        <w:trPr>
          <w:trHeight w:val="22"/>
        </w:trPr>
        <w:tc>
          <w:tcPr>
            <w:tcW w:w="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0"/>
        </w:trPr>
        <w:tc>
          <w:tcPr>
            <w:tcW w:w="420" w:type="dxa"/>
            <w:vAlign w:val="bottom"/>
            <w:tcBorders>
              <w:bottom w:val="single" w:sz="8" w:color="CCEEFF"/>
            </w:tcBorders>
            <w:shd w:val="clear" w:color="auto" w:fill="CCEEFF"/>
          </w:tcPr>
          <w:p>
            <w:pPr>
              <w:spacing w:after="0"/>
              <w:rPr>
                <w:sz w:val="12"/>
                <w:szCs w:val="12"/>
                <w:color w:val="auto"/>
              </w:rPr>
            </w:pPr>
          </w:p>
        </w:tc>
        <w:tc>
          <w:tcPr>
            <w:tcW w:w="402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1"/>
                <w:szCs w:val="11"/>
                <w:color w:val="auto"/>
              </w:rPr>
              <w:t>Total liabilities</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306,534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304,819</w:t>
            </w:r>
          </w:p>
        </w:tc>
      </w:tr>
      <w:tr>
        <w:trPr>
          <w:trHeight w:val="149"/>
        </w:trPr>
        <w:tc>
          <w:tcPr>
            <w:tcW w:w="4440" w:type="dxa"/>
            <w:vAlign w:val="bottom"/>
            <w:gridSpan w:val="9"/>
          </w:tcPr>
          <w:p>
            <w:pPr>
              <w:ind w:left="20"/>
              <w:spacing w:after="0"/>
              <w:rPr>
                <w:sz w:val="20"/>
                <w:szCs w:val="20"/>
                <w:color w:val="auto"/>
              </w:rPr>
            </w:pPr>
            <w:r>
              <w:rPr>
                <w:rFonts w:ascii="Arial" w:cs="Arial" w:eastAsia="Arial" w:hAnsi="Arial"/>
                <w:sz w:val="11"/>
                <w:szCs w:val="11"/>
                <w:color w:val="auto"/>
              </w:rPr>
              <w:t>Stockholders’ equity:</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31"/>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48"/>
        </w:trPr>
        <w:tc>
          <w:tcPr>
            <w:tcW w:w="4440" w:type="dxa"/>
            <w:vAlign w:val="bottom"/>
            <w:gridSpan w:val="9"/>
            <w:shd w:val="clear" w:color="auto" w:fill="CCEEFF"/>
          </w:tcPr>
          <w:p>
            <w:pPr>
              <w:ind w:left="240"/>
              <w:spacing w:after="0"/>
              <w:rPr>
                <w:sz w:val="20"/>
                <w:szCs w:val="20"/>
                <w:color w:val="auto"/>
              </w:rPr>
            </w:pPr>
            <w:r>
              <w:rPr>
                <w:rFonts w:ascii="Arial" w:cs="Arial" w:eastAsia="Arial" w:hAnsi="Arial"/>
                <w:sz w:val="11"/>
                <w:szCs w:val="11"/>
                <w:color w:val="auto"/>
                <w:w w:val="90"/>
              </w:rPr>
              <w:t>Class A nonvoting common stock—Issued 51,261,487 shares, and outstanding 49,458,841 and</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38"/>
        </w:trPr>
        <w:tc>
          <w:tcPr>
            <w:tcW w:w="4440" w:type="dxa"/>
            <w:vAlign w:val="bottom"/>
            <w:tcBorders>
              <w:bottom w:val="single" w:sz="8" w:color="CCEEFF"/>
            </w:tcBorders>
            <w:gridSpan w:val="9"/>
            <w:shd w:val="clear" w:color="auto" w:fill="CCEEFF"/>
          </w:tcPr>
          <w:p>
            <w:pPr>
              <w:ind w:left="240"/>
              <w:spacing w:after="0"/>
              <w:rPr>
                <w:sz w:val="20"/>
                <w:szCs w:val="20"/>
                <w:color w:val="auto"/>
              </w:rPr>
            </w:pPr>
            <w:r>
              <w:rPr>
                <w:rFonts w:ascii="Arial" w:cs="Arial" w:eastAsia="Arial" w:hAnsi="Arial"/>
                <w:sz w:val="11"/>
                <w:szCs w:val="11"/>
                <w:color w:val="auto"/>
              </w:rPr>
              <w:t>48,393,617 shares, respectively</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513</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513</w:t>
            </w:r>
          </w:p>
        </w:tc>
      </w:tr>
      <w:tr>
        <w:trPr>
          <w:trHeight w:val="158"/>
        </w:trPr>
        <w:tc>
          <w:tcPr>
            <w:tcW w:w="4440" w:type="dxa"/>
            <w:vAlign w:val="bottom"/>
            <w:gridSpan w:val="9"/>
          </w:tcPr>
          <w:p>
            <w:pPr>
              <w:ind w:left="240"/>
              <w:spacing w:after="0"/>
              <w:rPr>
                <w:sz w:val="20"/>
                <w:szCs w:val="20"/>
                <w:color w:val="auto"/>
              </w:rPr>
            </w:pPr>
            <w:r>
              <w:rPr>
                <w:rFonts w:ascii="Arial" w:cs="Arial" w:eastAsia="Arial" w:hAnsi="Arial"/>
                <w:sz w:val="11"/>
                <w:szCs w:val="11"/>
                <w:color w:val="auto"/>
              </w:rPr>
              <w:t>Class B voting common stock—Issued and outstanding, 3,538,628 shares</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35</w:t>
            </w:r>
          </w:p>
        </w:tc>
      </w:tr>
      <w:tr>
        <w:trPr>
          <w:trHeight w:val="22"/>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4440" w:type="dxa"/>
            <w:vAlign w:val="bottom"/>
            <w:tcBorders>
              <w:bottom w:val="single" w:sz="8" w:color="CCEEFF"/>
            </w:tcBorders>
            <w:gridSpan w:val="9"/>
            <w:shd w:val="clear" w:color="auto" w:fill="CCEEFF"/>
          </w:tcPr>
          <w:p>
            <w:pPr>
              <w:ind w:left="240"/>
              <w:spacing w:after="0"/>
              <w:rPr>
                <w:sz w:val="20"/>
                <w:szCs w:val="20"/>
                <w:color w:val="auto"/>
              </w:rPr>
            </w:pPr>
            <w:r>
              <w:rPr>
                <w:rFonts w:ascii="Arial" w:cs="Arial" w:eastAsia="Arial" w:hAnsi="Arial"/>
                <w:sz w:val="11"/>
                <w:szCs w:val="11"/>
                <w:color w:val="auto"/>
              </w:rPr>
              <w:t>Additional paid-in capital</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329,969</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325,631</w:t>
            </w:r>
          </w:p>
        </w:tc>
      </w:tr>
      <w:tr>
        <w:trPr>
          <w:trHeight w:val="158"/>
        </w:trPr>
        <w:tc>
          <w:tcPr>
            <w:tcW w:w="4440" w:type="dxa"/>
            <w:vAlign w:val="bottom"/>
            <w:gridSpan w:val="9"/>
          </w:tcPr>
          <w:p>
            <w:pPr>
              <w:ind w:left="240"/>
              <w:spacing w:after="0"/>
              <w:rPr>
                <w:sz w:val="20"/>
                <w:szCs w:val="20"/>
                <w:color w:val="auto"/>
              </w:rPr>
            </w:pPr>
            <w:r>
              <w:rPr>
                <w:rFonts w:ascii="Arial" w:cs="Arial" w:eastAsia="Arial" w:hAnsi="Arial"/>
                <w:sz w:val="11"/>
                <w:szCs w:val="11"/>
                <w:color w:val="auto"/>
              </w:rPr>
              <w:t>Retained earnings</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637,843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553,454</w:t>
            </w:r>
          </w:p>
        </w:tc>
      </w:tr>
      <w:tr>
        <w:trPr>
          <w:trHeight w:val="22"/>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8"/>
        </w:trPr>
        <w:tc>
          <w:tcPr>
            <w:tcW w:w="4440" w:type="dxa"/>
            <w:vAlign w:val="bottom"/>
            <w:gridSpan w:val="9"/>
            <w:shd w:val="clear" w:color="auto" w:fill="CCEEFF"/>
          </w:tcPr>
          <w:p>
            <w:pPr>
              <w:ind w:left="240"/>
              <w:spacing w:after="0"/>
              <w:rPr>
                <w:sz w:val="20"/>
                <w:szCs w:val="20"/>
                <w:color w:val="auto"/>
              </w:rPr>
            </w:pPr>
            <w:r>
              <w:rPr>
                <w:rFonts w:ascii="Arial" w:cs="Arial" w:eastAsia="Arial" w:hAnsi="Arial"/>
                <w:sz w:val="11"/>
                <w:szCs w:val="11"/>
                <w:color w:val="auto"/>
                <w:w w:val="91"/>
              </w:rPr>
              <w:t>Treasury stock—1,802,646 and 2,867,870 shares, respectively of Class A nonvoting common</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38"/>
        </w:trPr>
        <w:tc>
          <w:tcPr>
            <w:tcW w:w="4440" w:type="dxa"/>
            <w:vAlign w:val="bottom"/>
            <w:tcBorders>
              <w:bottom w:val="single" w:sz="8" w:color="CCEEFF"/>
            </w:tcBorders>
            <w:gridSpan w:val="9"/>
            <w:shd w:val="clear" w:color="auto" w:fill="CCEEFF"/>
          </w:tcPr>
          <w:p>
            <w:pPr>
              <w:ind w:left="240"/>
              <w:spacing w:after="0"/>
              <w:rPr>
                <w:sz w:val="20"/>
                <w:szCs w:val="20"/>
                <w:color w:val="auto"/>
              </w:rPr>
            </w:pPr>
            <w:r>
              <w:rPr>
                <w:rFonts w:ascii="Arial" w:cs="Arial" w:eastAsia="Arial" w:hAnsi="Arial"/>
                <w:sz w:val="11"/>
                <w:szCs w:val="11"/>
                <w:color w:val="auto"/>
              </w:rPr>
              <w:t>stock, at cost</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(46,332)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(71,120)</w:t>
            </w:r>
          </w:p>
        </w:tc>
      </w:tr>
      <w:tr>
        <w:trPr>
          <w:trHeight w:val="158"/>
        </w:trPr>
        <w:tc>
          <w:tcPr>
            <w:tcW w:w="4440" w:type="dxa"/>
            <w:vAlign w:val="bottom"/>
            <w:gridSpan w:val="9"/>
          </w:tcPr>
          <w:p>
            <w:pPr>
              <w:ind w:left="240"/>
              <w:spacing w:after="0"/>
              <w:rPr>
                <w:sz w:val="20"/>
                <w:szCs w:val="20"/>
                <w:color w:val="auto"/>
              </w:rPr>
            </w:pPr>
            <w:r>
              <w:rPr>
                <w:rFonts w:ascii="Arial" w:cs="Arial" w:eastAsia="Arial" w:hAnsi="Arial"/>
                <w:sz w:val="11"/>
                <w:szCs w:val="11"/>
                <w:color w:val="auto"/>
              </w:rPr>
              <w:t>Accumulated other comprehensive loss</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(71,254)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(56,401)</w:t>
            </w:r>
          </w:p>
        </w:tc>
      </w:tr>
      <w:tr>
        <w:trPr>
          <w:trHeight w:val="22"/>
        </w:trPr>
        <w:tc>
          <w:tcPr>
            <w:tcW w:w="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0"/>
        </w:trPr>
        <w:tc>
          <w:tcPr>
            <w:tcW w:w="420" w:type="dxa"/>
            <w:vAlign w:val="bottom"/>
            <w:tcBorders>
              <w:bottom w:val="single" w:sz="8" w:color="CCEEFF"/>
            </w:tcBorders>
            <w:shd w:val="clear" w:color="auto" w:fill="CCEEFF"/>
          </w:tcPr>
          <w:p>
            <w:pPr>
              <w:spacing w:after="0"/>
              <w:rPr>
                <w:sz w:val="13"/>
                <w:szCs w:val="13"/>
                <w:color w:val="auto"/>
              </w:rPr>
            </w:pPr>
          </w:p>
        </w:tc>
        <w:tc>
          <w:tcPr>
            <w:tcW w:w="402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1"/>
                <w:szCs w:val="11"/>
                <w:color w:val="auto"/>
              </w:rPr>
              <w:t>Total stockholders’ equity</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850,774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752,112</w:t>
            </w:r>
          </w:p>
        </w:tc>
      </w:tr>
      <w:tr>
        <w:trPr>
          <w:trHeight w:val="138"/>
        </w:trPr>
        <w:tc>
          <w:tcPr>
            <w:tcW w:w="4440" w:type="dxa"/>
            <w:vAlign w:val="bottom"/>
            <w:gridSpan w:val="9"/>
          </w:tcPr>
          <w:p>
            <w:pPr>
              <w:ind w:left="20"/>
              <w:spacing w:after="0"/>
              <w:rPr>
                <w:sz w:val="20"/>
                <w:szCs w:val="20"/>
                <w:color w:val="auto"/>
              </w:rPr>
            </w:pPr>
            <w:r>
              <w:rPr>
                <w:rFonts w:ascii="Arial" w:cs="Arial" w:eastAsia="Arial" w:hAnsi="Arial"/>
                <w:sz w:val="11"/>
                <w:szCs w:val="11"/>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1,157,308</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1,056,931</w:t>
            </w:r>
          </w:p>
        </w:tc>
      </w:tr>
      <w:tr>
        <w:trPr>
          <w:trHeight w:val="29"/>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ectPr>
          <w:pgSz w:w="11900" w:h="16838" w:orient="portrait"/>
          <w:cols w:equalWidth="0" w:num="1">
            <w:col w:w="10239"/>
          </w:cols>
          <w:pgMar w:left="220" w:top="437" w:right="1440" w:bottom="1440" w:gutter="0" w:footer="0" w:header="0"/>
        </w:sectPr>
      </w:pPr>
    </w:p>
    <w:bookmarkStart w:id="8" w:name="page9"/>
    <w:bookmarkEnd w:id="8"/>
    <w:p>
      <w:pPr>
        <w:ind w:right="1540"/>
        <w:spacing w:after="0" w:line="252" w:lineRule="auto"/>
        <w:rPr>
          <w:sz w:val="20"/>
          <w:szCs w:val="20"/>
          <w:color w:val="auto"/>
        </w:rPr>
      </w:pPr>
      <w:r>
        <w:rPr>
          <w:rFonts w:ascii="Arial" w:cs="Arial" w:eastAsia="Arial" w:hAnsi="Arial"/>
          <w:sz w:val="11"/>
          <w:szCs w:val="11"/>
          <w:b w:val="1"/>
          <w:bCs w:val="1"/>
          <w:color w:val="auto"/>
        </w:rPr>
        <w:t>BRADY CORPORATION AND SUBSIDIARIES CONSOLIDATED STATEMENTS OF CASH FLOWS (Unaudited;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4117975" cy="120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7975" cy="12001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1"/>
          <w:szCs w:val="11"/>
          <w:color w:val="auto"/>
        </w:rPr>
        <w:t>Operating activities: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1"/>
          <w:szCs w:val="1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14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9"/>
          <w:szCs w:val="9"/>
          <w:color w:val="auto"/>
        </w:rPr>
        <w:t>Adjustments to reconcile net income to net cash provided by operating activities: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1"/>
          <w:szCs w:val="1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1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Non-cash portion of stock-based compensation expense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Gain on sale of business,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Deferred income taxes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Changes in operating assets and liabilities:</w:t>
      </w:r>
    </w:p>
    <w:p>
      <w:pPr>
        <w:spacing w:after="0" w:line="54" w:lineRule="exact"/>
        <w:rPr>
          <w:sz w:val="20"/>
          <w:szCs w:val="20"/>
          <w:color w:val="auto"/>
        </w:rPr>
      </w:pPr>
    </w:p>
    <w:p>
      <w:pPr>
        <w:ind w:left="740"/>
        <w:spacing w:after="0"/>
        <w:rPr>
          <w:sz w:val="20"/>
          <w:szCs w:val="20"/>
          <w:color w:val="auto"/>
        </w:rPr>
      </w:pPr>
      <w:r>
        <w:rPr>
          <w:rFonts w:ascii="Arial" w:cs="Arial" w:eastAsia="Arial" w:hAnsi="Arial"/>
          <w:sz w:val="11"/>
          <w:szCs w:val="11"/>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740"/>
        <w:spacing w:after="0"/>
        <w:rPr>
          <w:sz w:val="20"/>
          <w:szCs w:val="20"/>
          <w:color w:val="auto"/>
        </w:rPr>
      </w:pPr>
      <w:r>
        <w:rPr>
          <w:rFonts w:ascii="Arial" w:cs="Arial" w:eastAsia="Arial" w:hAnsi="Arial"/>
          <w:sz w:val="11"/>
          <w:szCs w:val="11"/>
          <w:color w:val="auto"/>
        </w:rPr>
        <w:t>Inventories</w:t>
      </w:r>
    </w:p>
    <w:p>
      <w:pPr>
        <w:spacing w:after="0" w:line="54" w:lineRule="exact"/>
        <w:rPr>
          <w:sz w:val="20"/>
          <w:szCs w:val="20"/>
          <w:color w:val="auto"/>
        </w:rPr>
      </w:pPr>
    </w:p>
    <w:p>
      <w:pPr>
        <w:ind w:left="740"/>
        <w:spacing w:after="0"/>
        <w:rPr>
          <w:sz w:val="20"/>
          <w:szCs w:val="20"/>
          <w:color w:val="auto"/>
        </w:rPr>
      </w:pPr>
      <w:r>
        <w:rPr>
          <w:rFonts w:ascii="Arial" w:cs="Arial" w:eastAsia="Arial" w:hAnsi="Arial"/>
          <w:sz w:val="11"/>
          <w:szCs w:val="11"/>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14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740"/>
        <w:spacing w:after="0"/>
        <w:rPr>
          <w:sz w:val="20"/>
          <w:szCs w:val="20"/>
          <w:color w:val="auto"/>
        </w:rPr>
      </w:pPr>
      <w:r>
        <w:rPr>
          <w:rFonts w:ascii="Arial" w:cs="Arial" w:eastAsia="Arial" w:hAnsi="Arial"/>
          <w:sz w:val="11"/>
          <w:szCs w:val="11"/>
          <w:color w:val="auto"/>
        </w:rPr>
        <w:t>Accounts payable and other liabilities</w:t>
      </w:r>
    </w:p>
    <w:p>
      <w:pPr>
        <w:spacing w:after="0" w:line="54" w:lineRule="exact"/>
        <w:rPr>
          <w:sz w:val="20"/>
          <w:szCs w:val="20"/>
          <w:color w:val="auto"/>
        </w:rPr>
      </w:pPr>
    </w:p>
    <w:p>
      <w:pPr>
        <w:ind w:left="740"/>
        <w:spacing w:after="0"/>
        <w:rPr>
          <w:sz w:val="20"/>
          <w:szCs w:val="20"/>
          <w:color w:val="auto"/>
        </w:rPr>
      </w:pPr>
      <w:r>
        <w:rPr>
          <w:rFonts w:ascii="Arial" w:cs="Arial" w:eastAsia="Arial" w:hAnsi="Arial"/>
          <w:sz w:val="11"/>
          <w:szCs w:val="1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4117975"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Investing activities: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Divestiture of business, net of cash transferred with business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4117975"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1"/>
          <w:szCs w:val="11"/>
          <w:color w:val="auto"/>
        </w:rPr>
        <w:t>Financing activities: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Proceeds from exercise of stock options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Purchase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Proceeds from borrowing on credit facilities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Repayment of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Other</w:t>
      </w:r>
    </w:p>
    <w:p>
      <w:pPr>
        <w:spacing w:after="0" w:line="54"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17975" cy="12001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1"/>
          <w:szCs w:val="11"/>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17975" cy="12001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117975"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4117975"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106362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63625" cy="571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80" w:type="dxa"/>
            <w:vAlign w:val="bottom"/>
          </w:tcPr>
          <w:p>
            <w:pPr>
              <w:spacing w:after="0"/>
              <w:rPr>
                <w:sz w:val="11"/>
                <w:szCs w:val="11"/>
                <w:color w:val="auto"/>
              </w:rPr>
            </w:pPr>
          </w:p>
        </w:tc>
        <w:tc>
          <w:tcPr>
            <w:tcW w:w="620" w:type="dxa"/>
            <w:vAlign w:val="bottom"/>
          </w:tcPr>
          <w:p>
            <w:pPr>
              <w:jc w:val="right"/>
              <w:ind w:right="226"/>
              <w:spacing w:after="0"/>
              <w:rPr>
                <w:sz w:val="20"/>
                <w:szCs w:val="20"/>
                <w:color w:val="auto"/>
              </w:rPr>
            </w:pPr>
            <w:r>
              <w:rPr>
                <w:rFonts w:ascii="Arial" w:cs="Arial" w:eastAsia="Arial" w:hAnsi="Arial"/>
                <w:sz w:val="11"/>
                <w:szCs w:val="11"/>
                <w:color w:val="auto"/>
              </w:rPr>
              <w:t>2019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246"/>
              <w:spacing w:after="0"/>
              <w:rPr>
                <w:sz w:val="20"/>
                <w:szCs w:val="20"/>
                <w:color w:val="auto"/>
              </w:rPr>
            </w:pPr>
            <w:r>
              <w:rPr>
                <w:rFonts w:ascii="Arial" w:cs="Arial" w:eastAsia="Arial" w:hAnsi="Arial"/>
                <w:sz w:val="11"/>
                <w:szCs w:val="11"/>
                <w:color w:val="auto"/>
              </w:rPr>
              <w:t>2018</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27"/>
        </w:trPr>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131,258</w:t>
            </w:r>
          </w:p>
        </w:tc>
        <w:tc>
          <w:tcPr>
            <w:tcW w:w="80" w:type="dxa"/>
            <w:vAlign w:val="bottom"/>
          </w:tcPr>
          <w:p>
            <w:pPr>
              <w:spacing w:after="0"/>
              <w:rPr>
                <w:sz w:val="24"/>
                <w:szCs w:val="2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91,060</w:t>
            </w:r>
          </w:p>
        </w:tc>
      </w:tr>
      <w:tr>
        <w:trPr>
          <w:trHeight w:val="360"/>
        </w:trPr>
        <w:tc>
          <w:tcPr>
            <w:tcW w:w="18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23,799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25,442</w:t>
            </w:r>
          </w:p>
        </w:tc>
      </w:tr>
      <w:tr>
        <w:trPr>
          <w:trHeight w:val="180"/>
        </w:trPr>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12,092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9,980</w:t>
            </w:r>
          </w:p>
        </w:tc>
      </w:tr>
      <w:tr>
        <w:trPr>
          <w:trHeight w:val="180"/>
        </w:trPr>
        <w:tc>
          <w:tcPr>
            <w:tcW w:w="1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(4,666)</w:t>
            </w:r>
          </w:p>
        </w:tc>
      </w:tr>
      <w:tr>
        <w:trPr>
          <w:trHeight w:val="180"/>
        </w:trPr>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7,825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33,656</w:t>
            </w:r>
          </w:p>
        </w:tc>
      </w:tr>
      <w:tr>
        <w:trPr>
          <w:trHeight w:val="180"/>
        </w:trPr>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2,347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360"/>
        </w:trPr>
        <w:tc>
          <w:tcPr>
            <w:tcW w:w="18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3,496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(16,612)</w:t>
            </w:r>
          </w:p>
        </w:tc>
      </w:tr>
      <w:tr>
        <w:trPr>
          <w:trHeight w:val="180"/>
        </w:trPr>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(7,563)</w:t>
            </w:r>
          </w:p>
        </w:tc>
      </w:tr>
      <w:tr>
        <w:trPr>
          <w:trHeight w:val="180"/>
        </w:trPr>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1,747</w:t>
            </w:r>
          </w:p>
        </w:tc>
      </w:tr>
      <w:tr>
        <w:trPr>
          <w:trHeight w:val="180"/>
        </w:trPr>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(11,903)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13,106</w:t>
            </w:r>
          </w:p>
        </w:tc>
      </w:tr>
      <w:tr>
        <w:trPr>
          <w:trHeight w:val="180"/>
        </w:trPr>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2,851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(3,093)</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8"/>
        </w:trPr>
        <w:tc>
          <w:tcPr>
            <w:tcW w:w="18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162,211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143,042</w:t>
            </w:r>
          </w:p>
        </w:tc>
      </w:tr>
      <w:tr>
        <w:trPr>
          <w:trHeight w:val="549"/>
        </w:trPr>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(32,825)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(21,777)</w:t>
            </w:r>
          </w:p>
        </w:tc>
      </w:tr>
      <w:tr>
        <w:trPr>
          <w:trHeight w:val="180"/>
        </w:trPr>
        <w:tc>
          <w:tcPr>
            <w:tcW w:w="1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19,141</w:t>
            </w:r>
          </w:p>
        </w:tc>
      </w:tr>
      <w:tr>
        <w:trPr>
          <w:trHeight w:val="180"/>
        </w:trPr>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(1,638)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(269)</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8"/>
        </w:trPr>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(34,463)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(2,905)</w:t>
            </w:r>
          </w:p>
        </w:tc>
      </w:tr>
      <w:tr>
        <w:trPr>
          <w:trHeight w:val="549"/>
        </w:trPr>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(44,734)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(42,873)</w:t>
            </w:r>
          </w:p>
        </w:tc>
      </w:tr>
      <w:tr>
        <w:trPr>
          <w:trHeight w:val="180"/>
        </w:trPr>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23,466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12,099</w:t>
            </w:r>
          </w:p>
        </w:tc>
      </w:tr>
      <w:tr>
        <w:trPr>
          <w:trHeight w:val="180"/>
        </w:trPr>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(3,182)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(1,462)</w:t>
            </w:r>
          </w:p>
        </w:tc>
      </w:tr>
      <w:tr>
        <w:trPr>
          <w:trHeight w:val="180"/>
        </w:trPr>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13,637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23,221</w:t>
            </w:r>
          </w:p>
        </w:tc>
      </w:tr>
      <w:tr>
        <w:trPr>
          <w:trHeight w:val="180"/>
        </w:trPr>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(13,568)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(78,419)</w:t>
            </w:r>
          </w:p>
        </w:tc>
      </w:tr>
      <w:tr>
        <w:trPr>
          <w:trHeight w:val="180"/>
        </w:trPr>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(3,246)</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8"/>
        </w:trPr>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(27,628)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(90,680)</w:t>
            </w:r>
          </w:p>
        </w:tc>
      </w:tr>
      <w:tr>
        <w:trPr>
          <w:trHeight w:val="369"/>
        </w:trPr>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(1,974)</w:t>
            </w:r>
          </w:p>
        </w:tc>
      </w:tr>
      <w:tr>
        <w:trPr>
          <w:trHeight w:val="369"/>
        </w:trPr>
        <w:tc>
          <w:tcPr>
            <w:tcW w:w="18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97,645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47,483</w:t>
            </w:r>
          </w:p>
        </w:tc>
      </w:tr>
      <w:tr>
        <w:trPr>
          <w:trHeight w:val="180"/>
        </w:trPr>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181,427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133,944</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080" w:space="720"/>
            <w:col w:w="5439"/>
          </w:cols>
          <w:pgMar w:left="220" w:top="437" w:right="1440" w:bottom="1440" w:gutter="0" w:footer="0" w:header="0"/>
        </w:sectPr>
      </w:pPr>
    </w:p>
    <w:p>
      <w:pPr>
        <w:spacing w:after="0" w:line="2" w:lineRule="exact"/>
        <w:rPr>
          <w:sz w:val="20"/>
          <w:szCs w:val="20"/>
          <w:color w:val="auto"/>
        </w:rPr>
      </w:pPr>
    </w:p>
    <w:p>
      <w:pPr>
        <w:ind w:left="20"/>
        <w:spacing w:after="0"/>
        <w:tabs>
          <w:tab w:leader="none" w:pos="4800" w:val="left"/>
          <w:tab w:leader="none" w:pos="5180" w:val="left"/>
          <w:tab w:leader="none" w:pos="5680" w:val="left"/>
          <w:tab w:leader="none" w:pos="6060" w:val="left"/>
        </w:tabs>
        <w:rPr>
          <w:sz w:val="20"/>
          <w:szCs w:val="20"/>
          <w:color w:val="auto"/>
        </w:rPr>
      </w:pPr>
      <w:r>
        <w:rPr>
          <w:rFonts w:ascii="Arial" w:cs="Arial" w:eastAsia="Arial" w:hAnsi="Arial"/>
          <w:sz w:val="11"/>
          <w:szCs w:val="11"/>
          <w:color w:val="auto"/>
        </w:rPr>
        <w:t>Cash and cash equivalents, end of period</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279,072</w:t>
        <w:tab/>
        <w:t>$</w:t>
      </w:r>
      <w:r>
        <w:rPr>
          <w:sz w:val="20"/>
          <w:szCs w:val="20"/>
          <w:color w:val="auto"/>
        </w:rPr>
        <w:tab/>
      </w:r>
      <w:r>
        <w:rPr>
          <w:rFonts w:ascii="Arial" w:cs="Arial" w:eastAsia="Arial" w:hAnsi="Arial"/>
          <w:sz w:val="9"/>
          <w:szCs w:val="9"/>
          <w:color w:val="auto"/>
        </w:rPr>
        <w:t>181,427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106362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63625" cy="5715"/>
                    </a:xfrm>
                    <a:prstGeom prst="rect">
                      <a:avLst/>
                    </a:prstGeom>
                    <a:noFill/>
                  </pic:spPr>
                </pic:pic>
              </a:graphicData>
            </a:graphic>
          </wp:anchor>
        </w:drawing>
      </w:r>
    </w:p>
    <w:p>
      <w:pPr>
        <w:sectPr>
          <w:pgSz w:w="11900" w:h="16838" w:orient="portrait"/>
          <w:cols w:equalWidth="0" w:num="1">
            <w:col w:w="10239"/>
          </w:cols>
          <w:pgMar w:left="220" w:top="437" w:right="1440" w:bottom="1440" w:gutter="0" w:footer="0" w:header="0"/>
          <w:type w:val="continuous"/>
        </w:sectPr>
      </w:pPr>
    </w:p>
    <w:bookmarkStart w:id="9" w:name="page10"/>
    <w:bookmarkEnd w:id="9"/>
    <w:p>
      <w:pPr>
        <w:ind w:right="340"/>
        <w:spacing w:after="0" w:line="252" w:lineRule="auto"/>
        <w:rPr>
          <w:sz w:val="20"/>
          <w:szCs w:val="20"/>
          <w:color w:val="auto"/>
        </w:rPr>
      </w:pPr>
      <w:r>
        <w:rPr>
          <w:rFonts w:ascii="Arial" w:cs="Arial" w:eastAsia="Arial" w:hAnsi="Arial"/>
          <w:sz w:val="11"/>
          <w:szCs w:val="11"/>
          <w:b w:val="1"/>
          <w:bCs w:val="1"/>
          <w:color w:val="auto"/>
        </w:rPr>
        <w:t>BRADY CORPORATION AND SUBSIDIARIES SEGMENT INFORMATION (Unaudited; Dollars in thousands)</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NET SALES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ID Solutions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Workplace Safety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Total</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SALES INFORMATION</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shd w:val="clear" w:color="auto" w:fill="CCEEFF"/>
        </w:rPr>
        <w:t>ID Solutions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Organic</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shd w:val="clear" w:color="auto" w:fill="CCEEFF"/>
        </w:rPr>
        <w:t>Currency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Total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Workplace Safety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Organic</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Currency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Divestitures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Total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Total Company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Organic</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Currency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Divestitures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Total</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SEGMENT PROFIT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ID Solutions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Workplace Safety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Total</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SEGMENT PROFIT AS A PERCENT OF NET SALES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ID Solutions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Workplace Safety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segment profit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1"/>
          <w:szCs w:val="11"/>
          <w:color w:val="auto"/>
        </w:rPr>
        <w:t>Unallocated amounts: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Administrative costs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Gain on sale of business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Investment and other income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Interest expense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Income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180" w:type="dxa"/>
            <w:vAlign w:val="bottom"/>
          </w:tcPr>
          <w:p>
            <w:pPr>
              <w:spacing w:after="0"/>
              <w:rPr>
                <w:sz w:val="11"/>
                <w:szCs w:val="11"/>
                <w:color w:val="auto"/>
              </w:rPr>
            </w:pPr>
          </w:p>
        </w:tc>
        <w:tc>
          <w:tcPr>
            <w:tcW w:w="1680" w:type="dxa"/>
            <w:vAlign w:val="bottom"/>
            <w:gridSpan w:val="5"/>
          </w:tcPr>
          <w:p>
            <w:pPr>
              <w:ind w:left="100"/>
              <w:spacing w:after="0"/>
              <w:rPr>
                <w:sz w:val="20"/>
                <w:szCs w:val="20"/>
                <w:color w:val="auto"/>
              </w:rPr>
            </w:pPr>
            <w:r>
              <w:rPr>
                <w:rFonts w:ascii="Arial" w:cs="Arial" w:eastAsia="Arial" w:hAnsi="Arial"/>
                <w:sz w:val="11"/>
                <w:szCs w:val="11"/>
                <w:color w:val="auto"/>
              </w:rPr>
              <w:t>Three months ended July 31,</w:t>
            </w:r>
          </w:p>
        </w:tc>
        <w:tc>
          <w:tcPr>
            <w:tcW w:w="180" w:type="dxa"/>
            <w:vAlign w:val="bottom"/>
          </w:tcPr>
          <w:p>
            <w:pPr>
              <w:spacing w:after="0"/>
              <w:rPr>
                <w:sz w:val="11"/>
                <w:szCs w:val="11"/>
                <w:color w:val="auto"/>
              </w:rPr>
            </w:pPr>
          </w:p>
        </w:tc>
        <w:tc>
          <w:tcPr>
            <w:tcW w:w="1600" w:type="dxa"/>
            <w:vAlign w:val="bottom"/>
            <w:gridSpan w:val="4"/>
          </w:tcPr>
          <w:p>
            <w:pPr>
              <w:jc w:val="right"/>
              <w:ind w:right="406"/>
              <w:spacing w:after="0"/>
              <w:rPr>
                <w:sz w:val="20"/>
                <w:szCs w:val="20"/>
                <w:color w:val="auto"/>
              </w:rPr>
            </w:pPr>
            <w:r>
              <w:rPr>
                <w:rFonts w:ascii="Arial" w:cs="Arial" w:eastAsia="Arial" w:hAnsi="Arial"/>
                <w:sz w:val="11"/>
                <w:szCs w:val="11"/>
                <w:color w:val="auto"/>
              </w:rPr>
              <w:t>Year ended July 31,</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7"/>
        </w:trPr>
        <w:tc>
          <w:tcPr>
            <w:tcW w:w="180" w:type="dxa"/>
            <w:vAlign w:val="bottom"/>
          </w:tcPr>
          <w:p>
            <w:pPr>
              <w:spacing w:after="0"/>
              <w:rPr>
                <w:sz w:val="12"/>
                <w:szCs w:val="12"/>
                <w:color w:val="auto"/>
              </w:rPr>
            </w:pPr>
          </w:p>
        </w:tc>
        <w:tc>
          <w:tcPr>
            <w:tcW w:w="680" w:type="dxa"/>
            <w:vAlign w:val="bottom"/>
          </w:tcPr>
          <w:p>
            <w:pPr>
              <w:jc w:val="right"/>
              <w:ind w:right="266"/>
              <w:spacing w:after="0"/>
              <w:rPr>
                <w:sz w:val="20"/>
                <w:szCs w:val="20"/>
                <w:color w:val="auto"/>
              </w:rPr>
            </w:pPr>
            <w:r>
              <w:rPr>
                <w:rFonts w:ascii="Arial" w:cs="Arial" w:eastAsia="Arial" w:hAnsi="Arial"/>
                <w:sz w:val="11"/>
                <w:szCs w:val="11"/>
                <w:color w:val="auto"/>
              </w:rPr>
              <w:t>2019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6"/>
              <w:spacing w:after="0"/>
              <w:rPr>
                <w:sz w:val="20"/>
                <w:szCs w:val="20"/>
                <w:color w:val="auto"/>
              </w:rPr>
            </w:pPr>
            <w:r>
              <w:rPr>
                <w:rFonts w:ascii="Arial" w:cs="Arial" w:eastAsia="Arial" w:hAnsi="Arial"/>
                <w:sz w:val="11"/>
                <w:szCs w:val="11"/>
                <w:color w:val="auto"/>
              </w:rPr>
              <w:t>2018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66"/>
              <w:spacing w:after="0"/>
              <w:rPr>
                <w:sz w:val="20"/>
                <w:szCs w:val="20"/>
                <w:color w:val="auto"/>
              </w:rPr>
            </w:pPr>
            <w:r>
              <w:rPr>
                <w:rFonts w:ascii="Arial" w:cs="Arial" w:eastAsia="Arial" w:hAnsi="Arial"/>
                <w:sz w:val="11"/>
                <w:szCs w:val="11"/>
                <w:color w:val="auto"/>
              </w:rPr>
              <w:t>2019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66"/>
              <w:spacing w:after="0"/>
              <w:rPr>
                <w:sz w:val="20"/>
                <w:szCs w:val="20"/>
                <w:color w:val="auto"/>
              </w:rPr>
            </w:pPr>
            <w:r>
              <w:rPr>
                <w:rFonts w:ascii="Arial" w:cs="Arial" w:eastAsia="Arial" w:hAnsi="Arial"/>
                <w:sz w:val="11"/>
                <w:szCs w:val="11"/>
                <w:color w:val="auto"/>
              </w:rPr>
              <w:t>2018</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27"/>
        </w:trPr>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221,817</w:t>
            </w:r>
          </w:p>
        </w:tc>
        <w:tc>
          <w:tcPr>
            <w:tcW w:w="60" w:type="dxa"/>
            <w:vAlign w:val="bottom"/>
          </w:tcPr>
          <w:p>
            <w:pPr>
              <w:spacing w:after="0"/>
              <w:rPr>
                <w:sz w:val="24"/>
                <w:szCs w:val="24"/>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217,796</w:t>
            </w:r>
          </w:p>
        </w:tc>
        <w:tc>
          <w:tcPr>
            <w:tcW w:w="80" w:type="dxa"/>
            <w:vAlign w:val="bottom"/>
          </w:tcPr>
          <w:p>
            <w:pPr>
              <w:spacing w:after="0"/>
              <w:rPr>
                <w:sz w:val="24"/>
                <w:szCs w:val="2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863,100</w:t>
            </w:r>
          </w:p>
        </w:tc>
        <w:tc>
          <w:tcPr>
            <w:tcW w:w="60" w:type="dxa"/>
            <w:vAlign w:val="bottom"/>
          </w:tcPr>
          <w:p>
            <w:pPr>
              <w:spacing w:after="0"/>
              <w:rPr>
                <w:sz w:val="24"/>
                <w:szCs w:val="24"/>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846,087</w:t>
            </w:r>
          </w:p>
        </w:tc>
      </w:tr>
      <w:tr>
        <w:trPr>
          <w:trHeight w:val="180"/>
        </w:trPr>
        <w:tc>
          <w:tcPr>
            <w:tcW w:w="180" w:type="dxa"/>
            <w:vAlign w:val="bottom"/>
          </w:tcPr>
          <w:p>
            <w:pPr>
              <w:spacing w:after="0"/>
              <w:rPr>
                <w:sz w:val="15"/>
                <w:szCs w:val="15"/>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73,461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79,703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297,545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327,764</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38"/>
        </w:trPr>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295,278</w:t>
            </w:r>
          </w:p>
        </w:tc>
        <w:tc>
          <w:tcPr>
            <w:tcW w:w="6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297,499</w:t>
            </w:r>
          </w:p>
        </w:tc>
        <w:tc>
          <w:tcPr>
            <w:tcW w:w="8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1,160,645</w:t>
            </w:r>
          </w:p>
        </w:tc>
        <w:tc>
          <w:tcPr>
            <w:tcW w:w="6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1,173,851</w:t>
            </w:r>
          </w:p>
        </w:tc>
      </w:tr>
      <w:tr>
        <w:trPr>
          <w:trHeight w:val="29"/>
        </w:trPr>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-480060</wp:posOffset>
            </wp:positionV>
            <wp:extent cx="4106545"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06545" cy="12001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-245110</wp:posOffset>
            </wp:positionV>
            <wp:extent cx="4106545"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-10795</wp:posOffset>
            </wp:positionV>
            <wp:extent cx="4106545" cy="131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06545" cy="13144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234315</wp:posOffset>
            </wp:positionV>
            <wp:extent cx="4106545"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06545" cy="11430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3.3 %</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2.4 %</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4.1 %</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3.4 %</w:t>
            </w:r>
          </w:p>
        </w:tc>
      </w:tr>
      <w:tr>
        <w:trPr>
          <w:trHeight w:val="180"/>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0.7 %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2.3 %</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1.8 %</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3.1 %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5.7 %</w:t>
            </w:r>
          </w:p>
        </w:tc>
      </w:tr>
      <w:tr>
        <w:trPr>
          <w:trHeight w:val="29"/>
        </w:trPr>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3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3.0 %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0.7 %</w:t>
            </w:r>
          </w:p>
        </w:tc>
      </w:tr>
      <w:tr>
        <w:trPr>
          <w:trHeight w:val="180"/>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4.6 %</w:t>
            </w:r>
          </w:p>
        </w:tc>
      </w:tr>
      <w:tr>
        <w:trPr>
          <w:trHeight w:val="180"/>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(0.6)%</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2.3 %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4.7 %</w:t>
            </w:r>
          </w:p>
        </w:tc>
      </w:tr>
      <w:tr>
        <w:trPr>
          <w:trHeight w:val="29"/>
        </w:trPr>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3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1.7 %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2.8 %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2.6 %</w:t>
            </w:r>
          </w:p>
        </w:tc>
      </w:tr>
      <w:tr>
        <w:trPr>
          <w:trHeight w:val="180"/>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3.0 %</w:t>
            </w:r>
          </w:p>
        </w:tc>
      </w:tr>
      <w:tr>
        <w:trPr>
          <w:trHeight w:val="180"/>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2.9 %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5.4 %</w:t>
            </w:r>
          </w:p>
        </w:tc>
      </w:tr>
      <w:tr>
        <w:trPr>
          <w:trHeight w:val="29"/>
        </w:trPr>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527"/>
        </w:trPr>
        <w:tc>
          <w:tcPr>
            <w:tcW w:w="200" w:type="dxa"/>
            <w:vAlign w:val="bottom"/>
            <w:gridSpan w:val="2"/>
          </w:tcPr>
          <w:p>
            <w:pPr>
              <w:jc w:val="right"/>
              <w:ind w:right="120"/>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45,642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36,515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164,953</w:t>
            </w:r>
          </w:p>
        </w:tc>
        <w:tc>
          <w:tcPr>
            <w:tcW w:w="60" w:type="dxa"/>
            <w:vAlign w:val="bottom"/>
          </w:tcPr>
          <w:p>
            <w:pPr>
              <w:spacing w:after="0"/>
              <w:rPr>
                <w:sz w:val="24"/>
                <w:szCs w:val="24"/>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143,411</w:t>
            </w:r>
          </w:p>
        </w:tc>
      </w:tr>
      <w:tr>
        <w:trPr>
          <w:trHeight w:val="180"/>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6,724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10,675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23,025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31,712</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200" w:type="dxa"/>
            <w:vAlign w:val="bottom"/>
            <w:gridSpan w:val="2"/>
          </w:tcPr>
          <w:p>
            <w:pPr>
              <w:jc w:val="right"/>
              <w:ind w:right="120"/>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52,366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47,190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187,978</w:t>
            </w:r>
          </w:p>
        </w:tc>
        <w:tc>
          <w:tcPr>
            <w:tcW w:w="60" w:type="dxa"/>
            <w:vAlign w:val="bottom"/>
          </w:tcPr>
          <w:p>
            <w:pPr>
              <w:spacing w:after="0"/>
              <w:rPr>
                <w:sz w:val="12"/>
                <w:szCs w:val="12"/>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175,123</w:t>
            </w:r>
          </w:p>
        </w:tc>
      </w:tr>
      <w:tr>
        <w:trPr>
          <w:trHeight w:val="29"/>
        </w:trPr>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3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20.6 %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16.8 %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19.1 %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16.9 %</w:t>
            </w:r>
          </w:p>
        </w:tc>
      </w:tr>
      <w:tr>
        <w:trPr>
          <w:trHeight w:val="180"/>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9.2 %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13.4 %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7.7 %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9.7 %</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17.7 %</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15.9 %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16.2 %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14.9 %</w:t>
            </w:r>
          </w:p>
        </w:tc>
      </w:tr>
      <w:tr>
        <w:trPr>
          <w:trHeight w:val="29"/>
        </w:trPr>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r>
      <w:tr>
        <w:trPr>
          <w:trHeight w:val="39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8"/>
          </w:tcPr>
          <w:p>
            <w:pPr>
              <w:ind w:left="100"/>
              <w:spacing w:after="0"/>
              <w:rPr>
                <w:sz w:val="20"/>
                <w:szCs w:val="20"/>
                <w:color w:val="auto"/>
              </w:rPr>
            </w:pPr>
            <w:r>
              <w:rPr>
                <w:rFonts w:ascii="Arial" w:cs="Arial" w:eastAsia="Arial" w:hAnsi="Arial"/>
                <w:sz w:val="11"/>
                <w:szCs w:val="11"/>
                <w:color w:val="auto"/>
              </w:rPr>
              <w:t>Three months ended July 31,</w:t>
            </w:r>
          </w:p>
        </w:tc>
        <w:tc>
          <w:tcPr>
            <w:tcW w:w="200" w:type="dxa"/>
            <w:vAlign w:val="bottom"/>
          </w:tcPr>
          <w:p>
            <w:pPr>
              <w:spacing w:after="0"/>
              <w:rPr>
                <w:sz w:val="24"/>
                <w:szCs w:val="24"/>
                <w:color w:val="auto"/>
              </w:rPr>
            </w:pPr>
          </w:p>
        </w:tc>
        <w:tc>
          <w:tcPr>
            <w:tcW w:w="1580" w:type="dxa"/>
            <w:vAlign w:val="bottom"/>
            <w:gridSpan w:val="5"/>
          </w:tcPr>
          <w:p>
            <w:pPr>
              <w:jc w:val="right"/>
              <w:ind w:right="386"/>
              <w:spacing w:after="0"/>
              <w:rPr>
                <w:sz w:val="20"/>
                <w:szCs w:val="20"/>
                <w:color w:val="auto"/>
              </w:rPr>
            </w:pPr>
            <w:r>
              <w:rPr>
                <w:rFonts w:ascii="Arial" w:cs="Arial" w:eastAsia="Arial" w:hAnsi="Arial"/>
                <w:sz w:val="11"/>
                <w:szCs w:val="11"/>
                <w:color w:val="auto"/>
              </w:rPr>
              <w:t>Year ended July 31,</w:t>
            </w:r>
          </w:p>
        </w:tc>
      </w:tr>
      <w:tr>
        <w:trPr>
          <w:trHeight w:val="22"/>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46"/>
              <w:spacing w:after="0"/>
              <w:rPr>
                <w:sz w:val="20"/>
                <w:szCs w:val="20"/>
                <w:color w:val="auto"/>
              </w:rPr>
            </w:pPr>
            <w:r>
              <w:rPr>
                <w:rFonts w:ascii="Arial" w:cs="Arial" w:eastAsia="Arial" w:hAnsi="Arial"/>
                <w:sz w:val="11"/>
                <w:szCs w:val="11"/>
                <w:color w:val="auto"/>
              </w:rPr>
              <w:t>2019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246"/>
              <w:spacing w:after="0"/>
              <w:rPr>
                <w:sz w:val="20"/>
                <w:szCs w:val="20"/>
                <w:color w:val="auto"/>
              </w:rPr>
            </w:pPr>
            <w:r>
              <w:rPr>
                <w:rFonts w:ascii="Arial" w:cs="Arial" w:eastAsia="Arial" w:hAnsi="Arial"/>
                <w:sz w:val="11"/>
                <w:szCs w:val="11"/>
                <w:color w:val="auto"/>
              </w:rPr>
              <w:t>2018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6"/>
              <w:spacing w:after="0"/>
              <w:rPr>
                <w:sz w:val="20"/>
                <w:szCs w:val="20"/>
                <w:color w:val="auto"/>
              </w:rPr>
            </w:pPr>
            <w:r>
              <w:rPr>
                <w:rFonts w:ascii="Arial" w:cs="Arial" w:eastAsia="Arial" w:hAnsi="Arial"/>
                <w:sz w:val="11"/>
                <w:szCs w:val="11"/>
                <w:color w:val="auto"/>
              </w:rPr>
              <w:t>2019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66"/>
              <w:spacing w:after="0"/>
              <w:rPr>
                <w:sz w:val="20"/>
                <w:szCs w:val="20"/>
                <w:color w:val="auto"/>
              </w:rPr>
            </w:pPr>
            <w:r>
              <w:rPr>
                <w:rFonts w:ascii="Arial" w:cs="Arial" w:eastAsia="Arial" w:hAnsi="Arial"/>
                <w:sz w:val="11"/>
                <w:szCs w:val="11"/>
                <w:color w:val="auto"/>
              </w:rPr>
              <w:t>2018</w:t>
            </w:r>
          </w:p>
        </w:tc>
      </w:tr>
      <w:tr>
        <w:trPr>
          <w:trHeight w:val="22"/>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2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52,366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47,190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ind w:right="69"/>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187,978</w:t>
            </w:r>
          </w:p>
        </w:tc>
        <w:tc>
          <w:tcPr>
            <w:tcW w:w="60" w:type="dxa"/>
            <w:vAlign w:val="bottom"/>
          </w:tcPr>
          <w:p>
            <w:pPr>
              <w:spacing w:after="0"/>
              <w:rPr>
                <w:sz w:val="12"/>
                <w:szCs w:val="12"/>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175,123</w:t>
            </w:r>
          </w:p>
        </w:tc>
      </w:tr>
      <w:tr>
        <w:trPr>
          <w:trHeight w:val="36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(6,211)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(7,076)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(25,550)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(27,093)</w:t>
            </w:r>
          </w:p>
        </w:tc>
      </w:tr>
      <w:tr>
        <w:trPr>
          <w:trHeight w:val="180"/>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4,666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4,666</w:t>
            </w:r>
          </w:p>
        </w:tc>
      </w:tr>
      <w:tr>
        <w:trPr>
          <w:trHeight w:val="180"/>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1,621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1,184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5,046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2,487</w:t>
            </w:r>
          </w:p>
        </w:tc>
      </w:tr>
      <w:tr>
        <w:trPr>
          <w:trHeight w:val="180"/>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(693)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(2,830)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(3,168)</w:t>
            </w:r>
          </w:p>
        </w:tc>
      </w:tr>
      <w:tr>
        <w:trPr>
          <w:trHeight w:val="22"/>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2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47,083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45,249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ind w:right="69"/>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164,644</w:t>
            </w:r>
          </w:p>
        </w:tc>
        <w:tc>
          <w:tcPr>
            <w:tcW w:w="60" w:type="dxa"/>
            <w:vAlign w:val="bottom"/>
          </w:tcPr>
          <w:p>
            <w:pPr>
              <w:spacing w:after="0"/>
              <w:rPr>
                <w:sz w:val="12"/>
                <w:szCs w:val="12"/>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152,015</w:t>
            </w:r>
          </w:p>
        </w:tc>
      </w:tr>
      <w:tr>
        <w:trPr>
          <w:trHeight w:val="29"/>
        </w:trPr>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-3694430</wp:posOffset>
            </wp:positionV>
            <wp:extent cx="4106545"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-3459480</wp:posOffset>
            </wp:positionV>
            <wp:extent cx="4106545" cy="125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06545" cy="12573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-3219450</wp:posOffset>
            </wp:positionV>
            <wp:extent cx="4106545" cy="11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-2990850</wp:posOffset>
            </wp:positionV>
            <wp:extent cx="410654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06545" cy="12001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-2744470</wp:posOffset>
            </wp:positionV>
            <wp:extent cx="4106545" cy="114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-2515870</wp:posOffset>
            </wp:positionV>
            <wp:extent cx="4106545" cy="114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-2281555</wp:posOffset>
            </wp:positionV>
            <wp:extent cx="4106545" cy="131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06545" cy="13144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-2035175</wp:posOffset>
            </wp:positionV>
            <wp:extent cx="4106545" cy="114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-1806575</wp:posOffset>
            </wp:positionV>
            <wp:extent cx="4106545"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06545" cy="12001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-1560830</wp:posOffset>
            </wp:positionV>
            <wp:extent cx="4106545" cy="114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-1332230</wp:posOffset>
            </wp:positionV>
            <wp:extent cx="4106545"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06545" cy="12001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-817245</wp:posOffset>
            </wp:positionV>
            <wp:extent cx="4112260" cy="114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12260"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-588645</wp:posOffset>
            </wp:positionV>
            <wp:extent cx="4112260" cy="114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12260"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-359410</wp:posOffset>
            </wp:positionV>
            <wp:extent cx="4112260" cy="114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12260"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-130810</wp:posOffset>
            </wp:positionV>
            <wp:extent cx="411226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12260" cy="120015"/>
                    </a:xfrm>
                    <a:prstGeom prst="rect">
                      <a:avLst/>
                    </a:prstGeom>
                    <a:noFill/>
                  </pic:spPr>
                </pic:pic>
              </a:graphicData>
            </a:graphic>
          </wp:anchor>
        </w:drawing>
      </w:r>
    </w:p>
    <w:p>
      <w:pPr>
        <w:sectPr>
          <w:pgSz w:w="11900" w:h="16838" w:orient="portrait"/>
          <w:cols w:equalWidth="0" w:num="2">
            <w:col w:w="2600" w:space="220"/>
            <w:col w:w="7419"/>
          </w:cols>
          <w:pgMar w:left="220" w:top="437"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3"/>
          <w:szCs w:val="13"/>
          <w:b w:val="1"/>
          <w:bCs w:val="1"/>
          <w:u w:val="single" w:color="auto"/>
          <w:color w:val="auto"/>
        </w:rPr>
        <w:t>EXHIBIT 99.2</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 Contact:</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 438-6887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 358-5176</w:t>
      </w: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increases its dividend to shareholders for the 34th consecutive year</w:t>
      </w:r>
    </w:p>
    <w:p>
      <w:pPr>
        <w:spacing w:after="0" w:line="188" w:lineRule="exact"/>
        <w:rPr>
          <w:sz w:val="20"/>
          <w:szCs w:val="20"/>
          <w:color w:val="auto"/>
        </w:rPr>
      </w:pPr>
    </w:p>
    <w:p>
      <w:pPr>
        <w:jc w:val="both"/>
        <w:ind w:right="180"/>
        <w:spacing w:after="0" w:line="335" w:lineRule="auto"/>
        <w:rPr>
          <w:sz w:val="20"/>
          <w:szCs w:val="20"/>
          <w:color w:val="auto"/>
        </w:rPr>
      </w:pPr>
      <w:r>
        <w:rPr>
          <w:rFonts w:ascii="Arial" w:cs="Arial" w:eastAsia="Arial" w:hAnsi="Arial"/>
          <w:sz w:val="13"/>
          <w:szCs w:val="13"/>
          <w:color w:val="auto"/>
        </w:rPr>
        <w:t>MILWAUKEE (September 5, 2019) - On September 4, 2019, Brady Corporation’s (NYSE: BRC) Board of Directors approved an increase in the annual dividend to shareholders of the Company’s Class A Common stock from $0.85 per share to $0.87 per share. A quarterly dividend to shareholders of the Company's Class A Common Stock of $0.2175 per share will be paid on October 31, 2019, to shareholders of record at the close of business on October 10, 2019. This dividend represents the 34</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consecutive annual increase in dividends.</w:t>
      </w:r>
    </w:p>
    <w:p>
      <w:pPr>
        <w:spacing w:after="0" w:line="1" w:lineRule="exact"/>
        <w:rPr>
          <w:sz w:val="20"/>
          <w:szCs w:val="20"/>
          <w:color w:val="auto"/>
        </w:rPr>
      </w:pPr>
    </w:p>
    <w:p>
      <w:pPr>
        <w:ind w:right="20" w:firstLine="432"/>
        <w:spacing w:after="0" w:line="367" w:lineRule="auto"/>
        <w:rPr>
          <w:sz w:val="20"/>
          <w:szCs w:val="20"/>
          <w:color w:val="auto"/>
        </w:rPr>
      </w:pPr>
      <w:r>
        <w:rPr>
          <w:rFonts w:ascii="Arial" w:cs="Arial" w:eastAsia="Arial" w:hAnsi="Arial"/>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2018, employed approximately 6,200 people in its worldwide businesses. Brady’s fiscal 2018 sales were approximately $1.17 billion. Brady stock trades on the New York Stock Exchange under the symbol BRC. More information is available on the Internet at </w:t>
      </w:r>
      <w:r>
        <w:rPr>
          <w:rFonts w:ascii="Arial" w:cs="Arial" w:eastAsia="Arial" w:hAnsi="Arial"/>
          <w:sz w:val="13"/>
          <w:szCs w:val="13"/>
          <w:u w:val="single" w:color="auto"/>
          <w:color w:val="0000FF"/>
        </w:rPr>
        <w:t>www.bradycorp.com.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ectPr>
          <w:pgSz w:w="11900" w:h="16838" w:orient="portrait"/>
          <w:cols w:equalWidth="0" w:num="1">
            <w:col w:w="11480"/>
          </w:cols>
          <w:pgMar w:left="220" w:top="431" w:right="199"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5969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2019-12-28T06:17:23Z</dcterms:created>
  <dcterms:modified xsi:type="dcterms:W3CDTF">2019-12-28T06:17:23Z</dcterms:modified>
</cp:coreProperties>
</file>