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20, 2008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5" w:right="239" w:bottom="1440" w:gutter="0" w:footer="0" w:header="0"/>
        </w:sectPr>
      </w:pPr>
    </w:p>
    <w:p>
      <w:pPr>
        <w:spacing w:after="0" w:line="198"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spacing w:after="0" w:line="18"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spacing w:after="0" w:line="18"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5" w:right="239" w:bottom="1440" w:gutter="0" w:footer="0" w:header="0"/>
          <w:type w:val="continuous"/>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Milwaukee, Wisconsin 53223</w:t>
      </w: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190"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17"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8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jc w:val="both"/>
        <w:ind w:right="320" w:firstLine="250"/>
        <w:spacing w:after="0" w:line="255" w:lineRule="auto"/>
        <w:rPr>
          <w:sz w:val="20"/>
          <w:szCs w:val="20"/>
          <w:color w:val="auto"/>
        </w:rPr>
      </w:pPr>
      <w:r>
        <w:rPr>
          <w:rFonts w:ascii="Arial" w:cs="Arial" w:eastAsia="Arial" w:hAnsi="Arial"/>
          <w:sz w:val="18"/>
          <w:szCs w:val="18"/>
          <w:color w:val="auto"/>
        </w:rPr>
        <w:t>On February 20, 2008, Brady Corporation (the “Corporation”) issued a press release announcing its fiscal 2008 second quarter financial results. A copy of the press release is being furnished to the Securities and Exchange Commission as Exhibit 99.1 attached herewith and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720" w:type="dxa"/>
            <w:vAlign w:val="bottom"/>
          </w:tcPr>
          <w:p>
            <w:pPr>
              <w:spacing w:after="0"/>
              <w:rPr>
                <w:sz w:val="15"/>
                <w:szCs w:val="15"/>
                <w:color w:val="auto"/>
              </w:rPr>
            </w:pPr>
          </w:p>
        </w:tc>
        <w:tc>
          <w:tcPr>
            <w:tcW w:w="9740" w:type="dxa"/>
            <w:vAlign w:val="bottom"/>
            <w:tcBorders>
              <w:bottom w:val="single" w:sz="8" w:color="auto"/>
            </w:tcBorders>
          </w:tcPr>
          <w:p>
            <w:pPr>
              <w:ind w:left="4200"/>
              <w:spacing w:after="0"/>
              <w:rPr>
                <w:sz w:val="20"/>
                <w:szCs w:val="20"/>
                <w:color w:val="auto"/>
              </w:rPr>
            </w:pPr>
            <w:r>
              <w:rPr>
                <w:rFonts w:ascii="Arial" w:cs="Arial" w:eastAsia="Arial" w:hAnsi="Arial"/>
                <w:sz w:val="14"/>
                <w:szCs w:val="14"/>
                <w:color w:val="auto"/>
              </w:rPr>
              <w:t>Description of Exhibit</w:t>
            </w:r>
          </w:p>
        </w:tc>
      </w:tr>
      <w:tr>
        <w:trPr>
          <w:trHeight w:val="376"/>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gridSpan w:val="2"/>
          </w:tcPr>
          <w:p>
            <w:pPr>
              <w:ind w:left="720"/>
              <w:spacing w:after="0"/>
              <w:rPr>
                <w:sz w:val="20"/>
                <w:szCs w:val="20"/>
                <w:color w:val="auto"/>
              </w:rPr>
            </w:pPr>
            <w:r>
              <w:rPr>
                <w:rFonts w:ascii="Arial" w:cs="Arial" w:eastAsia="Arial" w:hAnsi="Arial"/>
                <w:sz w:val="18"/>
                <w:szCs w:val="18"/>
                <w:color w:val="auto"/>
              </w:rPr>
              <w:t>Press Release of Brady Corporation, dated February 20, 2008, relating to the Corporation’s fiscal 2008 second quarter</w:t>
            </w:r>
          </w:p>
        </w:tc>
      </w:tr>
      <w:tr>
        <w:trPr>
          <w:trHeight w:val="243"/>
        </w:trPr>
        <w:tc>
          <w:tcPr>
            <w:tcW w:w="960" w:type="dxa"/>
            <w:vAlign w:val="bottom"/>
          </w:tcPr>
          <w:p>
            <w:pPr>
              <w:spacing w:after="0"/>
              <w:rPr>
                <w:sz w:val="21"/>
                <w:szCs w:val="21"/>
                <w:color w:val="auto"/>
              </w:rPr>
            </w:pPr>
          </w:p>
        </w:tc>
        <w:tc>
          <w:tcPr>
            <w:tcW w:w="10460" w:type="dxa"/>
            <w:vAlign w:val="bottom"/>
            <w:gridSpan w:val="2"/>
          </w:tcPr>
          <w:p>
            <w:pPr>
              <w:ind w:left="720"/>
              <w:spacing w:after="0"/>
              <w:rPr>
                <w:sz w:val="20"/>
                <w:szCs w:val="20"/>
                <w:color w:val="auto"/>
              </w:rPr>
            </w:pPr>
            <w:r>
              <w:rPr>
                <w:rFonts w:ascii="Arial" w:cs="Arial" w:eastAsia="Arial" w:hAnsi="Arial"/>
                <w:sz w:val="18"/>
                <w:szCs w:val="18"/>
                <w:color w:val="auto"/>
              </w:rPr>
              <w:t>financial results.</w:t>
            </w:r>
          </w:p>
        </w:tc>
      </w:tr>
      <w:tr>
        <w:trPr>
          <w:trHeight w:val="601"/>
        </w:trPr>
        <w:tc>
          <w:tcPr>
            <w:tcW w:w="9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9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February 22, 2008</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11430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ind w:left="55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4" w:right="459" w:bottom="1440" w:gutter="0" w:footer="0" w:header="0"/>
        </w:sectPr>
      </w:pPr>
    </w:p>
    <w:bookmarkStart w:id="4" w:name="page5"/>
    <w:bookmarkEnd w:id="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74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339"/>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720" w:type="dxa"/>
            <w:vAlign w:val="bottom"/>
          </w:tcPr>
          <w:p>
            <w:pPr>
              <w:spacing w:after="0"/>
              <w:rPr>
                <w:sz w:val="24"/>
                <w:szCs w:val="24"/>
                <w:color w:val="auto"/>
              </w:rPr>
            </w:pPr>
          </w:p>
        </w:tc>
        <w:tc>
          <w:tcPr>
            <w:tcW w:w="9740" w:type="dxa"/>
            <w:vAlign w:val="bottom"/>
            <w:tcBorders>
              <w:bottom w:val="single" w:sz="8" w:color="auto"/>
            </w:tcBorders>
          </w:tcPr>
          <w:p>
            <w:pPr>
              <w:ind w:left="4200"/>
              <w:spacing w:after="0"/>
              <w:rPr>
                <w:sz w:val="20"/>
                <w:szCs w:val="20"/>
                <w:color w:val="auto"/>
              </w:rPr>
            </w:pPr>
            <w:r>
              <w:rPr>
                <w:rFonts w:ascii="Arial" w:cs="Arial" w:eastAsia="Arial" w:hAnsi="Arial"/>
                <w:sz w:val="14"/>
                <w:szCs w:val="14"/>
                <w:color w:val="auto"/>
              </w:rPr>
              <w:t>Description of Exhibit</w:t>
            </w:r>
          </w:p>
        </w:tc>
      </w:tr>
      <w:tr>
        <w:trPr>
          <w:trHeight w:val="376"/>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gridSpan w:val="2"/>
          </w:tcPr>
          <w:p>
            <w:pPr>
              <w:ind w:left="720"/>
              <w:spacing w:after="0"/>
              <w:rPr>
                <w:sz w:val="20"/>
                <w:szCs w:val="20"/>
                <w:color w:val="auto"/>
              </w:rPr>
            </w:pPr>
            <w:r>
              <w:rPr>
                <w:rFonts w:ascii="Arial" w:cs="Arial" w:eastAsia="Arial" w:hAnsi="Arial"/>
                <w:sz w:val="18"/>
                <w:szCs w:val="18"/>
                <w:color w:val="auto"/>
              </w:rPr>
              <w:t>Press Release of Brady Corporation, dated February 20, 2008, relating to the Corporation’s fiscal 2008 second quarter</w:t>
            </w:r>
          </w:p>
        </w:tc>
      </w:tr>
      <w:tr>
        <w:trPr>
          <w:trHeight w:val="243"/>
        </w:trPr>
        <w:tc>
          <w:tcPr>
            <w:tcW w:w="960" w:type="dxa"/>
            <w:vAlign w:val="bottom"/>
          </w:tcPr>
          <w:p>
            <w:pPr>
              <w:spacing w:after="0"/>
              <w:rPr>
                <w:sz w:val="21"/>
                <w:szCs w:val="21"/>
                <w:color w:val="auto"/>
              </w:rPr>
            </w:pPr>
          </w:p>
        </w:tc>
        <w:tc>
          <w:tcPr>
            <w:tcW w:w="10460" w:type="dxa"/>
            <w:vAlign w:val="bottom"/>
            <w:gridSpan w:val="2"/>
          </w:tcPr>
          <w:p>
            <w:pPr>
              <w:ind w:left="720"/>
              <w:spacing w:after="0"/>
              <w:rPr>
                <w:sz w:val="20"/>
                <w:szCs w:val="20"/>
                <w:color w:val="auto"/>
              </w:rPr>
            </w:pPr>
            <w:r>
              <w:rPr>
                <w:rFonts w:ascii="Arial" w:cs="Arial" w:eastAsia="Arial" w:hAnsi="Arial"/>
                <w:sz w:val="18"/>
                <w:szCs w:val="18"/>
                <w:color w:val="auto"/>
              </w:rPr>
              <w:t>financial results.</w:t>
            </w: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For More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net income for its fiscal 2008 second quarter</w:t>
      </w:r>
    </w:p>
    <w:p>
      <w:pPr>
        <w:spacing w:after="0" w:line="10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MILWAUKEE (February 20, 2008)—Brady Corporation (NYSE: BRC), a world leader in identification solutions, reports sales and earnings for its second quarter ended January 31, 2008.</w:t>
      </w:r>
    </w:p>
    <w:p>
      <w:pPr>
        <w:spacing w:after="0" w:line="37" w:lineRule="exact"/>
        <w:rPr>
          <w:sz w:val="20"/>
          <w:szCs w:val="20"/>
          <w:color w:val="auto"/>
        </w:rPr>
      </w:pPr>
    </w:p>
    <w:p>
      <w:pPr>
        <w:ind w:right="180" w:firstLine="250"/>
        <w:spacing w:after="0" w:line="247" w:lineRule="auto"/>
        <w:rPr>
          <w:sz w:val="20"/>
          <w:szCs w:val="20"/>
          <w:color w:val="auto"/>
        </w:rPr>
      </w:pPr>
      <w:r>
        <w:rPr>
          <w:rFonts w:ascii="Arial" w:cs="Arial" w:eastAsia="Arial" w:hAnsi="Arial"/>
          <w:sz w:val="18"/>
          <w:szCs w:val="18"/>
          <w:color w:val="auto"/>
        </w:rPr>
        <w:t>Sales for the quarter were up 13 percent to $364.1 million, compared to $321.3 million in the second quarter of fiscal 2007. Base business growth was down 1 percent, acquisitions increased sales by 8 percent and currency exchange added 6 percent. Total sales increased</w:t>
      </w:r>
    </w:p>
    <w:p>
      <w:pPr>
        <w:spacing w:after="0" w:line="1" w:lineRule="exact"/>
        <w:rPr>
          <w:sz w:val="20"/>
          <w:szCs w:val="20"/>
          <w:color w:val="auto"/>
        </w:rPr>
      </w:pPr>
    </w:p>
    <w:p>
      <w:pPr>
        <w:ind w:right="520"/>
        <w:spacing w:after="0" w:line="251" w:lineRule="auto"/>
        <w:rPr>
          <w:sz w:val="20"/>
          <w:szCs w:val="20"/>
          <w:color w:val="auto"/>
        </w:rPr>
      </w:pPr>
      <w:r>
        <w:rPr>
          <w:rFonts w:ascii="Arial" w:cs="Arial" w:eastAsia="Arial" w:hAnsi="Arial"/>
          <w:sz w:val="18"/>
          <w:szCs w:val="18"/>
          <w:color w:val="auto"/>
        </w:rPr>
        <w:t>18 percent in Brady Americas, 3 percent in Direct Marketing &amp; People Identification Americas, 24 percent in Europe, and 3 percent in the Asia/Pacific region.</w:t>
      </w:r>
    </w:p>
    <w:p>
      <w:pPr>
        <w:spacing w:after="0" w:line="58" w:lineRule="exact"/>
        <w:rPr>
          <w:sz w:val="20"/>
          <w:szCs w:val="20"/>
          <w:color w:val="auto"/>
        </w:rPr>
      </w:pPr>
    </w:p>
    <w:p>
      <w:pPr>
        <w:ind w:right="180" w:firstLine="250"/>
        <w:spacing w:after="0" w:line="276" w:lineRule="auto"/>
        <w:rPr>
          <w:sz w:val="20"/>
          <w:szCs w:val="20"/>
          <w:color w:val="auto"/>
        </w:rPr>
      </w:pPr>
      <w:r>
        <w:rPr>
          <w:rFonts w:ascii="Arial" w:cs="Arial" w:eastAsia="Arial" w:hAnsi="Arial"/>
          <w:sz w:val="18"/>
          <w:szCs w:val="18"/>
          <w:color w:val="auto"/>
        </w:rPr>
        <w:t>Net income for the quarter rose 35 percent to $26.7 million compared to $19.7 million in the quarter last year. Earnings per diluted Class A Common share increased 33 percent to $0.48 compared to $0.36 per share in the fiscal 2007 second quarter.</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Sales for the six months ended January 31, 2008, rose 14 percent to $744.3 million compared to $653.5 million in the same period last year.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six months of fiscal 2008 rose 16 percent to $63.1 million compared to $54.2 million for the same period in fiscal 2007.</w:t>
      </w:r>
    </w:p>
    <w:p>
      <w:pPr>
        <w:spacing w:after="0"/>
        <w:rPr>
          <w:sz w:val="20"/>
          <w:szCs w:val="20"/>
          <w:color w:val="auto"/>
        </w:rPr>
      </w:pPr>
      <w:r>
        <w:rPr>
          <w:rFonts w:ascii="Arial" w:cs="Arial" w:eastAsia="Arial" w:hAnsi="Arial"/>
          <w:sz w:val="18"/>
          <w:szCs w:val="18"/>
          <w:color w:val="auto"/>
        </w:rPr>
        <w:t>Six-month earnings per diluted Class A Common share were up 15 percent to $1.14 compared to $0.99 in fiscal 2007.</w:t>
      </w:r>
    </w:p>
    <w:p>
      <w:pPr>
        <w:spacing w:after="0" w:line="82" w:lineRule="exact"/>
        <w:rPr>
          <w:sz w:val="20"/>
          <w:szCs w:val="20"/>
          <w:color w:val="auto"/>
        </w:rPr>
      </w:pPr>
    </w:p>
    <w:p>
      <w:pPr>
        <w:ind w:right="20" w:firstLine="250"/>
        <w:spacing w:after="0" w:line="243" w:lineRule="auto"/>
        <w:rPr>
          <w:sz w:val="20"/>
          <w:szCs w:val="20"/>
          <w:color w:val="auto"/>
        </w:rPr>
      </w:pPr>
      <w:r>
        <w:rPr>
          <w:rFonts w:ascii="Arial" w:cs="Arial" w:eastAsia="Arial" w:hAnsi="Arial"/>
          <w:sz w:val="18"/>
          <w:szCs w:val="18"/>
          <w:color w:val="auto"/>
        </w:rPr>
        <w:t>“We are pleased with our overall results for the quarter including good growth in net income and nice improvement in margins. Our profit improvements are a direct result of actions taken over the past year. A number of factors contributed to flat core growth, including a challenging economy in the US,” said Frank M. Jaehnert, Brady’s president and chief executive officer. “Recently, we consolidated leadership of our Direct Marketing &amp; People Identification and Brady businesses in the Americas in order to bring greater consistency to our global management structure. Both businesses will now report to Matt Williamson, president, Brady Americas. This will further streamline and simplify our organization.”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am very pleased to see the impact that our focus on working capital has had on operating cash flow generation which increased to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$87.8 million from $37.1 million, up 137 percent year to date,” said Brady Chief Financial Officer Thomas J. Felmer. “We are continuing to focus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on integrating acquisitions and streamlining our business to assure our cost structure is appropriate for the economic conditions, and</w:t>
      </w:r>
    </w:p>
    <w:p>
      <w:pPr>
        <w:spacing w:after="0" w:line="234" w:lineRule="auto"/>
        <w:rPr>
          <w:sz w:val="20"/>
          <w:szCs w:val="20"/>
          <w:color w:val="auto"/>
        </w:rPr>
      </w:pPr>
      <w:r>
        <w:rPr>
          <w:rFonts w:ascii="Arial" w:cs="Arial" w:eastAsia="Arial" w:hAnsi="Arial"/>
          <w:sz w:val="18"/>
          <w:szCs w:val="18"/>
          <w:color w:val="auto"/>
        </w:rPr>
        <w:t>rebalancing our business in Asia to focus on more proprietary and profitable segments. We reaffirm our guidance of sales from $1.43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$1.46 billion and net income and diluted earnings per share of between $129 and $135 million, and $2.31 and $2.42 respectively.”</w:t>
      </w:r>
    </w:p>
    <w:p>
      <w:pPr>
        <w:spacing w:after="0" w:line="82" w:lineRule="exact"/>
        <w:rPr>
          <w:sz w:val="20"/>
          <w:szCs w:val="20"/>
          <w:color w:val="auto"/>
        </w:rPr>
      </w:pPr>
    </w:p>
    <w:p>
      <w:pPr>
        <w:ind w:right="460" w:firstLine="240"/>
        <w:spacing w:after="0" w:line="276" w:lineRule="auto"/>
        <w:rPr>
          <w:sz w:val="20"/>
          <w:szCs w:val="20"/>
          <w:color w:val="auto"/>
        </w:rPr>
      </w:pPr>
      <w:r>
        <w:rPr>
          <w:rFonts w:ascii="Arial" w:cs="Arial" w:eastAsia="Arial" w:hAnsi="Arial"/>
          <w:sz w:val="18"/>
          <w:szCs w:val="18"/>
          <w:color w:val="auto"/>
        </w:rPr>
        <w:t>A webcast regarding fiscal 2008 second quarter results will be available at www.investor.bradycorp.com beginning at 9:30 a.m. Central Standard Time today.</w:t>
      </w:r>
    </w:p>
    <w:p>
      <w:pPr>
        <w:spacing w:after="0" w:line="37" w:lineRule="exact"/>
        <w:rPr>
          <w:sz w:val="20"/>
          <w:szCs w:val="20"/>
          <w:color w:val="auto"/>
        </w:rPr>
      </w:pPr>
    </w:p>
    <w:p>
      <w:pPr>
        <w:ind w:right="420" w:firstLine="250"/>
        <w:spacing w:after="0" w:line="276"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6" w:name="page7"/>
    <w:bookmarkEnd w:id="6"/>
    <w:p>
      <w:pPr>
        <w:ind w:right="180"/>
        <w:spacing w:after="0" w:line="248" w:lineRule="auto"/>
        <w:rPr>
          <w:sz w:val="20"/>
          <w:szCs w:val="20"/>
          <w:color w:val="auto"/>
        </w:rPr>
      </w:pPr>
      <w:r>
        <w:rPr>
          <w:rFonts w:ascii="Arial" w:cs="Arial" w:eastAsia="Arial" w:hAnsi="Arial"/>
          <w:sz w:val="18"/>
          <w:szCs w:val="18"/>
          <w:color w:val="auto"/>
        </w:rPr>
        <w:t>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2007 sales were approximately $1.363 billion.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2007.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(Unaudited)</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00" w:type="dxa"/>
            <w:vAlign w:val="bottom"/>
            <w:gridSpan w:val="8"/>
          </w:tcPr>
          <w:p>
            <w:pPr>
              <w:jc w:val="right"/>
              <w:ind w:right="1360"/>
              <w:spacing w:after="0" w:line="155" w:lineRule="exact"/>
              <w:rPr>
                <w:sz w:val="20"/>
                <w:szCs w:val="20"/>
                <w:color w:val="auto"/>
              </w:rPr>
            </w:pPr>
            <w:r>
              <w:rPr>
                <w:rFonts w:ascii="Arial" w:cs="Arial" w:eastAsia="Arial" w:hAnsi="Arial"/>
                <w:sz w:val="14"/>
                <w:szCs w:val="14"/>
                <w:color w:val="auto"/>
              </w:rPr>
              <w:t>Three Months Ended January 31,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gridSpan w:val="5"/>
          </w:tcPr>
          <w:p>
            <w:pPr>
              <w:jc w:val="right"/>
              <w:ind w:right="40"/>
              <w:spacing w:after="0" w:line="155" w:lineRule="exact"/>
              <w:rPr>
                <w:sz w:val="20"/>
                <w:szCs w:val="20"/>
                <w:color w:val="auto"/>
              </w:rPr>
            </w:pPr>
            <w:r>
              <w:rPr>
                <w:rFonts w:ascii="Arial" w:cs="Arial" w:eastAsia="Arial" w:hAnsi="Arial"/>
                <w:sz w:val="14"/>
                <w:szCs w:val="14"/>
                <w:color w:val="auto"/>
              </w:rPr>
              <w:t>Six Months Ended January 31,</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Percentage</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color w:val="auto"/>
              </w:rPr>
              <w:t>Percentage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620" w:type="dxa"/>
            <w:vAlign w:val="bottom"/>
          </w:tcPr>
          <w:p>
            <w:pPr>
              <w:spacing w:after="0"/>
              <w:rPr>
                <w:sz w:val="15"/>
                <w:szCs w:val="15"/>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Change</w:t>
            </w: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2007</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364,124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w w:val="98"/>
              </w:rPr>
              <w:t>321,275</w:t>
            </w:r>
          </w:p>
        </w:tc>
        <w:tc>
          <w:tcPr>
            <w:tcW w:w="14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w w:val="98"/>
              </w:rPr>
              <w:t>744,258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w w:val="98"/>
              </w:rPr>
              <w:t>653,534</w:t>
            </w:r>
          </w:p>
        </w:tc>
        <w:tc>
          <w:tcPr>
            <w:tcW w:w="9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189,101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171,114</w:t>
            </w:r>
          </w:p>
        </w:tc>
        <w:tc>
          <w:tcPr>
            <w:tcW w:w="62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8"/>
              </w:rPr>
              <w:t>381,567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339,245</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175,023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8"/>
              </w:rPr>
              <w:t>150,161</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w w:val="98"/>
              </w:rPr>
              <w:t>362,691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314,289</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05"/>
        </w:trPr>
        <w:tc>
          <w:tcPr>
            <w:tcW w:w="3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10,071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9,082</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19,050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17,614</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122,508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8"/>
              </w:rPr>
              <w:t>108,355</w:t>
            </w: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8"/>
              </w:rPr>
              <w:t>242,859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212,010</w:t>
            </w: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132,579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117,437</w:t>
            </w:r>
          </w:p>
        </w:tc>
        <w:tc>
          <w:tcPr>
            <w:tcW w:w="6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w w:val="98"/>
              </w:rPr>
              <w:t>261,909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229,624</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23"/>
        </w:trPr>
        <w:tc>
          <w:tcPr>
            <w:tcW w:w="3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42,444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32,724</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4"/>
                <w:szCs w:val="24"/>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w w:val="98"/>
              </w:rPr>
              <w:t>100,782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84,665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tcPr>
          <w:p>
            <w:pPr>
              <w:ind w:left="200"/>
              <w:spacing w:after="0" w:line="180" w:lineRule="exact"/>
              <w:rPr>
                <w:sz w:val="20"/>
                <w:szCs w:val="20"/>
                <w:color w:val="auto"/>
              </w:rPr>
            </w:pPr>
            <w:r>
              <w:rPr>
                <w:rFonts w:ascii="Arial" w:cs="Arial" w:eastAsia="Arial" w:hAnsi="Arial"/>
                <w:sz w:val="18"/>
                <w:szCs w:val="18"/>
                <w:color w:val="auto"/>
              </w:rPr>
              <w:t>Investment and other income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20" w:type="dxa"/>
            <w:vAlign w:val="bottom"/>
          </w:tcPr>
          <w:p>
            <w:pPr>
              <w:ind w:left="40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-2240.6%</w:t>
            </w:r>
          </w:p>
        </w:tc>
        <w:tc>
          <w:tcPr>
            <w:tcW w:w="100" w:type="dxa"/>
            <w:vAlign w:val="bottom"/>
          </w:tcPr>
          <w:p>
            <w:pPr>
              <w:spacing w:after="0"/>
              <w:rPr>
                <w:sz w:val="19"/>
                <w:szCs w:val="19"/>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2,387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532</w:t>
            </w:r>
          </w:p>
        </w:tc>
        <w:tc>
          <w:tcPr>
            <w:tcW w:w="6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(6,747)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(5,244)</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(13,467)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(9,979)</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37,966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27,374</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4"/>
                <w:szCs w:val="24"/>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89,702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75,218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11,276</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7,665</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26,642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21,061</w:t>
            </w: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26,690</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19,709</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63,060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54,157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2007</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Per Class A Nonvoting Common</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62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32.4%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1.16</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60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6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1.14</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0.99</w:t>
            </w:r>
          </w:p>
        </w:tc>
        <w:tc>
          <w:tcPr>
            <w:tcW w:w="6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620" w:type="dxa"/>
            <w:vAlign w:val="bottom"/>
          </w:tcPr>
          <w:p>
            <w:pPr>
              <w:spacing w:after="0"/>
              <w:rPr>
                <w:sz w:val="21"/>
                <w:szCs w:val="21"/>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6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Class B Voting Common Share: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0.49</w:t>
            </w:r>
          </w:p>
        </w:tc>
        <w:tc>
          <w:tcPr>
            <w:tcW w:w="3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62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32.4%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1.14</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60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0.48</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0.36</w:t>
            </w:r>
          </w:p>
        </w:tc>
        <w:tc>
          <w:tcPr>
            <w:tcW w:w="6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1.13</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0.97</w:t>
            </w:r>
          </w:p>
        </w:tc>
        <w:tc>
          <w:tcPr>
            <w:tcW w:w="6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620" w:type="dxa"/>
            <w:vAlign w:val="bottom"/>
          </w:tcPr>
          <w:p>
            <w:pPr>
              <w:spacing w:after="0"/>
              <w:rPr>
                <w:sz w:val="21"/>
                <w:szCs w:val="21"/>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8"/>
              <w:spacing w:after="0"/>
              <w:rPr>
                <w:sz w:val="20"/>
                <w:szCs w:val="20"/>
                <w:color w:val="auto"/>
              </w:rPr>
            </w:pPr>
            <w:r>
              <w:rPr>
                <w:rFonts w:ascii="Arial" w:cs="Arial" w:eastAsia="Arial" w:hAnsi="Arial"/>
                <w:sz w:val="18"/>
                <w:szCs w:val="18"/>
                <w:color w:val="auto"/>
              </w:rPr>
              <w:t>0.28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6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Weighted average common shares</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54,510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53,894</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54,430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53,814</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55,228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54,789</w:t>
            </w: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55,175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54,697</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(Unaudited)</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January 31, 2008</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ind w:left="418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198,439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142,846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19,200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($8,960 and $9,109, respectively)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242,394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239,569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82,783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80,486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21,164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35,867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139,814</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45,946</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626,593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583,413</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768,850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737,450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148,468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149,761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31,070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32,508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24,697</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973,085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940,830</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6,394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93,938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264,611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248,356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14,531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379,474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205,240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188,869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174,234</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174,614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1,773,912</w:t>
            </w:r>
          </w:p>
        </w:tc>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00" w:type="dxa"/>
            <w:vAlign w:val="bottom"/>
            <w:shd w:val="clear" w:color="auto" w:fill="CCEEFF"/>
          </w:tcPr>
          <w:p>
            <w:pPr>
              <w:ind w:left="2280"/>
              <w:spacing w:after="0" w:line="196" w:lineRule="exact"/>
              <w:rPr>
                <w:sz w:val="20"/>
                <w:szCs w:val="20"/>
                <w:color w:val="auto"/>
              </w:rPr>
            </w:pPr>
            <w:r>
              <w:rPr>
                <w:rFonts w:ascii="Arial" w:cs="Arial" w:eastAsia="Arial" w:hAnsi="Arial"/>
                <w:sz w:val="18"/>
                <w:szCs w:val="18"/>
                <w:b w:val="1"/>
                <w:bCs w:val="1"/>
                <w:color w:val="auto"/>
              </w:rPr>
              <w:t>LIABILITIES AND STOCKHOLDERS’ INVESTMENT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96,220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62,065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7,789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12,804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53,129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60,254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Short-term borrowings and current maturities on long-term debt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21,436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253,443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280,054</w:t>
            </w:r>
          </w:p>
        </w:tc>
        <w:tc>
          <w:tcPr>
            <w:tcW w:w="0" w:type="dxa"/>
            <w:vAlign w:val="bottom"/>
          </w:tcPr>
          <w:p>
            <w:pPr>
              <w:spacing w:after="0"/>
              <w:rPr>
                <w:sz w:val="1"/>
                <w:szCs w:val="1"/>
                <w:color w:val="auto"/>
              </w:rPr>
            </w:pPr>
          </w:p>
        </w:tc>
      </w:tr>
      <w:tr>
        <w:trPr>
          <w:trHeight w:val="43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478,572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478,575</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62,899</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49,216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860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794,914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807,845</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A nonvoting common stock — Issued 51,032,887 and 50,586,524 shares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510</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284,761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266,203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586,111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540,238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107,035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546</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stockholders’ investment</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978,998</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891,012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1,773,912</w:t>
            </w:r>
          </w:p>
        </w:tc>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33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left="512"/>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left="512"/>
              <w:spacing w:after="0"/>
              <w:rPr>
                <w:sz w:val="20"/>
                <w:szCs w:val="20"/>
                <w:color w:val="auto"/>
              </w:rPr>
            </w:pPr>
            <w:r>
              <w:rPr>
                <w:rFonts w:ascii="Arial" w:cs="Arial" w:eastAsia="Arial" w:hAnsi="Arial"/>
                <w:sz w:val="14"/>
                <w:szCs w:val="14"/>
                <w:color w:val="auto"/>
              </w:rPr>
              <w:t>January 31,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63,060</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54,157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29,669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(1,527)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property, plant &amp; equipment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1,010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6,382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7,080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7,571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(7,339)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(17,117)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(1,266)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87,848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37,059</w:t>
            </w:r>
          </w:p>
        </w:tc>
        <w:tc>
          <w:tcPr>
            <w:tcW w:w="0" w:type="dxa"/>
            <w:vAlign w:val="bottom"/>
          </w:tcPr>
          <w:p>
            <w:pPr>
              <w:spacing w:after="0"/>
              <w:rPr>
                <w:sz w:val="1"/>
                <w:szCs w:val="1"/>
                <w:color w:val="auto"/>
              </w:rPr>
            </w:pPr>
          </w:p>
        </w:tc>
      </w:tr>
      <w:tr>
        <w:trPr>
          <w:trHeight w:val="405"/>
        </w:trPr>
        <w:tc>
          <w:tcPr>
            <w:tcW w:w="83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(24,552)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(5,798)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(10,350)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29,550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(14,358)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(3,259)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(28,767)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(125,979)</w:t>
            </w:r>
          </w:p>
        </w:tc>
        <w:tc>
          <w:tcPr>
            <w:tcW w:w="0" w:type="dxa"/>
            <w:vAlign w:val="bottom"/>
          </w:tcPr>
          <w:p>
            <w:pPr>
              <w:spacing w:after="0"/>
              <w:rPr>
                <w:sz w:val="1"/>
                <w:szCs w:val="1"/>
                <w:color w:val="auto"/>
              </w:rPr>
            </w:pPr>
          </w:p>
        </w:tc>
      </w:tr>
      <w:tr>
        <w:trPr>
          <w:trHeight w:val="405"/>
        </w:trPr>
        <w:tc>
          <w:tcPr>
            <w:tcW w:w="83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(16,285)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7,980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4,093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405"/>
        </w:trPr>
        <w:tc>
          <w:tcPr>
            <w:tcW w:w="83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55,593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142,846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198,439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13,153</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26,381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17,279</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(6,371)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paid for acquisitions</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24,552</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Information by regional segment for the three and six months ended January 31, 2008 and 2007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620"/>
              <w:spacing w:after="0"/>
              <w:rPr>
                <w:sz w:val="20"/>
                <w:szCs w:val="20"/>
                <w:color w:val="auto"/>
              </w:rPr>
            </w:pPr>
            <w:r>
              <w:rPr>
                <w:rFonts w:ascii="Arial" w:cs="Arial" w:eastAsia="Arial" w:hAnsi="Arial"/>
                <w:sz w:val="14"/>
                <w:szCs w:val="14"/>
                <w:color w:val="auto"/>
              </w:rPr>
              <w:t>Direct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Marketing &amp;</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color w:val="auto"/>
              </w:rPr>
              <w:t>Brady</w:t>
            </w: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color w:val="auto"/>
              </w:rPr>
              <w:t>People ID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Americas</w:t>
            </w:r>
          </w:p>
        </w:tc>
        <w:tc>
          <w:tcPr>
            <w:tcW w:w="50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Americas</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Asia Pacific</w:t>
            </w:r>
          </w:p>
        </w:tc>
        <w:tc>
          <w:tcPr>
            <w:tcW w:w="5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Subtotals</w:t>
            </w:r>
          </w:p>
        </w:tc>
        <w:tc>
          <w:tcPr>
            <w:tcW w:w="5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Eliminations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SALES TO EXTERNAL</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2008</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95,303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61,318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122,615</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84,888</w:t>
            </w:r>
          </w:p>
        </w:tc>
        <w:tc>
          <w:tcPr>
            <w:tcW w:w="128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8"/>
              </w:rPr>
              <w:t>$364,124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$364,124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January 31, 2007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80,510</w:t>
            </w:r>
          </w:p>
        </w:tc>
        <w:tc>
          <w:tcPr>
            <w:tcW w:w="12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59,478</w:t>
            </w:r>
          </w:p>
        </w:tc>
        <w:tc>
          <w:tcPr>
            <w:tcW w:w="120" w:type="dxa"/>
            <w:vAlign w:val="bottom"/>
          </w:tcPr>
          <w:p>
            <w:pPr>
              <w:spacing w:after="0"/>
              <w:rPr>
                <w:sz w:val="21"/>
                <w:szCs w:val="21"/>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98,846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82,441</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321,275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321,275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Six months ended: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January 31, 2008</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200,538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130,858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w w:val="98"/>
              </w:rPr>
              <w:t>231,529</w:t>
            </w:r>
          </w:p>
        </w:tc>
        <w:tc>
          <w:tcPr>
            <w:tcW w:w="1460" w:type="dxa"/>
            <w:vAlign w:val="bottom"/>
            <w:gridSpan w:val="5"/>
          </w:tcPr>
          <w:p>
            <w:pPr>
              <w:jc w:val="right"/>
              <w:ind w:right="520"/>
              <w:spacing w:after="0" w:line="202" w:lineRule="exact"/>
              <w:rPr>
                <w:sz w:val="20"/>
                <w:szCs w:val="20"/>
                <w:color w:val="auto"/>
              </w:rPr>
            </w:pPr>
            <w:r>
              <w:rPr>
                <w:rFonts w:ascii="Arial" w:cs="Arial" w:eastAsia="Arial" w:hAnsi="Arial"/>
                <w:sz w:val="18"/>
                <w:szCs w:val="18"/>
                <w:color w:val="auto"/>
              </w:rPr>
              <w:t>$181,333</w:t>
            </w:r>
          </w:p>
        </w:tc>
        <w:tc>
          <w:tcPr>
            <w:tcW w:w="12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w w:val="98"/>
              </w:rPr>
              <w:t>$744,258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$744,258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163,269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123,662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191,211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8"/>
              </w:rPr>
              <w:t>175,392</w:t>
            </w:r>
          </w:p>
        </w:tc>
        <w:tc>
          <w:tcPr>
            <w:tcW w:w="128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653,534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653,534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SALES GROWTH</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INFORMATION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color w:val="auto"/>
              </w:rPr>
              <w:t>Three months ended</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-4.6%</w:t>
            </w:r>
          </w:p>
        </w:tc>
        <w:tc>
          <w:tcPr>
            <w:tcW w:w="12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0.4%</w:t>
            </w:r>
          </w:p>
        </w:tc>
        <w:tc>
          <w:tcPr>
            <w:tcW w:w="12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82"/>
        </w:trPr>
        <w:tc>
          <w:tcPr>
            <w:tcW w:w="2600" w:type="dxa"/>
            <w:vAlign w:val="bottom"/>
            <w:gridSpan w:val="3"/>
          </w:tcPr>
          <w:p>
            <w:pPr>
              <w:spacing w:after="0"/>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January 31, 2008: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-3.9%</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6.9%</w:t>
            </w:r>
          </w:p>
        </w:tc>
        <w:tc>
          <w:tcPr>
            <w:tcW w:w="12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0.4%</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 (LOSS)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2008</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19,517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12,519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31,067</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12,660</w:t>
            </w:r>
          </w:p>
        </w:tc>
        <w:tc>
          <w:tcPr>
            <w:tcW w:w="128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$ 75,763</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(2,347)</w:t>
            </w: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$ 73,416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14,473</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14,920</w:t>
            </w: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22,604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12,394</w:t>
            </w:r>
          </w:p>
        </w:tc>
        <w:tc>
          <w:tcPr>
            <w:tcW w:w="12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64,391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(2,828)</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8"/>
                <w:szCs w:val="18"/>
                <w:i w:val="1"/>
                <w:iCs w:val="1"/>
                <w:color w:val="auto"/>
              </w:rPr>
              <w:t>Percentage increase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2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vMerge w:val="continue"/>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Six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January 31, 2008</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43,975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32,167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60,967</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32,050</w:t>
            </w:r>
          </w:p>
        </w:tc>
        <w:tc>
          <w:tcPr>
            <w:tcW w:w="128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8"/>
              </w:rPr>
              <w:t>$169,159</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(4,583)</w:t>
            </w:r>
          </w:p>
        </w:tc>
        <w:tc>
          <w:tcPr>
            <w:tcW w:w="10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$164,576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January 31, 2007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35,188</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31,723</w:t>
            </w: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45,609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34,531</w:t>
            </w:r>
          </w:p>
        </w:tc>
        <w:tc>
          <w:tcPr>
            <w:tcW w:w="128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147,051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(5,638)</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141,413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gridSpan w:val="2"/>
            <w:shd w:val="clear" w:color="auto" w:fill="CCEEFF"/>
          </w:tcPr>
          <w:p>
            <w:pPr>
              <w:ind w:left="400"/>
              <w:spacing w:after="0" w:line="182" w:lineRule="exact"/>
              <w:rPr>
                <w:sz w:val="20"/>
                <w:szCs w:val="20"/>
                <w:color w:val="auto"/>
              </w:rPr>
            </w:pPr>
            <w:r>
              <w:rPr>
                <w:rFonts w:ascii="Arial" w:cs="Arial" w:eastAsia="Arial" w:hAnsi="Arial"/>
                <w:sz w:val="18"/>
                <w:szCs w:val="18"/>
                <w:i w:val="1"/>
                <w:iCs w:val="1"/>
                <w:color w:val="auto"/>
              </w:rPr>
              <w:t>Percentage increase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-7.2%</w:t>
            </w:r>
          </w:p>
        </w:tc>
        <w:tc>
          <w:tcPr>
            <w:tcW w:w="12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vMerge w:val="continue"/>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1100" w:type="dxa"/>
            <w:vAlign w:val="bottom"/>
            <w:gridSpan w:val="4"/>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2760" w:type="dxa"/>
            <w:vAlign w:val="bottom"/>
            <w:gridSpan w:val="5"/>
          </w:tcPr>
          <w:p>
            <w:pPr>
              <w:spacing w:after="0"/>
              <w:rPr>
                <w:sz w:val="20"/>
                <w:szCs w:val="20"/>
                <w:color w:val="auto"/>
              </w:rPr>
            </w:pPr>
            <w:r>
              <w:rPr>
                <w:rFonts w:ascii="Arial" w:cs="Arial" w:eastAsia="Arial" w:hAnsi="Arial"/>
                <w:sz w:val="18"/>
                <w:szCs w:val="18"/>
                <w:b w:val="1"/>
                <w:bCs w:val="1"/>
                <w:color w:val="auto"/>
              </w:rPr>
              <w:t>NET INCOME RECONCILIATION</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100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6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Borders>
              <w:top w:val="single" w:sz="8" w:color="auto"/>
            </w:tcBorders>
            <w:gridSpan w:val="5"/>
          </w:tcPr>
          <w:p>
            <w:pPr>
              <w:jc w:val="right"/>
              <w:ind w:right="720"/>
              <w:spacing w:after="0" w:line="143" w:lineRule="exact"/>
              <w:rPr>
                <w:sz w:val="20"/>
                <w:szCs w:val="20"/>
                <w:color w:val="auto"/>
              </w:rPr>
            </w:pPr>
            <w:r>
              <w:rPr>
                <w:rFonts w:ascii="Arial" w:cs="Arial" w:eastAsia="Arial" w:hAnsi="Arial"/>
                <w:sz w:val="14"/>
                <w:szCs w:val="14"/>
                <w:color w:val="auto"/>
                <w:w w:val="98"/>
              </w:rPr>
              <w:t>January 31,</w:t>
            </w:r>
          </w:p>
        </w:tc>
        <w:tc>
          <w:tcPr>
            <w:tcW w:w="660" w:type="dxa"/>
            <w:vAlign w:val="bottom"/>
            <w:tcBorders>
              <w:top w:val="single" w:sz="8" w:color="auto"/>
            </w:tcBorders>
          </w:tcPr>
          <w:p>
            <w:pPr>
              <w:jc w:val="right"/>
              <w:ind w:right="12"/>
              <w:spacing w:after="0" w:line="143" w:lineRule="exact"/>
              <w:rPr>
                <w:sz w:val="20"/>
                <w:szCs w:val="20"/>
                <w:color w:val="auto"/>
              </w:rPr>
            </w:pPr>
            <w:r>
              <w:rPr>
                <w:rFonts w:ascii="Arial" w:cs="Arial" w:eastAsia="Arial" w:hAnsi="Arial"/>
                <w:sz w:val="14"/>
                <w:szCs w:val="14"/>
                <w:color w:val="auto"/>
              </w:rPr>
              <w:t>January</w:t>
            </w:r>
          </w:p>
        </w:tc>
        <w:tc>
          <w:tcPr>
            <w:tcW w:w="6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gridSpan w:val="4"/>
          </w:tcPr>
          <w:p>
            <w:pPr>
              <w:spacing w:after="0" w:line="143" w:lineRule="exact"/>
              <w:rPr>
                <w:sz w:val="20"/>
                <w:szCs w:val="20"/>
                <w:color w:val="auto"/>
              </w:rPr>
            </w:pPr>
            <w:r>
              <w:rPr>
                <w:rFonts w:ascii="Arial" w:cs="Arial" w:eastAsia="Arial" w:hAnsi="Arial"/>
                <w:sz w:val="14"/>
                <w:szCs w:val="14"/>
                <w:color w:val="auto"/>
              </w:rPr>
              <w:t>January 31,</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January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31, 2007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$ 75,763</w:t>
            </w:r>
          </w:p>
        </w:tc>
        <w:tc>
          <w:tcPr>
            <w:tcW w:w="5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1"/>
              </w:rPr>
              <w:t>$ 64,391</w:t>
            </w:r>
          </w:p>
        </w:tc>
        <w:tc>
          <w:tcPr>
            <w:tcW w:w="5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$169,159</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$147,051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(2,347)</w:t>
            </w:r>
          </w:p>
        </w:tc>
        <w:tc>
          <w:tcPr>
            <w:tcW w:w="5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(2,828)</w:t>
            </w:r>
          </w:p>
        </w:tc>
        <w:tc>
          <w:tcPr>
            <w:tcW w:w="520" w:type="dxa"/>
            <w:vAlign w:val="bottom"/>
          </w:tcPr>
          <w:p>
            <w:pPr>
              <w:spacing w:after="0"/>
              <w:rPr>
                <w:sz w:val="17"/>
                <w:szCs w:val="17"/>
                <w:color w:val="auto"/>
              </w:rPr>
            </w:pPr>
          </w:p>
        </w:tc>
        <w:tc>
          <w:tcPr>
            <w:tcW w:w="1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(4,583)</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(30,972)</w:t>
            </w:r>
          </w:p>
        </w:tc>
        <w:tc>
          <w:tcPr>
            <w:tcW w:w="5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(28,839)</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(63,794)</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(56,748)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2,269</w:t>
            </w:r>
          </w:p>
        </w:tc>
        <w:tc>
          <w:tcPr>
            <w:tcW w:w="5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2,387</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(6,747)</w:t>
            </w:r>
          </w:p>
        </w:tc>
        <w:tc>
          <w:tcPr>
            <w:tcW w:w="5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(5,244)</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(13,467)</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37,966</w:t>
            </w: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27,374</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89,702</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(11,276)</w:t>
            </w:r>
          </w:p>
        </w:tc>
        <w:tc>
          <w:tcPr>
            <w:tcW w:w="5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(7,665)</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(26,642)</w:t>
            </w:r>
          </w:p>
        </w:tc>
        <w:tc>
          <w:tcPr>
            <w:tcW w:w="340" w:type="dxa"/>
            <w:vAlign w:val="bottom"/>
          </w:tcPr>
          <w:p>
            <w:pPr>
              <w:spacing w:after="0"/>
              <w:rPr>
                <w:sz w:val="17"/>
                <w:szCs w:val="17"/>
                <w:color w:val="auto"/>
              </w:rPr>
            </w:pPr>
          </w:p>
        </w:tc>
        <w:tc>
          <w:tcPr>
            <w:tcW w:w="11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$ 26,690</w:t>
            </w:r>
          </w:p>
        </w:tc>
        <w:tc>
          <w:tcPr>
            <w:tcW w:w="2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1"/>
              </w:rPr>
              <w:t>$ 19,709</w:t>
            </w:r>
          </w:p>
        </w:tc>
        <w:tc>
          <w:tcPr>
            <w:tcW w:w="5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63,060</w:t>
            </w:r>
          </w:p>
        </w:tc>
        <w:tc>
          <w:tcPr>
            <w:tcW w:w="34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$ 54,157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ind w:right="5540"/>
        <w:spacing w:after="0" w:line="278"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Fiscal 2007</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right"/>
              <w:ind w:right="900"/>
              <w:spacing w:after="0" w:line="155" w:lineRule="exact"/>
              <w:rPr>
                <w:sz w:val="20"/>
                <w:szCs w:val="20"/>
                <w:color w:val="auto"/>
              </w:rPr>
            </w:pPr>
            <w:r>
              <w:rPr>
                <w:rFonts w:ascii="Arial" w:cs="Arial" w:eastAsia="Arial" w:hAnsi="Arial"/>
                <w:sz w:val="14"/>
                <w:szCs w:val="14"/>
                <w:color w:val="auto"/>
              </w:rPr>
              <w:t>Q1</w:t>
            </w:r>
          </w:p>
        </w:tc>
        <w:tc>
          <w:tcPr>
            <w:tcW w:w="20" w:type="dxa"/>
            <w:vAlign w:val="bottom"/>
          </w:tcPr>
          <w:p>
            <w:pPr>
              <w:spacing w:after="0"/>
              <w:rPr>
                <w:sz w:val="13"/>
                <w:szCs w:val="13"/>
                <w:color w:val="auto"/>
              </w:rPr>
            </w:pPr>
          </w:p>
        </w:tc>
        <w:tc>
          <w:tcPr>
            <w:tcW w:w="100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Q2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Q3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Q4</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33"/>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2520" w:type="dxa"/>
            <w:vAlign w:val="bottom"/>
            <w:gridSpan w:val="5"/>
          </w:tcPr>
          <w:p>
            <w:pPr>
              <w:jc w:val="right"/>
              <w:ind w:right="660"/>
              <w:spacing w:after="0" w:line="202" w:lineRule="exact"/>
              <w:rPr>
                <w:sz w:val="20"/>
                <w:szCs w:val="20"/>
                <w:color w:val="auto"/>
              </w:rPr>
            </w:pPr>
            <w:r>
              <w:rPr>
                <w:rFonts w:ascii="Arial" w:cs="Arial" w:eastAsia="Arial" w:hAnsi="Arial"/>
                <w:sz w:val="18"/>
                <w:szCs w:val="18"/>
                <w:color w:val="auto"/>
              </w:rPr>
              <w:t>$ 34,448</w:t>
            </w:r>
          </w:p>
        </w:tc>
        <w:tc>
          <w:tcPr>
            <w:tcW w:w="102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w w:val="96"/>
              </w:rPr>
              <w:t>$ 19,709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54,157</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2520" w:type="dxa"/>
            <w:vAlign w:val="bottom"/>
            <w:gridSpan w:val="5"/>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4,735</w:t>
            </w:r>
          </w:p>
        </w:tc>
        <w:tc>
          <w:tcPr>
            <w:tcW w:w="10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5,244</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9,979</w:t>
            </w:r>
          </w:p>
        </w:tc>
      </w:tr>
      <w:tr>
        <w:trPr>
          <w:trHeight w:val="203"/>
        </w:trPr>
        <w:tc>
          <w:tcPr>
            <w:tcW w:w="398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2520" w:type="dxa"/>
            <w:vAlign w:val="bottom"/>
            <w:gridSpan w:val="5"/>
          </w:tcPr>
          <w:p>
            <w:pPr>
              <w:jc w:val="right"/>
              <w:ind w:right="660"/>
              <w:spacing w:after="0" w:line="202" w:lineRule="exact"/>
              <w:rPr>
                <w:sz w:val="20"/>
                <w:szCs w:val="20"/>
                <w:color w:val="auto"/>
              </w:rPr>
            </w:pPr>
            <w:r>
              <w:rPr>
                <w:rFonts w:ascii="Arial" w:cs="Arial" w:eastAsia="Arial" w:hAnsi="Arial"/>
                <w:sz w:val="18"/>
                <w:szCs w:val="18"/>
                <w:color w:val="auto"/>
              </w:rPr>
              <w:t>13,396</w:t>
            </w:r>
          </w:p>
        </w:tc>
        <w:tc>
          <w:tcPr>
            <w:tcW w:w="102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7,665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21,061</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gridSpan w:val="2"/>
            <w:shd w:val="clear" w:color="auto" w:fill="CCEEFF"/>
          </w:tcPr>
          <w:p>
            <w:pPr>
              <w:spacing w:after="0"/>
              <w:rPr>
                <w:sz w:val="17"/>
                <w:szCs w:val="17"/>
                <w:color w:val="auto"/>
              </w:rPr>
            </w:pPr>
          </w:p>
        </w:tc>
        <w:tc>
          <w:tcPr>
            <w:tcW w:w="1340" w:type="dxa"/>
            <w:vAlign w:val="bottom"/>
            <w:tcBorders>
              <w:bottom w:val="single" w:sz="8" w:color="auto"/>
            </w:tcBorders>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12,927</w:t>
            </w:r>
          </w:p>
        </w:tc>
        <w:tc>
          <w:tcPr>
            <w:tcW w:w="1020" w:type="dxa"/>
            <w:vAlign w:val="bottom"/>
            <w:tcBorders>
              <w:bottom w:val="single" w:sz="8" w:color="auto"/>
            </w:tcBorders>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13,169</w:t>
            </w:r>
          </w:p>
        </w:tc>
        <w:tc>
          <w:tcPr>
            <w:tcW w:w="3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26,096</w:t>
            </w:r>
          </w:p>
        </w:tc>
      </w:tr>
      <w:tr>
        <w:trPr>
          <w:trHeight w:val="430"/>
        </w:trPr>
        <w:tc>
          <w:tcPr>
            <w:tcW w:w="39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2520" w:type="dxa"/>
            <w:vAlign w:val="bottom"/>
            <w:gridSpan w:val="5"/>
          </w:tcPr>
          <w:p>
            <w:pPr>
              <w:jc w:val="right"/>
              <w:ind w:right="660"/>
              <w:spacing w:after="0"/>
              <w:rPr>
                <w:sz w:val="20"/>
                <w:szCs w:val="20"/>
                <w:color w:val="auto"/>
              </w:rPr>
            </w:pPr>
            <w:r>
              <w:rPr>
                <w:rFonts w:ascii="Arial" w:cs="Arial" w:eastAsia="Arial" w:hAnsi="Arial"/>
                <w:sz w:val="18"/>
                <w:szCs w:val="18"/>
                <w:color w:val="auto"/>
              </w:rPr>
              <w:t>$ 65,506</w:t>
            </w:r>
          </w:p>
        </w:tc>
        <w:tc>
          <w:tcPr>
            <w:tcW w:w="1020" w:type="dxa"/>
            <w:vAlign w:val="bottom"/>
            <w:gridSpan w:val="4"/>
          </w:tcPr>
          <w:p>
            <w:pPr>
              <w:jc w:val="right"/>
              <w:ind w:right="320"/>
              <w:spacing w:after="0"/>
              <w:rPr>
                <w:sz w:val="20"/>
                <w:szCs w:val="20"/>
                <w:color w:val="auto"/>
              </w:rPr>
            </w:pPr>
            <w:r>
              <w:rPr>
                <w:rFonts w:ascii="Arial" w:cs="Arial" w:eastAsia="Arial" w:hAnsi="Arial"/>
                <w:sz w:val="18"/>
                <w:szCs w:val="18"/>
                <w:color w:val="auto"/>
                <w:w w:val="96"/>
              </w:rPr>
              <w:t>$ 45,787</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w w:val="88"/>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111,293</w:t>
            </w:r>
          </w:p>
        </w:tc>
      </w:tr>
      <w:tr>
        <w:trPr>
          <w:trHeight w:val="347"/>
        </w:trPr>
        <w:tc>
          <w:tcPr>
            <w:tcW w:w="3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Fiscal 2008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right"/>
              <w:ind w:right="920"/>
              <w:spacing w:after="0" w:line="155" w:lineRule="exact"/>
              <w:rPr>
                <w:sz w:val="20"/>
                <w:szCs w:val="20"/>
                <w:color w:val="auto"/>
              </w:rPr>
            </w:pPr>
            <w:r>
              <w:rPr>
                <w:rFonts w:ascii="Arial" w:cs="Arial" w:eastAsia="Arial" w:hAnsi="Arial"/>
                <w:sz w:val="14"/>
                <w:szCs w:val="14"/>
                <w:color w:val="auto"/>
              </w:rPr>
              <w:t>Q1</w:t>
            </w:r>
          </w:p>
        </w:tc>
        <w:tc>
          <w:tcPr>
            <w:tcW w:w="20" w:type="dxa"/>
            <w:vAlign w:val="bottom"/>
          </w:tcPr>
          <w:p>
            <w:pPr>
              <w:spacing w:after="0"/>
              <w:rPr>
                <w:sz w:val="13"/>
                <w:szCs w:val="13"/>
                <w:color w:val="auto"/>
              </w:rPr>
            </w:pPr>
          </w:p>
        </w:tc>
        <w:tc>
          <w:tcPr>
            <w:tcW w:w="10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Q3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Q4</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8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$ 36,370</w:t>
            </w:r>
          </w:p>
        </w:tc>
        <w:tc>
          <w:tcPr>
            <w:tcW w:w="66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1"/>
              </w:rPr>
              <w:t>$ 26,690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63,060</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6,720</w:t>
            </w:r>
          </w:p>
        </w:tc>
        <w:tc>
          <w:tcPr>
            <w:tcW w:w="6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6,747</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13,467</w:t>
            </w:r>
          </w:p>
        </w:tc>
      </w:tr>
      <w:tr>
        <w:trPr>
          <w:trHeight w:val="203"/>
        </w:trPr>
        <w:tc>
          <w:tcPr>
            <w:tcW w:w="398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8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15,366</w:t>
            </w:r>
          </w:p>
        </w:tc>
        <w:tc>
          <w:tcPr>
            <w:tcW w:w="66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11,276</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26,642</w:t>
            </w:r>
          </w:p>
        </w:tc>
      </w:tr>
      <w:tr>
        <w:trPr>
          <w:trHeight w:val="203"/>
        </w:trPr>
        <w:tc>
          <w:tcPr>
            <w:tcW w:w="3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14,168</w:t>
            </w:r>
          </w:p>
        </w:tc>
        <w:tc>
          <w:tcPr>
            <w:tcW w:w="6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15,501</w:t>
            </w: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29,669</w:t>
            </w:r>
          </w:p>
        </w:tc>
      </w:tr>
      <w:tr>
        <w:trPr>
          <w:trHeight w:val="430"/>
        </w:trPr>
        <w:tc>
          <w:tcPr>
            <w:tcW w:w="39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$ 72,624</w:t>
            </w:r>
          </w:p>
        </w:tc>
        <w:tc>
          <w:tcPr>
            <w:tcW w:w="66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$ 60,214</w:t>
            </w:r>
          </w:p>
        </w:tc>
        <w:tc>
          <w:tcPr>
            <w:tcW w:w="320" w:type="dxa"/>
            <w:vAlign w:val="bottom"/>
          </w:tcPr>
          <w:p>
            <w:pPr>
              <w:spacing w:after="0"/>
              <w:rPr>
                <w:sz w:val="24"/>
                <w:szCs w:val="24"/>
                <w:color w:val="auto"/>
              </w:rPr>
            </w:pP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5"/>
          </w:tcPr>
          <w:p>
            <w:pPr>
              <w:jc w:val="right"/>
              <w:ind w:right="100"/>
              <w:spacing w:after="0"/>
              <w:rPr>
                <w:sz w:val="20"/>
                <w:szCs w:val="20"/>
                <w:color w:val="auto"/>
              </w:rPr>
            </w:pPr>
            <w:r>
              <w:rPr>
                <w:rFonts w:ascii="Arial" w:cs="Arial" w:eastAsia="Arial" w:hAnsi="Arial"/>
                <w:sz w:val="18"/>
                <w:szCs w:val="18"/>
                <w:color w:val="auto"/>
              </w:rPr>
              <w:t>$132,838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8" w:lineRule="exact"/>
        <w:rPr>
          <w:sz w:val="20"/>
          <w:szCs w:val="20"/>
          <w:color w:val="auto"/>
        </w:rPr>
      </w:pPr>
    </w:p>
    <w:p>
      <w:pPr>
        <w:ind w:left="460" w:right="120" w:hanging="452"/>
        <w:spacing w:after="0" w:line="24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2019-12-13T14:14:38Z</dcterms:created>
  <dcterms:modified xsi:type="dcterms:W3CDTF">2019-12-13T14:14:38Z</dcterms:modified>
</cp:coreProperties>
</file>