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Felmer Thomas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BRADY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08/01/2014</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SR VP &amp; CFO</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MILWAUKEE</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WI</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2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20"/>
              <w:spacing w:after="0" w:line="131"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jc w:val="center"/>
              <w:ind w:left="239"/>
              <w:spacing w:after="0" w:line="135" w:lineRule="exact"/>
              <w:rPr>
                <w:sz w:val="20"/>
                <w:szCs w:val="20"/>
                <w:color w:val="auto"/>
              </w:rPr>
            </w:pPr>
            <w:r>
              <w:rPr>
                <w:rFonts w:ascii="Arial" w:cs="Arial" w:eastAsia="Arial" w:hAnsi="Arial"/>
                <w:sz w:val="12"/>
                <w:szCs w:val="12"/>
                <w:b w:val="1"/>
                <w:bCs w:val="1"/>
                <w:color w:val="auto"/>
              </w:rPr>
              <w:t>(D) or Indirect</w:t>
            </w: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Times New Roman" w:cs="Times New Roman" w:eastAsia="Times New Roman" w:hAnsi="Times New Roman"/>
                <w:sz w:val="18"/>
                <w:szCs w:val="18"/>
                <w:color w:val="0000FF"/>
              </w:rPr>
              <w:t>08/01/2014</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0"/>
              </w:rPr>
              <w:t>108</w:t>
            </w:r>
            <w:r>
              <w:rPr>
                <w:rFonts w:ascii="Times New Roman" w:cs="Times New Roman" w:eastAsia="Times New Roman" w:hAnsi="Times New Roman"/>
                <w:sz w:val="22"/>
                <w:szCs w:val="22"/>
                <w:color w:val="008000"/>
                <w:w w:val="90"/>
                <w:vertAlign w:val="superscript"/>
              </w:rPr>
              <w:t>(1)</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26.1</w:t>
            </w:r>
          </w:p>
        </w:tc>
        <w:tc>
          <w:tcPr>
            <w:tcW w:w="156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8"/>
                <w:szCs w:val="18"/>
                <w:color w:val="0000FF"/>
              </w:rPr>
              <w:t>39,959</w:t>
            </w:r>
          </w:p>
        </w:tc>
        <w:tc>
          <w:tcPr>
            <w:tcW w:w="580" w:type="dxa"/>
            <w:vAlign w:val="bottom"/>
            <w:tcBorders>
              <w:bottom w:val="single" w:sz="8" w:color="2C2C2C"/>
            </w:tcBorders>
          </w:tcPr>
          <w:p>
            <w:pPr>
              <w:jc w:val="center"/>
              <w:ind w:right="368"/>
              <w:spacing w:after="0"/>
              <w:rPr>
                <w:sz w:val="20"/>
                <w:szCs w:val="20"/>
                <w:color w:val="auto"/>
              </w:rPr>
            </w:pPr>
            <w:r>
              <w:rPr>
                <w:rFonts w:ascii="Times New Roman" w:cs="Times New Roman" w:eastAsia="Times New Roman" w:hAnsi="Times New Roman"/>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Times New Roman" w:cs="Times New Roman" w:eastAsia="Times New Roman" w:hAnsi="Times New Roman"/>
                <w:sz w:val="18"/>
                <w:szCs w:val="18"/>
                <w:color w:val="0000FF"/>
              </w:rPr>
              <w:t>08/04/2014</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F</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0"/>
              </w:rPr>
              <w:t>1,755</w:t>
            </w:r>
            <w:r>
              <w:rPr>
                <w:rFonts w:ascii="Times New Roman" w:cs="Times New Roman" w:eastAsia="Times New Roman" w:hAnsi="Times New Roman"/>
                <w:sz w:val="22"/>
                <w:szCs w:val="22"/>
                <w:color w:val="008000"/>
                <w:w w:val="90"/>
                <w:vertAlign w:val="superscript"/>
              </w:rPr>
              <w:t>(2)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25.52</w:t>
            </w:r>
          </w:p>
        </w:tc>
        <w:tc>
          <w:tcPr>
            <w:tcW w:w="156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8"/>
                <w:szCs w:val="18"/>
                <w:color w:val="0000FF"/>
              </w:rPr>
              <w:t>38,204</w:t>
            </w:r>
          </w:p>
        </w:tc>
        <w:tc>
          <w:tcPr>
            <w:tcW w:w="580" w:type="dxa"/>
            <w:vAlign w:val="bottom"/>
            <w:tcBorders>
              <w:bottom w:val="single" w:sz="8" w:color="2C2C2C"/>
            </w:tcBorders>
          </w:tcPr>
          <w:p>
            <w:pPr>
              <w:jc w:val="center"/>
              <w:ind w:right="368"/>
              <w:spacing w:after="0"/>
              <w:rPr>
                <w:sz w:val="20"/>
                <w:szCs w:val="20"/>
                <w:color w:val="auto"/>
              </w:rPr>
            </w:pPr>
            <w:r>
              <w:rPr>
                <w:rFonts w:ascii="Times New Roman" w:cs="Times New Roman" w:eastAsia="Times New Roman" w:hAnsi="Times New Roman"/>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Times New Roman" w:cs="Times New Roman" w:eastAsia="Times New Roman" w:hAnsi="Times New Roman"/>
                <w:sz w:val="18"/>
                <w:szCs w:val="18"/>
                <w:color w:val="0000FF"/>
              </w:rPr>
              <w:t>08/04/2014</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0"/>
              </w:rPr>
              <w:t>5,000</w:t>
            </w:r>
            <w:r>
              <w:rPr>
                <w:rFonts w:ascii="Times New Roman" w:cs="Times New Roman" w:eastAsia="Times New Roman" w:hAnsi="Times New Roman"/>
                <w:sz w:val="22"/>
                <w:szCs w:val="22"/>
                <w:color w:val="008000"/>
                <w:w w:val="90"/>
                <w:vertAlign w:val="superscript"/>
              </w:rPr>
              <w:t>(3)</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56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8"/>
                <w:szCs w:val="18"/>
                <w:color w:val="0000FF"/>
              </w:rPr>
              <w:t>43,204</w:t>
            </w:r>
          </w:p>
        </w:tc>
        <w:tc>
          <w:tcPr>
            <w:tcW w:w="580" w:type="dxa"/>
            <w:vAlign w:val="bottom"/>
            <w:tcBorders>
              <w:bottom w:val="single" w:sz="8" w:color="2C2C2C"/>
            </w:tcBorders>
          </w:tcPr>
          <w:p>
            <w:pPr>
              <w:jc w:val="center"/>
              <w:ind w:right="368"/>
              <w:spacing w:after="0"/>
              <w:rPr>
                <w:sz w:val="20"/>
                <w:szCs w:val="20"/>
                <w:color w:val="auto"/>
              </w:rPr>
            </w:pPr>
            <w:r>
              <w:rPr>
                <w:rFonts w:ascii="Times New Roman" w:cs="Times New Roman" w:eastAsia="Times New Roman" w:hAnsi="Times New Roman"/>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r>
              <w:rPr>
                <w:rFonts w:ascii="Times New Roman" w:cs="Times New Roman" w:eastAsia="Times New Roman" w:hAnsi="Times New Roman"/>
                <w:sz w:val="22"/>
                <w:szCs w:val="22"/>
                <w:color w:val="008000"/>
                <w:vertAlign w:val="superscript"/>
              </w:rPr>
              <w:t>(4)</w:t>
            </w:r>
          </w:p>
        </w:tc>
        <w:tc>
          <w:tcPr>
            <w:tcW w:w="15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8"/>
                <w:szCs w:val="18"/>
                <w:color w:val="0000FF"/>
              </w:rPr>
              <w:t>08/01/2014</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8"/>
                <w:vertAlign w:val="subscript"/>
              </w:rPr>
              <w:t>84</w:t>
            </w:r>
            <w:r>
              <w:rPr>
                <w:rFonts w:ascii="Times New Roman" w:cs="Times New Roman" w:eastAsia="Times New Roman" w:hAnsi="Times New Roman"/>
                <w:sz w:val="11"/>
                <w:szCs w:val="11"/>
                <w:color w:val="008000"/>
                <w:w w:val="88"/>
              </w:rPr>
              <w:t>(5)</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26.12</w:t>
            </w:r>
          </w:p>
        </w:tc>
        <w:tc>
          <w:tcPr>
            <w:tcW w:w="1560" w:type="dxa"/>
            <w:vAlign w:val="bottom"/>
            <w:gridSpan w:val="3"/>
            <w:vMerge w:val="restart"/>
          </w:tcPr>
          <w:p>
            <w:pPr>
              <w:jc w:val="right"/>
              <w:ind w:right="679"/>
              <w:spacing w:after="0"/>
              <w:rPr>
                <w:sz w:val="20"/>
                <w:szCs w:val="20"/>
                <w:color w:val="auto"/>
              </w:rPr>
            </w:pPr>
            <w:r>
              <w:rPr>
                <w:rFonts w:ascii="Times New Roman" w:cs="Times New Roman" w:eastAsia="Times New Roman" w:hAnsi="Times New Roman"/>
                <w:sz w:val="18"/>
                <w:szCs w:val="18"/>
                <w:color w:val="0000FF"/>
              </w:rPr>
              <w:t>11,455</w:t>
            </w:r>
          </w:p>
        </w:tc>
        <w:tc>
          <w:tcPr>
            <w:tcW w:w="580" w:type="dxa"/>
            <w:vAlign w:val="bottom"/>
            <w:vMerge w:val="restart"/>
          </w:tcPr>
          <w:p>
            <w:pPr>
              <w:jc w:val="center"/>
              <w:ind w:right="368"/>
              <w:spacing w:after="0"/>
              <w:rPr>
                <w:sz w:val="20"/>
                <w:szCs w:val="20"/>
                <w:color w:val="auto"/>
              </w:rPr>
            </w:pPr>
            <w:r>
              <w:rPr>
                <w:rFonts w:ascii="Times New Roman" w:cs="Times New Roman" w:eastAsia="Times New Roman" w:hAnsi="Times New Roman"/>
                <w:sz w:val="18"/>
                <w:szCs w:val="18"/>
                <w:color w:val="0000FF"/>
                <w:w w:val="99"/>
              </w:rPr>
              <w:t>I</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Deferred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gridSpan w:val="3"/>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Compensation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2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Date</w:t>
            </w:r>
          </w:p>
        </w:tc>
        <w:tc>
          <w:tcPr>
            <w:tcW w:w="8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vMerge w:val="continue"/>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of class A Common Stock acquired under the issuer's Brady Matched 401(k) Plan. Includes quarterly contributions and / or a dividend reinvestment.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withheld to cover taxes on 5,000 shares of restricted stock that vested on August 04, 2014.</w:t>
      </w:r>
    </w:p>
    <w:p>
      <w:pPr>
        <w:spacing w:after="0" w:line="41" w:lineRule="exact"/>
        <w:rPr>
          <w:rFonts w:ascii="Times New Roman" w:cs="Times New Roman" w:eastAsia="Times New Roman" w:hAnsi="Times New Roman"/>
          <w:sz w:val="14"/>
          <w:szCs w:val="14"/>
          <w:color w:val="008000"/>
        </w:rPr>
      </w:pPr>
    </w:p>
    <w:p>
      <w:pPr>
        <w:ind w:left="40" w:right="1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restricted stock units which will fully vest upon the first anniversary of the grant date. Upon vesting, each restricted stock unit will be settled solely by delivery of one share of Class A Common Stock.</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of Class A Common Stock owned under the Brady Corporation Executive Deferred Compensation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the shares acquired from a dividend reinvestment into the deferred compensation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Heidi Knueppel,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08/04/2014</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2019-12-16T04:12:34Z</dcterms:created>
  <dcterms:modified xsi:type="dcterms:W3CDTF">2019-12-16T04:12:34Z</dcterms:modified>
</cp:coreProperties>
</file>