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147955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139065</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2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60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1-14959</w:t>
            </w:r>
          </w:p>
        </w:tc>
        <w:tc>
          <w:tcPr>
            <w:tcW w:w="340" w:type="dxa"/>
            <w:vAlign w:val="bottom"/>
          </w:tcPr>
          <w:p>
            <w:pPr>
              <w:spacing w:after="0"/>
              <w:rPr>
                <w:sz w:val="20"/>
                <w:szCs w:val="20"/>
                <w:color w:val="auto"/>
              </w:rPr>
            </w:pPr>
          </w:p>
        </w:tc>
        <w:tc>
          <w:tcPr>
            <w:tcW w:w="3520" w:type="dxa"/>
            <w:vAlign w:val="bottom"/>
          </w:tcPr>
          <w:p>
            <w:pPr>
              <w:jc w:val="right"/>
              <w:ind w:right="12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2"/>
        </w:trPr>
        <w:tc>
          <w:tcPr>
            <w:tcW w:w="20" w:type="dxa"/>
            <w:vAlign w:val="bottom"/>
          </w:tcPr>
          <w:p>
            <w:pPr>
              <w:spacing w:after="0"/>
              <w:rPr>
                <w:sz w:val="15"/>
                <w:szCs w:val="15"/>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92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 w:type="dxa"/>
            <w:vAlign w:val="bottom"/>
          </w:tcPr>
          <w:p>
            <w:pPr>
              <w:spacing w:after="0"/>
              <w:rPr>
                <w:sz w:val="15"/>
                <w:szCs w:val="15"/>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851"/>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6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2399"/>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182"/>
        </w:trPr>
        <w:tc>
          <w:tcPr>
            <w:tcW w:w="20" w:type="dxa"/>
            <w:vAlign w:val="bottom"/>
          </w:tcPr>
          <w:p>
            <w:pPr>
              <w:spacing w:after="0"/>
              <w:rPr>
                <w:sz w:val="15"/>
                <w:szCs w:val="15"/>
                <w:color w:val="auto"/>
              </w:rPr>
            </w:pPr>
          </w:p>
        </w:tc>
        <w:tc>
          <w:tcPr>
            <w:tcW w:w="472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tcPr>
          <w:p>
            <w:pPr>
              <w:jc w:val="center"/>
              <w:ind w:right="179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Andrew T. Gorman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4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1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Brady Corporation and its subsidiaries (“Brady,” the “Company,” “we,” “us,” or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2025,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calendar year 2025, Brady Corporation is filing a Conflict Minerals Report which is attached as Exhibit 1.01 in Item 3.01 and is also publicly available on our website at the below link.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 SD for calendar year ended December 31, 2025.</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/s/ ANN E. THORNTON</w:t>
      </w:r>
      <w:r>
        <w:rPr>
          <w:sz w:val="20"/>
          <w:szCs w:val="20"/>
          <w:color w:val="auto"/>
        </w:rPr>
        <w:tab/>
      </w:r>
      <w:r>
        <w:rPr>
          <w:rFonts w:ascii="Times New Roman" w:cs="Times New Roman" w:eastAsia="Times New Roman" w:hAnsi="Times New Roman"/>
          <w:sz w:val="17"/>
          <w:szCs w:val="17"/>
          <w:color w:val="auto"/>
        </w:rPr>
        <w:t>Date: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2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20"/>
          </w:cols>
          <w:pgMar w:left="320" w:top="1130" w:right="359" w:bottom="1440" w:gutter="0" w:footer="0" w:header="0"/>
        </w:sectPr>
      </w:pPr>
    </w:p>
    <w:bookmarkStart w:id="3" w:name="page4"/>
    <w:bookmarkEnd w:id="3"/>
    <w:p>
      <w:pPr>
        <w:ind w:left="97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0" w:lineRule="exact"/>
        <w:rPr>
          <w:sz w:val="20"/>
          <w:szCs w:val="20"/>
          <w:color w:val="auto"/>
        </w:rPr>
      </w:pPr>
    </w:p>
    <w:p>
      <w:pPr>
        <w:ind w:left="400" w:hanging="378"/>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2025.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2025.</w:t>
      </w:r>
    </w:p>
    <w:p>
      <w:pPr>
        <w:spacing w:after="0" w:line="215"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statements below are based on the activities performed to date in good faith by Brady and are based on information available at the time of this filing.</w:t>
      </w:r>
    </w:p>
    <w:p>
      <w:pPr>
        <w:spacing w:after="0" w:line="188"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10" w:lineRule="exact"/>
        <w:rPr>
          <w:sz w:val="20"/>
          <w:szCs w:val="20"/>
          <w:color w:val="auto"/>
        </w:rPr>
      </w:pPr>
    </w:p>
    <w:p>
      <w:pPr>
        <w:ind w:left="400" w:hanging="394"/>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2025 RCOI began with identifying the products we manufacture or contract to manufacture that have a possibility of containing 3TG Minerals, or where 3TG Minerals are required for the functionality or production of such products. In 2025, Brady expanded the scope of the review of its product lines by evaluating new products and their material suppliers during the filing year, and where there was uncertainty about whether a particular product potentially contained 3TG Minerals, it was included in the 2025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214" w:lineRule="exact"/>
        <w:rPr>
          <w:rFonts w:ascii="Times New Roman" w:cs="Times New Roman" w:eastAsia="Times New Roman" w:hAnsi="Times New Roman"/>
          <w:sz w:val="18"/>
          <w:szCs w:val="18"/>
          <w:b w:val="1"/>
          <w:bCs w:val="1"/>
          <w:color w:val="auto"/>
        </w:rPr>
      </w:pPr>
    </w:p>
    <w:p>
      <w:pPr>
        <w:jc w:val="both"/>
        <w:ind w:lef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conducted its RCOI of those suppliers deemed in scope, using the Conflict Materials Reporting Template (CMRT),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210"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2025, 303 unique smelters were identified as potentially being part of our supply chain. In addition, Brady undertook due diligence on the identified smelters to determine their status regarding 3TG Minerals.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such, we believe our RCOI process was reasonably designed and performed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500" w:top="887" w:right="339" w:bottom="1440" w:gutter="0" w:footer="0" w:header="0"/>
        </w:sectPr>
      </w:pPr>
    </w:p>
    <w:bookmarkStart w:id="4" w:name="page5"/>
    <w:bookmarkEnd w:id="4"/>
    <w:p>
      <w:pPr>
        <w:ind w:left="380" w:hanging="374"/>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Measures</w:t>
      </w:r>
    </w:p>
    <w:p>
      <w:pPr>
        <w:spacing w:after="0" w:line="254" w:lineRule="exact"/>
        <w:rPr>
          <w:rFonts w:ascii="Times New Roman" w:cs="Times New Roman" w:eastAsia="Times New Roman" w:hAnsi="Times New Roman"/>
          <w:sz w:val="18"/>
          <w:szCs w:val="18"/>
          <w:b w:val="1"/>
          <w:bCs w:val="1"/>
          <w:color w:val="auto"/>
        </w:rPr>
      </w:pPr>
    </w:p>
    <w:p>
      <w:pPr>
        <w:jc w:val="both"/>
        <w:ind w:left="40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Brady designed its 3TG Minerals compliance procedures based on, and in conformity with, the five-step framework the </w:t>
      </w:r>
      <w:r>
        <w:rPr>
          <w:rFonts w:ascii="Times New Roman" w:cs="Times New Roman" w:eastAsia="Times New Roman" w:hAnsi="Times New Roman"/>
          <w:sz w:val="18"/>
          <w:szCs w:val="18"/>
          <w:i w:val="1"/>
          <w:iCs w:val="1"/>
          <w:color w:val="auto"/>
        </w:rPr>
        <w:t>OECD Due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Guidance for Responsible Supply Chains of Minerals from Conflict-Affected and High-Risk Areas: Third Edition</w:t>
      </w:r>
      <w:r>
        <w:rPr>
          <w:rFonts w:ascii="Times New Roman" w:cs="Times New Roman" w:eastAsia="Times New Roman" w:hAnsi="Times New Roman"/>
          <w:sz w:val="18"/>
          <w:szCs w:val="18"/>
          <w:color w:val="auto"/>
        </w:rPr>
        <w:t>, and related supplements on 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tungsten, tantalum, and the supplement on gold, as these relate to our position in the supply chain as a downstream user.</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1: Maintain strong company management systems</w:t>
      </w:r>
    </w:p>
    <w:p>
      <w:pPr>
        <w:spacing w:after="0" w:line="27"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2: Identify and assess risks in the supply chain</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4: Support independent third-party audits of smelter/refiner's due diligence practices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5: Report annually on supply chain due diligence</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Performed by Brady Corporation</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due diligence measures performed by Brady with respect to the reporting year:</w:t>
      </w:r>
    </w:p>
    <w:p>
      <w:pPr>
        <w:spacing w:after="0" w:line="248" w:lineRule="exact"/>
        <w:rPr>
          <w:rFonts w:ascii="Times New Roman" w:cs="Times New Roman" w:eastAsia="Times New Roman" w:hAnsi="Times New Roman"/>
          <w:sz w:val="18"/>
          <w:szCs w:val="18"/>
          <w:b w:val="1"/>
          <w:bCs w:val="1"/>
          <w:color w:val="auto"/>
        </w:rPr>
      </w:pPr>
    </w:p>
    <w:p>
      <w:pPr>
        <w:ind w:left="800" w:hanging="405"/>
        <w:spacing w:after="0"/>
        <w:tabs>
          <w:tab w:leader="none" w:pos="8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1-Maintain strong company management systems</w:t>
      </w:r>
    </w:p>
    <w:p>
      <w:pPr>
        <w:spacing w:after="0" w:line="256" w:lineRule="exact"/>
        <w:rPr>
          <w:rFonts w:ascii="Times New Roman" w:cs="Times New Roman" w:eastAsia="Times New Roman" w:hAnsi="Times New Roman"/>
          <w:sz w:val="18"/>
          <w:szCs w:val="18"/>
          <w:b w:val="1"/>
          <w:bCs w:val="1"/>
          <w:color w:val="auto"/>
        </w:rPr>
      </w:pPr>
    </w:p>
    <w:p>
      <w:pPr>
        <w:ind w:left="1120" w:right="220" w:hanging="320"/>
        <w:spacing w:after="0" w:line="261"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an internal conflict minerals team involving sourcing and global product compliance staff. The focus of this team is to implement our Conflict Minerals program and ensure compliance.</w:t>
      </w: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9" w:lineRule="exact"/>
        <w:rPr>
          <w:rFonts w:ascii="Times New Roman" w:cs="Times New Roman" w:eastAsia="Times New Roman" w:hAnsi="Times New Roman"/>
          <w:sz w:val="18"/>
          <w:szCs w:val="18"/>
          <w:color w:val="auto"/>
        </w:rPr>
      </w:pPr>
    </w:p>
    <w:p>
      <w:pPr>
        <w:ind w:left="1120" w:right="20" w:hanging="320"/>
        <w:spacing w:after="0" w:line="25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Brady communicated the requirements of the conflict minerals rule to its suppliers regarding 3TG Minerals.</w:t>
      </w:r>
    </w:p>
    <w:p>
      <w:pPr>
        <w:spacing w:after="0" w:line="9" w:lineRule="exact"/>
        <w:rPr>
          <w:rFonts w:ascii="Times New Roman" w:cs="Times New Roman" w:eastAsia="Times New Roman" w:hAnsi="Times New Roman"/>
          <w:sz w:val="18"/>
          <w:szCs w:val="18"/>
          <w:color w:val="auto"/>
        </w:rPr>
      </w:pPr>
    </w:p>
    <w:p>
      <w:pPr>
        <w:ind w:left="1120" w:hanging="320"/>
        <w:spacing w:after="0" w:line="250" w:lineRule="auto"/>
        <w:tabs>
          <w:tab w:leader="none" w:pos="1157"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on our conflict minerals program to relevant business leaders and to Brady’s head of Global Compliance.</w:t>
      </w: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mechanism to enable the reporting of and response to any customer facing questions related to conflict minerals and other supply chain matters.</w:t>
      </w:r>
    </w:p>
    <w:p>
      <w:pPr>
        <w:ind w:left="1120" w:hanging="320"/>
        <w:spacing w:after="0" w:line="260" w:lineRule="auto"/>
        <w:tabs>
          <w:tab w:leader="none" w:pos="117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 conflict minerals program documentation in accordance with the Company’s existing corporate retention policy and procedures.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2-Identify and assess risk in the supply chain</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conducted a detailed review of the products manufactured or contracted to be manufactured during the reporting year 2025 to identify products that may be in scope of the rule.</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identified the direct suppliers of products or components that may contain 3TG Minerals.</w:t>
      </w:r>
    </w:p>
    <w:p>
      <w:pPr>
        <w:spacing w:after="0" w:line="9" w:lineRule="exact"/>
        <w:rPr>
          <w:rFonts w:ascii="Times New Roman" w:cs="Times New Roman" w:eastAsia="Times New Roman" w:hAnsi="Times New Roman"/>
          <w:sz w:val="18"/>
          <w:szCs w:val="18"/>
          <w:color w:val="auto"/>
        </w:rPr>
      </w:pPr>
    </w:p>
    <w:p>
      <w:pPr>
        <w:jc w:val="both"/>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conducted supply chain surveys of the in-scope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up with non-responding direct suppliers and also worked to clarify and validate the responses from the suppliers.</w:t>
      </w:r>
    </w:p>
    <w:p>
      <w:pPr>
        <w:spacing w:after="0" w:line="9"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3-Design and implement a strategy to respond to identified risks</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3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has a risk management plan that addresses known issues with suppliers that do not meet the requirements of Brady’s corporate sourcing policy.</w:t>
      </w:r>
    </w:p>
    <w:p>
      <w:pPr>
        <w:ind w:left="1120" w:hanging="320"/>
        <w:spacing w:after="0" w:line="26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to relevant business leaders and the head of Global Compliance on the status of direct supplier responses.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887" w:right="339" w:bottom="1440" w:gutter="0" w:footer="0" w:header="0"/>
        </w:sectPr>
      </w:pPr>
    </w:p>
    <w:bookmarkStart w:id="5" w:name="page6"/>
    <w:bookmarkEnd w:id="5"/>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4-Support independent third-party audits of smelter/refiners' due diligence practices</w:t>
      </w:r>
    </w:p>
    <w:p>
      <w:pPr>
        <w:spacing w:after="0" w:line="256" w:lineRule="exact"/>
        <w:rPr>
          <w:rFonts w:ascii="Times New Roman" w:cs="Times New Roman" w:eastAsia="Times New Roman" w:hAnsi="Times New Roman"/>
          <w:sz w:val="18"/>
          <w:szCs w:val="18"/>
          <w:b w:val="1"/>
          <w:bCs w:val="1"/>
          <w:color w:val="auto"/>
        </w:rPr>
      </w:pPr>
    </w:p>
    <w:p>
      <w:pPr>
        <w:jc w:val="both"/>
        <w:ind w:left="1120" w:hanging="320"/>
        <w:spacing w:after="0" w:line="257"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5-Report annually on supply chain due diligence</w:t>
      </w:r>
    </w:p>
    <w:p>
      <w:pPr>
        <w:spacing w:after="0" w:line="256" w:lineRule="exact"/>
        <w:rPr>
          <w:rFonts w:ascii="Times New Roman" w:cs="Times New Roman" w:eastAsia="Times New Roman" w:hAnsi="Times New Roman"/>
          <w:sz w:val="18"/>
          <w:szCs w:val="18"/>
          <w:b w:val="1"/>
          <w:bCs w:val="1"/>
          <w:color w:val="auto"/>
        </w:rPr>
      </w:pPr>
    </w:p>
    <w:p>
      <w:pPr>
        <w:ind w:left="1120" w:right="3580" w:hanging="320"/>
        <w:spacing w:after="0" w:line="532"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 has publicly communicated its Conflict Minerals Policy on our company website. </w:t>
      </w:r>
      <w:r>
        <w:rPr>
          <w:rFonts w:ascii="Times New Roman" w:cs="Times New Roman" w:eastAsia="Times New Roman" w:hAnsi="Times New Roman"/>
          <w:sz w:val="18"/>
          <w:szCs w:val="18"/>
          <w:u w:val="single" w:color="auto"/>
          <w:color w:val="0000FF"/>
        </w:rPr>
        <w:t>https://www.bradyid.com/corporate/supplier-information</w:t>
      </w:r>
    </w:p>
    <w:p>
      <w:pPr>
        <w:ind w:left="1120" w:right="1280" w:hanging="320"/>
        <w:spacing w:after="0" w:line="529"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Brady’s Form SD and Conflict Minerals Report were filed with the SEC and are also available on our company website. </w:t>
      </w:r>
      <w:r>
        <w:rPr>
          <w:rFonts w:ascii="Times New Roman" w:cs="Times New Roman" w:eastAsia="Times New Roman" w:hAnsi="Times New Roman"/>
          <w:sz w:val="18"/>
          <w:szCs w:val="18"/>
          <w:u w:val="single" w:color="auto"/>
          <w:color w:val="0000FF"/>
        </w:rPr>
        <w:t>https://www.bradyid.com/corporate/supplier-information</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the Due Diligence Measures</w:t>
      </w:r>
    </w:p>
    <w:p>
      <w:pPr>
        <w:spacing w:after="0" w:line="25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2025.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Exclusion of Acquired Entities</w:t>
      </w:r>
    </w:p>
    <w:p>
      <w:pPr>
        <w:spacing w:after="0" w:line="256"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During the fiscal year ended July 31, 2025, Brady completed the acquisitions of three companies: Gravotech Holding (“Gravotech”) on August 1, 2024, American Barcode and RFID Incorporated (“AB&amp;R”) on October 1, 2024 and the Microfluidic Solutions business unit of Funai Electric Co., Ltd. (“Microfluidic Solutions”) on April 1, 2025. Pursuant to Instruction 3 to Item 1.01 of Form SD, products manufactured or contracted to be manufactured by Gravotech, AB&amp;R and Microfluidic Solutions are excluded from the specialized disclosure report for this reporting period.</w:t>
      </w:r>
    </w:p>
    <w:p>
      <w:pPr>
        <w:spacing w:after="0" w:line="207"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Brady will include the required conflict minerals information for Gravotech, AB&amp;R and Microfluidic Solutions in its specialized disclosure report for the calendar year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Product Description; Processing Facilities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scope of our inquiry covered the following products, which we believe are the most likely to contain metallic forms of 3TG Minerals:</w:t>
      </w:r>
    </w:p>
    <w:p>
      <w:pPr>
        <w:spacing w:after="0" w:line="252" w:lineRule="exact"/>
        <w:rPr>
          <w:sz w:val="20"/>
          <w:szCs w:val="20"/>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Inkjet and thermal transfer printers—both handheld and desktop models—containing electronic parts;</w:t>
      </w:r>
    </w:p>
    <w:p>
      <w:pPr>
        <w:spacing w:after="0" w:line="2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Labels and tapes for thermal transfer printing, some of which are in cassettes containing electronic parts;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Preprinted labels and tapes, some with external coating, pipe and wire markers, and metal asset tags;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devices including barcode scanners, barcode readers, and RFID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signs and traffic signs;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Pads for medical applications and sorbent materials for environmental clean-up;</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 tag-out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Visitor identification badges, badge holders and lanyards, and wristbands; and</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887" w:right="339" w:bottom="1440" w:gutter="0" w:footer="0" w:header="0"/>
        </w:sectPr>
      </w:pPr>
    </w:p>
    <w:bookmarkStart w:id="6" w:name="page7"/>
    <w:bookmarkEnd w:id="6"/>
    <w:p>
      <w:pPr>
        <w:ind w:left="1120" w:hanging="32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Die-cut materials for the telecommunications industry, primarily plastics and polyester foams.</w:t>
      </w:r>
    </w:p>
    <w:p>
      <w:pPr>
        <w:spacing w:after="0" w:line="252"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lock-out/tag-out devices. Brady also develops software for products that is factory-installed or downloadable. None of the foregoing products fall within the scope of this report.</w:t>
      </w:r>
    </w:p>
    <w:p>
      <w:pPr>
        <w:spacing w:after="0" w:line="207"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185" w:lineRule="exact"/>
        <w:rPr>
          <w:sz w:val="20"/>
          <w:szCs w:val="20"/>
          <w:color w:val="auto"/>
        </w:rPr>
      </w:pPr>
    </w:p>
    <w:p>
      <w:pPr>
        <w:ind w:left="360" w:hanging="354"/>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56"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Independent Private Sector Audit</w:t>
      </w:r>
    </w:p>
    <w:p>
      <w:pPr>
        <w:spacing w:after="0" w:line="256"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Pursuant to SEC rules and related guidance, an independent private sector audit was not required for Brady’s Conflict Minerals Report for calendar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891"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Smelters/Refiners Identified by Suppliers Identified in Brady’s Supply Chain</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48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Alexy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METALFINE,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CID004697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 Hamburg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CID002863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CID000264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CID002867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CID003663</w:t>
            </w:r>
          </w:p>
        </w:tc>
      </w:tr>
    </w:tbl>
    <w:p>
      <w:pPr>
        <w:spacing w:after="0" w:line="200" w:lineRule="exact"/>
        <w:rPr>
          <w:sz w:val="20"/>
          <w:szCs w:val="20"/>
          <w:color w:val="auto"/>
        </w:rPr>
      </w:pPr>
    </w:p>
    <w:p>
      <w:pPr>
        <w:sectPr>
          <w:pgSz w:w="11900" w:h="16838" w:orient="portrait"/>
          <w:cols w:equalWidth="0" w:num="1">
            <w:col w:w="10900"/>
          </w:cols>
          <w:pgMar w:left="320" w:top="887"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00"/>
          </w:cols>
          <w:pgMar w:left="320" w:top="887" w:right="67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CID003490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CID004506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CID000671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CID000694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CID004714</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CID000814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CID000937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CID002100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CID000981</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CID003548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CID003575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CID001980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CID005014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CID001220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Naoshima Smelter &amp;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CID005396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CID001259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NOBLE METAL SERVICES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CID003690</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Oegussa Oesterreichische Gold- und Silber-Scheideanstalt</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Gesm.b.H.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CID002872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CID001546</w:t>
            </w: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00"/>
          </w:cols>
          <w:pgMar w:left="320" w:top="916" w:right="67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CID001562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CID001619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CID002750</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JINJUNWEI RESOURCE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CID004435</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LITHUANIA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CID003153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Southwest Copper Branch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5D Production OU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CID003926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CID000460</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CID004813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OU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CID004054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Conecsus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CID003504</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CID003486</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857"/>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9</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 EMEA, S.L.U.</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CID003524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CID000309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CID000313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CID002593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CID000377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CID003356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CID000402</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CID002572</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Empresa Metallurgica Vinto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CID000438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CID000448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CID000942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CID000538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CID000555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CID004754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Limited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CID003116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CID001477</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CID004796</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Development 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CID003379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CID002015</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CID004065</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CID001314</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10</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CID001337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 Kay Metal,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CID005189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Artha Cipta Langgeng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CID002696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Masbro Alam Stania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CID003868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CID004692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CID002756</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CID004403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S.P.T. spol.s r.o.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CID005068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CID000218</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Products Branch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 Enterprise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CID005373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CID002542</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11</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CID005012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CID004619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CID004397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CID004034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Tungamoy Metals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CID005248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CID003993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CID002044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CID002082</w:t>
            </w:r>
          </w:p>
        </w:tc>
      </w:tr>
      <w:tr>
        <w:trPr>
          <w:trHeight w:val="229"/>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CID003662</w:t>
            </w:r>
          </w:p>
        </w:tc>
      </w:tr>
      <w:tr>
        <w:trPr>
          <w:trHeight w:val="858"/>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12</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5" w:name="page16"/>
    <w:bookmarkEnd w:id="15"/>
    <w:p>
      <w:pPr>
        <w:spacing w:after="0" w:line="1" w:lineRule="exact"/>
        <w:rPr>
          <w:sz w:val="20"/>
          <w:szCs w:val="20"/>
          <w:color w:val="auto"/>
        </w:rPr>
      </w:pPr>
    </w:p>
    <w:tbl>
      <w:tblPr>
        <w:tblLayout w:type="fixed"/>
        <w:tblInd w:w="185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Appendix 2</w:t>
            </w:r>
          </w:p>
        </w:tc>
      </w:tr>
      <w:tr>
        <w:trPr>
          <w:trHeight w:val="459"/>
        </w:trPr>
        <w:tc>
          <w:tcPr>
            <w:tcW w:w="2780" w:type="dxa"/>
            <w:vAlign w:val="bottom"/>
          </w:tcPr>
          <w:p>
            <w:pPr>
              <w:spacing w:after="0"/>
              <w:rPr>
                <w:sz w:val="24"/>
                <w:szCs w:val="24"/>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Countries of Origin*</w:t>
            </w:r>
          </w:p>
        </w:tc>
      </w:tr>
      <w:tr>
        <w:trPr>
          <w:trHeight w:val="270"/>
        </w:trPr>
        <w:tc>
          <w:tcPr>
            <w:tcW w:w="27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Benin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Namibia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Nicaragua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Burundi</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Guyana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Laos</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Liberia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Madagascar</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Mongolia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Zambia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Mozambique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9"/>
    </w:lvl>
  </w:abstractNum>
  <w:abstractNum w:abstractNumId="3">
    <w:nsid w:val="2EB141F2"/>
    <w:multiLevelType w:val="hybridMultilevel"/>
    <w:lvl w:ilvl="0">
      <w:lvlJc w:val="left"/>
      <w:lvlText w:val="%1."/>
      <w:numFmt w:val="upperLetter"/>
      <w:start w:val="35"/>
    </w:lvl>
  </w:abstractNum>
  <w:abstractNum w:abstractNumId="4">
    <w:nsid w:val="41B71EFB"/>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2026-05-27T09:50:57Z</dcterms:created>
  <dcterms:modified xsi:type="dcterms:W3CDTF">2026-05-27T09:50:57Z</dcterms:modified>
</cp:coreProperties>
</file>