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57150</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67945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August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69215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8" w:lineRule="exact"/>
        <w:rPr>
          <w:sz w:val="24"/>
          <w:szCs w:val="24"/>
          <w:color w:val="auto"/>
        </w:rPr>
      </w:pPr>
    </w:p>
    <w:tbl>
      <w:tblPr>
        <w:tblLayout w:type="fixed"/>
        <w:tblInd w:w="1520" w:type="dxa"/>
        <w:tblCellMar>
          <w:top w:w="0" w:type="dxa"/>
          <w:left w:w="0" w:type="dxa"/>
          <w:bottom w:w="0" w:type="dxa"/>
          <w:right w:w="0" w:type="dxa"/>
        </w:tblCellMar>
      </w:tblPr>
      <w:tr>
        <w:trPr>
          <w:trHeight w:val="157"/>
        </w:trPr>
        <w:tc>
          <w:tcPr>
            <w:tcW w:w="2860" w:type="dxa"/>
            <w:vAlign w:val="bottom"/>
          </w:tcPr>
          <w:p>
            <w:pPr>
              <w:spacing w:after="0"/>
              <w:rPr>
                <w:sz w:val="13"/>
                <w:szCs w:val="13"/>
                <w:color w:val="auto"/>
              </w:rPr>
            </w:pPr>
          </w:p>
        </w:tc>
        <w:tc>
          <w:tcPr>
            <w:tcW w:w="490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301"/>
        </w:trPr>
        <w:tc>
          <w:tcPr>
            <w:tcW w:w="2860" w:type="dxa"/>
            <w:vAlign w:val="bottom"/>
          </w:tcPr>
          <w:p>
            <w:pPr>
              <w:jc w:val="center"/>
              <w:ind w:right="326"/>
              <w:spacing w:after="0"/>
              <w:rPr>
                <w:sz w:val="20"/>
                <w:szCs w:val="20"/>
                <w:color w:val="auto"/>
              </w:rPr>
            </w:pPr>
            <w:r>
              <w:rPr>
                <w:rFonts w:ascii="Arial" w:cs="Arial" w:eastAsia="Arial" w:hAnsi="Arial"/>
                <w:sz w:val="12"/>
                <w:szCs w:val="12"/>
                <w:b w:val="1"/>
                <w:bCs w:val="1"/>
                <w:color w:val="auto"/>
                <w:w w:val="86"/>
              </w:rPr>
              <w:t>Wisconsin</w:t>
            </w:r>
          </w:p>
        </w:tc>
        <w:tc>
          <w:tcPr>
            <w:tcW w:w="490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39-0178960</w:t>
            </w:r>
          </w:p>
        </w:tc>
      </w:tr>
      <w:tr>
        <w:trPr>
          <w:trHeight w:val="123"/>
        </w:trPr>
        <w:tc>
          <w:tcPr>
            <w:tcW w:w="2860" w:type="dxa"/>
            <w:vAlign w:val="bottom"/>
          </w:tcPr>
          <w:p>
            <w:pPr>
              <w:jc w:val="center"/>
              <w:ind w:right="326"/>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c>
          <w:tcPr>
            <w:tcW w:w="2520" w:type="dxa"/>
            <w:vAlign w:val="bottom"/>
          </w:tcPr>
          <w:p>
            <w:pPr>
              <w:spacing w:after="0"/>
              <w:rPr>
                <w:sz w:val="10"/>
                <w:szCs w:val="10"/>
                <w:color w:val="auto"/>
              </w:rPr>
            </w:pPr>
          </w:p>
        </w:tc>
        <w:tc>
          <w:tcPr>
            <w:tcW w:w="2380" w:type="dxa"/>
            <w:vAlign w:val="bottom"/>
          </w:tcPr>
          <w:p>
            <w:pPr>
              <w:jc w:val="center"/>
              <w:ind w:left="93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83"/>
        </w:trPr>
        <w:tc>
          <w:tcPr>
            <w:tcW w:w="2860" w:type="dxa"/>
            <w:vAlign w:val="bottom"/>
          </w:tcPr>
          <w:p>
            <w:pPr>
              <w:spacing w:after="0"/>
              <w:rPr>
                <w:sz w:val="24"/>
                <w:szCs w:val="24"/>
                <w:color w:val="auto"/>
              </w:rPr>
            </w:pPr>
          </w:p>
        </w:tc>
        <w:tc>
          <w:tcPr>
            <w:tcW w:w="4900" w:type="dxa"/>
            <w:vAlign w:val="bottom"/>
            <w:gridSpan w:val="2"/>
          </w:tcPr>
          <w:p>
            <w:pPr>
              <w:jc w:val="center"/>
              <w:ind w:right="233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142"/>
        </w:trPr>
        <w:tc>
          <w:tcPr>
            <w:tcW w:w="2860" w:type="dxa"/>
            <w:vAlign w:val="bottom"/>
          </w:tcPr>
          <w:p>
            <w:pPr>
              <w:spacing w:after="0"/>
              <w:rPr>
                <w:sz w:val="12"/>
                <w:szCs w:val="12"/>
                <w:color w:val="auto"/>
              </w:rPr>
            </w:pPr>
          </w:p>
        </w:tc>
        <w:tc>
          <w:tcPr>
            <w:tcW w:w="4900" w:type="dxa"/>
            <w:vAlign w:val="bottom"/>
            <w:gridSpan w:val="2"/>
          </w:tcPr>
          <w:p>
            <w:pPr>
              <w:jc w:val="center"/>
              <w:ind w:right="233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23"/>
        </w:trPr>
        <w:tc>
          <w:tcPr>
            <w:tcW w:w="2860" w:type="dxa"/>
            <w:vAlign w:val="bottom"/>
          </w:tcPr>
          <w:p>
            <w:pPr>
              <w:spacing w:after="0"/>
              <w:rPr>
                <w:sz w:val="10"/>
                <w:szCs w:val="10"/>
                <w:color w:val="auto"/>
              </w:rPr>
            </w:pPr>
          </w:p>
        </w:tc>
        <w:tc>
          <w:tcPr>
            <w:tcW w:w="490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(Address of Principal Executive Offices and Zip Code)</w:t>
            </w:r>
          </w:p>
        </w:tc>
      </w:tr>
      <w:tr>
        <w:trPr>
          <w:trHeight w:val="201"/>
        </w:trPr>
        <w:tc>
          <w:tcPr>
            <w:tcW w:w="286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380" w:type="dxa"/>
            <w:vAlign w:val="bottom"/>
          </w:tcPr>
          <w:p>
            <w:pPr>
              <w:spacing w:after="0"/>
              <w:rPr>
                <w:sz w:val="17"/>
                <w:szCs w:val="17"/>
                <w:color w:val="auto"/>
              </w:rPr>
            </w:pPr>
          </w:p>
        </w:tc>
      </w:tr>
      <w:tr>
        <w:trPr>
          <w:trHeight w:val="123"/>
        </w:trPr>
        <w:tc>
          <w:tcPr>
            <w:tcW w:w="2860" w:type="dxa"/>
            <w:vAlign w:val="bottom"/>
          </w:tcPr>
          <w:p>
            <w:pPr>
              <w:spacing w:after="0"/>
              <w:rPr>
                <w:sz w:val="10"/>
                <w:szCs w:val="10"/>
                <w:color w:val="auto"/>
              </w:rPr>
            </w:pPr>
          </w:p>
        </w:tc>
        <w:tc>
          <w:tcPr>
            <w:tcW w:w="4900" w:type="dxa"/>
            <w:vAlign w:val="bottom"/>
            <w:gridSpan w:val="2"/>
          </w:tcPr>
          <w:p>
            <w:pPr>
              <w:jc w:val="center"/>
              <w:ind w:right="233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62"/>
        </w:trPr>
        <w:tc>
          <w:tcPr>
            <w:tcW w:w="286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80" w:type="dxa"/>
            <w:vAlign w:val="bottom"/>
          </w:tcPr>
          <w:p>
            <w:pPr>
              <w:spacing w:after="0"/>
              <w:rPr>
                <w:sz w:val="5"/>
                <w:szCs w:val="5"/>
                <w:color w:val="auto"/>
              </w:rPr>
            </w:pPr>
          </w:p>
        </w:tc>
      </w:tr>
    </w:tbl>
    <w:p>
      <w:pPr>
        <w:spacing w:after="0" w:line="144"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115"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106"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115"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42"/>
        </w:trPr>
        <w:tc>
          <w:tcPr>
            <w:tcW w:w="6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r>
    </w:tbl>
    <w:p>
      <w:pPr>
        <w:spacing w:after="0" w:line="144" w:lineRule="exact"/>
        <w:rPr>
          <w:sz w:val="24"/>
          <w:szCs w:val="24"/>
          <w:color w:val="auto"/>
        </w:rPr>
      </w:pPr>
    </w:p>
    <w:p>
      <w:pPr>
        <w:jc w:val="both"/>
        <w:ind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4"/>
          <w:szCs w:val="14"/>
          <w:color w:val="auto"/>
        </w:rPr>
        <w:t>☐</w:t>
      </w:r>
    </w:p>
    <w:p>
      <w:pPr>
        <w:spacing w:after="0" w:line="105" w:lineRule="exact"/>
        <w:rPr>
          <w:sz w:val="24"/>
          <w:szCs w:val="24"/>
          <w:color w:val="auto"/>
        </w:rPr>
      </w:pPr>
    </w:p>
    <w:p>
      <w:pPr>
        <w:jc w:val="both"/>
        <w:ind w:right="20"/>
        <w:spacing w:after="0" w:line="17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339725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2"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231"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On September 5, 2023, Brady Corporation (the “Company”) issued a press release announcing its fiscal 2023 fourth quarter financial results. A copy of the press release is being furnished to the Securities and Exchange Commission as Exhibit 99.1 attached hereto and is incorporated herein by reference.</w:t>
      </w: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September 5, 2023, the Company hosted a conference call related to its fiscal 2023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color w:val="auto"/>
        </w:rPr>
        <w:t>Item 8.01</w:t>
      </w:r>
      <w:r>
        <w:rPr>
          <w:sz w:val="20"/>
          <w:szCs w:val="20"/>
          <w:color w:val="auto"/>
        </w:rPr>
        <w:tab/>
      </w:r>
      <w:r>
        <w:rPr>
          <w:rFonts w:ascii="Arial" w:cs="Arial" w:eastAsia="Arial" w:hAnsi="Arial"/>
          <w:sz w:val="11"/>
          <w:szCs w:val="11"/>
          <w:color w:val="auto"/>
        </w:rPr>
        <w:t>OTHER EVENTS</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Increase in Annual Dividend</w:t>
      </w:r>
    </w:p>
    <w:p>
      <w:pPr>
        <w:spacing w:after="0" w:line="11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On August 30, 2023, the Company's Board of Directors approved an increase in the annual cash dividend on its Class A Common Stock from $0.92 to $0.94 per share. A quarterly dividend in the amount of $0.235 per share will be paid on October 31, 2023, to shareholders of record as of the close of business on October 10, 2023. A copy of the press release regarding the dividend is attached hereto as Exhibit 99.2 and is incorporated herein by reference.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Share Repurchase Authorization</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August 30, 2023, the Company's Board of Directors authorized an increase in the Company's share repurchase program, authorizing the repurchase of an additional $100 million of the Company's Class A Nonvoting Common Stock. The share repurchase program may be implemented from time to time on the open market or in privately negotiated transactions and has no expiration date. The repurchased shares will be available for use in connection with the Company's stock-based plans and for other corporate purposes. The share repurchase program was described in a press release issued by the Company in connection with its fiscal 2023 fourth quarter financial results, which is attached hereto as Exhibit 99.1 and is incorporated by reference.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20" w:type="dxa"/>
            <w:vAlign w:val="bottom"/>
          </w:tcPr>
          <w:p>
            <w:pPr>
              <w:spacing w:after="0"/>
              <w:rPr>
                <w:sz w:val="20"/>
                <w:szCs w:val="20"/>
                <w:color w:val="auto"/>
              </w:rPr>
            </w:pPr>
            <w:r>
              <w:rPr>
                <w:rFonts w:ascii="Arial" w:cs="Arial" w:eastAsia="Arial" w:hAnsi="Arial"/>
                <w:sz w:val="12"/>
                <w:szCs w:val="12"/>
                <w:color w:val="auto"/>
              </w:rPr>
              <w:t>Item 9.01</w:t>
            </w:r>
          </w:p>
        </w:tc>
        <w:tc>
          <w:tcPr>
            <w:tcW w:w="10080" w:type="dxa"/>
            <w:vAlign w:val="bottom"/>
            <w:gridSpan w:val="5"/>
          </w:tcPr>
          <w:p>
            <w:pPr>
              <w:ind w:left="80"/>
              <w:spacing w:after="0"/>
              <w:rPr>
                <w:sz w:val="20"/>
                <w:szCs w:val="20"/>
                <w:color w:val="auto"/>
              </w:rPr>
            </w:pPr>
            <w:r>
              <w:rPr>
                <w:rFonts w:ascii="Arial" w:cs="Arial" w:eastAsia="Arial" w:hAnsi="Arial"/>
                <w:sz w:val="12"/>
                <w:szCs w:val="12"/>
                <w:color w:val="auto"/>
              </w:rPr>
              <w:t>FINANCIAL STATEMENTS AND EXHIBITS</w:t>
            </w:r>
          </w:p>
        </w:tc>
      </w:tr>
      <w:tr>
        <w:trPr>
          <w:trHeight w:val="369"/>
        </w:trPr>
        <w:tc>
          <w:tcPr>
            <w:tcW w:w="1220" w:type="dxa"/>
            <w:vAlign w:val="bottom"/>
          </w:tcPr>
          <w:p>
            <w:pPr>
              <w:spacing w:after="0"/>
              <w:rPr>
                <w:sz w:val="20"/>
                <w:szCs w:val="20"/>
                <w:color w:val="auto"/>
              </w:rPr>
            </w:pPr>
            <w:r>
              <w:rPr>
                <w:rFonts w:ascii="Arial" w:cs="Arial" w:eastAsia="Arial" w:hAnsi="Arial"/>
                <w:sz w:val="12"/>
                <w:szCs w:val="12"/>
                <w:color w:val="auto"/>
              </w:rPr>
              <w:t>(d) Exhibits</w:t>
            </w:r>
          </w:p>
        </w:tc>
        <w:tc>
          <w:tcPr>
            <w:tcW w:w="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61"/>
        </w:trPr>
        <w:tc>
          <w:tcPr>
            <w:tcW w:w="12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EXHIBIT NUMBER</w:t>
            </w:r>
          </w:p>
        </w:tc>
        <w:tc>
          <w:tcPr>
            <w:tcW w:w="160" w:type="dxa"/>
            <w:vAlign w:val="bottom"/>
          </w:tcPr>
          <w:p>
            <w:pPr>
              <w:spacing w:after="0"/>
              <w:rPr>
                <w:sz w:val="22"/>
                <w:szCs w:val="22"/>
                <w:color w:val="auto"/>
              </w:rPr>
            </w:pPr>
          </w:p>
        </w:tc>
        <w:tc>
          <w:tcPr>
            <w:tcW w:w="99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color w:val="auto"/>
              </w:rPr>
              <w:t>DESCRIPTION</w:t>
            </w:r>
          </w:p>
        </w:tc>
      </w:tr>
      <w:tr>
        <w:trPr>
          <w:trHeight w:val="178"/>
        </w:trPr>
        <w:tc>
          <w:tcPr>
            <w:tcW w:w="1220" w:type="dxa"/>
            <w:vAlign w:val="bottom"/>
          </w:tcPr>
          <w:p>
            <w:pPr>
              <w:spacing w:after="0"/>
              <w:rPr>
                <w:sz w:val="20"/>
                <w:szCs w:val="20"/>
                <w:color w:val="auto"/>
              </w:rPr>
            </w:pPr>
            <w:r>
              <w:rPr>
                <w:rFonts w:ascii="Arial" w:cs="Arial" w:eastAsia="Arial" w:hAnsi="Arial"/>
                <w:sz w:val="12"/>
                <w:szCs w:val="12"/>
                <w:color w:val="auto"/>
              </w:rPr>
              <w:t>99.1</w:t>
            </w:r>
          </w:p>
        </w:tc>
        <w:tc>
          <w:tcPr>
            <w:tcW w:w="160" w:type="dxa"/>
            <w:vAlign w:val="bottom"/>
          </w:tcPr>
          <w:p>
            <w:pPr>
              <w:spacing w:after="0"/>
              <w:rPr>
                <w:sz w:val="15"/>
                <w:szCs w:val="15"/>
                <w:color w:val="auto"/>
              </w:rPr>
            </w:pPr>
          </w:p>
        </w:tc>
        <w:tc>
          <w:tcPr>
            <w:tcW w:w="9920" w:type="dxa"/>
            <w:vAlign w:val="bottom"/>
            <w:gridSpan w:val="4"/>
          </w:tcPr>
          <w:p>
            <w:pPr>
              <w:ind w:left="20"/>
              <w:spacing w:after="0"/>
              <w:rPr>
                <w:sz w:val="20"/>
                <w:szCs w:val="20"/>
                <w:color w:val="auto"/>
              </w:rPr>
            </w:pPr>
            <w:r>
              <w:rPr>
                <w:rFonts w:ascii="Arial" w:cs="Arial" w:eastAsia="Arial" w:hAnsi="Arial"/>
                <w:sz w:val="12"/>
                <w:szCs w:val="12"/>
                <w:color w:val="0000FF"/>
              </w:rPr>
              <w:t>Press Release of Brady Corporation, dated September 5, 2023, relating to fourth quarter fiscal 2023 financial results.</w:t>
            </w:r>
          </w:p>
        </w:tc>
      </w:tr>
      <w:tr>
        <w:trPr>
          <w:trHeight w:val="259"/>
        </w:trPr>
        <w:tc>
          <w:tcPr>
            <w:tcW w:w="1220" w:type="dxa"/>
            <w:vAlign w:val="bottom"/>
          </w:tcPr>
          <w:p>
            <w:pPr>
              <w:spacing w:after="0"/>
              <w:rPr>
                <w:sz w:val="20"/>
                <w:szCs w:val="20"/>
                <w:color w:val="auto"/>
              </w:rPr>
            </w:pPr>
            <w:r>
              <w:rPr>
                <w:rFonts w:ascii="Arial" w:cs="Arial" w:eastAsia="Arial" w:hAnsi="Arial"/>
                <w:sz w:val="12"/>
                <w:szCs w:val="12"/>
                <w:color w:val="auto"/>
              </w:rPr>
              <w:t>99.2</w:t>
            </w:r>
          </w:p>
        </w:tc>
        <w:tc>
          <w:tcPr>
            <w:tcW w:w="160" w:type="dxa"/>
            <w:vAlign w:val="bottom"/>
          </w:tcPr>
          <w:p>
            <w:pPr>
              <w:spacing w:after="0"/>
              <w:rPr>
                <w:sz w:val="22"/>
                <w:szCs w:val="22"/>
                <w:color w:val="auto"/>
              </w:rPr>
            </w:pPr>
          </w:p>
        </w:tc>
        <w:tc>
          <w:tcPr>
            <w:tcW w:w="5600" w:type="dxa"/>
            <w:vAlign w:val="bottom"/>
            <w:tcBorders>
              <w:top w:val="single" w:sz="8" w:color="0000FF"/>
            </w:tcBorders>
            <w:gridSpan w:val="2"/>
          </w:tcPr>
          <w:p>
            <w:pPr>
              <w:ind w:left="20"/>
              <w:spacing w:after="0"/>
              <w:rPr>
                <w:sz w:val="20"/>
                <w:szCs w:val="20"/>
                <w:color w:val="auto"/>
              </w:rPr>
            </w:pPr>
            <w:r>
              <w:rPr>
                <w:rFonts w:ascii="Arial" w:cs="Arial" w:eastAsia="Arial" w:hAnsi="Arial"/>
                <w:sz w:val="12"/>
                <w:szCs w:val="12"/>
                <w:color w:val="0000FF"/>
              </w:rPr>
              <w:t>Press Release of Brady Corporation, dated September 4, 2023, relating to increase in annual dividend.</w:t>
            </w:r>
          </w:p>
        </w:tc>
        <w:tc>
          <w:tcPr>
            <w:tcW w:w="4320" w:type="dxa"/>
            <w:vAlign w:val="bottom"/>
            <w:gridSpan w:val="2"/>
          </w:tcPr>
          <w:p>
            <w:pPr>
              <w:spacing w:after="0"/>
              <w:rPr>
                <w:sz w:val="22"/>
                <w:szCs w:val="22"/>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9"/>
        </w:trPr>
        <w:tc>
          <w:tcPr>
            <w:tcW w:w="1220" w:type="dxa"/>
            <w:vAlign w:val="bottom"/>
          </w:tcPr>
          <w:p>
            <w:pPr>
              <w:spacing w:after="0"/>
              <w:rPr>
                <w:sz w:val="20"/>
                <w:szCs w:val="20"/>
                <w:color w:val="auto"/>
              </w:rPr>
            </w:pPr>
            <w:r>
              <w:rPr>
                <w:rFonts w:ascii="Arial" w:cs="Arial" w:eastAsia="Arial" w:hAnsi="Arial"/>
                <w:sz w:val="12"/>
                <w:szCs w:val="12"/>
                <w:color w:val="auto"/>
              </w:rPr>
              <w:t>99.3</w:t>
            </w:r>
          </w:p>
        </w:tc>
        <w:tc>
          <w:tcPr>
            <w:tcW w:w="160" w:type="dxa"/>
            <w:vAlign w:val="bottom"/>
          </w:tcPr>
          <w:p>
            <w:pPr>
              <w:spacing w:after="0"/>
              <w:rPr>
                <w:sz w:val="22"/>
                <w:szCs w:val="22"/>
                <w:color w:val="auto"/>
              </w:rPr>
            </w:pPr>
          </w:p>
        </w:tc>
        <w:tc>
          <w:tcPr>
            <w:tcW w:w="9920" w:type="dxa"/>
            <w:vAlign w:val="bottom"/>
            <w:gridSpan w:val="4"/>
          </w:tcPr>
          <w:p>
            <w:pPr>
              <w:ind w:left="20"/>
              <w:spacing w:after="0"/>
              <w:rPr>
                <w:sz w:val="20"/>
                <w:szCs w:val="20"/>
                <w:color w:val="auto"/>
              </w:rPr>
            </w:pPr>
            <w:r>
              <w:rPr>
                <w:rFonts w:ascii="Arial" w:cs="Arial" w:eastAsia="Arial" w:hAnsi="Arial"/>
                <w:sz w:val="12"/>
                <w:szCs w:val="12"/>
                <w:color w:val="0000FF"/>
              </w:rPr>
              <w:t>Informational slides provided by Brady Corporation, dated September 5, 2023, relating to fourth quarter fiscal 2023 financial results.</w:t>
            </w:r>
          </w:p>
        </w:tc>
      </w:tr>
      <w:tr>
        <w:trPr>
          <w:trHeight w:val="268"/>
        </w:trPr>
        <w:tc>
          <w:tcPr>
            <w:tcW w:w="1220" w:type="dxa"/>
            <w:vAlign w:val="bottom"/>
          </w:tcPr>
          <w:p>
            <w:pPr>
              <w:spacing w:after="0"/>
              <w:rPr>
                <w:sz w:val="20"/>
                <w:szCs w:val="20"/>
                <w:color w:val="auto"/>
              </w:rPr>
            </w:pPr>
            <w:r>
              <w:rPr>
                <w:rFonts w:ascii="Arial" w:cs="Arial" w:eastAsia="Arial" w:hAnsi="Arial"/>
                <w:sz w:val="12"/>
                <w:szCs w:val="12"/>
                <w:color w:val="auto"/>
              </w:rPr>
              <w:t>104</w:t>
            </w:r>
          </w:p>
        </w:tc>
        <w:tc>
          <w:tcPr>
            <w:tcW w:w="160" w:type="dxa"/>
            <w:vAlign w:val="bottom"/>
          </w:tcPr>
          <w:p>
            <w:pPr>
              <w:spacing w:after="0"/>
              <w:rPr>
                <w:sz w:val="23"/>
                <w:szCs w:val="23"/>
                <w:color w:val="auto"/>
              </w:rPr>
            </w:pPr>
          </w:p>
        </w:tc>
        <w:tc>
          <w:tcPr>
            <w:tcW w:w="6380" w:type="dxa"/>
            <w:vAlign w:val="bottom"/>
            <w:tcBorders>
              <w:top w:val="single" w:sz="8" w:color="0000FF"/>
            </w:tcBorders>
            <w:gridSpan w:val="3"/>
          </w:tcPr>
          <w:p>
            <w:pPr>
              <w:ind w:left="20"/>
              <w:spacing w:after="0"/>
              <w:rPr>
                <w:sz w:val="20"/>
                <w:szCs w:val="20"/>
                <w:color w:val="auto"/>
              </w:rPr>
            </w:pPr>
            <w:r>
              <w:rPr>
                <w:rFonts w:ascii="Arial" w:cs="Arial" w:eastAsia="Arial" w:hAnsi="Arial"/>
                <w:sz w:val="12"/>
                <w:szCs w:val="12"/>
                <w:color w:val="auto"/>
              </w:rPr>
              <w:t>Cover Page Interactive Data File (embedded within Inline XBRL document).</w:t>
            </w:r>
          </w:p>
        </w:tc>
        <w:tc>
          <w:tcPr>
            <w:tcW w:w="3540" w:type="dxa"/>
            <w:vAlign w:val="bottom"/>
          </w:tcPr>
          <w:p>
            <w:pPr>
              <w:spacing w:after="0"/>
              <w:rPr>
                <w:sz w:val="23"/>
                <w:szCs w:val="23"/>
                <w:color w:val="auto"/>
              </w:rPr>
            </w:pPr>
          </w:p>
        </w:tc>
      </w:tr>
      <w:tr>
        <w:trPr>
          <w:trHeight w:val="810"/>
        </w:trPr>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2" w:name="page3"/>
    <w:bookmarkEnd w:id="2"/>
    <w:p>
      <w:pPr>
        <w:ind w:left="5320"/>
        <w:spacing w:after="0"/>
        <w:rPr>
          <w:sz w:val="20"/>
          <w:szCs w:val="20"/>
          <w:color w:val="auto"/>
        </w:rPr>
      </w:pPr>
      <w:r>
        <w:rPr>
          <w:rFonts w:ascii="Arial" w:cs="Arial" w:eastAsia="Arial" w:hAnsi="Arial"/>
          <w:sz w:val="12"/>
          <w:szCs w:val="12"/>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ind w:left="750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September 5, 2023</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9525</wp:posOffset>
            </wp:positionV>
            <wp:extent cx="24231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Arial" w:cs="Arial" w:eastAsia="Arial" w:hAnsi="Arial"/>
          <w:sz w:val="12"/>
          <w:szCs w:val="12"/>
          <w:color w:val="auto"/>
        </w:rPr>
        <w:t>Ann E. Thornton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Chief Financial Officer, Chief Accounting Officer and Treasurer</w:t>
      </w:r>
    </w:p>
    <w:p>
      <w:pPr>
        <w:sectPr>
          <w:pgSz w:w="11900" w:h="16838" w:orient="portrait"/>
          <w:cols w:equalWidth="0" w:num="1">
            <w:col w:w="10580"/>
          </w:cols>
          <w:pgMar w:left="300" w:top="752"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Record EPS in its Fiscal 2023 Fourth Quarter, Expands its Share Buyback Program and Announces its Fiscal 2024 EPS Guidance</w:t>
      </w:r>
    </w:p>
    <w:p>
      <w:pPr>
        <w:spacing w:after="0" w:line="206"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increased 6.8 percent. Organic sales increased 6.9 percent.</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Gross profit margin increased to 50.8 percent in the fourth quarter of F’23 compared to 50.4 percent in the fourth quarter of F’22.</w:t>
      </w:r>
    </w:p>
    <w:p>
      <w:pPr>
        <w:spacing w:after="0" w:line="55" w:lineRule="exact"/>
        <w:rPr>
          <w:rFonts w:ascii="Arial" w:cs="Arial" w:eastAsia="Arial" w:hAnsi="Arial"/>
          <w:sz w:val="14"/>
          <w:szCs w:val="14"/>
          <w:color w:val="auto"/>
        </w:rPr>
      </w:pPr>
    </w:p>
    <w:p>
      <w:pPr>
        <w:ind w:left="420" w:hanging="212"/>
        <w:spacing w:after="0" w:line="310"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increased 23.5 percent to an all-time high of $1.00 in the fourth quarter of fiscal 2023 compared to $0.81 in the same quarter of the prior year. Diluted EPS Excluding Certain Items* increased 19.5 percent to an all-time record high of $1.04 in the fourth quarter of fiscal 2023 compared to $0.87 in the same quarter of the prior year.</w:t>
      </w:r>
    </w:p>
    <w:p>
      <w:pPr>
        <w:spacing w:after="0" w:line="12" w:lineRule="exact"/>
        <w:rPr>
          <w:rFonts w:ascii="Arial" w:cs="Arial" w:eastAsia="Arial" w:hAnsi="Arial"/>
          <w:sz w:val="14"/>
          <w:szCs w:val="14"/>
          <w:color w:val="auto"/>
        </w:rPr>
      </w:pPr>
    </w:p>
    <w:p>
      <w:pPr>
        <w:jc w:val="both"/>
        <w:ind w:left="420" w:hanging="212"/>
        <w:spacing w:after="0" w:line="312"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During the quarter and year ended July 31, 2023, we returned $56.4 million and $120.4 million, respectively, to our shareholders in the form of dividends and share repurchases. On August 30, 2023, Brady’s Board of Directors authorized an additional $100 million of shares for repurchase, which based on current share prices equates to approximately 2.0 million shares and approximately 4.4 percent of total outstanding shares.</w:t>
      </w:r>
    </w:p>
    <w:p>
      <w:pPr>
        <w:spacing w:after="0" w:line="14"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2"/>
          <w:szCs w:val="12"/>
          <w:color w:val="auto"/>
        </w:rPr>
        <w:t>Fiscal 2023 sales increased 2.3 percent and organic sales increased 5.5 percent. Diluted EPS increased 21.0 percent to an all-time high of $3.51 in fiscal 2023 compared to $2.90 in fiscal 2022.</w:t>
      </w:r>
    </w:p>
    <w:p>
      <w:pPr>
        <w:spacing w:after="0" w:line="66" w:lineRule="exact"/>
        <w:rPr>
          <w:rFonts w:ascii="Arial" w:cs="Arial" w:eastAsia="Arial" w:hAnsi="Arial"/>
          <w:sz w:val="13"/>
          <w:szCs w:val="13"/>
          <w:color w:val="auto"/>
        </w:rPr>
      </w:pPr>
    </w:p>
    <w:p>
      <w:pPr>
        <w:ind w:left="420" w:right="20" w:hanging="212"/>
        <w:spacing w:after="0" w:line="339"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guidance for the year ending July 31, 2024 was announced at a range of $3.70 to $3.95 on a GAAP basis, and a range of $3.85 to $4.10 on a non-GAAP basis. This GAAP EPS guidance range is an increase of 5.4 percent to 12.5 percent compared to GAAP EPS of $3.51 for the year ended July 31, 2023.</w:t>
      </w:r>
    </w:p>
    <w:p>
      <w:pPr>
        <w:spacing w:after="0" w:line="128"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MILWAUKEE (September 5, 2023) -- Brady Corporation (NYSE: BRC) (“Brady” or “Company”), a world leader in identification solutions, today reported its financial results for its fiscal 2023 fourth quarter ended July 31, 2023.</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July 31, 2023 Financial Results:</w:t>
      </w:r>
    </w:p>
    <w:p>
      <w:pPr>
        <w:spacing w:after="0" w:line="53"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3"/>
          <w:szCs w:val="13"/>
          <w:color w:val="auto"/>
        </w:rPr>
        <w:t>Sales for the quarter ended July 31, 2023 increased 6.8 percent, which consisted of an organic sales increase of 6.9 percent, an increase of 0.6 percent from foreign currency translation and a decrease of 0.7 percent from the divestiture of the PremiSys business. Sales for the quarter ended July 31, 2023 were $345.9 million compared to $324.0 million in the same quarter last year. By region, sales increased 4.4 percent in the Americas &amp; Asia and increased 11.5 percent in Europe &amp; Australia, which consisted of an organic sales increase of 5.6 percent in the Americas &amp; Asia and an organic sales increase of 9.5 percent in Europe &amp; Australia.</w:t>
      </w:r>
    </w:p>
    <w:p>
      <w:pPr>
        <w:spacing w:after="0" w:line="2" w:lineRule="exact"/>
        <w:rPr>
          <w:sz w:val="20"/>
          <w:szCs w:val="20"/>
          <w:color w:val="auto"/>
        </w:rPr>
      </w:pPr>
    </w:p>
    <w:p>
      <w:pPr>
        <w:jc w:val="both"/>
        <w:ind w:firstLine="432"/>
        <w:spacing w:after="0" w:line="352" w:lineRule="auto"/>
        <w:rPr>
          <w:sz w:val="20"/>
          <w:szCs w:val="20"/>
          <w:color w:val="auto"/>
        </w:rPr>
      </w:pPr>
      <w:r>
        <w:rPr>
          <w:rFonts w:ascii="Arial" w:cs="Arial" w:eastAsia="Arial" w:hAnsi="Arial"/>
          <w:sz w:val="13"/>
          <w:szCs w:val="13"/>
          <w:color w:val="auto"/>
        </w:rPr>
        <w:t>Income before income taxes increased 18.2 percent to $63.8 million for the quarter ended July 31, 2023, compared to $54.0 million in the same quarter last year. Income Before Income Taxes Excluding Certain Items* for the quarter ended July 31, 2023, which was adjusted for amortization expense of $2.4 million, was $66.2 million, an increase of 14.8 percent compared to the fourth quarter of last year. Income Before Income Taxes</w:t>
      </w:r>
    </w:p>
    <w:p>
      <w:pPr>
        <w:sectPr>
          <w:pgSz w:w="11900" w:h="16838" w:orient="portrait"/>
          <w:cols w:equalWidth="0" w:num="1">
            <w:col w:w="11300"/>
          </w:cols>
          <w:pgMar w:left="300" w:top="638"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Excluding Certain Items* for the quarter ended July 31, 2022, which was adjusted for amortization expense of $3.7 million, was $57.7 million.</w:t>
      </w:r>
    </w:p>
    <w:p>
      <w:pPr>
        <w:spacing w:after="0" w:line="5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3"/>
          <w:szCs w:val="13"/>
          <w:color w:val="auto"/>
        </w:rPr>
        <w:t>Net income for the quarter ended July 31, 2023 was $49.4 million compared to $41.1 million in the same quarter last year. Earnings per diluted Class A Nonvoting Common Share were $1.00 for the fourth quarter of fiscal 2023, compared to $0.81 in the same quarter last year. Net Income Excluding Certain Items* for the quarter ended July 31, 2023 was $51.2 million and Diluted EPS Excluding Certain Items* for the quarter ended July 31, 2023 was $1.04. Net Income Excluding Certain Items* for the quarter ended July 31, 2022 was $43.9 million, and Diluted EPS Excluding Certain Items* for the quarter ended July 31, 2022 was $0.87.</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Year Ended July 31, 2023 Financial Results:</w:t>
      </w:r>
    </w:p>
    <w:p>
      <w:pPr>
        <w:spacing w:after="0" w:line="53"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3"/>
          <w:szCs w:val="13"/>
          <w:color w:val="auto"/>
        </w:rPr>
        <w:t>Sales for the year ended July 31, 2023 increased 2.3 percent, which consisted of an organic sales increase of 5.5 percent, a decrease of 3.0 percent from foreign currency translation and a decrease of 0.2 percent from the divestiture of the PremiSys business. Sales for the year ended July 31, 2023 were $1.33 billion compared to $1.30 billion in the same period last year. By region, sales increased 3.2 percent in the Americas &amp; Asia and increased 0.5 percent in Europe &amp; Australia, which consisted of an organic sales increase of 4.4 percent in the Americas &amp; Asia and an organic sales increase of 7.6 percent in Europe &amp; Australia.</w:t>
      </w:r>
    </w:p>
    <w:p>
      <w:pPr>
        <w:spacing w:after="0" w:line="2" w:lineRule="exact"/>
        <w:rPr>
          <w:sz w:val="20"/>
          <w:szCs w:val="20"/>
          <w:color w:val="auto"/>
        </w:rPr>
      </w:pPr>
    </w:p>
    <w:p>
      <w:pPr>
        <w:jc w:val="both"/>
        <w:ind w:firstLine="432"/>
        <w:spacing w:after="0" w:line="335" w:lineRule="auto"/>
        <w:rPr>
          <w:sz w:val="20"/>
          <w:szCs w:val="20"/>
          <w:color w:val="auto"/>
        </w:rPr>
      </w:pPr>
      <w:r>
        <w:rPr>
          <w:rFonts w:ascii="Arial" w:cs="Arial" w:eastAsia="Arial" w:hAnsi="Arial"/>
          <w:sz w:val="13"/>
          <w:szCs w:val="13"/>
          <w:color w:val="auto"/>
        </w:rPr>
        <w:t>Income before income taxes increased 17.6 percent to $225.7 million for the year ended July 31, 2023, compared to $192.0 million in the same period last year. Income Before Income Taxes Excluding Certain Items* for the year ended July 31, 2023 was $233.7 million, an increase of 11.9 percent compared to the same period last year. Income Before Income Taxes Excluding Certain Items* for the year ended July 31, 2023 was adjusted for amortization expense of $11.7 million and removes the $3.8 million gain on the sale of the PremiSys business. Income Before Income Taxes Excluding Certain Items* for the prior year ended July 31, 2022 was $208.8 million, which was adjusted for amortization expense of $15.0 million and non-recurring charges primarily to streamline the cost structure of our Workplace Safety business of $1.8 million.</w:t>
      </w:r>
    </w:p>
    <w:p>
      <w:pPr>
        <w:spacing w:after="0" w:line="1" w:lineRule="exact"/>
        <w:rPr>
          <w:sz w:val="20"/>
          <w:szCs w:val="20"/>
          <w:color w:val="auto"/>
        </w:rPr>
      </w:pPr>
    </w:p>
    <w:p>
      <w:pPr>
        <w:jc w:val="both"/>
        <w:ind w:firstLine="432"/>
        <w:spacing w:after="0" w:line="350" w:lineRule="auto"/>
        <w:rPr>
          <w:sz w:val="20"/>
          <w:szCs w:val="20"/>
          <w:color w:val="auto"/>
        </w:rPr>
      </w:pPr>
      <w:r>
        <w:rPr>
          <w:rFonts w:ascii="Arial" w:cs="Arial" w:eastAsia="Arial" w:hAnsi="Arial"/>
          <w:sz w:val="13"/>
          <w:szCs w:val="13"/>
          <w:color w:val="auto"/>
        </w:rPr>
        <w:t>Net income for the year ended July 31, 2023 was $174.9 million compared to $150.0 million in the same period last year. Earnings per diluted Class A Nonvoting Common Share were $3.51 for the year ended July 31, 2023, compared to $2.90 in the same period last year. Net Income Excluding Certain Items* for the year ended July 31, 2023 was $181.5 million and Diluted EPS Excluding Certain Items* for the year ended July 31, 2022 was $3.64. Net Income Excluding Certain Items* for the year ended July 31, 2022 was $162.7 million, and Diluted EPS Excluding Certain Items* for the year ended July 31, 2022 was $3.15.</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62" w:lineRule="exact"/>
        <w:rPr>
          <w:sz w:val="20"/>
          <w:szCs w:val="20"/>
          <w:color w:val="auto"/>
        </w:rPr>
      </w:pPr>
    </w:p>
    <w:p>
      <w:pPr>
        <w:jc w:val="both"/>
        <w:ind w:firstLine="432"/>
        <w:spacing w:after="0" w:line="335" w:lineRule="auto"/>
        <w:rPr>
          <w:sz w:val="20"/>
          <w:szCs w:val="20"/>
          <w:color w:val="auto"/>
        </w:rPr>
      </w:pPr>
      <w:r>
        <w:rPr>
          <w:rFonts w:ascii="Arial" w:cs="Arial" w:eastAsia="Arial" w:hAnsi="Arial"/>
          <w:sz w:val="13"/>
          <w:szCs w:val="13"/>
          <w:color w:val="auto"/>
        </w:rPr>
        <w:t>“This quarter we once again reported all-time record high EPS, resulting in a strong finish and Brady’s best earnings year ever. For the full year ended July 31, 2023, our GAAP EPS was $3.51, which was a 21.0 percent increase over the previous year which was also a record,” said Brady’s President and Chief Executive Officer, Russell R. Shaller. “Both regions performed well this year with total organic sales growth of 5.5 percent and strong growth in operating income. We have exciting new products in our pipeline, our regional reorganization is driving benefits throughout our businesses, and we’re entering next fiscal year with positive momentum.”</w:t>
      </w:r>
    </w:p>
    <w:p>
      <w:pPr>
        <w:spacing w:after="0" w:line="2" w:lineRule="exact"/>
        <w:rPr>
          <w:sz w:val="20"/>
          <w:szCs w:val="20"/>
          <w:color w:val="auto"/>
        </w:rPr>
      </w:pPr>
    </w:p>
    <w:p>
      <w:pPr>
        <w:jc w:val="both"/>
        <w:ind w:right="20" w:firstLine="432"/>
        <w:spacing w:after="0" w:line="358" w:lineRule="auto"/>
        <w:rPr>
          <w:sz w:val="20"/>
          <w:szCs w:val="20"/>
          <w:color w:val="auto"/>
        </w:rPr>
      </w:pPr>
      <w:r>
        <w:rPr>
          <w:rFonts w:ascii="Arial" w:cs="Arial" w:eastAsia="Arial" w:hAnsi="Arial"/>
          <w:sz w:val="13"/>
          <w:szCs w:val="13"/>
          <w:color w:val="auto"/>
        </w:rPr>
        <w:t>“In addition to our organic revenue growth of 5.5 percent and record EPS this year, we also used our strong balance sheet and cash generation to return funds to our shareholders in the form of share buybacks and increased dividends. This year, we repurchased a total of 1.6 million shares for $75.0 million and we returned another $45.4</w:t>
      </w:r>
    </w:p>
    <w:p>
      <w:pPr>
        <w:sectPr>
          <w:pgSz w:w="11900" w:h="16838" w:orient="portrait"/>
          <w:cols w:equalWidth="0" w:num="1">
            <w:col w:w="11300"/>
          </w:cols>
          <w:pgMar w:left="300" w:top="669" w:right="299" w:bottom="1440" w:gutter="0" w:footer="0" w:header="0"/>
        </w:sectPr>
      </w:pPr>
    </w:p>
    <w:bookmarkStart w:id="5" w:name="page6"/>
    <w:bookmarkEnd w:id="5"/>
    <w:p>
      <w:pPr>
        <w:jc w:val="both"/>
        <w:spacing w:after="0" w:line="352" w:lineRule="auto"/>
        <w:rPr>
          <w:sz w:val="20"/>
          <w:szCs w:val="20"/>
          <w:color w:val="auto"/>
        </w:rPr>
      </w:pPr>
      <w:r>
        <w:rPr>
          <w:rFonts w:ascii="Arial" w:cs="Arial" w:eastAsia="Arial" w:hAnsi="Arial"/>
          <w:sz w:val="13"/>
          <w:szCs w:val="13"/>
          <w:color w:val="auto"/>
        </w:rPr>
        <w:t>million to our shareholders in the form of dividends,” said Brady’s Chief Financial Officer, Ann Thornton. “Even after returning more than $120 million to our shareholders this year, we were still in a net cash position of $101.8 million at July 31, 2023. We are financially solid and are well-positioned for the future with a balance sheet that provides opportunities to invest in both organic and inorganic opportunities to increase shareholder value.”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Buyback Program:</w:t>
      </w:r>
    </w:p>
    <w:p>
      <w:pPr>
        <w:spacing w:after="0" w:line="62" w:lineRule="exact"/>
        <w:rPr>
          <w:sz w:val="20"/>
          <w:szCs w:val="20"/>
          <w:color w:val="auto"/>
        </w:rPr>
      </w:pPr>
    </w:p>
    <w:p>
      <w:pPr>
        <w:jc w:val="both"/>
        <w:ind w:firstLine="432"/>
        <w:spacing w:after="0" w:line="358" w:lineRule="auto"/>
        <w:rPr>
          <w:sz w:val="20"/>
          <w:szCs w:val="20"/>
          <w:color w:val="auto"/>
        </w:rPr>
      </w:pPr>
      <w:r>
        <w:rPr>
          <w:rFonts w:ascii="Arial" w:cs="Arial" w:eastAsia="Arial" w:hAnsi="Arial"/>
          <w:sz w:val="13"/>
          <w:szCs w:val="13"/>
          <w:color w:val="auto"/>
        </w:rPr>
        <w:t>On August 30, 2023, Brady’s Board of Directors authorized an additional $100 million of Class A Common Stock for repurchase under the Company’s share buyback program. The share buyback plan may be implemented from time to time in the open market or in privately negotiated transactions and has no expiration date.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2024 Guidance:</w:t>
      </w:r>
    </w:p>
    <w:p>
      <w:pPr>
        <w:spacing w:after="0" w:line="80" w:lineRule="exact"/>
        <w:rPr>
          <w:sz w:val="20"/>
          <w:szCs w:val="20"/>
          <w:color w:val="auto"/>
        </w:rPr>
      </w:pPr>
    </w:p>
    <w:p>
      <w:pPr>
        <w:jc w:val="both"/>
        <w:ind w:firstLine="432"/>
        <w:spacing w:after="0" w:line="317" w:lineRule="auto"/>
        <w:rPr>
          <w:sz w:val="20"/>
          <w:szCs w:val="20"/>
          <w:color w:val="auto"/>
        </w:rPr>
      </w:pPr>
      <w:r>
        <w:rPr>
          <w:rFonts w:ascii="Arial" w:cs="Arial" w:eastAsia="Arial" w:hAnsi="Arial"/>
          <w:sz w:val="13"/>
          <w:szCs w:val="13"/>
          <w:color w:val="auto"/>
        </w:rPr>
        <w:t>Brady expects GAAP earnings per diluted Class A Nonvoting Common Share to range from $3.70 to $3.95, which would be an increase of 5.4 percent to 12.5 percent over the GAAP earnings per diluted Class A nonvoting Common Share of $3.51 for the year ended July 31, 2023.</w:t>
      </w:r>
    </w:p>
    <w:p>
      <w:pPr>
        <w:spacing w:after="0" w:line="1" w:lineRule="exact"/>
        <w:rPr>
          <w:sz w:val="20"/>
          <w:szCs w:val="20"/>
          <w:color w:val="auto"/>
        </w:rPr>
      </w:pPr>
    </w:p>
    <w:p>
      <w:pPr>
        <w:jc w:val="both"/>
        <w:ind w:right="20" w:firstLine="432"/>
        <w:spacing w:after="0" w:line="332" w:lineRule="auto"/>
        <w:rPr>
          <w:sz w:val="20"/>
          <w:szCs w:val="20"/>
          <w:color w:val="auto"/>
        </w:rPr>
      </w:pPr>
      <w:r>
        <w:rPr>
          <w:rFonts w:ascii="Arial" w:cs="Arial" w:eastAsia="Arial" w:hAnsi="Arial"/>
          <w:sz w:val="13"/>
          <w:szCs w:val="13"/>
          <w:color w:val="auto"/>
        </w:rPr>
        <w:t>Brady also expects Diluted EPS Excluding Certain Items* to range from $3.85 to $4.10 for the year ending July 31, 2024, which would be an increase of 5.8 percent to 12.6 percent over Diluted EPS Excluding Certain Items* of $3.64 for the year ended July 31, 2023. Excluded from this Diluted EPS Excluding Certain Items* guidance is expected amortization expense equating to $0.15 per share for the year ending July 31, 2024.</w:t>
      </w:r>
    </w:p>
    <w:p>
      <w:pPr>
        <w:spacing w:after="0" w:line="1" w:lineRule="exact"/>
        <w:rPr>
          <w:sz w:val="20"/>
          <w:szCs w:val="20"/>
          <w:color w:val="auto"/>
        </w:rPr>
      </w:pPr>
    </w:p>
    <w:p>
      <w:pPr>
        <w:jc w:val="both"/>
        <w:ind w:firstLine="432"/>
        <w:spacing w:after="0" w:line="352" w:lineRule="auto"/>
        <w:rPr>
          <w:sz w:val="20"/>
          <w:szCs w:val="20"/>
          <w:color w:val="auto"/>
        </w:rPr>
      </w:pPr>
      <w:r>
        <w:rPr>
          <w:rFonts w:ascii="Arial" w:cs="Arial" w:eastAsia="Arial" w:hAnsi="Arial"/>
          <w:sz w:val="13"/>
          <w:szCs w:val="13"/>
          <w:color w:val="auto"/>
        </w:rPr>
        <w:t>Included in our fiscal 2024 guidance are a full-year income tax rate of approximately 22 percent and depreciation and amortization expense ranging from $32 million to $34 million. Capital expenditures are expected to approximate $75 million, which is inclusive of facility construction costs of approximately $55 million. Our fiscal 2024 guidance is based on foreign currency exchange rates as of July 31, 2023 and assumes continued economic growth.</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2023 fourth quarter and full year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2023, employed approximately 5,600 people in its worldwide businesses. Brady’s fiscal 2023 sales were approximately $1.33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www.bradyid.com</w:t>
      </w:r>
      <w:r>
        <w:rPr>
          <w:rFonts w:ascii="Arial" w:cs="Arial" w:eastAsia="Arial" w:hAnsi="Arial"/>
          <w:sz w:val="13"/>
          <w:szCs w:val="13"/>
          <w:color w:val="auto"/>
        </w:rPr>
        <w:t>.</w:t>
      </w:r>
    </w:p>
    <w:p>
      <w:pPr>
        <w:spacing w:after="0" w:line="137" w:lineRule="exact"/>
        <w:rPr>
          <w:sz w:val="20"/>
          <w:szCs w:val="20"/>
          <w:color w:val="auto"/>
        </w:rPr>
      </w:pPr>
    </w:p>
    <w:p>
      <w:pPr>
        <w:ind w:firstLine="424"/>
        <w:spacing w:after="0" w:line="358" w:lineRule="auto"/>
        <w:tabs>
          <w:tab w:leader="none" w:pos="537"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ectPr>
          <w:pgSz w:w="11900" w:h="16838" w:orient="portrait"/>
          <w:cols w:equalWidth="0" w:num="1">
            <w:col w:w="11300"/>
          </w:cols>
          <w:pgMar w:left="300" w:top="678"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labor and freight as well as material shortages and supply chain disruptions; decreased demand for our products; our ability to compete effectively or to successfully execute our strategy; our ability to develop technologically advanced products that meet customer demands; difficulties in protecting our websites, networks, and systems against security breaches; Brady’s ability to identify, integrate, and grow acquired companies, and to manage contingent liabilities from divested businesses; risks associated with the loss of key employees; extensive regulations by U.S. and non-U.S. governmental and self-regulatory entities; litigation, including product liability claims; adverse impacts of the novel coronavirus (“COVID-19”) pandemic or other pandemics;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8"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1"/>
                <w:szCs w:val="11"/>
                <w:color w:val="auto"/>
              </w:rPr>
              <w:t>Three months ended July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color w:val="auto"/>
              </w:rPr>
              <w:t>Year ended July 31,</w:t>
            </w:r>
          </w:p>
        </w:tc>
        <w:tc>
          <w:tcPr>
            <w:tcW w:w="860" w:type="dxa"/>
            <w:vAlign w:val="bottom"/>
            <w:tcBorders>
              <w:bottom w:val="single" w:sz="8" w:color="auto"/>
            </w:tcBorders>
          </w:tcPr>
          <w:p>
            <w:pPr>
              <w:spacing w:after="0"/>
              <w:rPr>
                <w:sz w:val="12"/>
                <w:szCs w:val="12"/>
                <w:color w:val="auto"/>
              </w:rPr>
            </w:pPr>
          </w:p>
        </w:tc>
      </w:tr>
      <w:tr>
        <w:trPr>
          <w:trHeight w:val="133"/>
        </w:trPr>
        <w:tc>
          <w:tcPr>
            <w:tcW w:w="55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345,929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323,981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1,331,863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1,302,062</w:t>
            </w:r>
          </w:p>
        </w:tc>
      </w:tr>
      <w:tr>
        <w:trPr>
          <w:trHeight w:val="142"/>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170,049</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160,805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674,588</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670,510</w:t>
            </w:r>
          </w:p>
        </w:tc>
      </w:tr>
      <w:tr>
        <w:trPr>
          <w:trHeight w:val="135"/>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175,880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163,176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657,275</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631,552</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16,340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15,753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61,365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58,548</w:t>
            </w:r>
          </w:p>
        </w:tc>
      </w:tr>
      <w:tr>
        <w:trPr>
          <w:trHeight w:val="142"/>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97,495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94,507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370,697</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379,992</w:t>
            </w: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113,835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110,260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432,062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438,540</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62,045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52,916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225,213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193,012</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2,426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1,587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4,022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244</w:t>
            </w:r>
          </w:p>
        </w:tc>
      </w:tr>
      <w:tr>
        <w:trPr>
          <w:trHeight w:val="144"/>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(513)</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(3,539)</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(1,276)</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63,818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53,990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225,696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191,980</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14,440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12,926</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50,839</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42,001</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49,378</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41,064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174,857</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149,979</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0.82</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3.53</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2.92</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0.82</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3.51</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2.91</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2.89</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49,099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50,185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49,591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51,321</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49,377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50,437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49,869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51,651</w:t>
            </w:r>
          </w:p>
        </w:tc>
      </w:tr>
    </w:tbl>
    <w:p>
      <w:pPr>
        <w:sectPr>
          <w:pgSz w:w="11900" w:h="16838" w:orient="portrait"/>
          <w:cols w:equalWidth="0" w:num="1">
            <w:col w:w="11240"/>
          </w:cols>
          <w:pgMar w:left="300" w:top="562" w:right="35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July 31, 2023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color w:val="auto"/>
              </w:rPr>
              <w:t>July 31, 2022</w:t>
            </w:r>
          </w:p>
        </w:tc>
      </w:tr>
      <w:tr>
        <w:trPr>
          <w:trHeight w:val="106"/>
        </w:trPr>
        <w:tc>
          <w:tcPr>
            <w:tcW w:w="28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w w:val="90"/>
              </w:rPr>
              <w:t>ASSETS</w:t>
            </w:r>
          </w:p>
        </w:tc>
        <w:tc>
          <w:tcPr>
            <w:tcW w:w="3820" w:type="dxa"/>
            <w:vAlign w:val="bottom"/>
            <w:tcBorders>
              <w:bottom w:val="single" w:sz="8" w:color="CCEEFF"/>
            </w:tcBorders>
            <w:gridSpan w:val="2"/>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Current assets:</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Cash and cash equivalents</w:t>
            </w:r>
          </w:p>
        </w:tc>
        <w:tc>
          <w:tcPr>
            <w:tcW w:w="1100" w:type="dxa"/>
            <w:vAlign w:val="bottom"/>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151,532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114,069</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Accounts receivable, net of allowance for credit losses of $8,467 and $7,355, respectively</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184,420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183,233</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Inventories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177,078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190,023</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Arial" w:cs="Arial" w:eastAsia="Arial" w:hAnsi="Arial"/>
                <w:sz w:val="11"/>
                <w:szCs w:val="11"/>
                <w:color w:val="auto"/>
              </w:rPr>
              <w:t>Prepaid expenses and other current assets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11,790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10,743</w:t>
            </w:r>
          </w:p>
        </w:tc>
      </w:tr>
      <w:tr>
        <w:trPr>
          <w:trHeight w:val="135"/>
        </w:trPr>
        <w:tc>
          <w:tcPr>
            <w:tcW w:w="804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Total current assets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524,820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498,068</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142,149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139,511</w:t>
            </w:r>
          </w:p>
        </w:tc>
      </w:tr>
      <w:tr>
        <w:trPr>
          <w:trHeight w:val="146"/>
        </w:trPr>
        <w:tc>
          <w:tcPr>
            <w:tcW w:w="804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592,646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586,832</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62,096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74,028</w:t>
            </w:r>
          </w:p>
        </w:tc>
      </w:tr>
      <w:tr>
        <w:trPr>
          <w:trHeight w:val="146"/>
        </w:trPr>
        <w:tc>
          <w:tcPr>
            <w:tcW w:w="804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15,716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15,881</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29,688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31,293</w:t>
            </w:r>
          </w:p>
        </w:tc>
      </w:tr>
      <w:tr>
        <w:trPr>
          <w:trHeight w:val="144"/>
        </w:trPr>
        <w:tc>
          <w:tcPr>
            <w:tcW w:w="804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22,142</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21,719</w:t>
            </w:r>
          </w:p>
        </w:tc>
      </w:tr>
      <w:tr>
        <w:trPr>
          <w:trHeight w:val="151"/>
        </w:trPr>
        <w:tc>
          <w:tcPr>
            <w:tcW w:w="804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1100" w:type="dxa"/>
            <w:vAlign w:val="bottom"/>
            <w:tcBorders>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5"/>
              </w:rPr>
              <w:t>1,389,257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1,367,332</w:t>
            </w:r>
          </w:p>
        </w:tc>
      </w:tr>
      <w:tr>
        <w:trPr>
          <w:trHeight w:val="106"/>
        </w:trPr>
        <w:tc>
          <w:tcPr>
            <w:tcW w:w="2840" w:type="dxa"/>
            <w:vAlign w:val="bottom"/>
            <w:shd w:val="clear" w:color="auto" w:fill="CCEEFF"/>
          </w:tcPr>
          <w:p>
            <w:pPr>
              <w:spacing w:after="0"/>
              <w:rPr>
                <w:sz w:val="9"/>
                <w:szCs w:val="9"/>
                <w:color w:val="auto"/>
              </w:rPr>
            </w:pPr>
          </w:p>
        </w:tc>
        <w:tc>
          <w:tcPr>
            <w:tcW w:w="5200" w:type="dxa"/>
            <w:vAlign w:val="bottom"/>
            <w:gridSpan w:val="4"/>
            <w:shd w:val="clear" w:color="auto" w:fill="CCEEFF"/>
          </w:tcPr>
          <w:p>
            <w:pPr>
              <w:jc w:val="center"/>
              <w:ind w:right="2860"/>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1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42"/>
        </w:trPr>
        <w:tc>
          <w:tcPr>
            <w:tcW w:w="2840" w:type="dxa"/>
            <w:vAlign w:val="bottom"/>
            <w:tcBorders>
              <w:top w:val="single" w:sz="8" w:color="CCEEFF"/>
            </w:tcBorders>
          </w:tcPr>
          <w:p>
            <w:pPr>
              <w:spacing w:after="0"/>
              <w:rPr>
                <w:sz w:val="20"/>
                <w:szCs w:val="20"/>
                <w:color w:val="auto"/>
              </w:rPr>
            </w:pPr>
            <w:r>
              <w:rPr>
                <w:rFonts w:ascii="Arial" w:cs="Arial" w:eastAsia="Arial" w:hAnsi="Arial"/>
                <w:sz w:val="11"/>
                <w:szCs w:val="11"/>
                <w:color w:val="auto"/>
              </w:rPr>
              <w:t>Current liabilities:</w:t>
            </w:r>
          </w:p>
        </w:tc>
        <w:tc>
          <w:tcPr>
            <w:tcW w:w="2340" w:type="dxa"/>
            <w:vAlign w:val="bottom"/>
            <w:tcBorders>
              <w:top w:val="single" w:sz="8" w:color="auto"/>
            </w:tcBorders>
            <w:gridSpan w:val="3"/>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Accounts payable</w:t>
            </w:r>
          </w:p>
        </w:tc>
        <w:tc>
          <w:tcPr>
            <w:tcW w:w="1100" w:type="dxa"/>
            <w:vAlign w:val="bottom"/>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79,855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81,116</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Accrued compensation and benefits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71,470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76,764</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Taxes, other than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13,575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12,539</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Accrued income taxes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12,582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8,294</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Current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14,726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15,003</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Arial" w:cs="Arial" w:eastAsia="Arial" w:hAnsi="Arial"/>
                <w:sz w:val="11"/>
                <w:szCs w:val="11"/>
                <w:color w:val="auto"/>
              </w:rPr>
              <w:t>Other current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65,828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61,458</w:t>
            </w:r>
          </w:p>
        </w:tc>
      </w:tr>
      <w:tr>
        <w:trPr>
          <w:trHeight w:val="135"/>
        </w:trPr>
        <w:tc>
          <w:tcPr>
            <w:tcW w:w="804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Total current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258,036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255,174</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Long-term debt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49,716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95,000</w:t>
            </w:r>
          </w:p>
        </w:tc>
      </w:tr>
      <w:tr>
        <w:trPr>
          <w:trHeight w:val="146"/>
        </w:trPr>
        <w:tc>
          <w:tcPr>
            <w:tcW w:w="804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Long-term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16,217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19,143</w:t>
            </w:r>
          </w:p>
        </w:tc>
      </w:tr>
      <w:tr>
        <w:trPr>
          <w:trHeight w:val="142"/>
        </w:trPr>
        <w:tc>
          <w:tcPr>
            <w:tcW w:w="804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Other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74,369</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86,717</w:t>
            </w:r>
          </w:p>
        </w:tc>
      </w:tr>
      <w:tr>
        <w:trPr>
          <w:trHeight w:val="135"/>
        </w:trPr>
        <w:tc>
          <w:tcPr>
            <w:tcW w:w="804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Total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398,338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456,034</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Stockholders’ equity:</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Common stock:</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2"/>
        </w:trPr>
        <w:tc>
          <w:tcPr>
            <w:tcW w:w="8040" w:type="dxa"/>
            <w:vAlign w:val="bottom"/>
            <w:gridSpan w:val="5"/>
          </w:tcPr>
          <w:p>
            <w:pPr>
              <w:ind w:left="300"/>
              <w:spacing w:after="0"/>
              <w:rPr>
                <w:sz w:val="20"/>
                <w:szCs w:val="20"/>
                <w:color w:val="auto"/>
              </w:rPr>
            </w:pPr>
            <w:r>
              <w:rPr>
                <w:rFonts w:ascii="Arial" w:cs="Arial" w:eastAsia="Arial" w:hAnsi="Arial"/>
                <w:sz w:val="11"/>
                <w:szCs w:val="11"/>
                <w:color w:val="auto"/>
                <w:w w:val="91"/>
              </w:rPr>
              <w:t>Class A nonvoting common stock—Issued 51,261,487 shares, and outstanding 45,008,724 and 46,370,708 shares, respectively (aggregate liquidation preference of $42,716)</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513</w:t>
            </w:r>
          </w:p>
        </w:tc>
      </w:tr>
      <w:tr>
        <w:trPr>
          <w:trHeight w:val="146"/>
        </w:trPr>
        <w:tc>
          <w:tcPr>
            <w:tcW w:w="804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Class B voting common stock—Issued and outstanding, 3,538,628 shares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Additional paid-in capital</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351,771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345,266</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Retained earnings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1,021,870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892,417</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Treasury stock—6,252,763 and 4,890,779 shares, respectively of Class A nonvoting common stock, at cost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(290,209)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(217,856)</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Accumulated other comprehensive loss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(93,061)</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(109,077)</w:t>
            </w:r>
          </w:p>
        </w:tc>
      </w:tr>
      <w:tr>
        <w:trPr>
          <w:trHeight w:val="131"/>
        </w:trPr>
        <w:tc>
          <w:tcPr>
            <w:tcW w:w="8040" w:type="dxa"/>
            <w:vAlign w:val="bottom"/>
            <w:tcBorders>
              <w:bottom w:val="single" w:sz="8" w:color="CCEEFF"/>
            </w:tcBorders>
            <w:gridSpan w:val="5"/>
          </w:tcPr>
          <w:p>
            <w:pPr>
              <w:ind w:left="300"/>
              <w:spacing w:after="0"/>
              <w:rPr>
                <w:sz w:val="20"/>
                <w:szCs w:val="20"/>
                <w:color w:val="auto"/>
              </w:rPr>
            </w:pPr>
            <w:r>
              <w:rPr>
                <w:rFonts w:ascii="Arial" w:cs="Arial" w:eastAsia="Arial" w:hAnsi="Arial"/>
                <w:sz w:val="11"/>
                <w:szCs w:val="11"/>
                <w:color w:val="auto"/>
              </w:rPr>
              <w:t>Total stockholders’ equity</w:t>
            </w:r>
          </w:p>
        </w:tc>
        <w:tc>
          <w:tcPr>
            <w:tcW w:w="1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990,919</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911,298</w:t>
            </w:r>
          </w:p>
        </w:tc>
      </w:tr>
      <w:tr>
        <w:trPr>
          <w:trHeight w:val="151"/>
        </w:trPr>
        <w:tc>
          <w:tcPr>
            <w:tcW w:w="8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Total</w:t>
            </w:r>
          </w:p>
        </w:tc>
        <w:tc>
          <w:tcPr>
            <w:tcW w:w="11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1,389,257</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1,367,332</w:t>
            </w: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1"/>
                <w:szCs w:val="11"/>
                <w:color w:val="auto"/>
              </w:rPr>
              <w:t>Year ended July 31,</w:t>
            </w:r>
          </w:p>
        </w:tc>
        <w:tc>
          <w:tcPr>
            <w:tcW w:w="1060" w:type="dxa"/>
            <w:vAlign w:val="bottom"/>
            <w:tcBorders>
              <w:bottom w:val="single" w:sz="8" w:color="auto"/>
            </w:tcBorders>
          </w:tcPr>
          <w:p>
            <w:pPr>
              <w:spacing w:after="0"/>
              <w:rPr>
                <w:sz w:val="12"/>
                <w:szCs w:val="12"/>
                <w:color w:val="auto"/>
              </w:rPr>
            </w:pPr>
          </w:p>
        </w:tc>
      </w:tr>
      <w:tr>
        <w:trPr>
          <w:trHeight w:val="133"/>
        </w:trPr>
        <w:tc>
          <w:tcPr>
            <w:tcW w:w="80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2023</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color w:val="auto"/>
              </w:rPr>
              <w:t>2022</w:t>
            </w:r>
          </w:p>
        </w:tc>
      </w:tr>
      <w:tr>
        <w:trPr>
          <w:trHeight w:val="126"/>
        </w:trPr>
        <w:tc>
          <w:tcPr>
            <w:tcW w:w="8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174,857</w:t>
            </w:r>
          </w:p>
        </w:tc>
        <w:tc>
          <w:tcPr>
            <w:tcW w:w="100" w:type="dxa"/>
            <w:vAlign w:val="bottom"/>
          </w:tcPr>
          <w:p>
            <w:pPr>
              <w:spacing w:after="0"/>
              <w:rPr>
                <w:sz w:val="12"/>
                <w:szCs w:val="12"/>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149,979</w:t>
            </w:r>
          </w:p>
        </w:tc>
      </w:tr>
      <w:tr>
        <w:trPr>
          <w:trHeight w:val="146"/>
        </w:trPr>
        <w:tc>
          <w:tcPr>
            <w:tcW w:w="80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32,370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34,182</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10,504</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Gain on sale of business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(3,770)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Deferred income taxes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(12,472)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(1,645)</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Other</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1,197</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740"/>
              <w:spacing w:after="0"/>
              <w:rPr>
                <w:sz w:val="20"/>
                <w:szCs w:val="20"/>
                <w:color w:val="auto"/>
              </w:rPr>
            </w:pPr>
            <w:r>
              <w:rPr>
                <w:rFonts w:ascii="Arial" w:cs="Arial" w:eastAsia="Arial" w:hAnsi="Arial"/>
                <w:sz w:val="11"/>
                <w:szCs w:val="11"/>
                <w:color w:val="auto"/>
              </w:rPr>
              <w:t>Accounts receivable</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2,380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(25,330)</w:t>
            </w:r>
          </w:p>
        </w:tc>
      </w:tr>
      <w:tr>
        <w:trPr>
          <w:trHeight w:val="146"/>
        </w:trPr>
        <w:tc>
          <w:tcPr>
            <w:tcW w:w="806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Inventories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14,972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(62,907)</w:t>
            </w:r>
          </w:p>
        </w:tc>
      </w:tr>
      <w:tr>
        <w:trPr>
          <w:trHeight w:val="142"/>
        </w:trPr>
        <w:tc>
          <w:tcPr>
            <w:tcW w:w="8060" w:type="dxa"/>
            <w:vAlign w:val="bottom"/>
          </w:tcPr>
          <w:p>
            <w:pPr>
              <w:ind w:left="740"/>
              <w:spacing w:after="0"/>
              <w:rPr>
                <w:sz w:val="20"/>
                <w:szCs w:val="20"/>
                <w:color w:val="auto"/>
              </w:rPr>
            </w:pPr>
            <w:r>
              <w:rPr>
                <w:rFonts w:ascii="Arial" w:cs="Arial" w:eastAsia="Arial" w:hAnsi="Arial"/>
                <w:sz w:val="11"/>
                <w:szCs w:val="11"/>
                <w:color w:val="auto"/>
              </w:rPr>
              <w:t>Prepaid expenses and other assets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(1,023)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807</w:t>
            </w:r>
          </w:p>
        </w:tc>
      </w:tr>
      <w:tr>
        <w:trPr>
          <w:trHeight w:val="146"/>
        </w:trPr>
        <w:tc>
          <w:tcPr>
            <w:tcW w:w="806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6,826</w:t>
            </w:r>
          </w:p>
        </w:tc>
      </w:tr>
      <w:tr>
        <w:trPr>
          <w:trHeight w:val="142"/>
        </w:trPr>
        <w:tc>
          <w:tcPr>
            <w:tcW w:w="806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Income taxes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4,094</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4,836</w:t>
            </w:r>
          </w:p>
        </w:tc>
      </w:tr>
      <w:tr>
        <w:trPr>
          <w:trHeight w:val="135"/>
        </w:trPr>
        <w:tc>
          <w:tcPr>
            <w:tcW w:w="8060" w:type="dxa"/>
            <w:vAlign w:val="bottom"/>
            <w:shd w:val="clear" w:color="auto" w:fill="CCEEFF"/>
          </w:tcPr>
          <w:p>
            <w:pPr>
              <w:ind w:left="1000"/>
              <w:spacing w:after="0"/>
              <w:rPr>
                <w:sz w:val="20"/>
                <w:szCs w:val="20"/>
                <w:color w:val="auto"/>
              </w:rPr>
            </w:pPr>
            <w:r>
              <w:rPr>
                <w:rFonts w:ascii="Arial" w:cs="Arial" w:eastAsia="Arial" w:hAnsi="Arial"/>
                <w:sz w:val="11"/>
                <w:szCs w:val="11"/>
                <w:color w:val="auto"/>
              </w:rPr>
              <w:t>Net cash provided by operating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209,149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118,449</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(19,226)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(43,138)</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Sale of business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w:t>
            </w:r>
          </w:p>
        </w:tc>
      </w:tr>
      <w:tr>
        <w:trPr>
          <w:trHeight w:val="135"/>
        </w:trPr>
        <w:tc>
          <w:tcPr>
            <w:tcW w:w="8060" w:type="dxa"/>
            <w:vAlign w:val="bottom"/>
            <w:shd w:val="clear" w:color="auto" w:fill="CCEEFF"/>
          </w:tcPr>
          <w:p>
            <w:pPr>
              <w:ind w:left="1000"/>
              <w:spacing w:after="0"/>
              <w:rPr>
                <w:sz w:val="20"/>
                <w:szCs w:val="20"/>
                <w:color w:val="auto"/>
              </w:rPr>
            </w:pPr>
            <w:r>
              <w:rPr>
                <w:rFonts w:ascii="Arial" w:cs="Arial" w:eastAsia="Arial" w:hAnsi="Arial"/>
                <w:sz w:val="11"/>
                <w:szCs w:val="11"/>
                <w:color w:val="auto"/>
              </w:rPr>
              <w:t>Net cash used in investing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(43,071)</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Financing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Payment of dividends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(45,404)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(45,931)</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(2,041)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(5,127)</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Purchase of treasury stock</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(74,996)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(109,229)</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Proceeds from borrowing on credit facilities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127,660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243,716</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Repayment of borrowing on credit facilities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(172,944)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(186,716)</w:t>
            </w:r>
          </w:p>
        </w:tc>
      </w:tr>
      <w:tr>
        <w:trPr>
          <w:trHeight w:val="142"/>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w:t>
            </w:r>
          </w:p>
        </w:tc>
      </w:tr>
      <w:tr>
        <w:trPr>
          <w:trHeight w:val="135"/>
        </w:trPr>
        <w:tc>
          <w:tcPr>
            <w:tcW w:w="8060" w:type="dxa"/>
            <w:vAlign w:val="bottom"/>
            <w:shd w:val="clear" w:color="auto" w:fill="CCEEFF"/>
          </w:tcPr>
          <w:p>
            <w:pPr>
              <w:ind w:left="1000"/>
              <w:spacing w:after="0"/>
              <w:rPr>
                <w:sz w:val="20"/>
                <w:szCs w:val="20"/>
                <w:color w:val="auto"/>
              </w:rPr>
            </w:pPr>
            <w:r>
              <w:rPr>
                <w:rFonts w:ascii="Arial" w:cs="Arial" w:eastAsia="Arial" w:hAnsi="Arial"/>
                <w:sz w:val="11"/>
                <w:szCs w:val="11"/>
                <w:color w:val="auto"/>
              </w:rPr>
              <w:t>Net cash used in financing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(163,568)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(102,089)</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Effect of exchange rate changes on cash and cash equivalents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(6,555)</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Net increase (decrease) in cash and cash equivalents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37,463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(33,266)</w:t>
            </w:r>
          </w:p>
        </w:tc>
      </w:tr>
      <w:tr>
        <w:trPr>
          <w:trHeight w:val="142"/>
        </w:trPr>
        <w:tc>
          <w:tcPr>
            <w:tcW w:w="80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and cash equivalents, beginning of period</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114,069</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147,335</w:t>
            </w:r>
          </w:p>
        </w:tc>
      </w:tr>
      <w:tr>
        <w:trPr>
          <w:trHeight w:val="126"/>
        </w:trPr>
        <w:tc>
          <w:tcPr>
            <w:tcW w:w="8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60"/>
        </w:trPr>
        <w:tc>
          <w:tcPr>
            <w:tcW w:w="80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and cash equivalents, end of period</w:t>
            </w: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151,532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114,069</w:t>
            </w:r>
          </w:p>
        </w:tc>
      </w:tr>
      <w:tr>
        <w:trPr>
          <w:trHeight w:val="126"/>
        </w:trPr>
        <w:tc>
          <w:tcPr>
            <w:tcW w:w="8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spacing w:after="0"/>
              <w:rPr>
                <w:sz w:val="20"/>
                <w:szCs w:val="20"/>
                <w:color w:val="auto"/>
              </w:rPr>
            </w:pPr>
            <w:r>
              <w:rPr>
                <w:rFonts w:ascii="Arial" w:cs="Arial" w:eastAsia="Arial" w:hAnsi="Arial"/>
                <w:sz w:val="11"/>
                <w:szCs w:val="11"/>
                <w:color w:val="auto"/>
              </w:rPr>
              <w:t>Supplemental disclosures: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Cash paid during the period for:</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Interest</w:t>
            </w: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3,408</w:t>
            </w:r>
          </w:p>
        </w:tc>
        <w:tc>
          <w:tcPr>
            <w:tcW w:w="100" w:type="dxa"/>
            <w:vAlign w:val="bottom"/>
          </w:tcPr>
          <w:p>
            <w:pPr>
              <w:spacing w:after="0"/>
              <w:rPr>
                <w:sz w:val="12"/>
                <w:szCs w:val="12"/>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1,082</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Income taxes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58,829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33,834</w:t>
            </w:r>
          </w:p>
        </w:tc>
      </w:tr>
    </w:tbl>
    <w:p>
      <w:pPr>
        <w:sectPr>
          <w:pgSz w:w="11900" w:h="16838" w:orient="portrait"/>
          <w:cols w:equalWidth="0" w:num="1">
            <w:col w:w="11300"/>
          </w:cols>
          <w:pgMar w:left="300" w:top="562" w:right="299" w:bottom="1440" w:gutter="0" w:footer="0" w:header="0"/>
        </w:sectPr>
      </w:pPr>
    </w:p>
    <w:bookmarkStart w:id="10" w:name="page11"/>
    <w:bookmarkEnd w:id="10"/>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87"/>
              </w:rPr>
              <w:t>Three months ended July 31,</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1"/>
                <w:szCs w:val="11"/>
                <w:color w:val="auto"/>
              </w:rPr>
              <w:t>Year ended July 31,</w:t>
            </w:r>
          </w:p>
        </w:tc>
        <w:tc>
          <w:tcPr>
            <w:tcW w:w="940" w:type="dxa"/>
            <w:vAlign w:val="bottom"/>
            <w:tcBorders>
              <w:bottom w:val="single" w:sz="8" w:color="auto"/>
            </w:tcBorders>
          </w:tcPr>
          <w:p>
            <w:pPr>
              <w:spacing w:after="0"/>
              <w:rPr>
                <w:sz w:val="12"/>
                <w:szCs w:val="12"/>
                <w:color w:val="auto"/>
              </w:rPr>
            </w:pPr>
          </w:p>
        </w:tc>
      </w:tr>
      <w:tr>
        <w:trPr>
          <w:trHeight w:val="133"/>
        </w:trPr>
        <w:tc>
          <w:tcPr>
            <w:tcW w:w="53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2023</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w w:val="89"/>
              </w:rPr>
              <w:t>2022</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2022</w:t>
            </w:r>
          </w:p>
        </w:tc>
      </w:tr>
      <w:tr>
        <w:trPr>
          <w:trHeight w:val="126"/>
        </w:trPr>
        <w:tc>
          <w:tcPr>
            <w:tcW w:w="53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SALES</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Americas &amp; Asia</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227,482</w:t>
            </w:r>
          </w:p>
        </w:tc>
        <w:tc>
          <w:tcPr>
            <w:tcW w:w="100" w:type="dxa"/>
            <w:vAlign w:val="bottom"/>
          </w:tcPr>
          <w:p>
            <w:pPr>
              <w:spacing w:after="0"/>
              <w:rPr>
                <w:sz w:val="12"/>
                <w:szCs w:val="12"/>
                <w:color w:val="auto"/>
              </w:rPr>
            </w:pPr>
          </w:p>
        </w:tc>
        <w:tc>
          <w:tcPr>
            <w:tcW w:w="580" w:type="dxa"/>
            <w:vAlign w:val="bottom"/>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217,792</w:t>
            </w:r>
          </w:p>
        </w:tc>
        <w:tc>
          <w:tcPr>
            <w:tcW w:w="8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888,857</w:t>
            </w:r>
          </w:p>
        </w:tc>
        <w:tc>
          <w:tcPr>
            <w:tcW w:w="100" w:type="dxa"/>
            <w:vAlign w:val="bottom"/>
          </w:tcPr>
          <w:p>
            <w:pPr>
              <w:spacing w:after="0"/>
              <w:rPr>
                <w:sz w:val="12"/>
                <w:szCs w:val="12"/>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86"/>
              <w:spacing w:after="0"/>
              <w:rPr>
                <w:sz w:val="20"/>
                <w:szCs w:val="20"/>
                <w:color w:val="auto"/>
              </w:rPr>
            </w:pPr>
            <w:r>
              <w:rPr>
                <w:rFonts w:ascii="Arial" w:cs="Arial" w:eastAsia="Arial" w:hAnsi="Arial"/>
                <w:sz w:val="11"/>
                <w:szCs w:val="11"/>
                <w:color w:val="auto"/>
              </w:rPr>
              <w:t>861,084</w:t>
            </w:r>
          </w:p>
        </w:tc>
      </w:tr>
      <w:tr>
        <w:trPr>
          <w:trHeight w:val="144"/>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Europe &amp; Australia</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118,447</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106,189</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443,006</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440,978</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345,929</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323,981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1,331,863</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1,302,062</w:t>
            </w:r>
          </w:p>
        </w:tc>
      </w:tr>
      <w:tr>
        <w:trPr>
          <w:trHeight w:val="126"/>
        </w:trPr>
        <w:tc>
          <w:tcPr>
            <w:tcW w:w="5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6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536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Americas &amp; Asia</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Organic</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9.1 %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4.4 %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10.3 %</w:t>
            </w: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Currency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Divestiture</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Acquisition</w:t>
            </w:r>
          </w:p>
        </w:tc>
        <w:tc>
          <w:tcPr>
            <w:tcW w:w="8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6.9 %</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4.4 %</w:t>
            </w: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10.9 %</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3.2 %</w:t>
            </w:r>
          </w:p>
        </w:tc>
        <w:tc>
          <w:tcPr>
            <w:tcW w:w="10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17.1 %</w:t>
            </w:r>
          </w:p>
        </w:tc>
      </w:tr>
      <w:tr>
        <w:trPr>
          <w:trHeight w:val="126"/>
        </w:trPr>
        <w:tc>
          <w:tcPr>
            <w:tcW w:w="53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i w:val="1"/>
                <w:iCs w:val="1"/>
                <w:color w:val="auto"/>
              </w:rPr>
              <w:t>Europe &amp; Australia</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Organic</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9.5 %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8.8 %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7.6 %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7.9 %</w:t>
            </w: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Currency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Acquisition</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6.9 %</w:t>
            </w:r>
          </w:p>
        </w:tc>
      </w:tr>
      <w:tr>
        <w:trPr>
          <w:trHeight w:val="155"/>
        </w:trPr>
        <w:tc>
          <w:tcPr>
            <w:tcW w:w="5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7.8 %</w:t>
            </w:r>
          </w:p>
        </w:tc>
      </w:tr>
      <w:tr>
        <w:trPr>
          <w:trHeight w:val="120"/>
        </w:trPr>
        <w:tc>
          <w:tcPr>
            <w:tcW w:w="536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Total Company</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Organic</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9.4 %</w:t>
            </w: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Currency</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0.6 %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w:t>
            </w: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Divestiture</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Acquisition</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6.9 %</w:t>
            </w:r>
          </w:p>
        </w:tc>
      </w:tr>
      <w:tr>
        <w:trPr>
          <w:trHeight w:val="151"/>
        </w:trPr>
        <w:tc>
          <w:tcPr>
            <w:tcW w:w="5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13.7 %</w:t>
            </w:r>
          </w:p>
        </w:tc>
      </w:tr>
      <w:tr>
        <w:trPr>
          <w:trHeight w:val="126"/>
        </w:trPr>
        <w:tc>
          <w:tcPr>
            <w:tcW w:w="5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4"/>
        </w:trPr>
        <w:tc>
          <w:tcPr>
            <w:tcW w:w="53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SEGMENT PROFIT</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Americas &amp; Asia</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49,992</w:t>
            </w:r>
          </w:p>
        </w:tc>
        <w:tc>
          <w:tcPr>
            <w:tcW w:w="100" w:type="dxa"/>
            <w:vAlign w:val="bottom"/>
          </w:tcPr>
          <w:p>
            <w:pPr>
              <w:spacing w:after="0"/>
              <w:rPr>
                <w:sz w:val="12"/>
                <w:szCs w:val="12"/>
                <w:color w:val="auto"/>
              </w:rPr>
            </w:pPr>
          </w:p>
        </w:tc>
        <w:tc>
          <w:tcPr>
            <w:tcW w:w="580" w:type="dxa"/>
            <w:vAlign w:val="bottom"/>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42,648</w:t>
            </w:r>
          </w:p>
        </w:tc>
        <w:tc>
          <w:tcPr>
            <w:tcW w:w="8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180,503</w:t>
            </w:r>
          </w:p>
        </w:tc>
        <w:tc>
          <w:tcPr>
            <w:tcW w:w="100" w:type="dxa"/>
            <w:vAlign w:val="bottom"/>
          </w:tcPr>
          <w:p>
            <w:pPr>
              <w:spacing w:after="0"/>
              <w:rPr>
                <w:sz w:val="12"/>
                <w:szCs w:val="12"/>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86"/>
              <w:spacing w:after="0"/>
              <w:rPr>
                <w:sz w:val="20"/>
                <w:szCs w:val="20"/>
                <w:color w:val="auto"/>
              </w:rPr>
            </w:pPr>
            <w:r>
              <w:rPr>
                <w:rFonts w:ascii="Arial" w:cs="Arial" w:eastAsia="Arial" w:hAnsi="Arial"/>
                <w:sz w:val="11"/>
                <w:szCs w:val="11"/>
                <w:color w:val="auto"/>
              </w:rPr>
              <w:t>157,307</w:t>
            </w:r>
          </w:p>
        </w:tc>
      </w:tr>
      <w:tr>
        <w:trPr>
          <w:trHeight w:val="144"/>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Europe &amp; Australia</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18,426</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16,893</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65,742</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63,058</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68,418</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59,541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246,245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220,365</w:t>
            </w:r>
          </w:p>
        </w:tc>
      </w:tr>
      <w:tr>
        <w:trPr>
          <w:trHeight w:val="126"/>
        </w:trPr>
        <w:tc>
          <w:tcPr>
            <w:tcW w:w="53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SEGMENT PROFIT AS A PERCENT OF NET SALES</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Americas &amp; Asia</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22.0 %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19.6 %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20.3 %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18.3 %</w:t>
            </w:r>
          </w:p>
        </w:tc>
      </w:tr>
      <w:tr>
        <w:trPr>
          <w:trHeight w:val="144"/>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Europe &amp; Australia</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15.6 %</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15.9 %</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14.8 %</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14.3 %</w:t>
            </w:r>
          </w:p>
        </w:tc>
      </w:tr>
      <w:tr>
        <w:trPr>
          <w:trHeight w:val="167"/>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19.8 %</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18.4 %</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18.5 %</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16.9 %</w:t>
            </w:r>
          </w:p>
        </w:tc>
      </w:tr>
      <w:tr>
        <w:trPr>
          <w:trHeight w:val="115"/>
        </w:trPr>
        <w:tc>
          <w:tcPr>
            <w:tcW w:w="53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r>
      <w:tr>
        <w:trPr>
          <w:trHeight w:val="144"/>
        </w:trPr>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r>
      <w:tr>
        <w:trPr>
          <w:trHeight w:val="142"/>
        </w:trPr>
        <w:tc>
          <w:tcPr>
            <w:tcW w:w="53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w w:val="87"/>
              </w:rPr>
              <w:t>Three months ended July 31,</w:t>
            </w:r>
          </w:p>
        </w:tc>
        <w:tc>
          <w:tcPr>
            <w:tcW w:w="8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gridSpan w:val="3"/>
            <w:shd w:val="clear" w:color="auto" w:fill="CCEEFF"/>
          </w:tcPr>
          <w:p>
            <w:pPr>
              <w:jc w:val="right"/>
              <w:ind w:right="51"/>
              <w:spacing w:after="0"/>
              <w:rPr>
                <w:sz w:val="20"/>
                <w:szCs w:val="20"/>
                <w:color w:val="auto"/>
              </w:rPr>
            </w:pPr>
            <w:r>
              <w:rPr>
                <w:rFonts w:ascii="Arial" w:cs="Arial" w:eastAsia="Arial" w:hAnsi="Arial"/>
                <w:sz w:val="11"/>
                <w:szCs w:val="11"/>
                <w:color w:val="auto"/>
              </w:rPr>
              <w:t>Year ended July 31,</w:t>
            </w:r>
          </w:p>
        </w:tc>
        <w:tc>
          <w:tcPr>
            <w:tcW w:w="940" w:type="dxa"/>
            <w:vAlign w:val="bottom"/>
            <w:tcBorders>
              <w:bottom w:val="single" w:sz="8" w:color="auto"/>
            </w:tcBorders>
            <w:shd w:val="clear" w:color="auto" w:fill="CCEEFF"/>
          </w:tcPr>
          <w:p>
            <w:pPr>
              <w:spacing w:after="0"/>
              <w:rPr>
                <w:sz w:val="12"/>
                <w:szCs w:val="12"/>
                <w:color w:val="auto"/>
              </w:rPr>
            </w:pPr>
          </w:p>
        </w:tc>
      </w:tr>
      <w:tr>
        <w:trPr>
          <w:trHeight w:val="133"/>
        </w:trPr>
        <w:tc>
          <w:tcPr>
            <w:tcW w:w="53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2023</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w w:val="89"/>
              </w:rPr>
              <w:t>2022</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2022</w:t>
            </w:r>
          </w:p>
        </w:tc>
      </w:tr>
      <w:tr>
        <w:trPr>
          <w:trHeight w:val="135"/>
        </w:trPr>
        <w:tc>
          <w:tcPr>
            <w:tcW w:w="536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820" w:type="dxa"/>
            <w:vAlign w:val="bottom"/>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68,418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59,541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246,245</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220,365</w:t>
            </w:r>
          </w:p>
        </w:tc>
      </w:tr>
      <w:tr>
        <w:trPr>
          <w:trHeight w:val="142"/>
        </w:trPr>
        <w:tc>
          <w:tcPr>
            <w:tcW w:w="5360" w:type="dxa"/>
            <w:vAlign w:val="bottom"/>
          </w:tcPr>
          <w:p>
            <w:pPr>
              <w:spacing w:after="0"/>
              <w:rPr>
                <w:sz w:val="20"/>
                <w:szCs w:val="20"/>
                <w:color w:val="auto"/>
              </w:rPr>
            </w:pPr>
            <w:r>
              <w:rPr>
                <w:rFonts w:ascii="Arial" w:cs="Arial" w:eastAsia="Arial" w:hAnsi="Arial"/>
                <w:sz w:val="11"/>
                <w:szCs w:val="11"/>
                <w:color w:val="auto"/>
              </w:rPr>
              <w:t>Unallocated amounts:</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5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(6,373)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(6,625)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(24,802)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(27,353)</w:t>
            </w:r>
          </w:p>
        </w:tc>
      </w:tr>
      <w:tr>
        <w:trPr>
          <w:trHeight w:val="142"/>
        </w:trPr>
        <w:tc>
          <w:tcPr>
            <w:tcW w:w="5360" w:type="dxa"/>
            <w:vAlign w:val="bottom"/>
          </w:tcPr>
          <w:p>
            <w:pPr>
              <w:ind w:left="220"/>
              <w:spacing w:after="0"/>
              <w:rPr>
                <w:sz w:val="20"/>
                <w:szCs w:val="20"/>
                <w:color w:val="auto"/>
              </w:rPr>
            </w:pPr>
            <w:r>
              <w:rPr>
                <w:rFonts w:ascii="Arial" w:cs="Arial" w:eastAsia="Arial" w:hAnsi="Arial"/>
                <w:sz w:val="11"/>
                <w:szCs w:val="11"/>
                <w:color w:val="auto"/>
              </w:rPr>
              <w:t>Gain on sale of business</w:t>
            </w:r>
          </w:p>
        </w:tc>
        <w:tc>
          <w:tcPr>
            <w:tcW w:w="8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3,770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46"/>
        </w:trPr>
        <w:tc>
          <w:tcPr>
            <w:tcW w:w="5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Investment and other income</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2,426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1,587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4,022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244</w:t>
            </w:r>
          </w:p>
        </w:tc>
      </w:tr>
      <w:tr>
        <w:trPr>
          <w:trHeight w:val="142"/>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Interest expense</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(653)</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(513)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(3,539)</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(1,276)</w:t>
            </w:r>
          </w:p>
        </w:tc>
      </w:tr>
      <w:tr>
        <w:trPr>
          <w:trHeight w:val="151"/>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8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63,818</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53,990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225,696</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191,980</w:t>
            </w:r>
          </w:p>
        </w:tc>
      </w:tr>
    </w:tbl>
    <w:p>
      <w:pPr>
        <w:sectPr>
          <w:pgSz w:w="11900" w:h="16838" w:orient="portrait"/>
          <w:cols w:equalWidth="0" w:num="1">
            <w:col w:w="11300"/>
          </w:cols>
          <w:pgMar w:left="300" w:top="56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GAAP to NON-GAAP MEASURES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(Unaudited; Dollars in Thousands, Except Per Share Amounts)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Before Income Taxes Excluding Certain Items: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and losses of unconsolidated affiliate to the non-GAAP measure of Income Before Income Taxes Excluding Certain Items: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2022</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63,818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53,990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225,696</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191,980</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2,389</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3,675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11,739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14,966</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1,841</w:t>
            </w:r>
          </w:p>
        </w:tc>
      </w:tr>
      <w:tr>
        <w:trPr>
          <w:trHeight w:val="151"/>
        </w:trPr>
        <w:tc>
          <w:tcPr>
            <w:tcW w:w="558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Excluding Certain Items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66,207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57,665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233,665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208,787</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2022</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14,440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12,926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50,839</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42,001</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2,756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3,545</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5580" w:type="dxa"/>
            <w:vAlign w:val="bottom"/>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496</w:t>
            </w:r>
          </w:p>
        </w:tc>
      </w:tr>
      <w:tr>
        <w:trPr>
          <w:trHeight w:val="135"/>
        </w:trPr>
        <w:tc>
          <w:tcPr>
            <w:tcW w:w="5580" w:type="dxa"/>
            <w:vAlign w:val="bottom"/>
          </w:tcPr>
          <w:p>
            <w:pPr>
              <w:spacing w:after="0" w:line="124" w:lineRule="exact"/>
              <w:rPr>
                <w:sz w:val="20"/>
                <w:szCs w:val="20"/>
                <w:color w:val="auto"/>
              </w:rPr>
            </w:pPr>
            <w:r>
              <w:rPr>
                <w:rFonts w:ascii="Arial" w:cs="Arial" w:eastAsia="Arial" w:hAnsi="Arial"/>
                <w:sz w:val="11"/>
                <w:szCs w:val="11"/>
                <w:b w:val="1"/>
                <w:bCs w:val="1"/>
                <w:color w:val="auto"/>
              </w:rPr>
              <w:t>Income Tax Expense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14,993</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13,799</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52,164</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46,042</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40"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Net Income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1"/>
                <w:szCs w:val="11"/>
                <w:color w:val="auto"/>
                <w:w w:val="96"/>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2022</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49,378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41,064</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174,857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149,979</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1,836</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2,802</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8,983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11,421</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1,345</w:t>
            </w:r>
          </w:p>
        </w:tc>
      </w:tr>
      <w:tr>
        <w:trPr>
          <w:trHeight w:val="151"/>
        </w:trPr>
        <w:tc>
          <w:tcPr>
            <w:tcW w:w="558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Excluding Certain Items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51,214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43,866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181,501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162,745</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Diluted EPS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1"/>
                <w:szCs w:val="11"/>
                <w:color w:val="auto"/>
              </w:rPr>
              <w:t>Three months ended July 31,</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1"/>
                <w:szCs w:val="11"/>
                <w:color w:val="auto"/>
                <w:w w:val="93"/>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2023</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2022</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0.81</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0.04</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0.06</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0.22</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Gain on sale of business</w:t>
            </w:r>
          </w:p>
        </w:tc>
        <w:tc>
          <w:tcPr>
            <w:tcW w:w="9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Other non-routine charges</w:t>
            </w:r>
          </w:p>
        </w:tc>
        <w:tc>
          <w:tcPr>
            <w:tcW w:w="9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0.03</w:t>
            </w:r>
          </w:p>
        </w:tc>
      </w:tr>
      <w:tr>
        <w:trPr>
          <w:trHeight w:val="151"/>
        </w:trPr>
        <w:tc>
          <w:tcPr>
            <w:tcW w:w="558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96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0.87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3.15</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Diluted EPS Excluding Certain Items Guidance: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91"/>
              </w:rPr>
              <w:t>Fiscal 2024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w w:val="97"/>
              </w:rPr>
              <w:t>High</w:t>
            </w:r>
          </w:p>
        </w:tc>
      </w:tr>
      <w:tr>
        <w:trPr>
          <w:trHeight w:val="135"/>
        </w:trPr>
        <w:tc>
          <w:tcPr>
            <w:tcW w:w="84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0.15</w:t>
            </w:r>
          </w:p>
        </w:tc>
      </w:tr>
      <w:tr>
        <w:trPr>
          <w:trHeight w:val="151"/>
        </w:trPr>
        <w:tc>
          <w:tcPr>
            <w:tcW w:w="846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3.85</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4.10</w:t>
            </w:r>
          </w:p>
        </w:tc>
      </w:tr>
    </w:tbl>
    <w:p>
      <w:pPr>
        <w:sectPr>
          <w:pgSz w:w="11900" w:h="16838" w:orient="portrait"/>
          <w:cols w:equalWidth="0" w:num="1">
            <w:col w:w="11300"/>
          </w:cols>
          <w:pgMar w:left="300" w:top="748" w:right="299" w:bottom="1440" w:gutter="0" w:footer="0" w:header="0"/>
        </w:sectPr>
      </w:pPr>
    </w:p>
    <w:bookmarkStart w:id="13" w:name="page14"/>
    <w:bookmarkEnd w:id="13"/>
    <w:p>
      <w:pPr>
        <w:jc w:val="right"/>
        <w:spacing w:after="0"/>
        <w:rPr>
          <w:sz w:val="20"/>
          <w:szCs w:val="20"/>
          <w:color w:val="auto"/>
        </w:rPr>
      </w:pPr>
      <w:r>
        <w:rPr>
          <w:rFonts w:ascii="Arial" w:cs="Arial" w:eastAsia="Arial" w:hAnsi="Arial"/>
          <w:sz w:val="13"/>
          <w:szCs w:val="13"/>
          <w:b w:val="1"/>
          <w:bCs w:val="1"/>
          <w:u w:val="single" w:color="auto"/>
          <w:color w:val="auto"/>
        </w:rPr>
        <w:t>EXHIBIT 99.2</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 Contact:</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increases its dividend to shareholders for the 38th consecutive year</w:t>
      </w:r>
    </w:p>
    <w:p>
      <w:pPr>
        <w:spacing w:after="0" w:line="215" w:lineRule="exact"/>
        <w:rPr>
          <w:sz w:val="20"/>
          <w:szCs w:val="20"/>
          <w:color w:val="auto"/>
        </w:rPr>
      </w:pPr>
    </w:p>
    <w:p>
      <w:pPr>
        <w:jc w:val="both"/>
        <w:spacing w:after="0" w:line="336" w:lineRule="auto"/>
        <w:rPr>
          <w:sz w:val="20"/>
          <w:szCs w:val="20"/>
          <w:color w:val="auto"/>
        </w:rPr>
      </w:pPr>
      <w:r>
        <w:rPr>
          <w:rFonts w:ascii="Arial" w:cs="Arial" w:eastAsia="Arial" w:hAnsi="Arial"/>
          <w:sz w:val="13"/>
          <w:szCs w:val="13"/>
          <w:color w:val="auto"/>
        </w:rPr>
        <w:t>MILWAUKEE (September 4, 2023) -- On August 30, 2023, Brady Corporation’s (NYSE: BRC) Board of Directors approved an increase in the annual dividend to shareholders of the Company’s Class A Common Stock from $0.92 per share to $0.94 per share. A quarterly dividend to shareholders of the Company’s Class A Common Stock of $0.235 per share will be paid on October 31, 2023, to shareholders of record at the close of business on October 10, 2023. This dividend represents the 38</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consecutive annual increase in dividends.</w:t>
      </w:r>
    </w:p>
    <w:p>
      <w:pPr>
        <w:spacing w:after="0" w:line="1" w:lineRule="exact"/>
        <w:rPr>
          <w:sz w:val="20"/>
          <w:szCs w:val="20"/>
          <w:color w:val="auto"/>
        </w:rPr>
      </w:pPr>
    </w:p>
    <w:p>
      <w:pPr>
        <w:jc w:val="both"/>
        <w:ind w:firstLine="432"/>
        <w:spacing w:after="0" w:line="374"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2022, employed approximately 5,700 people in its worldwide businesses. Brady’s fiscal 2022 sales were approximately $1.30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www.bradycorp.com</w:t>
      </w:r>
      <w:r>
        <w:rPr>
          <w:rFonts w:ascii="Arial" w:cs="Arial" w:eastAsia="Arial" w:hAnsi="Arial"/>
          <w:sz w:val="13"/>
          <w:szCs w:val="13"/>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ectPr>
          <w:pgSz w:w="11900" w:h="16838" w:orient="portrait"/>
          <w:cols w:equalWidth="0" w:num="1">
            <w:col w:w="11300"/>
          </w:cols>
          <w:pgMar w:left="300" w:top="638"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2023-09-05T06:20:56Z</dcterms:created>
  <dcterms:modified xsi:type="dcterms:W3CDTF">2023-09-05T06:20:56Z</dcterms:modified>
</cp:coreProperties>
</file>