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088"/>
        <w:spacing w:after="0"/>
        <w:rPr>
          <w:sz w:val="20"/>
          <w:szCs w:val="20"/>
          <w:color w:val="auto"/>
        </w:rPr>
      </w:pPr>
      <w:r>
        <w:rPr>
          <w:rFonts w:ascii="Arial" w:cs="Arial" w:eastAsia="Arial" w:hAnsi="Arial"/>
          <w:sz w:val="18"/>
          <w:szCs w:val="18"/>
          <w:b w:val="1"/>
          <w:bCs w:val="1"/>
          <w:color w:val="auto"/>
        </w:rPr>
        <w:t>Date of Report (Date of earliest event reported): September 9, 2010</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5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6"/>
              </w:rPr>
              <w:t>Wisconsin</w:t>
            </w:r>
          </w:p>
        </w:tc>
        <w:tc>
          <w:tcPr>
            <w:tcW w:w="2640" w:type="dxa"/>
            <w:vAlign w:val="bottom"/>
            <w:gridSpan w:val="3"/>
          </w:tcPr>
          <w:p>
            <w:pPr>
              <w:jc w:val="right"/>
              <w:ind w:right="1180"/>
              <w:spacing w:after="0"/>
              <w:rPr>
                <w:sz w:val="20"/>
                <w:szCs w:val="20"/>
                <w:color w:val="auto"/>
              </w:rPr>
            </w:pPr>
            <w:r>
              <w:rPr>
                <w:rFonts w:ascii="Arial" w:cs="Arial" w:eastAsia="Arial" w:hAnsi="Arial"/>
                <w:sz w:val="18"/>
                <w:szCs w:val="18"/>
                <w:b w:val="1"/>
                <w:bCs w:val="1"/>
                <w:color w:val="auto"/>
              </w:rPr>
              <w:t>1-14959</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52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of incorporation)</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5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9"/>
              </w:rPr>
              <w:t>6555 West Good Hope Road</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52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0"/>
              </w:rPr>
              <w:t>Milwaukee, Wisconsin</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53223</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29"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2.02 RESULTS OF OPERATIONS AND FINANCIAL CONDITION</w:t>
      </w:r>
    </w:p>
    <w:p>
      <w:pPr>
        <w:spacing w:after="0" w:line="198" w:lineRule="exact"/>
        <w:rPr>
          <w:sz w:val="20"/>
          <w:szCs w:val="20"/>
          <w:color w:val="auto"/>
        </w:rPr>
      </w:pPr>
    </w:p>
    <w:p>
      <w:pPr>
        <w:ind w:left="340" w:right="2100" w:firstLine="373"/>
        <w:spacing w:after="0" w:line="264" w:lineRule="auto"/>
        <w:rPr>
          <w:sz w:val="20"/>
          <w:szCs w:val="20"/>
          <w:color w:val="auto"/>
        </w:rPr>
      </w:pPr>
      <w:r>
        <w:rPr>
          <w:rFonts w:ascii="Arial" w:cs="Arial" w:eastAsia="Arial" w:hAnsi="Arial"/>
          <w:sz w:val="18"/>
          <w:szCs w:val="18"/>
          <w:color w:val="auto"/>
        </w:rPr>
        <w:t>On September 10, 2010, Brady Corporation (the “Corporation”) issued a press release announcing its fiscal 2010 fourth quarter financial results. A copy of the press release is being furnished to the Securities and Exchange Commission as Exhibit 99.1 attached hereto and is incorporated herein by reference.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8.01 OTHER EVENTS</w:t>
      </w:r>
    </w:p>
    <w:p>
      <w:pPr>
        <w:spacing w:after="0" w:line="185" w:lineRule="exact"/>
        <w:rPr>
          <w:sz w:val="20"/>
          <w:szCs w:val="20"/>
          <w:color w:val="auto"/>
        </w:rPr>
      </w:pPr>
    </w:p>
    <w:p>
      <w:pPr>
        <w:ind w:left="340" w:right="1820" w:firstLine="373"/>
        <w:spacing w:after="0" w:line="279" w:lineRule="auto"/>
        <w:rPr>
          <w:sz w:val="20"/>
          <w:szCs w:val="20"/>
          <w:color w:val="auto"/>
        </w:rPr>
      </w:pPr>
      <w:r>
        <w:rPr>
          <w:rFonts w:ascii="Arial" w:cs="Arial" w:eastAsia="Arial" w:hAnsi="Arial"/>
          <w:sz w:val="17"/>
          <w:szCs w:val="17"/>
          <w:color w:val="auto"/>
        </w:rPr>
        <w:t>On September 9, 2010, the Corporation announced that its Board of Directors had increased the annual cash dividend on its Class A Common Stock from $0.70 to $0.72 per share. A quarterly dividend in the amount of $0.18 per share will be paid on October 29, 2010, to shareholders of record as of the close of business on October 8, 2010. A copy of the press release regarding the dividend is attached hereto as Exhibit 99.2 and is incorporated herein by reference.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are filed as Exhibits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300" w:type="dxa"/>
            <w:vAlign w:val="bottom"/>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760" w:type="dxa"/>
            <w:vAlign w:val="bottom"/>
          </w:tcPr>
          <w:p>
            <w:pPr>
              <w:spacing w:after="0"/>
              <w:rPr>
                <w:sz w:val="20"/>
                <w:szCs w:val="20"/>
                <w:color w:val="auto"/>
              </w:rPr>
            </w:pPr>
          </w:p>
        </w:tc>
      </w:tr>
      <w:tr>
        <w:trPr>
          <w:trHeight w:val="411"/>
        </w:trPr>
        <w:tc>
          <w:tcPr>
            <w:tcW w:w="3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5"/>
              </w:rPr>
              <w:t>Press Release of Brady Corporation, dated September 10, 2010, relating to fourth quarter fiscal 2010</w:t>
            </w: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financial results.</w:t>
            </w: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2"/>
              </w:rPr>
              <w:t>Press Release of Brady Corporation, dated September 9, 2010, related to increase in quarterly dividend.</w:t>
            </w:r>
          </w:p>
        </w:tc>
        <w:tc>
          <w:tcPr>
            <w:tcW w:w="1760" w:type="dxa"/>
            <w:vAlign w:val="bottom"/>
          </w:tcPr>
          <w:p>
            <w:pPr>
              <w:spacing w:after="0"/>
              <w:rPr>
                <w:sz w:val="24"/>
                <w:szCs w:val="24"/>
                <w:color w:val="auto"/>
              </w:rPr>
            </w:pPr>
          </w:p>
        </w:tc>
      </w:tr>
      <w:tr>
        <w:trPr>
          <w:trHeight w:val="1199"/>
        </w:trPr>
        <w:tc>
          <w:tcPr>
            <w:tcW w:w="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2010</w:t>
      </w:r>
    </w:p>
    <w:p>
      <w:pPr>
        <w:spacing w:after="0" w:line="21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775335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ind w:left="2420"/>
              <w:spacing w:after="0"/>
              <w:rPr>
                <w:sz w:val="20"/>
                <w:szCs w:val="20"/>
                <w:color w:val="auto"/>
              </w:rPr>
            </w:pPr>
            <w:r>
              <w:rPr>
                <w:rFonts w:ascii="Arial" w:cs="Arial" w:eastAsia="Arial" w:hAnsi="Arial"/>
                <w:sz w:val="18"/>
                <w:szCs w:val="18"/>
                <w:color w:val="auto"/>
              </w:rPr>
              <w:t>EXHIBIT INDEX</w:t>
            </w: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rPr>
              <w:t>EXHIBIT</w:t>
            </w:r>
          </w:p>
        </w:tc>
        <w:tc>
          <w:tcPr>
            <w:tcW w:w="30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230"/>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NUMBER</w:t>
            </w:r>
          </w:p>
        </w:tc>
        <w:tc>
          <w:tcPr>
            <w:tcW w:w="300" w:type="dxa"/>
            <w:vAlign w:val="bottom"/>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1"/>
        </w:trPr>
        <w:tc>
          <w:tcPr>
            <w:tcW w:w="12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5"/>
              </w:rPr>
              <w:t>Press Release of Brady Corporation, dated September 10, 2010, relating to fourth quarter fiscal 2010</w:t>
            </w:r>
          </w:p>
        </w:tc>
      </w:tr>
      <w:tr>
        <w:trPr>
          <w:trHeight w:val="230"/>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financial results.</w:t>
            </w:r>
          </w:p>
        </w:tc>
      </w:tr>
      <w:tr>
        <w:trPr>
          <w:trHeight w:val="43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2"/>
              </w:rPr>
              <w:t>Press Release of Brady Corporation, dated September 9, 2010, related to increase in quarterly dividend.</w:t>
            </w:r>
          </w:p>
        </w:tc>
      </w:tr>
    </w:tbl>
    <w:p>
      <w:pPr>
        <w:sectPr>
          <w:pgSz w:w="11900" w:h="16838" w:orient="portrait"/>
          <w:cols w:equalWidth="0" w:num="1">
            <w:col w:w="9879"/>
          </w:cols>
          <w:pgMar w:left="580" w:top="935"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4" w:lineRule="auto"/>
        <w:rPr>
          <w:sz w:val="20"/>
          <w:szCs w:val="20"/>
          <w:color w:val="auto"/>
        </w:rPr>
      </w:pPr>
      <w:r>
        <w:rPr>
          <w:rFonts w:ascii="Arial" w:cs="Arial" w:eastAsia="Arial" w:hAnsi="Arial"/>
          <w:sz w:val="18"/>
          <w:szCs w:val="18"/>
          <w:color w:val="auto"/>
        </w:rPr>
        <w:t>Investor contact: Aaron Pearce 414-438-6895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earnings for fiscal 2010 fourth quarter and year end</w:t>
      </w:r>
    </w:p>
    <w:p>
      <w:pPr>
        <w:spacing w:after="0" w:line="193" w:lineRule="exact"/>
        <w:rPr>
          <w:sz w:val="20"/>
          <w:szCs w:val="20"/>
          <w:color w:val="auto"/>
        </w:rPr>
      </w:pPr>
    </w:p>
    <w:p>
      <w:pPr>
        <w:ind w:right="599"/>
        <w:spacing w:after="0" w:line="246" w:lineRule="auto"/>
        <w:rPr>
          <w:sz w:val="20"/>
          <w:szCs w:val="20"/>
          <w:color w:val="auto"/>
        </w:rPr>
      </w:pPr>
      <w:r>
        <w:rPr>
          <w:rFonts w:ascii="Arial" w:cs="Arial" w:eastAsia="Arial" w:hAnsi="Arial"/>
          <w:sz w:val="18"/>
          <w:szCs w:val="18"/>
          <w:color w:val="auto"/>
        </w:rPr>
        <w:t>MILWAUKEE (September 10, 2010)—Brady Corporation (NYSE:BRC) today reported results for its fiscal 2010 fourth quarter and its full fiscal year ended July 31,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2010</w:t>
      </w:r>
    </w:p>
    <w:p>
      <w:pPr>
        <w:spacing w:after="0" w:line="207" w:lineRule="exact"/>
        <w:rPr>
          <w:sz w:val="20"/>
          <w:szCs w:val="20"/>
          <w:color w:val="auto"/>
        </w:rPr>
      </w:pPr>
    </w:p>
    <w:p>
      <w:pPr>
        <w:ind w:right="579" w:firstLine="373"/>
        <w:spacing w:after="0" w:line="238" w:lineRule="auto"/>
        <w:rPr>
          <w:sz w:val="20"/>
          <w:szCs w:val="20"/>
          <w:color w:val="auto"/>
        </w:rPr>
      </w:pPr>
      <w:r>
        <w:rPr>
          <w:rFonts w:ascii="Arial" w:cs="Arial" w:eastAsia="Arial" w:hAnsi="Arial"/>
          <w:sz w:val="18"/>
          <w:szCs w:val="18"/>
          <w:color w:val="auto"/>
        </w:rPr>
        <w:t>Sales in the fiscal 2010 fourth quarter increased 12.4 percent to $322.9 million compared to $287.2 million in the fourth quarter of fiscal 2009. Organic sales increased 10.7 percent with positive organic growth in all regions. Acquisitions added 2.7 percent to sales and foreign currency translation reduced sales by 1.0 percent in the fourth quarter ended July 31, 2010. Regionally, organic sales were up 14.7 percent in the Americas, 9.6 percent in Europe, and 5.2 percent in the Asia-Pacific region.</w:t>
      </w:r>
    </w:p>
    <w:p>
      <w:pPr>
        <w:spacing w:after="0" w:line="162" w:lineRule="exact"/>
        <w:rPr>
          <w:sz w:val="20"/>
          <w:szCs w:val="20"/>
          <w:color w:val="auto"/>
        </w:rPr>
      </w:pPr>
    </w:p>
    <w:p>
      <w:pPr>
        <w:ind w:right="559" w:firstLine="373"/>
        <w:spacing w:after="0"/>
        <w:rPr>
          <w:sz w:val="20"/>
          <w:szCs w:val="20"/>
          <w:color w:val="auto"/>
        </w:rPr>
      </w:pPr>
      <w:r>
        <w:rPr>
          <w:rFonts w:ascii="Arial" w:cs="Arial" w:eastAsia="Arial" w:hAnsi="Arial"/>
          <w:sz w:val="18"/>
          <w:szCs w:val="18"/>
          <w:color w:val="auto"/>
        </w:rPr>
        <w:t>Net income for the quarter increased 12.4 percent to $21.6 million compared to $19.2 million in the same quarter last year. Excluding restructuring charges, net income in the quarter was up 15.9 percent to $26.2 million compared to $22.6 million in the fiscal 2009 fourth quarter.</w:t>
      </w:r>
    </w:p>
    <w:p>
      <w:pPr>
        <w:spacing w:after="0" w:line="162" w:lineRule="exact"/>
        <w:rPr>
          <w:sz w:val="20"/>
          <w:szCs w:val="20"/>
          <w:color w:val="auto"/>
        </w:rPr>
      </w:pPr>
    </w:p>
    <w:p>
      <w:pPr>
        <w:ind w:right="699" w:firstLine="373"/>
        <w:spacing w:after="0"/>
        <w:rPr>
          <w:sz w:val="20"/>
          <w:szCs w:val="20"/>
          <w:color w:val="auto"/>
        </w:rPr>
      </w:pPr>
      <w:r>
        <w:rPr>
          <w:rFonts w:ascii="Arial" w:cs="Arial" w:eastAsia="Arial" w:hAnsi="Arial"/>
          <w:sz w:val="18"/>
          <w:szCs w:val="18"/>
          <w:color w:val="auto"/>
        </w:rPr>
        <w:t>Earnings per diluted Class A Common Share were $0.41 in the 2010 fourth quarter compared to $0.36 in the prior year quarter. Excluding after-tax restructuring charges, earnings per diluted Class A Common Share increased 14.0 percent to $0.49 in the fourth quarter compared to $0.43 in the prior year fourth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July 31, 2010</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Sales for the year ended July 31, 2010 were $1.259 billion compared to $1.209 billion in fiscal 2009, up</w:t>
      </w:r>
    </w:p>
    <w:p>
      <w:pPr>
        <w:ind w:right="859"/>
        <w:spacing w:after="0" w:line="246" w:lineRule="auto"/>
        <w:rPr>
          <w:sz w:val="20"/>
          <w:szCs w:val="20"/>
          <w:color w:val="auto"/>
        </w:rPr>
      </w:pPr>
      <w:r>
        <w:rPr>
          <w:rFonts w:ascii="Arial" w:cs="Arial" w:eastAsia="Arial" w:hAnsi="Arial"/>
          <w:sz w:val="18"/>
          <w:szCs w:val="18"/>
          <w:color w:val="auto"/>
        </w:rPr>
        <w:t>4.2 percent. Organic sales were up 0.2 percent, acquisitions added 1.3 percent to sales, and the impact of foreign currency translation added 2.7 percent.</w:t>
      </w:r>
    </w:p>
    <w:p>
      <w:pPr>
        <w:spacing w:after="0" w:line="156" w:lineRule="exact"/>
        <w:rPr>
          <w:sz w:val="20"/>
          <w:szCs w:val="20"/>
          <w:color w:val="auto"/>
        </w:rPr>
      </w:pPr>
    </w:p>
    <w:p>
      <w:pPr>
        <w:jc w:val="both"/>
        <w:ind w:right="719" w:firstLine="373"/>
        <w:spacing w:after="0"/>
        <w:rPr>
          <w:sz w:val="20"/>
          <w:szCs w:val="20"/>
          <w:color w:val="auto"/>
        </w:rPr>
      </w:pPr>
      <w:r>
        <w:rPr>
          <w:rFonts w:ascii="Arial" w:cs="Arial" w:eastAsia="Arial" w:hAnsi="Arial"/>
          <w:sz w:val="18"/>
          <w:szCs w:val="18"/>
          <w:color w:val="auto"/>
        </w:rPr>
        <w:t>Net income for the year ended July 31, 2010 increased 16.9 percent to $82.0 million compared to $70.1 million for the year ended July 31, 2009. Excluding after-tax restructuring charges, net income for the year ended July 31, 2010 was up 3.4 percent to $93.4 million compared to $90.3 million in fiscal 2009.</w:t>
      </w:r>
    </w:p>
    <w:p>
      <w:pPr>
        <w:spacing w:after="0" w:line="176" w:lineRule="exact"/>
        <w:rPr>
          <w:sz w:val="20"/>
          <w:szCs w:val="20"/>
          <w:color w:val="auto"/>
        </w:rPr>
      </w:pPr>
    </w:p>
    <w:p>
      <w:pPr>
        <w:ind w:right="559" w:firstLine="373"/>
        <w:spacing w:after="0" w:line="239" w:lineRule="auto"/>
        <w:rPr>
          <w:sz w:val="20"/>
          <w:szCs w:val="20"/>
          <w:color w:val="auto"/>
        </w:rPr>
      </w:pPr>
      <w:r>
        <w:rPr>
          <w:rFonts w:ascii="Arial" w:cs="Arial" w:eastAsia="Arial" w:hAnsi="Arial"/>
          <w:sz w:val="18"/>
          <w:szCs w:val="18"/>
          <w:color w:val="auto"/>
        </w:rPr>
        <w:t>Earnings per diluted Class A Common Share were $1.55 for the year ended July 31, 2010 compared to $1.32 for the fiscal year ended July 31, 2009. Excluding after-tax restructuring charges, earnings per diluted Class A Common Share increased 2.9 percent to $1.76 for the year ended July 31, 2010 compared to $1.71 during the year ended July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607060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Commentary and Fiscal 2011 Guidance</w:t>
      </w:r>
    </w:p>
    <w:p>
      <w:pPr>
        <w:spacing w:after="0" w:line="207" w:lineRule="exact"/>
        <w:rPr>
          <w:sz w:val="20"/>
          <w:szCs w:val="20"/>
          <w:color w:val="auto"/>
        </w:rPr>
      </w:pPr>
    </w:p>
    <w:p>
      <w:pPr>
        <w:ind w:right="579" w:firstLine="373"/>
        <w:spacing w:after="0" w:line="237" w:lineRule="auto"/>
        <w:rPr>
          <w:sz w:val="20"/>
          <w:szCs w:val="20"/>
          <w:color w:val="auto"/>
        </w:rPr>
      </w:pPr>
      <w:r>
        <w:rPr>
          <w:rFonts w:ascii="Arial" w:cs="Arial" w:eastAsia="Arial" w:hAnsi="Arial"/>
          <w:sz w:val="18"/>
          <w:szCs w:val="18"/>
          <w:color w:val="auto"/>
        </w:rPr>
        <w:t>“Brady had a strong fourth quarter and finished the year on a positive note. In particular, we were pleased to see double-digit organic growth in the fourth quarter and positive organic growth in all our regions for the second straight quarter, as well as significant improvement in our net income in the fourth quarter. These strong financial results were due to our continued focus on cost controls, as well as execution of our growth strategies including launching several new products. We also returned to acquisition activity this year after taking a pause last year due to the global economic crisis,” said Brady President and CEO Frank M. Jaehnert. “I’m also happy to report that yesterday our Board of Directors announced that we will increase our dividend to shareholders for the 25</w:t>
      </w:r>
      <w:r>
        <w:rPr>
          <w:rFonts w:ascii="Arial" w:cs="Arial" w:eastAsia="Arial" w:hAnsi="Arial"/>
          <w:sz w:val="15"/>
          <w:szCs w:val="15"/>
          <w:color w:val="auto"/>
        </w:rPr>
        <w:t>th</w:t>
      </w:r>
      <w:r>
        <w:rPr>
          <w:rFonts w:ascii="Arial" w:cs="Arial" w:eastAsia="Arial" w:hAnsi="Arial"/>
          <w:sz w:val="18"/>
          <w:szCs w:val="18"/>
          <w:color w:val="auto"/>
        </w:rPr>
        <w:t xml:space="preserve"> straight year.”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maintain a strong financial position with significant liquidity to fund future growth. We generated free cash</w:t>
      </w:r>
    </w:p>
    <w:p>
      <w:pPr>
        <w:spacing w:after="0" w:line="234" w:lineRule="auto"/>
        <w:rPr>
          <w:sz w:val="20"/>
          <w:szCs w:val="20"/>
          <w:color w:val="auto"/>
        </w:rPr>
      </w:pPr>
      <w:r>
        <w:rPr>
          <w:rFonts w:ascii="Arial" w:cs="Arial" w:eastAsia="Arial" w:hAnsi="Arial"/>
          <w:sz w:val="18"/>
          <w:szCs w:val="18"/>
          <w:color w:val="auto"/>
        </w:rPr>
        <w:t>flow of $138.9 million during the year ended July 31, 2010, which equates to 169 percent of net income, and we</w:t>
      </w:r>
    </w:p>
    <w:p>
      <w:pPr>
        <w:spacing w:after="0" w:line="235" w:lineRule="auto"/>
        <w:rPr>
          <w:sz w:val="20"/>
          <w:szCs w:val="20"/>
          <w:color w:val="auto"/>
        </w:rPr>
      </w:pPr>
      <w:r>
        <w:rPr>
          <w:rFonts w:ascii="Arial" w:cs="Arial" w:eastAsia="Arial" w:hAnsi="Arial"/>
          <w:sz w:val="18"/>
          <w:szCs w:val="18"/>
          <w:color w:val="auto"/>
        </w:rPr>
        <w:t>finished the year with cash and cash equivalents of $314.8 million, an increase of $126.6 million compared to</w:t>
      </w:r>
    </w:p>
    <w:p>
      <w:pPr>
        <w:spacing w:after="0" w:line="235" w:lineRule="auto"/>
        <w:rPr>
          <w:sz w:val="20"/>
          <w:szCs w:val="20"/>
          <w:color w:val="auto"/>
        </w:rPr>
      </w:pPr>
      <w:r>
        <w:rPr>
          <w:rFonts w:ascii="Arial" w:cs="Arial" w:eastAsia="Arial" w:hAnsi="Arial"/>
          <w:sz w:val="18"/>
          <w:szCs w:val="18"/>
          <w:color w:val="auto"/>
        </w:rPr>
        <w:t>July 31, 2009,” said Brady Chief Financial Officer, Thomas J. Felmer. “As we look to fiscal 2011, we believe that the</w:t>
      </w:r>
    </w:p>
    <w:p>
      <w:pPr>
        <w:spacing w:after="0" w:line="235" w:lineRule="auto"/>
        <w:rPr>
          <w:sz w:val="20"/>
          <w:szCs w:val="20"/>
          <w:color w:val="auto"/>
        </w:rPr>
      </w:pPr>
      <w:r>
        <w:rPr>
          <w:rFonts w:ascii="Arial" w:cs="Arial" w:eastAsia="Arial" w:hAnsi="Arial"/>
          <w:sz w:val="18"/>
          <w:szCs w:val="18"/>
          <w:color w:val="auto"/>
        </w:rPr>
        <w:t>overall global economy will continue to improve, albeit slowly. As a result, we anticipate mid-single-digit organic</w:t>
      </w:r>
    </w:p>
    <w:p>
      <w:pPr>
        <w:spacing w:after="0" w:line="235" w:lineRule="auto"/>
        <w:rPr>
          <w:sz w:val="20"/>
          <w:szCs w:val="20"/>
          <w:color w:val="auto"/>
        </w:rPr>
      </w:pPr>
      <w:r>
        <w:rPr>
          <w:rFonts w:ascii="Arial" w:cs="Arial" w:eastAsia="Arial" w:hAnsi="Arial"/>
          <w:sz w:val="18"/>
          <w:szCs w:val="18"/>
          <w:color w:val="auto"/>
        </w:rPr>
        <w:t>revenue growth in fiscal 2011, with more significant profitability improvement in the second half of the year as our</w:t>
      </w:r>
    </w:p>
    <w:p>
      <w:pPr>
        <w:spacing w:after="0" w:line="235" w:lineRule="auto"/>
        <w:rPr>
          <w:sz w:val="20"/>
          <w:szCs w:val="20"/>
          <w:color w:val="auto"/>
        </w:rPr>
      </w:pPr>
      <w:r>
        <w:rPr>
          <w:rFonts w:ascii="Arial" w:cs="Arial" w:eastAsia="Arial" w:hAnsi="Arial"/>
          <w:sz w:val="18"/>
          <w:szCs w:val="18"/>
          <w:color w:val="auto"/>
        </w:rPr>
        <w:t>continued investment in profitability improvement initiatives begin to yield benefits. For fiscal 2011 we expect</w:t>
      </w:r>
    </w:p>
    <w:p>
      <w:pPr>
        <w:spacing w:after="0" w:line="235" w:lineRule="auto"/>
        <w:rPr>
          <w:sz w:val="20"/>
          <w:szCs w:val="20"/>
          <w:color w:val="auto"/>
        </w:rPr>
      </w:pPr>
      <w:r>
        <w:rPr>
          <w:rFonts w:ascii="Arial" w:cs="Arial" w:eastAsia="Arial" w:hAnsi="Arial"/>
          <w:sz w:val="18"/>
          <w:szCs w:val="18"/>
          <w:color w:val="auto"/>
        </w:rPr>
        <w:t>earnings per diluted Class A Common Share of between $1.95 and $2.15. This guidance is based on current</w:t>
      </w:r>
    </w:p>
    <w:p>
      <w:pPr>
        <w:spacing w:after="0" w:line="235" w:lineRule="auto"/>
        <w:rPr>
          <w:sz w:val="20"/>
          <w:szCs w:val="20"/>
          <w:color w:val="auto"/>
        </w:rPr>
      </w:pPr>
      <w:r>
        <w:rPr>
          <w:rFonts w:ascii="Arial" w:cs="Arial" w:eastAsia="Arial" w:hAnsi="Arial"/>
          <w:sz w:val="18"/>
          <w:szCs w:val="18"/>
          <w:color w:val="auto"/>
        </w:rPr>
        <w:t>exchange rates, a full-year tax rate of 26 percent, capital expenditures of between $25 and $30 million, depreciation</w:t>
      </w:r>
    </w:p>
    <w:p>
      <w:pPr>
        <w:spacing w:after="0" w:line="235" w:lineRule="auto"/>
        <w:rPr>
          <w:sz w:val="20"/>
          <w:szCs w:val="20"/>
          <w:color w:val="auto"/>
        </w:rPr>
      </w:pPr>
      <w:r>
        <w:rPr>
          <w:rFonts w:ascii="Arial" w:cs="Arial" w:eastAsia="Arial" w:hAnsi="Arial"/>
          <w:sz w:val="18"/>
          <w:szCs w:val="18"/>
          <w:color w:val="auto"/>
        </w:rPr>
        <w:t>and amortization of $50 million, and diluted weighted average common shares outstanding consistent with that of</w:t>
      </w:r>
    </w:p>
    <w:p>
      <w:pPr>
        <w:spacing w:after="0" w:line="234" w:lineRule="auto"/>
        <w:rPr>
          <w:sz w:val="20"/>
          <w:szCs w:val="20"/>
          <w:color w:val="auto"/>
        </w:rPr>
      </w:pPr>
      <w:r>
        <w:rPr>
          <w:rFonts w:ascii="Arial" w:cs="Arial" w:eastAsia="Arial" w:hAnsi="Arial"/>
          <w:sz w:val="18"/>
          <w:szCs w:val="18"/>
          <w:color w:val="auto"/>
        </w:rPr>
        <w:t>July 31, 2010. Our guidance excludes additional expected pretax restructuring charges of approximately $12 to $15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or $0.17 to $0.21 per diluted share.”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Webcast regarding fiscal 2010 results will be available at www.investor.bradycorp.com beginning at 9:30 a.m.</w:t>
      </w:r>
    </w:p>
    <w:p>
      <w:pPr>
        <w:spacing w:after="0"/>
        <w:rPr>
          <w:sz w:val="20"/>
          <w:szCs w:val="20"/>
          <w:color w:val="auto"/>
        </w:rPr>
      </w:pPr>
      <w:r>
        <w:rPr>
          <w:rFonts w:ascii="Arial" w:cs="Arial" w:eastAsia="Arial" w:hAnsi="Arial"/>
          <w:sz w:val="18"/>
          <w:szCs w:val="18"/>
          <w:color w:val="auto"/>
        </w:rPr>
        <w:t>Central Daylight Time today.</w:t>
      </w:r>
    </w:p>
    <w:p>
      <w:pPr>
        <w:spacing w:after="0" w:line="185" w:lineRule="exact"/>
        <w:rPr>
          <w:sz w:val="20"/>
          <w:szCs w:val="20"/>
          <w:color w:val="auto"/>
        </w:rPr>
      </w:pPr>
    </w:p>
    <w:p>
      <w:pPr>
        <w:ind w:right="699" w:firstLine="373"/>
        <w:spacing w:after="0" w:line="237" w:lineRule="auto"/>
        <w:rPr>
          <w:sz w:val="20"/>
          <w:szCs w:val="20"/>
          <w:color w:val="auto"/>
        </w:rPr>
      </w:pPr>
      <w:r>
        <w:rPr>
          <w:rFonts w:ascii="Arial" w:cs="Arial" w:eastAsia="Arial" w:hAnsi="Arial"/>
          <w:sz w:val="18"/>
          <w:szCs w:val="18"/>
          <w:color w:val="auto"/>
        </w:rPr>
        <w:t xml:space="preserve">Brady Corporation is an international manufacturer and marketer of complete solutions that identify and protect premises, products and people. Its products include high-performance labels and signs, safety devices, printing systems and software, and precision die-cut materials. Founded in 1914, the company has more than 1,000,000 customers in electronics, telecommunications, manufacturing, electrical, construction, education, medical and a variety of other industries. Brady is headquartered in Milwaukee and employs approximately 6,600 people at operations in the Americas, Europe and Asia/Pacific. 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1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621665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6" w:name="page7"/>
    <w:bookmarkEnd w:id="6"/>
    <w:p>
      <w:pPr>
        <w:ind w:right="559"/>
        <w:spacing w:after="0" w:line="235" w:lineRule="auto"/>
        <w:rPr>
          <w:sz w:val="20"/>
          <w:szCs w:val="20"/>
          <w:color w:val="auto"/>
        </w:rPr>
      </w:pPr>
      <w:r>
        <w:rPr>
          <w:rFonts w:ascii="Arial" w:cs="Arial" w:eastAsia="Arial" w:hAnsi="Arial"/>
          <w:sz w:val="18"/>
          <w:szCs w:val="18"/>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Brady’s ability to maintain its debt covenants; unforeseen tax consequences;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Annual Report on Form 10-K for the period ended July 31, 2009, as updated by subsequently filed reports.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622935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INCOME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color w:val="auto"/>
              </w:rPr>
              <w:t>(Unaudited)</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7"/>
          </w:tcPr>
          <w:p>
            <w:pPr>
              <w:jc w:val="right"/>
              <w:ind w:right="700"/>
              <w:spacing w:after="0" w:line="196" w:lineRule="exact"/>
              <w:rPr>
                <w:sz w:val="20"/>
                <w:szCs w:val="20"/>
                <w:color w:val="auto"/>
              </w:rPr>
            </w:pPr>
            <w:r>
              <w:rPr>
                <w:rFonts w:ascii="Arial" w:cs="Arial" w:eastAsia="Arial" w:hAnsi="Arial"/>
                <w:sz w:val="18"/>
                <w:szCs w:val="18"/>
                <w:color w:val="auto"/>
              </w:rPr>
              <w:t>Three Months Ended July 31,</w:t>
            </w:r>
          </w:p>
        </w:tc>
        <w:tc>
          <w:tcPr>
            <w:tcW w:w="120" w:type="dxa"/>
            <w:vAlign w:val="bottom"/>
          </w:tcPr>
          <w:p>
            <w:pPr>
              <w:spacing w:after="0"/>
              <w:rPr>
                <w:sz w:val="17"/>
                <w:szCs w:val="17"/>
                <w:color w:val="auto"/>
              </w:rPr>
            </w:pPr>
          </w:p>
        </w:tc>
        <w:tc>
          <w:tcPr>
            <w:tcW w:w="3220" w:type="dxa"/>
            <w:vAlign w:val="bottom"/>
            <w:gridSpan w:val="6"/>
          </w:tcPr>
          <w:p>
            <w:pPr>
              <w:jc w:val="center"/>
              <w:ind w:right="10"/>
              <w:spacing w:after="0" w:line="196" w:lineRule="exact"/>
              <w:rPr>
                <w:sz w:val="20"/>
                <w:szCs w:val="20"/>
                <w:color w:val="auto"/>
              </w:rPr>
            </w:pPr>
            <w:r>
              <w:rPr>
                <w:rFonts w:ascii="Arial" w:cs="Arial" w:eastAsia="Arial" w:hAnsi="Arial"/>
                <w:sz w:val="18"/>
                <w:szCs w:val="18"/>
                <w:color w:val="auto"/>
                <w:w w:val="99"/>
              </w:rPr>
              <w:t>Twelve Months Ended July 31,</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Percentage</w:t>
            </w: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Percentage</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2010</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2009</w:t>
            </w: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Change</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2010</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2009</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w w:val="98"/>
              </w:rPr>
              <w:t>322,894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w w:val="98"/>
              </w:rPr>
              <w:t>287,203</w:t>
            </w:r>
          </w:p>
        </w:tc>
        <w:tc>
          <w:tcPr>
            <w:tcW w:w="12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w w:val="97"/>
              </w:rPr>
              <w:t>1,259,096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w w:val="97"/>
              </w:rPr>
              <w:t>1,208,702</w:t>
            </w: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164,155</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151,081</w:t>
            </w: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8.7%</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635,799</w:t>
            </w:r>
          </w:p>
        </w:tc>
        <w:tc>
          <w:tcPr>
            <w:tcW w:w="1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631,119</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158,739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136,122</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623,297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577,583</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development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11,671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8,856</w:t>
            </w:r>
          </w:p>
        </w:tc>
        <w:tc>
          <w:tcPr>
            <w:tcW w:w="12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42,621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34,181</w:t>
            </w:r>
          </w:p>
        </w:tc>
        <w:tc>
          <w:tcPr>
            <w:tcW w:w="10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24.7%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40" w:type="dxa"/>
            <w:vAlign w:val="bottom"/>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7"/>
                <w:szCs w:val="17"/>
                <w:color w:val="auto"/>
              </w:rPr>
            </w:pPr>
          </w:p>
        </w:tc>
        <w:tc>
          <w:tcPr>
            <w:tcW w:w="9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8"/>
              </w:rPr>
              <w:t>107,268</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94,404</w:t>
            </w:r>
          </w:p>
        </w:tc>
        <w:tc>
          <w:tcPr>
            <w:tcW w:w="12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13.6%</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435,906</w:t>
            </w:r>
          </w:p>
        </w:tc>
        <w:tc>
          <w:tcPr>
            <w:tcW w:w="120" w:type="dxa"/>
            <w:vAlign w:val="bottom"/>
          </w:tcPr>
          <w:p>
            <w:pPr>
              <w:spacing w:after="0"/>
              <w:rPr>
                <w:sz w:val="17"/>
                <w:szCs w:val="17"/>
                <w:color w:val="auto"/>
              </w:rPr>
            </w:pPr>
          </w:p>
        </w:tc>
        <w:tc>
          <w:tcPr>
            <w:tcW w:w="11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397,180</w:t>
            </w:r>
          </w:p>
        </w:tc>
        <w:tc>
          <w:tcPr>
            <w:tcW w:w="10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2,573</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15,314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25,849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124,656</w:t>
            </w:r>
          </w:p>
        </w:tc>
        <w:tc>
          <w:tcPr>
            <w:tcW w:w="1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105,833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493,841</w:t>
            </w: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457,210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34,083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30,289</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129,456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120,373</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income and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ind w:left="200"/>
              <w:spacing w:after="0" w:line="203" w:lineRule="exact"/>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and other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657</w:t>
            </w:r>
          </w:p>
        </w:tc>
        <w:tc>
          <w:tcPr>
            <w:tcW w:w="12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1,800</w:t>
            </w:r>
          </w:p>
        </w:tc>
        <w:tc>
          <w:tcPr>
            <w:tcW w:w="10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-35.1%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(5,750)</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(5,919)</w:t>
            </w: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(21,222)</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(24,901)</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28,228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25,027</w:t>
            </w:r>
          </w:p>
        </w:tc>
        <w:tc>
          <w:tcPr>
            <w:tcW w:w="12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109,402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97,272</w:t>
            </w:r>
          </w:p>
        </w:tc>
        <w:tc>
          <w:tcPr>
            <w:tcW w:w="10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5,825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27,446</w:t>
            </w: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27,150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21,592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19,202</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81,956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70,122</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40" w:type="dxa"/>
            <w:vAlign w:val="bottom"/>
            <w:vMerge w:val="restart"/>
          </w:tcPr>
          <w:p>
            <w:pPr>
              <w:spacing w:after="0"/>
              <w:rPr>
                <w:sz w:val="20"/>
                <w:szCs w:val="20"/>
                <w:color w:val="auto"/>
              </w:rPr>
            </w:pPr>
            <w:r>
              <w:rPr>
                <w:rFonts w:ascii="Arial" w:cs="Arial" w:eastAsia="Arial" w:hAnsi="Arial"/>
                <w:sz w:val="18"/>
                <w:szCs w:val="18"/>
                <w:color w:val="auto"/>
              </w:rPr>
              <w:t>Per Class A Nonvoting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ind w:left="200"/>
              <w:spacing w:after="0" w:line="203" w:lineRule="exact"/>
              <w:rPr>
                <w:sz w:val="20"/>
                <w:szCs w:val="20"/>
                <w:color w:val="auto"/>
              </w:rPr>
            </w:pPr>
            <w:r>
              <w:rPr>
                <w:rFonts w:ascii="Arial" w:cs="Arial" w:eastAsia="Arial" w:hAnsi="Arial"/>
                <w:sz w:val="18"/>
                <w:szCs w:val="18"/>
                <w:color w:val="auto"/>
              </w:rPr>
              <w:t>Common Share: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0.37</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1.33</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0.41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0.36</w:t>
            </w: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1.32</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0.175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0.17</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0.68</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Per Class B Voting</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ind w:left="200"/>
              <w:spacing w:after="0" w:line="203" w:lineRule="exact"/>
              <w:rPr>
                <w:sz w:val="20"/>
                <w:szCs w:val="20"/>
                <w:color w:val="auto"/>
              </w:rPr>
            </w:pPr>
            <w:r>
              <w:rPr>
                <w:rFonts w:ascii="Arial" w:cs="Arial" w:eastAsia="Arial" w:hAnsi="Arial"/>
                <w:sz w:val="18"/>
                <w:szCs w:val="18"/>
                <w:color w:val="auto"/>
              </w:rPr>
              <w:t>Common Share: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0.37</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1.32</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0.41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0.36</w:t>
            </w: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1.31</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0.175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0.17</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0.66</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Weighted average common</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ind w:left="200"/>
              <w:spacing w:after="0" w:line="202" w:lineRule="exact"/>
              <w:rPr>
                <w:sz w:val="20"/>
                <w:szCs w:val="20"/>
                <w:color w:val="auto"/>
              </w:rPr>
            </w:pPr>
            <w:r>
              <w:rPr>
                <w:rFonts w:ascii="Arial" w:cs="Arial" w:eastAsia="Arial" w:hAnsi="Arial"/>
                <w:sz w:val="18"/>
                <w:szCs w:val="18"/>
                <w:color w:val="auto"/>
              </w:rPr>
              <w:t>shares outstanding (in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tcPr>
          <w:p>
            <w:pPr>
              <w:ind w:left="200"/>
              <w:spacing w:after="0" w:line="203" w:lineRule="exact"/>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52,476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52,308</w:t>
            </w: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52,402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52,559</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52,872</w:t>
            </w: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52,583</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52,946</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52,866</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8"/>
        </w:trPr>
        <w:tc>
          <w:tcPr>
            <w:tcW w:w="34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99"/>
              </w:rPr>
              <w:t>(Unaudited)</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14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July 31, 2010</w:t>
            </w:r>
          </w:p>
        </w:tc>
        <w:tc>
          <w:tcPr>
            <w:tcW w:w="114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w w:val="98"/>
              </w:rPr>
              <w:t>July 31, 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430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314,840</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188,156</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 net</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221,621</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191,189</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Finished products</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52,906</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53,244</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Work-in-process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13,146</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03"/>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Raw materials and supplies</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28,620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27,405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inventories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94,672</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93,808</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37,839</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668,972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509,427</w:t>
            </w:r>
          </w:p>
        </w:tc>
        <w:tc>
          <w:tcPr>
            <w:tcW w:w="0" w:type="dxa"/>
            <w:vAlign w:val="bottom"/>
          </w:tcPr>
          <w:p>
            <w:pPr>
              <w:spacing w:after="0"/>
              <w:rPr>
                <w:sz w:val="1"/>
                <w:szCs w:val="1"/>
                <w:color w:val="auto"/>
              </w:rPr>
            </w:pPr>
          </w:p>
        </w:tc>
      </w:tr>
      <w:tr>
        <w:trPr>
          <w:trHeight w:val="405"/>
        </w:trPr>
        <w:tc>
          <w:tcPr>
            <w:tcW w:w="66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768,600</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751,173</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103,546</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115,754</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39,103</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36,374</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20,808</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other assets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932,057</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921,852</w:t>
            </w:r>
          </w:p>
        </w:tc>
        <w:tc>
          <w:tcPr>
            <w:tcW w:w="0" w:type="dxa"/>
            <w:vAlign w:val="bottom"/>
          </w:tcPr>
          <w:p>
            <w:pPr>
              <w:spacing w:after="0"/>
              <w:rPr>
                <w:sz w:val="1"/>
                <w:szCs w:val="1"/>
                <w:color w:val="auto"/>
              </w:rPr>
            </w:pPr>
          </w:p>
        </w:tc>
      </w:tr>
      <w:tr>
        <w:trPr>
          <w:trHeight w:val="405"/>
        </w:trPr>
        <w:tc>
          <w:tcPr>
            <w:tcW w:w="660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Land</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6,265</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101,138</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96,968</w:t>
            </w:r>
          </w:p>
        </w:tc>
        <w:tc>
          <w:tcPr>
            <w:tcW w:w="0" w:type="dxa"/>
            <w:vAlign w:val="bottom"/>
          </w:tcPr>
          <w:p>
            <w:pPr>
              <w:spacing w:after="0"/>
              <w:rPr>
                <w:sz w:val="1"/>
                <w:szCs w:val="1"/>
                <w:color w:val="auto"/>
              </w:rPr>
            </w:pPr>
          </w:p>
        </w:tc>
      </w:tr>
      <w:tr>
        <w:trPr>
          <w:trHeight w:val="203"/>
        </w:trPr>
        <w:tc>
          <w:tcPr>
            <w:tcW w:w="6600" w:type="dxa"/>
            <w:vAlign w:val="bottom"/>
          </w:tcPr>
          <w:p>
            <w:pPr>
              <w:ind w:left="400"/>
              <w:spacing w:after="0" w:line="202" w:lineRule="exact"/>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289,727</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283,301</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Construction in progress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9,873</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407,003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394,473</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261,501</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242,485</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Net property, plant and equipment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145,502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151,988</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1,746,531</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1,583,267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2"/>
          </w:tcPr>
          <w:p>
            <w:pPr>
              <w:ind w:left="2520"/>
              <w:spacing w:after="0"/>
              <w:rPr>
                <w:sz w:val="20"/>
                <w:szCs w:val="20"/>
                <w:color w:val="auto"/>
              </w:rPr>
            </w:pPr>
            <w:r>
              <w:rPr>
                <w:rFonts w:ascii="Arial" w:cs="Arial" w:eastAsia="Arial" w:hAnsi="Arial"/>
                <w:sz w:val="18"/>
                <w:szCs w:val="18"/>
                <w:b w:val="1"/>
                <w:bCs w:val="1"/>
                <w:color w:val="auto"/>
              </w:rPr>
              <w:t>LIABILITIES AND STOCKHOLDERS’ INVESTMENT</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96,702</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83,793</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67,285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36,313</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7,537</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10,138</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50,862</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45,247</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Current maturities on long-term debt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61,264</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44,893</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293,788</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222,472</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obligations, less current maturities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382,940</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346,457</w:t>
            </w:r>
          </w:p>
        </w:tc>
        <w:tc>
          <w:tcPr>
            <w:tcW w:w="0" w:type="dxa"/>
            <w:vAlign w:val="bottom"/>
          </w:tcPr>
          <w:p>
            <w:pPr>
              <w:spacing w:after="0"/>
              <w:rPr>
                <w:sz w:val="1"/>
                <w:szCs w:val="1"/>
                <w:color w:val="auto"/>
              </w:rPr>
            </w:pPr>
          </w:p>
        </w:tc>
      </w:tr>
      <w:tr>
        <w:trPr>
          <w:trHeight w:val="405"/>
        </w:trPr>
        <w:tc>
          <w:tcPr>
            <w:tcW w:w="66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64,776</w:t>
            </w:r>
          </w:p>
        </w:tc>
        <w:tc>
          <w:tcPr>
            <w:tcW w:w="3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63,246</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741,504</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632,175</w:t>
            </w:r>
          </w:p>
        </w:tc>
        <w:tc>
          <w:tcPr>
            <w:tcW w:w="0" w:type="dxa"/>
            <w:vAlign w:val="bottom"/>
          </w:tcPr>
          <w:p>
            <w:pPr>
              <w:spacing w:after="0"/>
              <w:rPr>
                <w:sz w:val="1"/>
                <w:szCs w:val="1"/>
                <w:color w:val="auto"/>
              </w:rPr>
            </w:pPr>
          </w:p>
        </w:tc>
      </w:tr>
      <w:tr>
        <w:trPr>
          <w:trHeight w:val="405"/>
        </w:trPr>
        <w:tc>
          <w:tcPr>
            <w:tcW w:w="6600" w:type="dxa"/>
            <w:vAlign w:val="bottom"/>
          </w:tcPr>
          <w:p>
            <w:pPr>
              <w:spacing w:after="0"/>
              <w:rPr>
                <w:sz w:val="20"/>
                <w:szCs w:val="20"/>
                <w:color w:val="auto"/>
              </w:rPr>
            </w:pPr>
            <w:r>
              <w:rPr>
                <w:rFonts w:ascii="Arial" w:cs="Arial" w:eastAsia="Arial" w:hAnsi="Arial"/>
                <w:sz w:val="18"/>
                <w:szCs w:val="18"/>
                <w:b w:val="1"/>
                <w:bCs w:val="1"/>
                <w:color w:val="auto"/>
              </w:rPr>
              <w:t>Stockholders’ investment: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400"/>
              <w:spacing w:after="0" w:line="201" w:lineRule="exact"/>
              <w:rPr>
                <w:sz w:val="20"/>
                <w:szCs w:val="20"/>
                <w:color w:val="auto"/>
              </w:rPr>
            </w:pPr>
            <w:r>
              <w:rPr>
                <w:rFonts w:ascii="Arial" w:cs="Arial" w:eastAsia="Arial" w:hAnsi="Arial"/>
                <w:sz w:val="18"/>
                <w:szCs w:val="18"/>
                <w:color w:val="auto"/>
              </w:rPr>
              <w:t>Class A nonvoting common stock — Issued 51,261,487 and 51,261,487</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600"/>
              <w:spacing w:after="0" w:line="202" w:lineRule="exact"/>
              <w:rPr>
                <w:sz w:val="20"/>
                <w:szCs w:val="20"/>
                <w:color w:val="auto"/>
              </w:rPr>
            </w:pPr>
            <w:r>
              <w:rPr>
                <w:rFonts w:ascii="Arial" w:cs="Arial" w:eastAsia="Arial" w:hAnsi="Arial"/>
                <w:sz w:val="18"/>
                <w:szCs w:val="18"/>
                <w:color w:val="auto"/>
              </w:rPr>
              <w:t>shares, respectively and outstanding 48,875,716 and 48,780,560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0" w:type="dxa"/>
            <w:vAlign w:val="bottom"/>
          </w:tcPr>
          <w:p>
            <w:pPr>
              <w:ind w:left="600"/>
              <w:spacing w:after="0"/>
              <w:rPr>
                <w:sz w:val="20"/>
                <w:szCs w:val="20"/>
                <w:color w:val="auto"/>
              </w:rPr>
            </w:pPr>
            <w:r>
              <w:rPr>
                <w:rFonts w:ascii="Arial" w:cs="Arial" w:eastAsia="Arial" w:hAnsi="Arial"/>
                <w:sz w:val="18"/>
                <w:szCs w:val="18"/>
                <w:color w:val="auto"/>
              </w:rPr>
              <w:t>shares, respectively</w:t>
            </w:r>
          </w:p>
        </w:tc>
        <w:tc>
          <w:tcPr>
            <w:tcW w:w="2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513</w:t>
            </w:r>
          </w:p>
        </w:tc>
        <w:tc>
          <w:tcPr>
            <w:tcW w:w="3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B voting common stock — Issued and outstanding, 3,538,628</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304,205</w:t>
            </w:r>
          </w:p>
        </w:tc>
        <w:tc>
          <w:tcPr>
            <w:tcW w:w="3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298,466</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retained in the business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718,512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673,342</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1" w:lineRule="exact"/>
              <w:rPr>
                <w:sz w:val="20"/>
                <w:szCs w:val="20"/>
                <w:color w:val="auto"/>
              </w:rPr>
            </w:pPr>
            <w:r>
              <w:rPr>
                <w:rFonts w:ascii="Arial" w:cs="Arial" w:eastAsia="Arial" w:hAnsi="Arial"/>
                <w:sz w:val="18"/>
                <w:szCs w:val="18"/>
                <w:color w:val="auto"/>
              </w:rPr>
              <w:t>Treasury stock — 2,175,771 and 2,270,927 shares, respectively of Class A</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400"/>
              <w:spacing w:after="0" w:line="203" w:lineRule="exact"/>
              <w:rPr>
                <w:sz w:val="20"/>
                <w:szCs w:val="20"/>
                <w:color w:val="auto"/>
              </w:rPr>
            </w:pPr>
            <w:r>
              <w:rPr>
                <w:rFonts w:ascii="Arial" w:cs="Arial" w:eastAsia="Arial" w:hAnsi="Arial"/>
                <w:sz w:val="18"/>
                <w:szCs w:val="18"/>
                <w:color w:val="auto"/>
              </w:rPr>
              <w:t>nonvoting common stock, at cost</w:t>
            </w:r>
          </w:p>
        </w:tc>
        <w:tc>
          <w:tcPr>
            <w:tcW w:w="260" w:type="dxa"/>
            <w:vAlign w:val="bottom"/>
          </w:tcPr>
          <w:p>
            <w:pPr>
              <w:spacing w:after="0"/>
              <w:rPr>
                <w:sz w:val="17"/>
                <w:szCs w:val="17"/>
                <w:color w:val="auto"/>
              </w:rPr>
            </w:pPr>
          </w:p>
        </w:tc>
        <w:tc>
          <w:tcPr>
            <w:tcW w:w="12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(66,314)</w:t>
            </w:r>
          </w:p>
        </w:tc>
        <w:tc>
          <w:tcPr>
            <w:tcW w:w="320" w:type="dxa"/>
            <w:vAlign w:val="bottom"/>
          </w:tcPr>
          <w:p>
            <w:pPr>
              <w:spacing w:after="0"/>
              <w:rPr>
                <w:sz w:val="17"/>
                <w:szCs w:val="17"/>
                <w:color w:val="auto"/>
              </w:rPr>
            </w:pPr>
          </w:p>
        </w:tc>
        <w:tc>
          <w:tcPr>
            <w:tcW w:w="9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(69,823)</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50,905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53,051</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(2,829)</w:t>
            </w:r>
          </w:p>
        </w:tc>
        <w:tc>
          <w:tcPr>
            <w:tcW w:w="3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3"/>
        </w:trPr>
        <w:tc>
          <w:tcPr>
            <w:tcW w:w="66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880" w:type="dxa"/>
            <w:vAlign w:val="bottom"/>
            <w:tcBorders>
              <w:top w:val="single" w:sz="8" w:color="auto"/>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82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9879"/>
          </w:cols>
          <w:pgMar w:left="580" w:top="927"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00" w:type="dxa"/>
            <w:vAlign w:val="bottom"/>
            <w:shd w:val="clear" w:color="auto" w:fill="CCEEFF"/>
          </w:tcPr>
          <w:p>
            <w:pPr>
              <w:jc w:val="center"/>
              <w:ind w:right="2670"/>
              <w:spacing w:after="0"/>
              <w:rPr>
                <w:sz w:val="20"/>
                <w:szCs w:val="20"/>
                <w:color w:val="auto"/>
              </w:rPr>
            </w:pPr>
            <w:r>
              <w:rPr>
                <w:rFonts w:ascii="Arial" w:cs="Arial" w:eastAsia="Arial" w:hAnsi="Arial"/>
                <w:sz w:val="18"/>
                <w:szCs w:val="18"/>
                <w:b w:val="1"/>
                <w:bCs w:val="1"/>
                <w:color w:val="auto"/>
                <w:w w:val="99"/>
              </w:rPr>
              <w:t>Total stockholders’ investment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1,005,027</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951,092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0" w:type="dxa"/>
            <w:vAlign w:val="bottom"/>
            <w:vMerge w:val="restart"/>
          </w:tcPr>
          <w:p>
            <w:pPr>
              <w:jc w:val="center"/>
              <w:ind w:right="2690"/>
              <w:spacing w:after="0"/>
              <w:rPr>
                <w:sz w:val="20"/>
                <w:szCs w:val="20"/>
                <w:color w:val="auto"/>
              </w:rPr>
            </w:pPr>
            <w:r>
              <w:rPr>
                <w:rFonts w:ascii="Arial" w:cs="Arial" w:eastAsia="Arial" w:hAnsi="Arial"/>
                <w:sz w:val="18"/>
                <w:szCs w:val="18"/>
                <w:b w:val="1"/>
                <w:bCs w:val="1"/>
                <w:color w:val="auto"/>
                <w:w w:val="99"/>
              </w:rPr>
              <w:t>Total liabilities and stockholders’ investment</w:t>
            </w: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1,746,531</w:t>
            </w:r>
          </w:p>
        </w:tc>
        <w:tc>
          <w:tcPr>
            <w:tcW w:w="34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   1,583,267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7"/>
        </w:trPr>
        <w:tc>
          <w:tcPr>
            <w:tcW w:w="340" w:type="dxa"/>
            <w:vAlign w:val="bottom"/>
            <w:tcBorders>
              <w:bottom w:val="single" w:sz="8" w:color="808080"/>
            </w:tcBorders>
          </w:tcPr>
          <w:p>
            <w:pPr>
              <w:spacing w:after="0"/>
              <w:rPr>
                <w:sz w:val="24"/>
                <w:szCs w:val="24"/>
                <w:color w:val="auto"/>
              </w:rPr>
            </w:pPr>
          </w:p>
        </w:tc>
        <w:tc>
          <w:tcPr>
            <w:tcW w:w="66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4"/>
          </w:tcPr>
          <w:p>
            <w:pPr>
              <w:ind w:left="14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9"/>
          </w:tcPr>
          <w:p>
            <w:pPr>
              <w:jc w:val="center"/>
              <w:ind w:right="280"/>
              <w:spacing w:after="0" w:line="203" w:lineRule="exact"/>
              <w:rPr>
                <w:sz w:val="20"/>
                <w:szCs w:val="20"/>
                <w:color w:val="auto"/>
              </w:rPr>
            </w:pPr>
            <w:r>
              <w:rPr>
                <w:rFonts w:ascii="Arial" w:cs="Arial" w:eastAsia="Arial" w:hAnsi="Arial"/>
                <w:sz w:val="18"/>
                <w:szCs w:val="18"/>
                <w:color w:val="auto"/>
                <w:w w:val="99"/>
              </w:rPr>
              <w:t>Twelve Months Ended July 31,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2008</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81,956</w:t>
            </w:r>
          </w:p>
        </w:tc>
        <w:tc>
          <w:tcPr>
            <w:tcW w:w="200" w:type="dxa"/>
            <w:vAlign w:val="bottom"/>
          </w:tcPr>
          <w:p>
            <w:pPr>
              <w:spacing w:after="0"/>
              <w:rPr>
                <w:sz w:val="17"/>
                <w:szCs w:val="17"/>
                <w:color w:val="auto"/>
              </w:rPr>
            </w:pP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70,122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132,188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53,022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54,851</w:t>
            </w:r>
          </w:p>
        </w:tc>
        <w:tc>
          <w:tcPr>
            <w:tcW w:w="1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60,587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(6,834)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(8,640)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(1,501)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Loss (gain) on disposal of property, plant &amp; equipment</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383</w:t>
            </w:r>
          </w:p>
        </w:tc>
        <w:tc>
          <w:tcPr>
            <w:tcW w:w="1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1,672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9,721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7,731</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10,228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Non-cash portion of restructuring charges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2,469</w:t>
            </w:r>
          </w:p>
        </w:tc>
        <w:tc>
          <w:tcPr>
            <w:tcW w:w="1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Changes in operating assets and liabilities (net of effects of</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business acquisitions):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(29,479)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53,389</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(3,704)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34,749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16,224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(3,502)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(2,423)</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51,268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(78,684)</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18,641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(9,673)</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(8,492)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2,371</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165,238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126,645</w:t>
            </w: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225,554</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(30,431)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(29,346)</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 price adjustment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3,514</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Payments of contingent consideration</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(1,405)</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(5,798)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(10,350)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29,550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(26,296)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(24,027)</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(26,407)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net investment hedge</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6,248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2,874</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3,143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(48,681)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(19,044)</w:t>
            </w: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(39,208)</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(36,786)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(35,839)</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(32,464)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1,683</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14,500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(44,893)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(87,224)</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(39,443)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debt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18,000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(2,537)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(40,267)</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(42,175)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tax benefit from the exercise of stock options &amp; deferred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comp</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4,638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provided by (used in)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(160,311)</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(76,944)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(5,148)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(17,489)</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6,107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126,684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(70,199)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115,509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year</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188,156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258,355</w:t>
            </w:r>
          </w:p>
        </w:tc>
        <w:tc>
          <w:tcPr>
            <w:tcW w:w="1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142,846</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year</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314,840</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188,156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258,355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vMerge w:val="restart"/>
          </w:tcPr>
          <w:p>
            <w:pPr>
              <w:spacing w:after="0"/>
              <w:rPr>
                <w:sz w:val="20"/>
                <w:szCs w:val="20"/>
                <w:color w:val="auto"/>
              </w:rPr>
            </w:pPr>
            <w:r>
              <w:rPr>
                <w:rFonts w:ascii="Arial" w:cs="Arial" w:eastAsia="Arial" w:hAnsi="Arial"/>
                <w:sz w:val="18"/>
                <w:szCs w:val="18"/>
                <w:color w:val="auto"/>
              </w:rPr>
              <w:t>Supplemental disclosures: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21,626</w:t>
            </w:r>
          </w:p>
        </w:tc>
        <w:tc>
          <w:tcPr>
            <w:tcW w:w="200" w:type="dxa"/>
            <w:vAlign w:val="bottom"/>
          </w:tcPr>
          <w:p>
            <w:pPr>
              <w:spacing w:after="0"/>
              <w:rPr>
                <w:sz w:val="17"/>
                <w:szCs w:val="17"/>
                <w:color w:val="auto"/>
              </w:rPr>
            </w:pP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21,899</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26,308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net of refunds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30,870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32,995</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51,834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15,366</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21,508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Liabilities assumed</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(9,038)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20,266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16,876</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tcPr>
          <w:p>
            <w:pPr>
              <w:ind w:left="800"/>
              <w:spacing w:after="0"/>
              <w:rPr>
                <w:sz w:val="20"/>
                <w:szCs w:val="20"/>
                <w:color w:val="auto"/>
              </w:rPr>
            </w:pPr>
            <w:r>
              <w:rPr>
                <w:rFonts w:ascii="Arial" w:cs="Arial" w:eastAsia="Arial" w:hAnsi="Arial"/>
                <w:sz w:val="18"/>
                <w:szCs w:val="18"/>
                <w:color w:val="auto"/>
              </w:rPr>
              <w:t>Net cash paid for acquisitions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30,431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29,346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0"/>
        </w:trPr>
        <w:tc>
          <w:tcPr>
            <w:tcW w:w="3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667"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Information by regional segment for the three and twelve months ended July 31, 2010 and 2009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5"/>
          </w:tcPr>
          <w:p>
            <w:pPr>
              <w:spacing w:after="0"/>
              <w:rPr>
                <w:sz w:val="20"/>
                <w:szCs w:val="20"/>
                <w:color w:val="auto"/>
              </w:rPr>
            </w:pPr>
            <w:r>
              <w:rPr>
                <w:rFonts w:ascii="Arial" w:cs="Arial" w:eastAsia="Arial" w:hAnsi="Arial"/>
                <w:sz w:val="18"/>
                <w:szCs w:val="18"/>
                <w:color w:val="auto"/>
              </w:rPr>
              <w:t>Corporate and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Arial" w:cs="Arial" w:eastAsia="Arial" w:hAnsi="Arial"/>
                <w:sz w:val="18"/>
                <w:szCs w:val="18"/>
                <w:color w:val="auto"/>
              </w:rPr>
              <w:t>Americas</w:t>
            </w:r>
          </w:p>
        </w:tc>
        <w:tc>
          <w:tcPr>
            <w:tcW w:w="940" w:type="dxa"/>
            <w:vAlign w:val="bottom"/>
            <w:gridSpan w:val="3"/>
          </w:tcPr>
          <w:p>
            <w:pPr>
              <w:jc w:val="right"/>
              <w:ind w:right="280"/>
              <w:spacing w:after="0" w:line="203" w:lineRule="exact"/>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7"/>
                <w:szCs w:val="17"/>
                <w:color w:val="auto"/>
              </w:rPr>
            </w:pPr>
          </w:p>
        </w:tc>
        <w:tc>
          <w:tcPr>
            <w:tcW w:w="1220" w:type="dxa"/>
            <w:vAlign w:val="bottom"/>
            <w:gridSpan w:val="4"/>
          </w:tcPr>
          <w:p>
            <w:pPr>
              <w:spacing w:after="0" w:line="203" w:lineRule="exact"/>
              <w:rPr>
                <w:sz w:val="20"/>
                <w:szCs w:val="20"/>
                <w:color w:val="auto"/>
              </w:rPr>
            </w:pPr>
            <w:r>
              <w:rPr>
                <w:rFonts w:ascii="Arial" w:cs="Arial" w:eastAsia="Arial" w:hAnsi="Arial"/>
                <w:sz w:val="18"/>
                <w:szCs w:val="18"/>
                <w:color w:val="auto"/>
              </w:rPr>
              <w:t>Asia-Pacific</w:t>
            </w:r>
          </w:p>
        </w:tc>
        <w:tc>
          <w:tcPr>
            <w:tcW w:w="1280" w:type="dxa"/>
            <w:vAlign w:val="bottom"/>
            <w:gridSpan w:val="5"/>
          </w:tcPr>
          <w:p>
            <w:pPr>
              <w:spacing w:after="0" w:line="203" w:lineRule="exact"/>
              <w:rPr>
                <w:sz w:val="20"/>
                <w:szCs w:val="20"/>
                <w:color w:val="auto"/>
              </w:rPr>
            </w:pPr>
            <w:r>
              <w:rPr>
                <w:rFonts w:ascii="Arial" w:cs="Arial" w:eastAsia="Arial" w:hAnsi="Arial"/>
                <w:sz w:val="18"/>
                <w:szCs w:val="18"/>
                <w:color w:val="auto"/>
              </w:rPr>
              <w:t>Total Region</w:t>
            </w:r>
          </w:p>
        </w:tc>
        <w:tc>
          <w:tcPr>
            <w:tcW w:w="1440" w:type="dxa"/>
            <w:vAlign w:val="bottom"/>
            <w:gridSpan w:val="5"/>
          </w:tcPr>
          <w:p>
            <w:pPr>
              <w:jc w:val="right"/>
              <w:ind w:right="380"/>
              <w:spacing w:after="0" w:line="203" w:lineRule="exact"/>
              <w:rPr>
                <w:sz w:val="20"/>
                <w:szCs w:val="20"/>
                <w:color w:val="auto"/>
              </w:rPr>
            </w:pPr>
            <w:r>
              <w:rPr>
                <w:rFonts w:ascii="Arial" w:cs="Arial" w:eastAsia="Arial" w:hAnsi="Arial"/>
                <w:sz w:val="18"/>
                <w:szCs w:val="18"/>
                <w:color w:val="auto"/>
              </w:rPr>
              <w:t>Eliminations</w:t>
            </w:r>
          </w:p>
        </w:tc>
        <w:tc>
          <w:tcPr>
            <w:tcW w:w="1340" w:type="dxa"/>
            <w:vAlign w:val="bottom"/>
            <w:gridSpan w:val="5"/>
          </w:tcPr>
          <w:p>
            <w:pPr>
              <w:spacing w:after="0" w:line="203" w:lineRule="exact"/>
              <w:rPr>
                <w:sz w:val="20"/>
                <w:szCs w:val="20"/>
                <w:color w:val="auto"/>
              </w:rPr>
            </w:pPr>
            <w:r>
              <w:rPr>
                <w:rFonts w:ascii="Arial" w:cs="Arial" w:eastAsia="Arial" w:hAnsi="Arial"/>
                <w:sz w:val="18"/>
                <w:szCs w:val="18"/>
                <w:color w:val="auto"/>
              </w:rPr>
              <w:t>Total Company</w:t>
            </w:r>
          </w:p>
        </w:tc>
        <w:tc>
          <w:tcPr>
            <w:tcW w:w="1760" w:type="dxa"/>
            <w:vAlign w:val="bottom"/>
          </w:tcPr>
          <w:p>
            <w:pPr>
              <w:spacing w:after="0"/>
              <w:rPr>
                <w:sz w:val="17"/>
                <w:szCs w:val="17"/>
                <w:color w:val="auto"/>
              </w:rPr>
            </w:pPr>
          </w:p>
        </w:tc>
      </w:tr>
      <w:tr>
        <w:trPr>
          <w:trHeight w:val="173"/>
        </w:trPr>
        <w:tc>
          <w:tcPr>
            <w:tcW w:w="340" w:type="dxa"/>
            <w:vAlign w:val="bottom"/>
          </w:tcPr>
          <w:p>
            <w:pPr>
              <w:spacing w:after="0"/>
              <w:rPr>
                <w:sz w:val="15"/>
                <w:szCs w:val="15"/>
                <w:color w:val="auto"/>
              </w:rPr>
            </w:pPr>
          </w:p>
        </w:tc>
        <w:tc>
          <w:tcPr>
            <w:tcW w:w="18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SALES TO</w:t>
            </w: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tcPr>
          <w:p>
            <w:pPr>
              <w:spacing w:after="0"/>
              <w:rPr>
                <w:sz w:val="15"/>
                <w:szCs w:val="15"/>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EXTERNAL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25"/>
        </w:trPr>
        <w:tc>
          <w:tcPr>
            <w:tcW w:w="340" w:type="dxa"/>
            <w:vAlign w:val="bottom"/>
          </w:tcPr>
          <w:p>
            <w:pPr>
              <w:spacing w:after="0"/>
              <w:rPr>
                <w:sz w:val="19"/>
                <w:szCs w:val="19"/>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340" w:type="dxa"/>
            <w:vAlign w:val="bottom"/>
          </w:tcPr>
          <w:p>
            <w:pPr>
              <w:spacing w:after="0"/>
              <w:rPr>
                <w:sz w:val="17"/>
                <w:szCs w:val="17"/>
                <w:color w:val="auto"/>
              </w:rPr>
            </w:pPr>
          </w:p>
        </w:tc>
        <w:tc>
          <w:tcPr>
            <w:tcW w:w="1820" w:type="dxa"/>
            <w:vAlign w:val="bottom"/>
          </w:tcPr>
          <w:p>
            <w:pPr>
              <w:spacing w:after="0" w:line="202" w:lineRule="exact"/>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2010</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148,929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91,020</w:t>
            </w: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82,945</w:t>
            </w: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322,894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322,894</w:t>
            </w: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tcPr>
          <w:p>
            <w:pPr>
              <w:ind w:left="200"/>
              <w:spacing w:after="0" w:line="202" w:lineRule="exact"/>
              <w:rPr>
                <w:sz w:val="20"/>
                <w:szCs w:val="20"/>
                <w:color w:val="auto"/>
              </w:rPr>
            </w:pPr>
            <w:r>
              <w:rPr>
                <w:rFonts w:ascii="Arial" w:cs="Arial" w:eastAsia="Arial" w:hAnsi="Arial"/>
                <w:sz w:val="18"/>
                <w:szCs w:val="18"/>
                <w:color w:val="auto"/>
              </w:rPr>
              <w:t>July 31, 2009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124,867</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86,567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75,769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287,203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287,203</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169,303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131,765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95,781</w:t>
            </w: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396,849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396,849</w:t>
            </w: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9"/>
              </w:rPr>
              <w:t>Twelve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2010</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551,185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380,121</w:t>
            </w: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327,790</w:t>
            </w: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$ 1,259,096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1,259,096</w:t>
            </w: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tcPr>
          <w:p>
            <w:pPr>
              <w:ind w:left="200"/>
              <w:spacing w:after="0" w:line="202" w:lineRule="exact"/>
              <w:rPr>
                <w:sz w:val="20"/>
                <w:szCs w:val="20"/>
                <w:color w:val="auto"/>
              </w:rPr>
            </w:pPr>
            <w:r>
              <w:rPr>
                <w:rFonts w:ascii="Arial" w:cs="Arial" w:eastAsia="Arial" w:hAnsi="Arial"/>
                <w:sz w:val="18"/>
                <w:szCs w:val="18"/>
                <w:color w:val="auto"/>
              </w:rPr>
              <w:t>July 31, 2009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534,440</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367,156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307,106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1,208,702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1,208,702</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667,106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496,715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359,195</w:t>
            </w: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7"/>
              </w:rPr>
              <w:t>1,523,016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1,523,016</w:t>
            </w: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382"/>
        </w:trPr>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b w:val="1"/>
                <w:bCs w:val="1"/>
                <w:color w:val="auto"/>
              </w:rPr>
              <w:t>SALES GROWTH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5"/>
        </w:trPr>
        <w:tc>
          <w:tcPr>
            <w:tcW w:w="340" w:type="dxa"/>
            <w:vAlign w:val="bottom"/>
          </w:tcPr>
          <w:p>
            <w:pPr>
              <w:spacing w:after="0"/>
              <w:rPr>
                <w:sz w:val="19"/>
                <w:szCs w:val="19"/>
                <w:color w:val="auto"/>
              </w:rPr>
            </w:pPr>
          </w:p>
        </w:tc>
        <w:tc>
          <w:tcPr>
            <w:tcW w:w="182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July 31, 2010: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tcPr>
          <w:p>
            <w:pPr>
              <w:ind w:left="200"/>
              <w:spacing w:after="0" w:line="202" w:lineRule="exact"/>
              <w:rPr>
                <w:sz w:val="20"/>
                <w:szCs w:val="20"/>
                <w:color w:val="auto"/>
              </w:rPr>
            </w:pPr>
            <w:r>
              <w:rPr>
                <w:rFonts w:ascii="Arial" w:cs="Arial" w:eastAsia="Arial" w:hAnsi="Arial"/>
                <w:sz w:val="18"/>
                <w:szCs w:val="18"/>
                <w:color w:val="auto"/>
              </w:rPr>
              <w:t>Base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10.7%</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Currency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tcPr>
          <w:p>
            <w:pPr>
              <w:ind w:left="200"/>
              <w:spacing w:after="0" w:line="202" w:lineRule="exact"/>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w:t>
            </w:r>
          </w:p>
        </w:tc>
        <w:tc>
          <w:tcPr>
            <w:tcW w:w="1760" w:type="dxa"/>
            <w:vAlign w:val="bottom"/>
          </w:tcPr>
          <w:p>
            <w:pPr>
              <w:spacing w:after="0"/>
              <w:rPr>
                <w:sz w:val="17"/>
                <w:szCs w:val="17"/>
                <w:color w:val="auto"/>
              </w:rPr>
            </w:pPr>
          </w:p>
        </w:tc>
      </w:tr>
      <w:tr>
        <w:trPr>
          <w:trHeight w:val="27"/>
        </w:trPr>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760" w:type="dxa"/>
            <w:vAlign w:val="bottom"/>
          </w:tcPr>
          <w:p>
            <w:pPr>
              <w:spacing w:after="0"/>
              <w:rPr>
                <w:sz w:val="17"/>
                <w:szCs w:val="17"/>
                <w:color w:val="auto"/>
              </w:rPr>
            </w:pPr>
          </w:p>
        </w:tc>
      </w:tr>
      <w:tr>
        <w:trPr>
          <w:trHeight w:val="404"/>
        </w:trPr>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Twelve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820" w:type="dxa"/>
            <w:vAlign w:val="bottom"/>
          </w:tcPr>
          <w:p>
            <w:pPr>
              <w:ind w:left="200"/>
              <w:spacing w:after="0" w:line="203" w:lineRule="exact"/>
              <w:rPr>
                <w:sz w:val="20"/>
                <w:szCs w:val="20"/>
                <w:color w:val="auto"/>
              </w:rPr>
            </w:pPr>
            <w:r>
              <w:rPr>
                <w:rFonts w:ascii="Arial" w:cs="Arial" w:eastAsia="Arial" w:hAnsi="Arial"/>
                <w:sz w:val="18"/>
                <w:szCs w:val="18"/>
                <w:color w:val="auto"/>
              </w:rPr>
              <w:t>July 31, 2010: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tcPr>
          <w:p>
            <w:pPr>
              <w:ind w:left="200"/>
              <w:spacing w:after="0" w:line="202" w:lineRule="exact"/>
              <w:rPr>
                <w:sz w:val="20"/>
                <w:szCs w:val="20"/>
                <w:color w:val="auto"/>
              </w:rPr>
            </w:pPr>
            <w:r>
              <w:rPr>
                <w:rFonts w:ascii="Arial" w:cs="Arial" w:eastAsia="Arial" w:hAnsi="Arial"/>
                <w:sz w:val="18"/>
                <w:szCs w:val="18"/>
                <w:color w:val="auto"/>
              </w:rPr>
              <w:t>Currency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820" w:type="dxa"/>
            <w:vAlign w:val="bottom"/>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760" w:type="dxa"/>
            <w:vAlign w:val="bottom"/>
          </w:tcPr>
          <w:p>
            <w:pPr>
              <w:spacing w:after="0"/>
              <w:rPr>
                <w:sz w:val="19"/>
                <w:szCs w:val="19"/>
                <w:color w:val="auto"/>
              </w:rPr>
            </w:pPr>
          </w:p>
        </w:tc>
      </w:tr>
      <w:tr>
        <w:trPr>
          <w:trHeight w:val="189"/>
        </w:trPr>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0"/>
        </w:trPr>
        <w:tc>
          <w:tcPr>
            <w:tcW w:w="340" w:type="dxa"/>
            <w:vAlign w:val="bottom"/>
          </w:tcPr>
          <w:p>
            <w:pPr>
              <w:spacing w:after="0"/>
              <w:rPr>
                <w:sz w:val="15"/>
                <w:szCs w:val="15"/>
                <w:color w:val="auto"/>
              </w:rPr>
            </w:pPr>
          </w:p>
        </w:tc>
        <w:tc>
          <w:tcPr>
            <w:tcW w:w="182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SEGMENT PROFIT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tcPr>
          <w:p>
            <w:pPr>
              <w:spacing w:after="0"/>
              <w:rPr>
                <w:sz w:val="15"/>
                <w:szCs w:val="15"/>
                <w:color w:val="auto"/>
              </w:rPr>
            </w:pPr>
          </w:p>
        </w:tc>
      </w:tr>
      <w:tr>
        <w:trPr>
          <w:trHeight w:val="225"/>
        </w:trPr>
        <w:tc>
          <w:tcPr>
            <w:tcW w:w="340" w:type="dxa"/>
            <w:vAlign w:val="bottom"/>
          </w:tcPr>
          <w:p>
            <w:pPr>
              <w:spacing w:after="0"/>
              <w:rPr>
                <w:sz w:val="19"/>
                <w:szCs w:val="19"/>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340" w:type="dxa"/>
            <w:vAlign w:val="bottom"/>
          </w:tcPr>
          <w:p>
            <w:pPr>
              <w:spacing w:after="0"/>
              <w:rPr>
                <w:sz w:val="17"/>
                <w:szCs w:val="17"/>
                <w:color w:val="auto"/>
              </w:rPr>
            </w:pPr>
          </w:p>
        </w:tc>
        <w:tc>
          <w:tcPr>
            <w:tcW w:w="1820" w:type="dxa"/>
            <w:vAlign w:val="bottom"/>
          </w:tcPr>
          <w:p>
            <w:pPr>
              <w:spacing w:after="0" w:line="202" w:lineRule="exact"/>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2010</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34,964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25,035</w:t>
            </w: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13,516</w:t>
            </w: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73,515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(3,970)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69,545</w:t>
            </w: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tcPr>
          <w:p>
            <w:pPr>
              <w:ind w:left="200"/>
              <w:spacing w:after="0" w:line="202" w:lineRule="exact"/>
              <w:rPr>
                <w:sz w:val="20"/>
                <w:szCs w:val="20"/>
                <w:color w:val="auto"/>
              </w:rPr>
            </w:pPr>
            <w:r>
              <w:rPr>
                <w:rFonts w:ascii="Arial" w:cs="Arial" w:eastAsia="Arial" w:hAnsi="Arial"/>
                <w:sz w:val="18"/>
                <w:szCs w:val="18"/>
                <w:color w:val="auto"/>
              </w:rPr>
              <w:t>July 31, 2009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28,300</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9,072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59,390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(1,320)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58,070</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84"/>
        </w:trPr>
        <w:tc>
          <w:tcPr>
            <w:tcW w:w="340" w:type="dxa"/>
            <w:vAlign w:val="bottom"/>
          </w:tcPr>
          <w:p>
            <w:pPr>
              <w:spacing w:after="0"/>
              <w:rPr>
                <w:sz w:val="15"/>
                <w:szCs w:val="15"/>
                <w:color w:val="auto"/>
              </w:rPr>
            </w:pPr>
          </w:p>
        </w:tc>
        <w:tc>
          <w:tcPr>
            <w:tcW w:w="1820" w:type="dxa"/>
            <w:vAlign w:val="bottom"/>
            <w:shd w:val="clear" w:color="auto" w:fill="CCEEFF"/>
          </w:tcPr>
          <w:p>
            <w:pPr>
              <w:ind w:left="400"/>
              <w:spacing w:after="0" w:line="184" w:lineRule="exact"/>
              <w:rPr>
                <w:sz w:val="20"/>
                <w:szCs w:val="20"/>
                <w:color w:val="auto"/>
              </w:rPr>
            </w:pPr>
            <w:r>
              <w:rPr>
                <w:rFonts w:ascii="Arial" w:cs="Arial" w:eastAsia="Arial" w:hAnsi="Arial"/>
                <w:sz w:val="18"/>
                <w:szCs w:val="18"/>
                <w:i w:val="1"/>
                <w:iCs w:val="1"/>
                <w:color w:val="auto"/>
              </w:rPr>
              <w:t>Percentage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tcPr>
          <w:p>
            <w:pPr>
              <w:spacing w:after="0"/>
              <w:rPr>
                <w:sz w:val="15"/>
                <w:szCs w:val="15"/>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i w:val="1"/>
                <w:iCs w:val="1"/>
                <w:color w:val="auto"/>
              </w:rPr>
              <w:t>increase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21"/>
        </w:trPr>
        <w:tc>
          <w:tcPr>
            <w:tcW w:w="340" w:type="dxa"/>
            <w:vAlign w:val="bottom"/>
          </w:tcPr>
          <w:p>
            <w:pPr>
              <w:spacing w:after="0"/>
              <w:rPr>
                <w:sz w:val="19"/>
                <w:szCs w:val="19"/>
                <w:color w:val="auto"/>
              </w:rPr>
            </w:pPr>
          </w:p>
        </w:tc>
        <w:tc>
          <w:tcPr>
            <w:tcW w:w="182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760" w:type="dxa"/>
            <w:vAlign w:val="bottom"/>
          </w:tcPr>
          <w:p>
            <w:pPr>
              <w:spacing w:after="0"/>
              <w:rPr>
                <w:sz w:val="19"/>
                <w:szCs w:val="19"/>
                <w:color w:val="auto"/>
              </w:rPr>
            </w:pPr>
          </w:p>
        </w:tc>
      </w:tr>
      <w:tr>
        <w:trPr>
          <w:trHeight w:val="405"/>
        </w:trPr>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9"/>
              </w:rPr>
              <w:t>Twelve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2010</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125,169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103,316</w:t>
            </w: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52,105</w:t>
            </w: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280,590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(14,131)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266,459</w:t>
            </w: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tcPr>
          <w:p>
            <w:pPr>
              <w:ind w:left="200"/>
              <w:spacing w:after="0" w:line="202" w:lineRule="exact"/>
              <w:rPr>
                <w:sz w:val="20"/>
                <w:szCs w:val="20"/>
                <w:color w:val="auto"/>
              </w:rPr>
            </w:pPr>
            <w:r>
              <w:rPr>
                <w:rFonts w:ascii="Arial" w:cs="Arial" w:eastAsia="Arial" w:hAnsi="Arial"/>
                <w:sz w:val="18"/>
                <w:szCs w:val="18"/>
                <w:color w:val="auto"/>
              </w:rPr>
              <w:t>July 31, 2009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114,404</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99,875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42,575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256,854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(7,952)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248,902</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84"/>
        </w:trPr>
        <w:tc>
          <w:tcPr>
            <w:tcW w:w="340" w:type="dxa"/>
            <w:vAlign w:val="bottom"/>
          </w:tcPr>
          <w:p>
            <w:pPr>
              <w:spacing w:after="0"/>
              <w:rPr>
                <w:sz w:val="15"/>
                <w:szCs w:val="15"/>
                <w:color w:val="auto"/>
              </w:rPr>
            </w:pPr>
          </w:p>
        </w:tc>
        <w:tc>
          <w:tcPr>
            <w:tcW w:w="1820" w:type="dxa"/>
            <w:vAlign w:val="bottom"/>
            <w:shd w:val="clear" w:color="auto" w:fill="CCEEFF"/>
          </w:tcPr>
          <w:p>
            <w:pPr>
              <w:ind w:left="400"/>
              <w:spacing w:after="0" w:line="184" w:lineRule="exact"/>
              <w:rPr>
                <w:sz w:val="20"/>
                <w:szCs w:val="20"/>
                <w:color w:val="auto"/>
              </w:rPr>
            </w:pPr>
            <w:r>
              <w:rPr>
                <w:rFonts w:ascii="Arial" w:cs="Arial" w:eastAsia="Arial" w:hAnsi="Arial"/>
                <w:sz w:val="18"/>
                <w:szCs w:val="18"/>
                <w:i w:val="1"/>
                <w:iCs w:val="1"/>
                <w:color w:val="auto"/>
              </w:rPr>
              <w:t>Percentage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tcPr>
          <w:p>
            <w:pPr>
              <w:spacing w:after="0"/>
              <w:rPr>
                <w:sz w:val="15"/>
                <w:szCs w:val="15"/>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i w:val="1"/>
                <w:iCs w:val="1"/>
                <w:color w:val="auto"/>
              </w:rPr>
              <w:t>increase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21"/>
        </w:trPr>
        <w:tc>
          <w:tcPr>
            <w:tcW w:w="340" w:type="dxa"/>
            <w:vAlign w:val="bottom"/>
          </w:tcPr>
          <w:p>
            <w:pPr>
              <w:spacing w:after="0"/>
              <w:rPr>
                <w:sz w:val="19"/>
                <w:szCs w:val="19"/>
                <w:color w:val="auto"/>
              </w:rPr>
            </w:pPr>
          </w:p>
        </w:tc>
        <w:tc>
          <w:tcPr>
            <w:tcW w:w="182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760" w:type="dxa"/>
            <w:vAlign w:val="bottom"/>
          </w:tcPr>
          <w:p>
            <w:pPr>
              <w:spacing w:after="0"/>
              <w:rPr>
                <w:sz w:val="19"/>
                <w:szCs w:val="19"/>
                <w:color w:val="auto"/>
              </w:rPr>
            </w:pPr>
          </w:p>
        </w:tc>
      </w:tr>
      <w:tr>
        <w:trPr>
          <w:trHeight w:val="405"/>
        </w:trPr>
        <w:tc>
          <w:tcPr>
            <w:tcW w:w="340" w:type="dxa"/>
            <w:vAlign w:val="bottom"/>
          </w:tcPr>
          <w:p>
            <w:pPr>
              <w:spacing w:after="0"/>
              <w:rPr>
                <w:sz w:val="24"/>
                <w:szCs w:val="24"/>
                <w:color w:val="auto"/>
              </w:rPr>
            </w:pPr>
          </w:p>
        </w:tc>
        <w:tc>
          <w:tcPr>
            <w:tcW w:w="3940" w:type="dxa"/>
            <w:vAlign w:val="bottom"/>
            <w:gridSpan w:val="8"/>
          </w:tcPr>
          <w:p>
            <w:pPr>
              <w:spacing w:after="0"/>
              <w:rPr>
                <w:sz w:val="20"/>
                <w:szCs w:val="20"/>
                <w:color w:val="auto"/>
              </w:rPr>
            </w:pPr>
            <w:r>
              <w:rPr>
                <w:rFonts w:ascii="Arial" w:cs="Arial" w:eastAsia="Arial" w:hAnsi="Arial"/>
                <w:sz w:val="18"/>
                <w:szCs w:val="18"/>
                <w:b w:val="1"/>
                <w:bCs w:val="1"/>
                <w:color w:val="auto"/>
                <w:w w:val="99"/>
              </w:rPr>
              <w:t xml:space="preserve">NET INCOME RECONCILIATION </w:t>
            </w:r>
            <w:r>
              <w:rPr>
                <w:rFonts w:ascii="Arial" w:cs="Arial" w:eastAsia="Arial" w:hAnsi="Arial"/>
                <w:sz w:val="18"/>
                <w:szCs w:val="18"/>
                <w:color w:val="auto"/>
                <w:w w:val="99"/>
              </w:rPr>
              <w:t>(in thousands)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8"/>
          </w:tcPr>
          <w:p>
            <w:pPr>
              <w:jc w:val="right"/>
              <w:ind w:right="5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8"/>
          </w:tcPr>
          <w:p>
            <w:pPr>
              <w:jc w:val="right"/>
              <w:ind w:right="420"/>
              <w:spacing w:after="0"/>
              <w:rPr>
                <w:sz w:val="20"/>
                <w:szCs w:val="20"/>
                <w:color w:val="auto"/>
              </w:rPr>
            </w:pPr>
            <w:r>
              <w:rPr>
                <w:rFonts w:ascii="Arial" w:cs="Arial" w:eastAsia="Arial" w:hAnsi="Arial"/>
                <w:sz w:val="18"/>
                <w:szCs w:val="18"/>
                <w:color w:val="auto"/>
              </w:rPr>
              <w:t>Twelve months ended:</w:t>
            </w:r>
          </w:p>
        </w:tc>
        <w:tc>
          <w:tcPr>
            <w:tcW w:w="176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top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rPr>
              <w:t>July 31, 2010</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July 31, 2009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July 31, 2010</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July 31, 2009</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0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rPr>
              <w:t>Total profit for reportable segments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73,515</w:t>
            </w: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59,390</w:t>
            </w:r>
          </w:p>
        </w:tc>
        <w:tc>
          <w:tcPr>
            <w:tcW w:w="4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280,590</w:t>
            </w:r>
          </w:p>
        </w:tc>
        <w:tc>
          <w:tcPr>
            <w:tcW w:w="34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256,854</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00" w:type="dxa"/>
            <w:vAlign w:val="bottom"/>
            <w:gridSpan w:val="5"/>
          </w:tcPr>
          <w:p>
            <w:pPr>
              <w:spacing w:after="0" w:line="202" w:lineRule="exact"/>
              <w:rPr>
                <w:sz w:val="20"/>
                <w:szCs w:val="20"/>
                <w:color w:val="auto"/>
              </w:rPr>
            </w:pPr>
            <w:r>
              <w:rPr>
                <w:rFonts w:ascii="Arial" w:cs="Arial" w:eastAsia="Arial" w:hAnsi="Arial"/>
                <w:sz w:val="18"/>
                <w:szCs w:val="18"/>
                <w:color w:val="auto"/>
              </w:rPr>
              <w:t>Corporate and eliminations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(3,970)</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(1,320)</w:t>
            </w:r>
          </w:p>
        </w:tc>
        <w:tc>
          <w:tcPr>
            <w:tcW w:w="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(14,131)</w:t>
            </w:r>
          </w:p>
        </w:tc>
        <w:tc>
          <w:tcPr>
            <w:tcW w:w="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(7,952)</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tcPr>
          <w:p>
            <w:pPr>
              <w:ind w:left="200"/>
              <w:spacing w:after="0" w:line="202" w:lineRule="exact"/>
              <w:rPr>
                <w:sz w:val="20"/>
                <w:szCs w:val="20"/>
                <w:color w:val="auto"/>
              </w:rPr>
            </w:pPr>
            <w:r>
              <w:rPr>
                <w:rFonts w:ascii="Arial" w:cs="Arial" w:eastAsia="Arial" w:hAnsi="Arial"/>
                <w:sz w:val="18"/>
                <w:szCs w:val="18"/>
                <w:color w:val="auto"/>
                <w:w w:val="99"/>
              </w:rPr>
              <w:t>Administrative costs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(29,745)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(25,208)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(121,689)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(102,680)</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(2,573)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(15,314)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(25,849)</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00" w:type="dxa"/>
            <w:vAlign w:val="bottom"/>
            <w:gridSpan w:val="5"/>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657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1,168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1,800</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(5,919)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(21,222)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(24,901)</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28,228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25,027</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109,402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97,272</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94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Income taxes (2009 Q4 Restructuring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8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$1.6 million)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(6,636)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(5,825)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(27,446)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(27,150)</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8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21,592</w:t>
            </w:r>
          </w:p>
        </w:tc>
        <w:tc>
          <w:tcPr>
            <w:tcW w:w="2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19,202</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81,956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70,122</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977"/>
        </w:trPr>
        <w:tc>
          <w:tcPr>
            <w:tcW w:w="34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 w:name="page13"/>
    <w:bookmarkEnd w:id="12"/>
    <w:tbl>
      <w:tblPr>
        <w:tblLayout w:type="fixed"/>
        <w:tblInd w:w="8" w:type="dxa"/>
        <w:tblCellMar>
          <w:top w:w="0" w:type="dxa"/>
          <w:left w:w="0" w:type="dxa"/>
          <w:bottom w:w="0" w:type="dxa"/>
          <w:right w:w="0" w:type="dxa"/>
        </w:tblCellMar>
      </w:tblPr>
      <w:tr>
        <w:trPr>
          <w:trHeight w:val="239"/>
        </w:trPr>
        <w:tc>
          <w:tcPr>
            <w:tcW w:w="5960" w:type="dxa"/>
            <w:vAlign w:val="bottom"/>
            <w:gridSpan w:val="8"/>
          </w:tcPr>
          <w:p>
            <w:pPr>
              <w:spacing w:after="0"/>
              <w:rPr>
                <w:sz w:val="20"/>
                <w:szCs w:val="20"/>
                <w:color w:val="auto"/>
              </w:rPr>
            </w:pPr>
            <w:r>
              <w:rPr>
                <w:rFonts w:ascii="Arial" w:cs="Arial" w:eastAsia="Arial" w:hAnsi="Arial"/>
                <w:sz w:val="18"/>
                <w:szCs w:val="18"/>
                <w:b w:val="1"/>
                <w:bCs w:val="1"/>
                <w:color w:val="auto"/>
              </w:rPr>
              <w:t>RECONCILIATION OF GAAP MEASURES TO NON-GAAP MEASURES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30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Fiscal 2010</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Q1</w:t>
            </w:r>
          </w:p>
        </w:tc>
        <w:tc>
          <w:tcPr>
            <w:tcW w:w="240" w:type="dxa"/>
            <w:vAlign w:val="bottom"/>
          </w:tcPr>
          <w:p>
            <w:pPr>
              <w:spacing w:after="0"/>
              <w:rPr>
                <w:sz w:val="17"/>
                <w:szCs w:val="17"/>
                <w:color w:val="auto"/>
              </w:rPr>
            </w:pPr>
          </w:p>
        </w:tc>
        <w:tc>
          <w:tcPr>
            <w:tcW w:w="1060" w:type="dxa"/>
            <w:vAlign w:val="bottom"/>
            <w:gridSpan w:val="2"/>
          </w:tcPr>
          <w:p>
            <w:pPr>
              <w:jc w:val="right"/>
              <w:ind w:right="700"/>
              <w:spacing w:after="0" w:line="196" w:lineRule="exact"/>
              <w:rPr>
                <w:sz w:val="20"/>
                <w:szCs w:val="20"/>
                <w:color w:val="auto"/>
              </w:rPr>
            </w:pPr>
            <w:r>
              <w:rPr>
                <w:rFonts w:ascii="Arial" w:cs="Arial" w:eastAsia="Arial" w:hAnsi="Arial"/>
                <w:sz w:val="18"/>
                <w:szCs w:val="18"/>
                <w:color w:val="auto"/>
              </w:rPr>
              <w:t>Q2</w:t>
            </w:r>
          </w:p>
        </w:tc>
        <w:tc>
          <w:tcPr>
            <w:tcW w:w="260" w:type="dxa"/>
            <w:vAlign w:val="bottom"/>
          </w:tcPr>
          <w:p>
            <w:pPr>
              <w:spacing w:after="0"/>
              <w:rPr>
                <w:sz w:val="17"/>
                <w:szCs w:val="17"/>
                <w:color w:val="auto"/>
              </w:rPr>
            </w:pPr>
          </w:p>
        </w:tc>
        <w:tc>
          <w:tcPr>
            <w:tcW w:w="10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Q3</w:t>
            </w:r>
          </w:p>
        </w:tc>
        <w:tc>
          <w:tcPr>
            <w:tcW w:w="220" w:type="dxa"/>
            <w:vAlign w:val="bottom"/>
          </w:tcPr>
          <w:p>
            <w:pPr>
              <w:spacing w:after="0"/>
              <w:rPr>
                <w:sz w:val="17"/>
                <w:szCs w:val="17"/>
                <w:color w:val="auto"/>
              </w:rPr>
            </w:pPr>
          </w:p>
        </w:tc>
        <w:tc>
          <w:tcPr>
            <w:tcW w:w="1080" w:type="dxa"/>
            <w:vAlign w:val="bottom"/>
            <w:gridSpan w:val="2"/>
          </w:tcPr>
          <w:p>
            <w:pPr>
              <w:jc w:val="right"/>
              <w:ind w:right="700"/>
              <w:spacing w:after="0" w:line="196" w:lineRule="exact"/>
              <w:rPr>
                <w:sz w:val="20"/>
                <w:szCs w:val="20"/>
                <w:color w:val="auto"/>
              </w:rPr>
            </w:pPr>
            <w:r>
              <w:rPr>
                <w:rFonts w:ascii="Arial" w:cs="Arial" w:eastAsia="Arial" w:hAnsi="Arial"/>
                <w:sz w:val="18"/>
                <w:szCs w:val="18"/>
                <w:color w:val="auto"/>
              </w:rPr>
              <w:t>Q4</w:t>
            </w:r>
          </w:p>
        </w:tc>
        <w:tc>
          <w:tcPr>
            <w:tcW w:w="200" w:type="dxa"/>
            <w:vAlign w:val="bottom"/>
          </w:tcPr>
          <w:p>
            <w:pPr>
              <w:spacing w:after="0"/>
              <w:rPr>
                <w:sz w:val="17"/>
                <w:szCs w:val="17"/>
                <w:color w:val="auto"/>
              </w:rPr>
            </w:pPr>
          </w:p>
        </w:tc>
        <w:tc>
          <w:tcPr>
            <w:tcW w:w="740" w:type="dxa"/>
            <w:vAlign w:val="bottom"/>
          </w:tcPr>
          <w:p>
            <w:pPr>
              <w:ind w:left="80"/>
              <w:spacing w:after="0" w:line="196" w:lineRule="exact"/>
              <w:rPr>
                <w:sz w:val="20"/>
                <w:szCs w:val="20"/>
                <w:color w:val="auto"/>
              </w:rPr>
            </w:pPr>
            <w:r>
              <w:rPr>
                <w:rFonts w:ascii="Arial" w:cs="Arial" w:eastAsia="Arial" w:hAnsi="Arial"/>
                <w:sz w:val="18"/>
                <w:szCs w:val="18"/>
                <w:color w:val="auto"/>
              </w:rPr>
              <w:t>Total</w:t>
            </w:r>
          </w:p>
        </w:tc>
        <w:tc>
          <w:tcPr>
            <w:tcW w:w="80" w:type="dxa"/>
            <w:vAlign w:val="bottom"/>
          </w:tcPr>
          <w:p>
            <w:pPr>
              <w:spacing w:after="0"/>
              <w:rPr>
                <w:sz w:val="17"/>
                <w:szCs w:val="17"/>
                <w:color w:val="auto"/>
              </w:rPr>
            </w:pP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21,668</w:t>
            </w:r>
          </w:p>
        </w:tc>
        <w:tc>
          <w:tcPr>
            <w:tcW w:w="3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15,001</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23,695</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21,592</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81,956</w:t>
            </w:r>
          </w:p>
        </w:tc>
      </w:tr>
      <w:tr>
        <w:trPr>
          <w:trHeight w:val="203"/>
        </w:trPr>
        <w:tc>
          <w:tcPr>
            <w:tcW w:w="3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5,162</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5,163</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5,147</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5,750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21,222</w:t>
            </w:r>
          </w:p>
        </w:tc>
      </w:tr>
      <w:tr>
        <w:trPr>
          <w:trHeight w:val="203"/>
        </w:trPr>
        <w:tc>
          <w:tcPr>
            <w:tcW w:w="308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8,775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4,842</w:t>
            </w:r>
          </w:p>
        </w:tc>
        <w:tc>
          <w:tcPr>
            <w:tcW w:w="26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7,193</w:t>
            </w:r>
          </w:p>
        </w:tc>
        <w:tc>
          <w:tcPr>
            <w:tcW w:w="22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6,636</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27,446</w:t>
            </w:r>
          </w:p>
        </w:tc>
      </w:tr>
      <w:tr>
        <w:trPr>
          <w:trHeight w:val="203"/>
        </w:trPr>
        <w:tc>
          <w:tcPr>
            <w:tcW w:w="3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13,817</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13,549</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12,746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53,022</w:t>
            </w:r>
          </w:p>
        </w:tc>
      </w:tr>
      <w:tr>
        <w:trPr>
          <w:trHeight w:val="20"/>
        </w:trPr>
        <w:tc>
          <w:tcPr>
            <w:tcW w:w="3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08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49,422</w:t>
            </w:r>
          </w:p>
        </w:tc>
        <w:tc>
          <w:tcPr>
            <w:tcW w:w="3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38,555</w:t>
            </w:r>
          </w:p>
        </w:tc>
        <w:tc>
          <w:tcPr>
            <w:tcW w:w="3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48,945</w:t>
            </w:r>
          </w:p>
        </w:tc>
        <w:tc>
          <w:tcPr>
            <w:tcW w:w="3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46,724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183,646</w:t>
            </w: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Fiscal 2009</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Q1</w:t>
            </w:r>
          </w:p>
        </w:tc>
        <w:tc>
          <w:tcPr>
            <w:tcW w:w="240" w:type="dxa"/>
            <w:vAlign w:val="bottom"/>
          </w:tcPr>
          <w:p>
            <w:pPr>
              <w:spacing w:after="0"/>
              <w:rPr>
                <w:sz w:val="17"/>
                <w:szCs w:val="17"/>
                <w:color w:val="auto"/>
              </w:rPr>
            </w:pPr>
          </w:p>
        </w:tc>
        <w:tc>
          <w:tcPr>
            <w:tcW w:w="1060" w:type="dxa"/>
            <w:vAlign w:val="bottom"/>
            <w:gridSpan w:val="2"/>
          </w:tcPr>
          <w:p>
            <w:pPr>
              <w:jc w:val="right"/>
              <w:ind w:right="700"/>
              <w:spacing w:after="0" w:line="196" w:lineRule="exact"/>
              <w:rPr>
                <w:sz w:val="20"/>
                <w:szCs w:val="20"/>
                <w:color w:val="auto"/>
              </w:rPr>
            </w:pPr>
            <w:r>
              <w:rPr>
                <w:rFonts w:ascii="Arial" w:cs="Arial" w:eastAsia="Arial" w:hAnsi="Arial"/>
                <w:sz w:val="18"/>
                <w:szCs w:val="18"/>
                <w:color w:val="auto"/>
              </w:rPr>
              <w:t>Q2</w:t>
            </w:r>
          </w:p>
        </w:tc>
        <w:tc>
          <w:tcPr>
            <w:tcW w:w="260" w:type="dxa"/>
            <w:vAlign w:val="bottom"/>
          </w:tcPr>
          <w:p>
            <w:pPr>
              <w:spacing w:after="0"/>
              <w:rPr>
                <w:sz w:val="17"/>
                <w:szCs w:val="17"/>
                <w:color w:val="auto"/>
              </w:rPr>
            </w:pPr>
          </w:p>
        </w:tc>
        <w:tc>
          <w:tcPr>
            <w:tcW w:w="10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Q3</w:t>
            </w:r>
          </w:p>
        </w:tc>
        <w:tc>
          <w:tcPr>
            <w:tcW w:w="220" w:type="dxa"/>
            <w:vAlign w:val="bottom"/>
          </w:tcPr>
          <w:p>
            <w:pPr>
              <w:spacing w:after="0"/>
              <w:rPr>
                <w:sz w:val="17"/>
                <w:szCs w:val="17"/>
                <w:color w:val="auto"/>
              </w:rPr>
            </w:pPr>
          </w:p>
        </w:tc>
        <w:tc>
          <w:tcPr>
            <w:tcW w:w="1080" w:type="dxa"/>
            <w:vAlign w:val="bottom"/>
            <w:gridSpan w:val="2"/>
          </w:tcPr>
          <w:p>
            <w:pPr>
              <w:jc w:val="right"/>
              <w:ind w:right="700"/>
              <w:spacing w:after="0" w:line="196" w:lineRule="exact"/>
              <w:rPr>
                <w:sz w:val="20"/>
                <w:szCs w:val="20"/>
                <w:color w:val="auto"/>
              </w:rPr>
            </w:pPr>
            <w:r>
              <w:rPr>
                <w:rFonts w:ascii="Arial" w:cs="Arial" w:eastAsia="Arial" w:hAnsi="Arial"/>
                <w:sz w:val="18"/>
                <w:szCs w:val="18"/>
                <w:color w:val="auto"/>
              </w:rPr>
              <w:t>Q4</w:t>
            </w:r>
          </w:p>
        </w:tc>
        <w:tc>
          <w:tcPr>
            <w:tcW w:w="200" w:type="dxa"/>
            <w:vAlign w:val="bottom"/>
          </w:tcPr>
          <w:p>
            <w:pPr>
              <w:spacing w:after="0"/>
              <w:rPr>
                <w:sz w:val="17"/>
                <w:szCs w:val="17"/>
                <w:color w:val="auto"/>
              </w:rPr>
            </w:pPr>
          </w:p>
        </w:tc>
        <w:tc>
          <w:tcPr>
            <w:tcW w:w="740" w:type="dxa"/>
            <w:vAlign w:val="bottom"/>
          </w:tcPr>
          <w:p>
            <w:pPr>
              <w:ind w:left="80"/>
              <w:spacing w:after="0" w:line="196" w:lineRule="exact"/>
              <w:rPr>
                <w:sz w:val="20"/>
                <w:szCs w:val="20"/>
                <w:color w:val="auto"/>
              </w:rPr>
            </w:pPr>
            <w:r>
              <w:rPr>
                <w:rFonts w:ascii="Arial" w:cs="Arial" w:eastAsia="Arial" w:hAnsi="Arial"/>
                <w:sz w:val="18"/>
                <w:szCs w:val="18"/>
                <w:color w:val="auto"/>
              </w:rPr>
              <w:t>Total</w:t>
            </w:r>
          </w:p>
        </w:tc>
        <w:tc>
          <w:tcPr>
            <w:tcW w:w="80" w:type="dxa"/>
            <w:vAlign w:val="bottom"/>
          </w:tcPr>
          <w:p>
            <w:pPr>
              <w:spacing w:after="0"/>
              <w:rPr>
                <w:sz w:val="17"/>
                <w:szCs w:val="17"/>
                <w:color w:val="auto"/>
              </w:rPr>
            </w:pP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37,110</w:t>
            </w:r>
          </w:p>
        </w:tc>
        <w:tc>
          <w:tcPr>
            <w:tcW w:w="3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(4,150)</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17,960</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19,202</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70,122</w:t>
            </w:r>
          </w:p>
        </w:tc>
      </w:tr>
      <w:tr>
        <w:trPr>
          <w:trHeight w:val="203"/>
        </w:trPr>
        <w:tc>
          <w:tcPr>
            <w:tcW w:w="3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6,361</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6,314</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6,307</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5,919</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24,901</w:t>
            </w:r>
          </w:p>
        </w:tc>
      </w:tr>
      <w:tr>
        <w:trPr>
          <w:trHeight w:val="203"/>
        </w:trPr>
        <w:tc>
          <w:tcPr>
            <w:tcW w:w="308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14,575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756</w:t>
            </w:r>
          </w:p>
        </w:tc>
        <w:tc>
          <w:tcPr>
            <w:tcW w:w="26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5,994</w:t>
            </w:r>
          </w:p>
        </w:tc>
        <w:tc>
          <w:tcPr>
            <w:tcW w:w="22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5,825</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27,150</w:t>
            </w:r>
          </w:p>
        </w:tc>
      </w:tr>
      <w:tr>
        <w:trPr>
          <w:trHeight w:val="203"/>
        </w:trPr>
        <w:tc>
          <w:tcPr>
            <w:tcW w:w="3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13,712</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13,481</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13,479</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14,179</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54,851</w:t>
            </w:r>
          </w:p>
        </w:tc>
      </w:tr>
      <w:tr>
        <w:trPr>
          <w:trHeight w:val="20"/>
        </w:trPr>
        <w:tc>
          <w:tcPr>
            <w:tcW w:w="3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08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71,758</w:t>
            </w:r>
          </w:p>
        </w:tc>
        <w:tc>
          <w:tcPr>
            <w:tcW w:w="3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16,401</w:t>
            </w:r>
          </w:p>
        </w:tc>
        <w:tc>
          <w:tcPr>
            <w:tcW w:w="3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43,740</w:t>
            </w:r>
          </w:p>
        </w:tc>
        <w:tc>
          <w:tcPr>
            <w:tcW w:w="3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45,125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177,024</w:t>
            </w: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8" w:right="559" w:hanging="348"/>
        <w:spacing w:after="0" w:line="236" w:lineRule="auto"/>
        <w:tabs>
          <w:tab w:leader="none" w:pos="348" w:val="left"/>
        </w:tabs>
        <w:numPr>
          <w:ilvl w:val="0"/>
          <w:numId w:val="2"/>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ectPr>
          <w:pgSz w:w="11900" w:h="16838" w:orient="portrait"/>
          <w:cols w:equalWidth="0" w:num="1">
            <w:col w:w="9887"/>
          </w:cols>
          <w:pgMar w:left="572" w:top="927" w:right="1440" w:bottom="1440" w:gutter="0" w:footer="0" w:header="0"/>
        </w:sectPr>
      </w:pPr>
    </w:p>
    <w:bookmarkStart w:id="13" w:name="page14"/>
    <w:bookmarkEnd w:id="13"/>
    <w:p>
      <w:pPr>
        <w:jc w:val="right"/>
        <w:ind w:right="559"/>
        <w:spacing w:after="0"/>
        <w:rPr>
          <w:sz w:val="20"/>
          <w:szCs w:val="20"/>
          <w:color w:val="auto"/>
        </w:rPr>
      </w:pPr>
      <w:r>
        <w:rPr>
          <w:rFonts w:ascii="Arial" w:cs="Arial" w:eastAsia="Arial" w:hAnsi="Arial"/>
          <w:sz w:val="18"/>
          <w:szCs w:val="18"/>
          <w:color w:val="auto"/>
        </w:rPr>
        <w:t>EXHIBIT 99.2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Aaron Pearce (414) 438-6895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dividend to shareholders for 25</w:t>
      </w:r>
      <w:r>
        <w:rPr>
          <w:rFonts w:ascii="Arial" w:cs="Arial" w:eastAsia="Arial" w:hAnsi="Arial"/>
          <w:sz w:val="15"/>
          <w:szCs w:val="15"/>
          <w:b w:val="1"/>
          <w:bCs w:val="1"/>
          <w:u w:val="single" w:color="auto"/>
          <w:color w:val="auto"/>
        </w:rPr>
        <w:t>th</w:t>
      </w:r>
      <w:r>
        <w:rPr>
          <w:rFonts w:ascii="Arial" w:cs="Arial" w:eastAsia="Arial" w:hAnsi="Arial"/>
          <w:sz w:val="18"/>
          <w:szCs w:val="18"/>
          <w:b w:val="1"/>
          <w:bCs w:val="1"/>
          <w:u w:val="single" w:color="auto"/>
          <w:color w:val="auto"/>
        </w:rPr>
        <w:t xml:space="preserve"> straight year</w:t>
      </w:r>
    </w:p>
    <w:p>
      <w:pPr>
        <w:spacing w:after="0" w:line="189" w:lineRule="exact"/>
        <w:rPr>
          <w:sz w:val="20"/>
          <w:szCs w:val="20"/>
          <w:color w:val="auto"/>
        </w:rPr>
      </w:pPr>
    </w:p>
    <w:p>
      <w:pPr>
        <w:ind w:right="639"/>
        <w:spacing w:after="0" w:line="259" w:lineRule="auto"/>
        <w:rPr>
          <w:sz w:val="20"/>
          <w:szCs w:val="20"/>
          <w:color w:val="auto"/>
        </w:rPr>
      </w:pPr>
      <w:r>
        <w:rPr>
          <w:rFonts w:ascii="Arial" w:cs="Arial" w:eastAsia="Arial" w:hAnsi="Arial"/>
          <w:sz w:val="18"/>
          <w:szCs w:val="18"/>
          <w:color w:val="auto"/>
        </w:rPr>
        <w:t>MILWAUKEE (September 9, 2010)—Brady Corporation’s (NYSE: BRC) Board of Directors has announced an increase in its annual dividend to shareholders of the company’s Class A Common Stock from $0.70 to $0.72 per share. A quarterly dividend will be paid on October 29, 2010, to shareholders of record at the close of business on October 8, 2010. This dividend represents the 25</w:t>
      </w:r>
      <w:r>
        <w:rPr>
          <w:rFonts w:ascii="Arial" w:cs="Arial" w:eastAsia="Arial" w:hAnsi="Arial"/>
          <w:sz w:val="15"/>
          <w:szCs w:val="15"/>
          <w:color w:val="auto"/>
        </w:rPr>
        <w:t>th</w:t>
      </w:r>
      <w:r>
        <w:rPr>
          <w:rFonts w:ascii="Arial" w:cs="Arial" w:eastAsia="Arial" w:hAnsi="Arial"/>
          <w:sz w:val="18"/>
          <w:szCs w:val="18"/>
          <w:color w:val="auto"/>
        </w:rPr>
        <w:t xml:space="preserve"> consecutive annual increase in dividends.</w:t>
      </w:r>
    </w:p>
    <w:p>
      <w:pPr>
        <w:spacing w:after="0" w:line="146" w:lineRule="exact"/>
        <w:rPr>
          <w:sz w:val="20"/>
          <w:szCs w:val="20"/>
          <w:color w:val="auto"/>
        </w:rPr>
      </w:pPr>
    </w:p>
    <w:p>
      <w:pPr>
        <w:ind w:right="719" w:firstLine="373"/>
        <w:spacing w:after="0" w:line="273" w:lineRule="auto"/>
        <w:rPr>
          <w:sz w:val="20"/>
          <w:szCs w:val="20"/>
          <w:color w:val="auto"/>
        </w:rPr>
      </w:pPr>
      <w:r>
        <w:rPr>
          <w:rFonts w:ascii="Arial" w:cs="Arial" w:eastAsia="Arial" w:hAnsi="Arial"/>
          <w:sz w:val="17"/>
          <w:szCs w:val="17"/>
          <w:color w:val="auto"/>
        </w:rPr>
        <w:t>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more than 1,000,000 customers in electronics, telecommunications, manufacturing, electrical, construction, education, medical and a variety of other industries. Brady is headquartered in Milwaukee and employs approximately 6,600 people at operations in the Americas, Europe and the Asia-Pacific region.</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2019-12-10T04:33:22Z</dcterms:created>
  <dcterms:modified xsi:type="dcterms:W3CDTF">2019-12-10T04:33:22Z</dcterms:modified>
</cp:coreProperties>
</file>