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12, 2006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1-14959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111"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99"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3480"/>
        <w:spacing w:after="0" w:line="276"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1.01 ENTRY INTO A MATERIAL DEFINITIVE AGREEMENT</w:t>
        </w:r>
      </w:hyperlink>
      <w:r>
        <w:rPr>
          <w:rFonts w:ascii="Arial" w:cs="Arial" w:eastAsia="Arial" w:hAnsi="Arial"/>
          <w:sz w:val="19"/>
          <w:szCs w:val="19"/>
          <w:u w:val="single" w:color="auto"/>
          <w:color w:val="0000EE"/>
        </w:rPr>
        <w:t xml:space="preserve"> </w:t>
      </w:r>
      <w:hyperlink w:anchor="page4">
        <w:r>
          <w:rPr>
            <w:rFonts w:ascii="Arial" w:cs="Arial" w:eastAsia="Arial" w:hAnsi="Arial"/>
            <w:sz w:val="19"/>
            <w:szCs w:val="19"/>
            <w:u w:val="single" w:color="auto"/>
            <w:color w:val="0000EE"/>
          </w:rPr>
          <w:t>Item 2.02 RESULTS OF OPERATIONS AND FINANCIAL CONDITION</w:t>
        </w:r>
      </w:hyperlink>
    </w:p>
    <w:p>
      <w:pPr>
        <w:spacing w:after="0" w:line="2" w:lineRule="exact"/>
        <w:rPr>
          <w:sz w:val="20"/>
          <w:szCs w:val="20"/>
          <w:color w:val="auto"/>
        </w:rPr>
      </w:pPr>
    </w:p>
    <w:p>
      <w:pPr>
        <w:ind w:right="90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PRINCIPAL OFFICERS; ELECTION OF DIRECTORS;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APPOINTMENT OF PRINCIPAL OFFICERS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SIGNATURE</w:t>
        </w:r>
      </w:hyperlink>
    </w:p>
    <w:p>
      <w:pPr>
        <w:spacing w:after="0" w:line="213"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Bylaws</w:t>
      </w:r>
    </w:p>
    <w:p>
      <w:pPr>
        <w:spacing w:after="0" w:line="231" w:lineRule="auto"/>
        <w:rPr>
          <w:sz w:val="20"/>
          <w:szCs w:val="20"/>
          <w:color w:val="auto"/>
        </w:rPr>
      </w:pPr>
      <w:r>
        <w:rPr>
          <w:rFonts w:ascii="Arial" w:cs="Arial" w:eastAsia="Arial" w:hAnsi="Arial"/>
          <w:sz w:val="22"/>
          <w:szCs w:val="22"/>
          <w:u w:val="single" w:color="auto"/>
          <w:color w:val="0000EE"/>
        </w:rPr>
        <w:t>Directors' Deferred Compensation Plan, as amended</w:t>
      </w: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820" w:top="111"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On September 12, 2006, the Board of Directors of Brady Corporation (the “Corporation”) approved an amended Directors’ Deferred Compensation Plan (the “Plan”). The principal changes effected by the amendments were provisions to permit additional flexibility with respect to distributions from the Plan as permitted by regulations adopted under Section 409A of the Internal Revenue Code.</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foregoing description of the amendments to the Plan does not purport to be complete and is qualified in its entirety by reference to the full text of the Plan, a copy of which is filed herewith as Exhibit 10.1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On September 13, 2006, the Corporation issued a press release announcing its fiscal 2006 fourth quarter financial results. A copy of the press release is being furnished to the Securities and Exchange Commission as Exhibit 99 attached herewith and incorporated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Item 5.02 DEPARTURE OF DIRECTORS OR PRINCIPAL OFFICERS; ELECTION OF DIRECTORS; APPOINTMENT OF PRINCIPAL OFFICERS</w:t>
      </w:r>
    </w:p>
    <w:p>
      <w:pPr>
        <w:spacing w:after="0" w:line="129"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Philip M. Gresh resigned his position as a Director of the Corporation on September 12, 2006. Mr. Gresh’s resignation was not because of any disagreement with the Corporation or on any matter relating to the Corporation’s operations or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5.03 AMENDMENTS TO ARTICLES OF INCORPORATION OR BYLAWS; CHANGE IN FISCAL YEAR</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On September 12, 2006, the Corporation’s Board of Directors approved amendments to the Corporation’s bylaws, including a number of nonsubstantive corrections. Other changes were: (a) in accord with current Wisconsin law, Section 1.02 was amended to provide that the Corporation’s registered office may be changed by an officer of the Corporation, rather than requiring Board of Director approval; (b) Section 2.02 was amended to require that notice of special meetings of shareholders include the purpose or purposes of the special meeting; (c) Section 2.08 was amended to provide that meetings of shareholders will be chaired by the Corporation’s President or a Vice President; (d) Section 3.01 was amended to provide that the number of Directors shall be established by the Board of Directors at between five and 15; (e) Section 3.02 was amended to delete vestigial language relating to the tenure of a specified Director who has since deceased; (f) a new Section 3.05 was created to provide for the possibility of meetings by telephone or other means of communication, as now permitted by Wisconsin law, and the remaining sections of Article III were renumbered accordingly; (g) renumbered Section 3.06 was amended to provide that notices of Board meetings also may be given by email or fax, as permitted by Wisconsin law; (h) renumbered Section 3.09 was amended to provide that Board meetings will be chaired by a Director chosen by the Directors, rather than by a designated officer of the Corporation; (i) renumbered Section 3.13 was amended to provide that committees of the Board include at least one Director, rather than two, and the actions permitted to be taken by Board committees was amended to conform to current Wisconsin law; (j) Sections 7.02 and 7.03 were created to make clear that attendance at a meeting will generally constitute waiver of objection to a lack of notice of the meeting, reflecting current Wisconsin law; and (k) Section 11.03 was created to provide that any action taken or authorized by the shareholders or Board of Directors, which would be inconsistent with the bylaws then in effect, but which is taken or authorized by a vote that would be sufficient to amend the bylaws so that the bylaws would be consistent with such action, will be given the same effect as though the bylaws had been temporarily amended or suspended so far, but only so far, as is necessary to permit the specific action so taken or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bylaws, as amended, became effective immediately upon approval by the Board of Directors. The foregoing description of the bylaws, as amended, does not purport to be complete and is qualified in its entirety by reference to the full text of the bylaws, a copy of which is filed herewith as Exhibit 3.2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320" w:type="dxa"/>
            <w:vAlign w:val="bottom"/>
          </w:tcPr>
          <w:p>
            <w:pPr>
              <w:spacing w:after="0"/>
              <w:rPr>
                <w:sz w:val="14"/>
                <w:szCs w:val="14"/>
                <w:color w:val="auto"/>
              </w:rPr>
            </w:pPr>
          </w:p>
        </w:tc>
        <w:tc>
          <w:tcPr>
            <w:tcW w:w="104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Description of Exhibit</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Bylaws of Brady Corporation, as amended.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Brady Corporation Directors’ Deferred Compensation Plan, as amended.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99</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Press Release of Brady Corporation, dated September 13, 2006.</w:t>
            </w:r>
          </w:p>
        </w:tc>
      </w:tr>
      <w:tr>
        <w:trPr>
          <w:trHeight w:val="632"/>
        </w:trPr>
        <w:tc>
          <w:tcPr>
            <w:tcW w:w="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Date: September 15, 2006</w:t>
      </w:r>
      <w:r>
        <w:rPr>
          <w:sz w:val="20"/>
          <w:szCs w:val="20"/>
          <w:color w:val="auto"/>
        </w:rPr>
        <w:tab/>
      </w:r>
      <w:r>
        <w:rPr>
          <w:rFonts w:ascii="Arial" w:cs="Arial" w:eastAsia="Arial" w:hAnsi="Arial"/>
          <w:sz w:val="16"/>
          <w:szCs w:val="16"/>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4100"/>
              <w:spacing w:after="0"/>
              <w:rPr>
                <w:sz w:val="20"/>
                <w:szCs w:val="20"/>
                <w:color w:val="auto"/>
              </w:rPr>
            </w:pPr>
            <w:r>
              <w:rPr>
                <w:rFonts w:ascii="Arial" w:cs="Arial" w:eastAsia="Arial" w:hAnsi="Arial"/>
                <w:sz w:val="18"/>
                <w:szCs w:val="18"/>
                <w:color w:val="auto"/>
              </w:rPr>
              <w:t>EXHIBIT INDEX</w:t>
            </w:r>
          </w:p>
        </w:tc>
      </w:tr>
      <w:tr>
        <w:trPr>
          <w:trHeight w:val="346"/>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460" w:type="dxa"/>
            <w:vAlign w:val="bottom"/>
          </w:tcPr>
          <w:p>
            <w:pPr>
              <w:spacing w:after="0"/>
              <w:rPr>
                <w:sz w:val="24"/>
                <w:szCs w:val="24"/>
                <w:color w:val="auto"/>
              </w:rPr>
            </w:pPr>
          </w:p>
        </w:tc>
      </w:tr>
      <w:tr>
        <w:trPr>
          <w:trHeight w:val="167"/>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NUMBER</w:t>
            </w:r>
          </w:p>
        </w:tc>
        <w:tc>
          <w:tcPr>
            <w:tcW w:w="340" w:type="dxa"/>
            <w:vAlign w:val="bottom"/>
          </w:tcPr>
          <w:p>
            <w:pPr>
              <w:spacing w:after="0"/>
              <w:rPr>
                <w:sz w:val="14"/>
                <w:szCs w:val="14"/>
                <w:color w:val="auto"/>
              </w:rPr>
            </w:pPr>
          </w:p>
        </w:tc>
        <w:tc>
          <w:tcPr>
            <w:tcW w:w="104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DESCRIPTION</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Bylaws of Brady Corporation, as amended.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Brady Corporation Directors’ Deferred Compensation Plan, as amended.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99</w:t>
            </w: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Press Release of Brady Corporation, dated September 13, 2006.</w:t>
            </w:r>
          </w:p>
        </w:tc>
      </w:tr>
    </w:tbl>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(formerly W. H. Brady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Amended September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ARTICLE I. OFFICES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1.01 Principal and Business Offices. </w:t>
      </w:r>
      <w:r>
        <w:rPr>
          <w:rFonts w:ascii="Arial" w:cs="Arial" w:eastAsia="Arial" w:hAnsi="Arial"/>
          <w:sz w:val="18"/>
          <w:szCs w:val="18"/>
          <w:color w:val="auto"/>
        </w:rPr>
        <w:t>The corporation may have such principal and other business offices either within or without the State of Wisconsin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may designate or as the business of the corporation may require from time to time.</w:t>
      </w:r>
    </w:p>
    <w:p>
      <w:pPr>
        <w:spacing w:after="0" w:line="62"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i w:val="1"/>
          <w:iCs w:val="1"/>
          <w:color w:val="auto"/>
        </w:rPr>
        <w:t xml:space="preserve">1.02 Registered Office. </w:t>
      </w:r>
      <w:r>
        <w:rPr>
          <w:rFonts w:ascii="Arial" w:cs="Arial" w:eastAsia="Arial" w:hAnsi="Arial"/>
          <w:sz w:val="16"/>
          <w:szCs w:val="16"/>
          <w:color w:val="auto"/>
        </w:rPr>
        <w:t>The registered office of the corporation required by the Wisconsin Business Corporation Law to be maintained in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may be, but need not be, identical with the principal office in the State of Wisconsin and the address of the registered office may be changed from time to time by any officer or by the registered agent. The business office of the registered agent of the corporation shall be identical to such registered office.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SHAREHOLDERS</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i w:val="1"/>
          <w:iCs w:val="1"/>
          <w:color w:val="auto"/>
        </w:rPr>
        <w:t xml:space="preserve">2.01 Annual Meeting. </w:t>
      </w:r>
      <w:r>
        <w:rPr>
          <w:rFonts w:ascii="Arial" w:cs="Arial" w:eastAsia="Arial" w:hAnsi="Arial"/>
          <w:sz w:val="17"/>
          <w:szCs w:val="17"/>
          <w:color w:val="auto"/>
        </w:rPr>
        <w:t>The annual meeting of the shareholders shall be held on the third Wednesday of November each year at 9:00 a.m., or at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time and date within 30 days before or after said date as may be fixed by or under the authority of the Board of Directors, for the purpose of electing directors and for the transaction of such other business as may come before the meeting. If the day fixed for the annual meeting shall be a legal holiday in the State of Wisconsin, such meeting shall be held on the next succeeding business day. If the election of directors shall not be held on the day designated herein, or fixed as herein provided, for any annual meeting of the shareholders, or at any adjournment thereof, the Board of Directors shall cause the election to be held at a special meeting of the shareholders as soon thereafter as conveniently may be.</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2.02 Special Meeting. </w:t>
      </w:r>
      <w:r>
        <w:rPr>
          <w:rFonts w:ascii="Arial" w:cs="Arial" w:eastAsia="Arial" w:hAnsi="Arial"/>
          <w:sz w:val="18"/>
          <w:szCs w:val="18"/>
          <w:color w:val="auto"/>
        </w:rPr>
        <w:t>Special meetings of the shareholders for any purpose or purposes unless otherwise prescribed by statute, may be called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or the President or the Board of Directors or by the person designated in the written request of the holders of not less than one-tenth of all shares of the corporation entitled to vote at the meeting. The purpose or purposes of any special meeting shall be described in the notice required by Section 2.04 of these By-Laws.</w:t>
      </w:r>
    </w:p>
    <w:p>
      <w:pPr>
        <w:spacing w:after="0" w:line="79"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i w:val="1"/>
          <w:iCs w:val="1"/>
          <w:color w:val="auto"/>
        </w:rPr>
        <w:t xml:space="preserve">2.03 Place of Meeting. </w:t>
      </w:r>
      <w:r>
        <w:rPr>
          <w:rFonts w:ascii="Arial" w:cs="Arial" w:eastAsia="Arial" w:hAnsi="Arial"/>
          <w:sz w:val="17"/>
          <w:szCs w:val="17"/>
          <w:color w:val="auto"/>
        </w:rPr>
        <w:t>The Board of Directors may designate any place, either within or without the State of Wisconsin, as the place of meeting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or for any special meeting called by the Board of Directors. A waiver of notice signed by all shareholders entitled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to vote at a meeting may designate any place, whether within or without the State of Wisconsin, as the place for the holding of such meeting. If no designation is made, or if a special meeting be otherwise called, the place of meeting shall be the principal business office of the corporation in the State of Wisconsin, but any meeting may be adjourned to reconvene at any place designated by vote or a majority of the shares represented thereat.</w:t>
      </w:r>
    </w:p>
    <w:p>
      <w:pPr>
        <w:spacing w:after="0" w:line="5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2.04 Notice of Meeting. </w:t>
      </w:r>
      <w:r>
        <w:rPr>
          <w:rFonts w:ascii="Arial" w:cs="Arial" w:eastAsia="Arial" w:hAnsi="Arial"/>
          <w:sz w:val="16"/>
          <w:szCs w:val="16"/>
          <w:color w:val="auto"/>
        </w:rPr>
        <w:t>Written notice stating the place, day and hour of the meeting and, in case of a special meeting, the purpose or purposes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meeting is called, shall be delivered not less than 10 days (unless a longer period is required by law or the articles of incorporation) nor more than 50 days before the date of the meeting, either personally or by mail, by or at the direction of the Chairman of the Board or the President, the Secretary, or persons calling the meeting, to each shareholder of record entitled to vote at such meeting. If mailed, such notice shall be deemed to be delivered when deposited in the United States mail, addressed to the shareholder at his address as it appears on the stock record books of the corporation, with postage thereon prepaid.</w:t>
      </w:r>
    </w:p>
    <w:p>
      <w:pPr>
        <w:spacing w:after="0" w:line="5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i w:val="1"/>
          <w:iCs w:val="1"/>
          <w:color w:val="auto"/>
        </w:rPr>
        <w:t xml:space="preserve">2.05 Closing of Transfer Books or Fixing of Record Date. </w:t>
      </w:r>
      <w:r>
        <w:rPr>
          <w:rFonts w:ascii="Arial" w:cs="Arial" w:eastAsia="Arial" w:hAnsi="Arial"/>
          <w:sz w:val="17"/>
          <w:szCs w:val="17"/>
          <w:color w:val="auto"/>
        </w:rPr>
        <w:t>For the purpose of determining shareholders entitled to notice of or to vote at any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or any adjournment thereof, or shareholders entitled to receive payment of any dividend, or in order to make a determination of shareholders for any other proper purpose, the Board of Directors may provide that the stock transfer books shall be closed for a stated period, but not to exceed 50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50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close of business on the date on which notice of the meeting is mailed or on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been made through the closing of the stock transfer books and the stated period of closing has expired.</w:t>
      </w:r>
    </w:p>
    <w:p>
      <w:pPr>
        <w:spacing w:after="0" w:line="11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i w:val="1"/>
          <w:iCs w:val="1"/>
          <w:color w:val="auto"/>
        </w:rPr>
        <w:t xml:space="preserve">2.06 Voting Records. </w:t>
      </w:r>
      <w:r>
        <w:rPr>
          <w:rFonts w:ascii="Arial" w:cs="Arial" w:eastAsia="Arial" w:hAnsi="Arial"/>
          <w:sz w:val="17"/>
          <w:szCs w:val="17"/>
          <w:color w:val="auto"/>
        </w:rPr>
        <w:t>The officer or agent having charge of the stock transfer books for shares of the corporation shall, before each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make a complete record of the shareholders entitled to vote at such meeting, or any adjournment thereof, with the address of and the number of shares held by each. Such record shall be produced and kept open at the time and place of the meeting and shall be subject to the inspection of any shareholder during the whole time of the meeting for the purposes of the meeting. The original stock transfer books shall be prima facie evidence as to who are the shareholders entitled to examine such record or transfer books or to vote at any meeting of shareholders. Failure to comply with the requirements of this section shall not affect the validity of any action taken at such meeting.</w:t>
      </w:r>
    </w:p>
    <w:p>
      <w:pPr>
        <w:spacing w:after="0" w:line="7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i w:val="1"/>
          <w:iCs w:val="1"/>
          <w:color w:val="auto"/>
        </w:rPr>
        <w:t xml:space="preserve">2.07 Quorum. </w:t>
      </w:r>
      <w:r>
        <w:rPr>
          <w:rFonts w:ascii="Arial" w:cs="Arial" w:eastAsia="Arial" w:hAnsi="Arial"/>
          <w:sz w:val="16"/>
          <w:szCs w:val="16"/>
          <w:color w:val="auto"/>
        </w:rPr>
        <w:t>Except as otherwise provided in the articles of incorporation, a majority of the shares entitled to vote, represented in person or by proxy,</w:t>
      </w:r>
      <w:r>
        <w:rPr>
          <w:rFonts w:ascii="Arial" w:cs="Arial" w:eastAsia="Arial" w:hAnsi="Arial"/>
          <w:sz w:val="16"/>
          <w:szCs w:val="16"/>
          <w:i w:val="1"/>
          <w:iCs w:val="1"/>
          <w:color w:val="auto"/>
        </w:rPr>
        <w:t xml:space="preserve"> </w:t>
      </w:r>
      <w:r>
        <w:rPr>
          <w:rFonts w:ascii="Arial" w:cs="Arial" w:eastAsia="Arial" w:hAnsi="Arial"/>
          <w:sz w:val="16"/>
          <w:szCs w:val="16"/>
          <w:color w:val="auto"/>
        </w:rPr>
        <w:t>shall constitute a quorum at a meeting of shareholders. If a quorum is present, the affirmative vote of the majority of the shares represented at the meeting and entitled to vote on the subject matter shall be the act of the shareholders unless the vote of a greater number or voting by classes is required by the Wisconsin Business Corporation Law or the articles of incorporation. If less than a quorum is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noticed. The shareholders present at a duly organized meeting may continue to transact business until adjournment, notwithstanding the withdrawal of enough shareholders to leave less than a quorum.</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2.08 Conduct of Meetings. </w:t>
      </w:r>
      <w:r>
        <w:rPr>
          <w:rFonts w:ascii="Arial" w:cs="Arial" w:eastAsia="Arial" w:hAnsi="Arial"/>
          <w:sz w:val="18"/>
          <w:szCs w:val="18"/>
          <w:color w:val="auto"/>
        </w:rPr>
        <w:t>The President and in his absence a Vice-President in the order provided under Article IV and in their absence any person chosen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shareholders present, shall call the meeting of the shareholders to order and shall act as chairman of the meeting, and the Secretary shall act as secretary of all meetings of the shareholders, but, in the absence of the secretary, the presiding officer may appoint any other person to act as secretary of the meeting.</w:t>
      </w:r>
    </w:p>
    <w:p>
      <w:pPr>
        <w:spacing w:after="0" w:line="7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2.09 Proxies. </w:t>
      </w:r>
      <w:r>
        <w:rPr>
          <w:rFonts w:ascii="Arial" w:cs="Arial" w:eastAsia="Arial" w:hAnsi="Arial"/>
          <w:sz w:val="18"/>
          <w:szCs w:val="18"/>
          <w:color w:val="auto"/>
        </w:rPr>
        <w:t>At all meetings of shareholders, a shareholder entitled to vote may vote in person or by proxy appointed in writing by the shareholder or by</w:t>
      </w:r>
      <w:r>
        <w:rPr>
          <w:rFonts w:ascii="Arial" w:cs="Arial" w:eastAsia="Arial" w:hAnsi="Arial"/>
          <w:sz w:val="18"/>
          <w:szCs w:val="18"/>
          <w:i w:val="1"/>
          <w:iCs w:val="1"/>
          <w:color w:val="auto"/>
        </w:rPr>
        <w:t xml:space="preserve"> </w:t>
      </w:r>
      <w:r>
        <w:rPr>
          <w:rFonts w:ascii="Arial" w:cs="Arial" w:eastAsia="Arial" w:hAnsi="Arial"/>
          <w:sz w:val="18"/>
          <w:szCs w:val="18"/>
          <w:color w:val="auto"/>
        </w:rPr>
        <w:t>his duly authorized attorney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8"/>
          <w:szCs w:val="18"/>
          <w:color w:val="auto"/>
        </w:rPr>
        <w:t>fact. Such proxy shall be filed with the Secretary before or at the time of the meeting. Unless otherwise provided in the proxy, a proxy may be revoked at any time before it is voted, either by written notice filed with the Secretary or the acting secretary of the meeting or by oral notice given by the shareholder to the presiding officer during the meeting. The presence of a shareholder who has filed his proxy shall not of itself constitute a revocation. No proxy shall be valid after 11 months from the date of its execution, unless otherwise provided in the proxy. The Board of Directors shall have the power and authority to make rules as to the validity and sufficiency of proxies.</w:t>
      </w:r>
    </w:p>
    <w:p>
      <w:pPr>
        <w:spacing w:after="0" w:line="80"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i w:val="1"/>
          <w:iCs w:val="1"/>
          <w:color w:val="auto"/>
        </w:rPr>
        <w:t xml:space="preserve">2.10 Voting of Shares. </w:t>
      </w:r>
      <w:r>
        <w:rPr>
          <w:rFonts w:ascii="Arial" w:cs="Arial" w:eastAsia="Arial" w:hAnsi="Arial"/>
          <w:sz w:val="17"/>
          <w:szCs w:val="17"/>
          <w:color w:val="auto"/>
        </w:rPr>
        <w:t>Each outstanding share shall be entitled to one vote upon each matter submitted to a vote at a meeting of shareholders, except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that the voting rights of the shares of any class or classes are enlarged, limited or denied by the articles of incorporation.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2.11 Voting of Shares by Certain Holders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79"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Other Corporations. </w:t>
      </w:r>
      <w:r>
        <w:rPr>
          <w:rFonts w:ascii="Arial" w:cs="Arial" w:eastAsia="Arial" w:hAnsi="Arial"/>
          <w:sz w:val="17"/>
          <w:szCs w:val="17"/>
          <w:color w:val="auto"/>
        </w:rPr>
        <w:t>Shares standing in the name of another corporation may be voted either in person or by proxy, by the president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or any other officer appointed by such president. A proxy executed by any principal officer of such other corporation or assistant thereto shall be conclusive evidence of the signer’s authority to act, in the absence of express notice to this corporation, given in writing to the Secretary of this corporation, of the designation of some other person by the board of directors or the by-laws of such other corporation.</w:t>
      </w:r>
    </w:p>
    <w:p>
      <w:pPr>
        <w:spacing w:after="0" w:line="63" w:lineRule="exact"/>
        <w:rPr>
          <w:rFonts w:ascii="Arial" w:cs="Arial" w:eastAsia="Arial" w:hAnsi="Arial"/>
          <w:sz w:val="17"/>
          <w:szCs w:val="17"/>
          <w:color w:val="auto"/>
        </w:rPr>
      </w:pPr>
    </w:p>
    <w:p>
      <w:pPr>
        <w:ind w:firstLine="458"/>
        <w:spacing w:after="0" w:line="255" w:lineRule="auto"/>
        <w:tabs>
          <w:tab w:leader="none" w:pos="7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Legal Representatives and Fiduciaries. </w:t>
      </w:r>
      <w:r>
        <w:rPr>
          <w:rFonts w:ascii="Arial" w:cs="Arial" w:eastAsia="Arial" w:hAnsi="Arial"/>
          <w:sz w:val="18"/>
          <w:szCs w:val="18"/>
          <w:color w:val="auto"/>
        </w:rPr>
        <w:t>Shares held by a personal representative, an administrator, executor, guardian, conservator, trustee in</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receiver, or assignee for creditors may be voted by him, either in person or by proxy, without a transfer of such shares into his name, provided that there is filed with the Secretary before or at the time of meeting proper evidence of his incumbency and the number of shares held. Shares standing in the name of a fiduciary may be voted by him, either in person or by proxy. A proxy executed by a fiduciary, shall be conclusive evidence of the signer’s authority to act, in the absence of express notice, given in writing to the Secretary, that such manner of voting is prohibited or otherwise directed by the document creating the fiduciary relationship.</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right="180" w:firstLine="458"/>
        <w:spacing w:after="0" w:line="277" w:lineRule="auto"/>
        <w:tabs>
          <w:tab w:leader="none" w:pos="6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Pledgees. A </w:t>
      </w:r>
      <w:r>
        <w:rPr>
          <w:rFonts w:ascii="Arial" w:cs="Arial" w:eastAsia="Arial" w:hAnsi="Arial"/>
          <w:sz w:val="18"/>
          <w:szCs w:val="18"/>
          <w:color w:val="auto"/>
        </w:rPr>
        <w:t>shareholder whose shares are pledged shall be entitled to vote such shares in person or by proxy until the shares have been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name of the pledgee, and thereafter the pledgee shall be entitled to vote the shares so transferred.</w:t>
      </w:r>
    </w:p>
    <w:p>
      <w:pPr>
        <w:spacing w:after="0" w:line="62" w:lineRule="exact"/>
        <w:rPr>
          <w:rFonts w:ascii="Arial" w:cs="Arial" w:eastAsia="Arial" w:hAnsi="Arial"/>
          <w:sz w:val="18"/>
          <w:szCs w:val="18"/>
          <w:i w:val="1"/>
          <w:iCs w:val="1"/>
          <w:color w:val="auto"/>
        </w:rPr>
      </w:pPr>
    </w:p>
    <w:p>
      <w:pPr>
        <w:ind w:right="80" w:firstLine="458"/>
        <w:spacing w:after="0" w:line="279" w:lineRule="auto"/>
        <w:tabs>
          <w:tab w:leader="none" w:pos="70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Treasury Stock and Subsidiaries. </w:t>
      </w:r>
      <w:r>
        <w:rPr>
          <w:rFonts w:ascii="Arial" w:cs="Arial" w:eastAsia="Arial" w:hAnsi="Arial"/>
          <w:sz w:val="17"/>
          <w:szCs w:val="17"/>
          <w:color w:val="auto"/>
        </w:rPr>
        <w:t>Neither treasury shares, nor shares held by another corporation if a majority of the shares entitled to vote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of such other corporation is held by this corporation, shall be voted at any meeting or counted in determining the total number of outstanding shares entitled to vote, but shares of its own issue held by this corporation in a fiduciary capacity, or held by such other corporation in a fiduciary capacity, may be voted and shall be counted in determining the total number of outstanding shares entitled to vote.</w:t>
      </w:r>
    </w:p>
    <w:p>
      <w:pPr>
        <w:spacing w:after="0" w:line="63" w:lineRule="exact"/>
        <w:rPr>
          <w:rFonts w:ascii="Arial" w:cs="Arial" w:eastAsia="Arial" w:hAnsi="Arial"/>
          <w:sz w:val="17"/>
          <w:szCs w:val="17"/>
          <w:color w:val="auto"/>
        </w:rPr>
      </w:pPr>
    </w:p>
    <w:p>
      <w:pPr>
        <w:ind w:right="120" w:firstLine="458"/>
        <w:spacing w:after="0" w:line="342"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Minors. </w:t>
      </w:r>
      <w:r>
        <w:rPr>
          <w:rFonts w:ascii="Arial" w:cs="Arial" w:eastAsia="Arial" w:hAnsi="Arial"/>
          <w:sz w:val="16"/>
          <w:szCs w:val="16"/>
          <w:color w:val="auto"/>
        </w:rPr>
        <w:t>Shares held by a minor may be voted by such minor in person or by proxy and no such vote shall be subject to disaffirmance or avoidance,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prior to such vote the Secretary of the corporation has received written notice or has actual knowledge that such shareholder is a minor.</w:t>
      </w:r>
    </w:p>
    <w:p>
      <w:pPr>
        <w:spacing w:after="0" w:line="15" w:lineRule="exact"/>
        <w:rPr>
          <w:rFonts w:ascii="Arial" w:cs="Arial" w:eastAsia="Arial" w:hAnsi="Arial"/>
          <w:sz w:val="16"/>
          <w:szCs w:val="16"/>
          <w:color w:val="auto"/>
        </w:rPr>
      </w:pPr>
    </w:p>
    <w:p>
      <w:pPr>
        <w:ind w:right="280" w:firstLine="458"/>
        <w:spacing w:after="0" w:line="312" w:lineRule="auto"/>
        <w:tabs>
          <w:tab w:leader="none" w:pos="66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Incompetents and Spendthrifts. </w:t>
      </w:r>
      <w:r>
        <w:rPr>
          <w:rFonts w:ascii="Arial" w:cs="Arial" w:eastAsia="Arial" w:hAnsi="Arial"/>
          <w:sz w:val="16"/>
          <w:szCs w:val="16"/>
          <w:color w:val="auto"/>
        </w:rPr>
        <w:t>Shares held by incompetent or spendthrift may be voted by such incompetent or spendthrift in person or by proxy</w:t>
      </w:r>
      <w:r>
        <w:rPr>
          <w:rFonts w:ascii="Arial" w:cs="Arial" w:eastAsia="Arial" w:hAnsi="Arial"/>
          <w:sz w:val="16"/>
          <w:szCs w:val="16"/>
          <w:i w:val="1"/>
          <w:iCs w:val="1"/>
          <w:color w:val="auto"/>
        </w:rPr>
        <w:t xml:space="preserve"> </w:t>
      </w:r>
      <w:r>
        <w:rPr>
          <w:rFonts w:ascii="Arial" w:cs="Arial" w:eastAsia="Arial" w:hAnsi="Arial"/>
          <w:sz w:val="16"/>
          <w:szCs w:val="16"/>
          <w:color w:val="auto"/>
        </w:rPr>
        <w:t>and no such vote shall be subject to disaffirmance or avoidance, unless prior to such vote the Secretary of the corporation has actual knowledge that such shareholder has been adjudicated an incompetent or spendthrift or actual knowledge of filing of judicial proceedings for appointment of a guardian.</w:t>
      </w:r>
    </w:p>
    <w:p>
      <w:pPr>
        <w:spacing w:after="0" w:line="38" w:lineRule="exact"/>
        <w:rPr>
          <w:rFonts w:ascii="Arial" w:cs="Arial" w:eastAsia="Arial" w:hAnsi="Arial"/>
          <w:sz w:val="16"/>
          <w:szCs w:val="16"/>
          <w:i w:val="1"/>
          <w:iCs w:val="1"/>
          <w:color w:val="auto"/>
        </w:rPr>
      </w:pPr>
    </w:p>
    <w:p>
      <w:pPr>
        <w:ind w:firstLine="458"/>
        <w:spacing w:after="0" w:line="297"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Joint Tenants. </w:t>
      </w:r>
      <w:r>
        <w:rPr>
          <w:rFonts w:ascii="Arial" w:cs="Arial" w:eastAsia="Arial" w:hAnsi="Arial"/>
          <w:sz w:val="16"/>
          <w:szCs w:val="16"/>
          <w:color w:val="auto"/>
        </w:rPr>
        <w:t>Shares registered in the names of two or more individuals who are named in the registration as joint tenants may be voted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signed by any one or more of such individuals if either (i) no other such individual or his legal representative is present and claims the right to participate in voting of such shares or prior to the vote files with the Secretary of the corporation a contrary written voting authorization or direction or written denial of authority of the individual present or signing the proxy proposed to be voted or (ii) all such other individuals are deceased and the Secretary of the corporation has no actual knowledge that the survivor has been adjudicated not to be the successor to the interests of those deceased.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BOARD OF DIRECTORS</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i w:val="1"/>
          <w:iCs w:val="1"/>
          <w:color w:val="auto"/>
        </w:rPr>
        <w:t xml:space="preserve">3.01 General Powers and Number. </w:t>
      </w:r>
      <w:r>
        <w:rPr>
          <w:rFonts w:ascii="Arial" w:cs="Arial" w:eastAsia="Arial" w:hAnsi="Arial"/>
          <w:sz w:val="18"/>
          <w:szCs w:val="18"/>
          <w:color w:val="auto"/>
        </w:rPr>
        <w:t>The business and affairs of the corporation shall be managed by its Board of Directors. The number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shall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60"/>
        <w:spacing w:after="0" w:line="264" w:lineRule="auto"/>
        <w:rPr>
          <w:sz w:val="20"/>
          <w:szCs w:val="20"/>
          <w:color w:val="auto"/>
        </w:rPr>
      </w:pPr>
      <w:r>
        <w:rPr>
          <w:rFonts w:ascii="Arial" w:cs="Arial" w:eastAsia="Arial" w:hAnsi="Arial"/>
          <w:sz w:val="18"/>
          <w:szCs w:val="18"/>
          <w:color w:val="auto"/>
        </w:rPr>
        <w:t>established from time to time by the Board of Directors, but shall be not less than five or more than 15. The number of directors may be increased or decreased from time to time by amendment to this Section adopted by the shareholders or the Board of Directors, but no decrease shall have the effect of shortening the term of an incumbent director.</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 xml:space="preserve">3.02 Tenure and Qualifications. </w:t>
      </w:r>
      <w:r>
        <w:rPr>
          <w:rFonts w:ascii="Arial" w:cs="Arial" w:eastAsia="Arial" w:hAnsi="Arial"/>
          <w:sz w:val="18"/>
          <w:szCs w:val="18"/>
          <w:color w:val="auto"/>
        </w:rPr>
        <w:t>Each director shall hold office until the next annual meeting of shareholders and until his successor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or until his prior death, resignation or removal. Any director or the entire Board of Directors may be removed from office, with or without cause, by affirmative vote of a majority of the outstanding shares entitled to vote for the election of such director, taken at a meeting of shareholders called for that purpose. A director may resign at any time by filing his written resignation with the Secretary of the corporation. Directors need not be residents of the State of Wisconsin or shareholders of the corporation. No director shall be eligible to be elected or re-elected a director after he attains age 70. A director in office when he attains age 70 shall be eligible to be elected an advisory director from year to year for a maximum period of three years. Advisory directors shall be entitled to all the rights and privileges of a director, except the right to vote and shall be paid such fees and compensation as shall be fixed by the Board of Directors from time to time.</w:t>
      </w:r>
    </w:p>
    <w:p>
      <w:pPr>
        <w:spacing w:after="0" w:line="84"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i w:val="1"/>
          <w:iCs w:val="1"/>
          <w:color w:val="auto"/>
        </w:rPr>
        <w:t xml:space="preserve">3.03 Regular Meetings. </w:t>
      </w:r>
      <w:r>
        <w:rPr>
          <w:rFonts w:ascii="Arial" w:cs="Arial" w:eastAsia="Arial" w:hAnsi="Arial"/>
          <w:sz w:val="16"/>
          <w:szCs w:val="16"/>
          <w:color w:val="auto"/>
        </w:rPr>
        <w:t>A regular meeting of the Board of Directors shall be held without other notice than this by-law immediately after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and each adjourned session thereof. The place of such regular meeting shall be the same as the place of the meeting of shareholders that precedes it or such other suitable place as may be announced at such meeting of shareholders. The Board of Directors may provide, by resolution, the time and place, either within or without the State of Wisconsin, for the holding of additional regular meetings without other notice than such resolution.</w:t>
      </w:r>
    </w:p>
    <w:p>
      <w:pPr>
        <w:spacing w:after="0" w:line="46"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3.04 Special Meetings. </w:t>
      </w:r>
      <w:r>
        <w:rPr>
          <w:rFonts w:ascii="Arial" w:cs="Arial" w:eastAsia="Arial" w:hAnsi="Arial"/>
          <w:sz w:val="18"/>
          <w:szCs w:val="18"/>
          <w:color w:val="auto"/>
        </w:rPr>
        <w:t>Special meetings of the Board of Directors may be called by or at the request of the Chairman of the Board, the President,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two directors. The persons calling any special meeting of the Board of Directors may fix any place, either within or without the State of Wisconsin, as the place for holding any special meeting of the Board of Directors called by them, and if no other place is fixed the place of meeting shall be the principal business office of the corporation in the State of Wisconsin.</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i w:val="1"/>
          <w:iCs w:val="1"/>
          <w:color w:val="auto"/>
        </w:rPr>
        <w:t>3.05 Meetings By Telephone or Other Communication Technology.</w:t>
      </w:r>
    </w:p>
    <w:p>
      <w:pPr>
        <w:spacing w:after="0" w:line="117" w:lineRule="exact"/>
        <w:rPr>
          <w:sz w:val="20"/>
          <w:szCs w:val="20"/>
          <w:color w:val="auto"/>
        </w:rPr>
      </w:pPr>
    </w:p>
    <w:p>
      <w:pPr>
        <w:ind w:right="80" w:firstLine="458"/>
        <w:spacing w:after="0" w:line="259"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or all directors may participate in a regular or special meeting or in a committee meeting of the Board of Directors by, or conduct the meeting through the use of, telephone or any other means of communication by which either: (i) all participating directors may simultaneously hear each other during the meeting or (ii) all communication during the meeting is immediately transmitted to each participating director, and each participating director is able to immediately send messages to all other participating directors.</w:t>
      </w:r>
    </w:p>
    <w:p>
      <w:pPr>
        <w:spacing w:after="0" w:line="78" w:lineRule="exact"/>
        <w:rPr>
          <w:rFonts w:ascii="Arial" w:cs="Arial" w:eastAsia="Arial" w:hAnsi="Arial"/>
          <w:sz w:val="18"/>
          <w:szCs w:val="18"/>
          <w:color w:val="auto"/>
        </w:rPr>
      </w:pPr>
    </w:p>
    <w:p>
      <w:pPr>
        <w:ind w:right="140" w:firstLine="458"/>
        <w:spacing w:after="0" w:line="264"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meeting will be conducted through the use of any means described in paragraph (a), all participating directors shall be informed that a meeting is taking place at which official business may be transacted. A director participating in a meeting by any means described in paragraph (a) is deemed to be present in person at the meeting.</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 xml:space="preserve">3.06 Notice of Meetings. </w:t>
      </w:r>
      <w:r>
        <w:rPr>
          <w:rFonts w:ascii="Arial" w:cs="Arial" w:eastAsia="Arial" w:hAnsi="Arial"/>
          <w:sz w:val="17"/>
          <w:szCs w:val="17"/>
          <w:color w:val="auto"/>
        </w:rPr>
        <w:t>Notice of each meeting of the Board of Directors (unless otherwise provided in or pursuant to Section 3.03) shall be given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written notice delivered personally or mailed or given by telephone, telegram, or other means of electronic delivery such as facsimile or e-mail to each director at his business or home address or at such other address as such director shall have designated in writing filed with the Secretary, in each case not less than that </w:t>
      </w:r>
      <w:r>
        <w:rPr>
          <w:rFonts w:ascii="Arial" w:cs="Arial" w:eastAsia="Arial" w:hAnsi="Arial"/>
          <w:sz w:val="17"/>
          <w:szCs w:val="17"/>
          <w:i w:val="1"/>
          <w:iCs w:val="1"/>
          <w:color w:val="auto"/>
        </w:rPr>
        <w:t>48</w:t>
      </w:r>
      <w:r>
        <w:rPr>
          <w:rFonts w:ascii="Arial" w:cs="Arial" w:eastAsia="Arial" w:hAnsi="Arial"/>
          <w:sz w:val="17"/>
          <w:szCs w:val="17"/>
          <w:color w:val="auto"/>
        </w:rPr>
        <w:t xml:space="preserve"> hours prior thereto. If mailed, such notice shall be deemed to be delivered when deposited in the United States mail so addressed, with postage thereon prepaid. If notice be given by telegram, such notice shall be deemed to be delivered when the telegram is delivered to the telegraph company; if by telephone, at the time the call is completed; or if by other forms of electronic delivery, at the time the transmission is completed. The attendance of a director at a meeting shall constitute a waiver of notice of such meeting, except where a director attends a meeting and objects thereat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74"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i w:val="1"/>
          <w:iCs w:val="1"/>
          <w:color w:val="auto"/>
        </w:rPr>
        <w:t>3.07 Quorum</w:t>
      </w:r>
      <w:r>
        <w:rPr>
          <w:rFonts w:ascii="Arial" w:cs="Arial" w:eastAsia="Arial" w:hAnsi="Arial"/>
          <w:sz w:val="17"/>
          <w:szCs w:val="17"/>
          <w:color w:val="auto"/>
        </w:rPr>
        <w:t>. Except as otherwise provided by the Wisconsin Business Corporation Law or by the articles of incorporation or these by-laws,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directors as provided in Section 3.01 shall constitute a quorum for the transaction of business at any meeting of the Board of Directors, but a majority of the directors present (though less than such quorum) may adjourn the meeting from time to time without further notice.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60" w:firstLine="225"/>
        <w:spacing w:after="0" w:line="342" w:lineRule="auto"/>
        <w:rPr>
          <w:sz w:val="20"/>
          <w:szCs w:val="20"/>
          <w:color w:val="auto"/>
        </w:rPr>
      </w:pPr>
      <w:r>
        <w:rPr>
          <w:rFonts w:ascii="Arial" w:cs="Arial" w:eastAsia="Arial" w:hAnsi="Arial"/>
          <w:sz w:val="16"/>
          <w:szCs w:val="16"/>
          <w:i w:val="1"/>
          <w:iCs w:val="1"/>
          <w:color w:val="auto"/>
        </w:rPr>
        <w:t xml:space="preserve">3.08 Manner of Acting. </w:t>
      </w:r>
      <w:r>
        <w:rPr>
          <w:rFonts w:ascii="Arial" w:cs="Arial" w:eastAsia="Arial" w:hAnsi="Arial"/>
          <w:sz w:val="16"/>
          <w:szCs w:val="16"/>
          <w:color w:val="auto"/>
        </w:rPr>
        <w:t>The act of the majority of the directors present at a meeting at which a quorum is present shall be the act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act of a greater number is required by the Wisconsin Business Corporation Law or by the articles of incorporation or these by-laws.</w:t>
      </w:r>
    </w:p>
    <w:p>
      <w:pPr>
        <w:spacing w:after="0" w:line="16"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i w:val="1"/>
          <w:iCs w:val="1"/>
          <w:color w:val="auto"/>
        </w:rPr>
        <w:t xml:space="preserve">3.09 Conduct of Meetings. </w:t>
      </w:r>
      <w:r>
        <w:rPr>
          <w:rFonts w:ascii="Arial" w:cs="Arial" w:eastAsia="Arial" w:hAnsi="Arial"/>
          <w:sz w:val="17"/>
          <w:szCs w:val="17"/>
          <w:color w:val="auto"/>
        </w:rPr>
        <w:t>Any director chosen by the directors present, shall call meetings of the Board of Directors to order and shall act as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meeting. The Secretary of the corporation shall act as secretary of all meetings of the Board of Directors, but in the absence of the Secretary, the presiding officer may appoint any Assistant Secretary or any director or other person present to act as secretary of the meeting.</w:t>
      </w:r>
    </w:p>
    <w:p>
      <w:pPr>
        <w:spacing w:after="0" w:line="5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3.10 Vacancies. </w:t>
      </w:r>
      <w:r>
        <w:rPr>
          <w:rFonts w:ascii="Arial" w:cs="Arial" w:eastAsia="Arial" w:hAnsi="Arial"/>
          <w:sz w:val="18"/>
          <w:szCs w:val="18"/>
          <w:color w:val="auto"/>
        </w:rPr>
        <w:t>Any vacancy occurring in the Board of Directors, including a vacancy created by an increase in the number of directors, may be filled</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next succeeding annual election by the affirmative vote of a majority of the directors then in office, though less than a quorum of the Board of Directors; provided, that in case of a vacancy created by the removal of a director(s) by vote of the shareholders, the shareholders shall have the right to fill such vacancy at the same meeting or any adjournment thereof.</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3.11 Compensation. </w:t>
      </w:r>
      <w:r>
        <w:rPr>
          <w:rFonts w:ascii="Arial" w:cs="Arial" w:eastAsia="Arial" w:hAnsi="Arial"/>
          <w:sz w:val="18"/>
          <w:szCs w:val="18"/>
          <w:color w:val="auto"/>
        </w:rPr>
        <w:t>The Board of Directors, by affirmative vote of a majority of the directors then in office and irrespective of any personal interest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members, may establish reasonable compensation of all directors for services to the corporation as directors, officers or otherwise, and the manner and time and payment thereof,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 xml:space="preserve">3.12 Presumption of Assent. </w:t>
      </w:r>
      <w:r>
        <w:rPr>
          <w:rFonts w:ascii="Arial" w:cs="Arial" w:eastAsia="Arial" w:hAnsi="Arial"/>
          <w:sz w:val="17"/>
          <w:szCs w:val="17"/>
          <w:color w:val="auto"/>
        </w:rPr>
        <w:t>A director who is present at a meeting of the Board of Directors or a committee thereof of which he is a member at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adjournment of the meeting. Such right to dissent shall not apply to a director who voted in favor of such action.</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i w:val="1"/>
          <w:iCs w:val="1"/>
          <w:color w:val="auto"/>
        </w:rPr>
        <w:t xml:space="preserve">3.13 Committees. </w:t>
      </w:r>
      <w:r>
        <w:rPr>
          <w:rFonts w:ascii="Arial" w:cs="Arial" w:eastAsia="Arial" w:hAnsi="Arial"/>
          <w:sz w:val="16"/>
          <w:szCs w:val="16"/>
          <w:color w:val="auto"/>
        </w:rPr>
        <w:t>The Board of Directors by resolution adopted by the affirmative vote of a majority of the number of directors as provided in Section 3.01</w:t>
      </w:r>
      <w:r>
        <w:rPr>
          <w:rFonts w:ascii="Arial" w:cs="Arial" w:eastAsia="Arial" w:hAnsi="Arial"/>
          <w:sz w:val="16"/>
          <w:szCs w:val="16"/>
          <w:i w:val="1"/>
          <w:iCs w:val="1"/>
          <w:color w:val="auto"/>
        </w:rPr>
        <w:t xml:space="preserve"> </w:t>
      </w:r>
      <w:r>
        <w:rPr>
          <w:rFonts w:ascii="Arial" w:cs="Arial" w:eastAsia="Arial" w:hAnsi="Arial"/>
          <w:sz w:val="16"/>
          <w:szCs w:val="16"/>
          <w:color w:val="auto"/>
        </w:rPr>
        <w:t>may designate one or more committees, each committee to consist of one or more directors elected by the Board of Directors, which, to the extent provided in said resolution as initially adopted, and as thereafter supplemented or amended by further resolution adopted by a like vote, shall have and may exercise when the Board of Directors is not in session, the powers of the Board of Directors in the management of the business and affairs of the corporation, except that no committee may: (a) approve or recommend for approval to shareholders for approval any action or matter that the Wisconsin Business Corporation Law requires be approved by shareholders; or (b) adopt, amend or repeal By-Laws. A majority of the members of a committee shall constitute a quorum. The Board of Directors may elect one or more of its members as alternate members of any such committee who may take the place of any absent member or members at any meeting of such committee upon request by the President or upon request by the chairman of such meeting. Each such committee shall fix its own rules governing the conduct of its activities and shall make such reports to the Board of Directors of its activities as the Board of Directors may request.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w:t>
      </w:r>
    </w:p>
    <w:p>
      <w:pPr>
        <w:spacing w:after="0" w:line="121"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i w:val="1"/>
          <w:iCs w:val="1"/>
          <w:color w:val="auto"/>
        </w:rPr>
        <w:t xml:space="preserve">4.01 Number. </w:t>
      </w:r>
      <w:r>
        <w:rPr>
          <w:rFonts w:ascii="Arial" w:cs="Arial" w:eastAsia="Arial" w:hAnsi="Arial"/>
          <w:sz w:val="16"/>
          <w:szCs w:val="16"/>
          <w:color w:val="auto"/>
        </w:rPr>
        <w:t>The principal officers shall be a President, one or more Vice-Presidents (the number and designations to be determined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 Secretary, and a Treasurer, each of whom shall be elected by the Board of Directors. The Board of Directors may also elect a Chief Executive Officer and may designate one of the Vice Presidents as the Executive Vice President. Such other officers and assistant officers as may be deemed necessary may be elected or appointed by the Board of Directors or the President. Any two or more offices may be held by the same person.</w:t>
      </w:r>
    </w:p>
    <w:p>
      <w:pPr>
        <w:spacing w:after="0" w:line="46"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i w:val="1"/>
          <w:iCs w:val="1"/>
          <w:color w:val="auto"/>
        </w:rPr>
        <w:t xml:space="preserve">4.02 Election and Term of Office. </w:t>
      </w:r>
      <w:r>
        <w:rPr>
          <w:rFonts w:ascii="Arial" w:cs="Arial" w:eastAsia="Arial" w:hAnsi="Arial"/>
          <w:sz w:val="18"/>
          <w:szCs w:val="18"/>
          <w:color w:val="auto"/>
        </w:rPr>
        <w:t>The officers to be elected by the Board of Directors shall be elected annually by the Board of Directors at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the Board of Directors held after each annual meeting of the shareholders. If the election of officers shall not be held at such meeting, such election shall be held as soon thereafter as conveniently may be. Each officer shall hold office until his successor shall have been duly elected or until his prior death, resignation or removal.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4.03 Removal. </w:t>
      </w:r>
      <w:r>
        <w:rPr>
          <w:rFonts w:ascii="Arial" w:cs="Arial" w:eastAsia="Arial" w:hAnsi="Arial"/>
          <w:sz w:val="18"/>
          <w:szCs w:val="18"/>
          <w:color w:val="auto"/>
        </w:rPr>
        <w:t>Any officer or agent may be removed by the Board of Directors whenever in its judgment the best interests of the corporation will be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thereby, but such removal shall be without prejudice to the contract rights, if any, of the person so removed. Election or appointment shall not of itself create contract rights.</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4.04 Vacancies. </w:t>
      </w:r>
      <w:r>
        <w:rPr>
          <w:rFonts w:ascii="Arial" w:cs="Arial" w:eastAsia="Arial" w:hAnsi="Arial"/>
          <w:sz w:val="18"/>
          <w:szCs w:val="18"/>
          <w:color w:val="auto"/>
        </w:rPr>
        <w:t>A vacancy in any principal office because of death, resignation, removal, disqualification or otherwise, shall be filled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for the unexpired portion of the term.</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4.05 Chairman of the Board. </w:t>
      </w:r>
      <w:r>
        <w:rPr>
          <w:rFonts w:ascii="Arial" w:cs="Arial" w:eastAsia="Arial" w:hAnsi="Arial"/>
          <w:sz w:val="18"/>
          <w:szCs w:val="18"/>
          <w:color w:val="auto"/>
        </w:rPr>
        <w:t>The Board of Directors may elect one of its members the Chairman of the Board. The Chairman of the Board shall preside at</w:t>
      </w:r>
      <w:r>
        <w:rPr>
          <w:rFonts w:ascii="Arial" w:cs="Arial" w:eastAsia="Arial" w:hAnsi="Arial"/>
          <w:sz w:val="18"/>
          <w:szCs w:val="18"/>
          <w:i w:val="1"/>
          <w:iCs w:val="1"/>
          <w:color w:val="auto"/>
        </w:rPr>
        <w:t xml:space="preserve"> </w:t>
      </w:r>
      <w:r>
        <w:rPr>
          <w:rFonts w:ascii="Arial" w:cs="Arial" w:eastAsia="Arial" w:hAnsi="Arial"/>
          <w:sz w:val="18"/>
          <w:szCs w:val="18"/>
          <w:color w:val="auto"/>
        </w:rPr>
        <w:t>all meetings of the shareholders and directors at which he is present. He shall be ex officio a member of all standing committees and shall be Chairman of such committees as is determined by the Board of Directors. He shall have such other powers and duties as may from time to time be prescribed by the by-laws or by resolution of the Board of Directors.</w:t>
      </w:r>
    </w:p>
    <w:p>
      <w:pPr>
        <w:spacing w:after="0" w:line="7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i w:val="1"/>
          <w:iCs w:val="1"/>
          <w:color w:val="auto"/>
        </w:rPr>
        <w:t xml:space="preserve">4.06 President. </w:t>
      </w:r>
      <w:r>
        <w:rPr>
          <w:rFonts w:ascii="Arial" w:cs="Arial" w:eastAsia="Arial" w:hAnsi="Arial"/>
          <w:sz w:val="17"/>
          <w:szCs w:val="17"/>
          <w:color w:val="auto"/>
        </w:rPr>
        <w:t>The President shall be the principal executive officer and, subject to the control of the Board of Directors, shall in general supervise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all of the business and affairs of the corporation. He shall, in the absence of the Chairman, preside at all meetings of the shareholders and of the Board of Directors. He shall have authority, subject to such rules as may be prescribed by the Board of Directors, to appoint such agents and employees of the corporation as he shall deem necessary, to prescribe their powers, duties and compensation, and to delegate authority to them. Such agents and employees shall hold office at the discretion of the President. 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may authorize any Vice President or other officer or agent of the corporation to sign, execute and acknowledge such documents or instruments in his place and stead. In general he shall perform all duties incident to the office of President and such other duties as may be prescribed by the Board of Directors from time to time.</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4.07 Executive Vice President. </w:t>
      </w:r>
      <w:r>
        <w:rPr>
          <w:rFonts w:ascii="Arial" w:cs="Arial" w:eastAsia="Arial" w:hAnsi="Arial"/>
          <w:sz w:val="18"/>
          <w:szCs w:val="18"/>
          <w:color w:val="auto"/>
        </w:rPr>
        <w:t>The Executive Vice President, if one be designated, shall assist the President in the discharge of supervisory, managerial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duties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both"/>
        <w:ind w:right="140"/>
        <w:spacing w:after="0" w:line="264" w:lineRule="auto"/>
        <w:rPr>
          <w:sz w:val="20"/>
          <w:szCs w:val="20"/>
          <w:color w:val="auto"/>
        </w:rPr>
      </w:pPr>
      <w:r>
        <w:rPr>
          <w:rFonts w:ascii="Arial" w:cs="Arial" w:eastAsia="Arial" w:hAnsi="Arial"/>
          <w:sz w:val="18"/>
          <w:szCs w:val="18"/>
          <w:color w:val="auto"/>
        </w:rPr>
        <w:t>functions. In the absence of the President or in the event of his death, inability or refusal to act, the Executive Vice President shall perform the duties of the President and when so acting shall have all the powers and duties of the President, and shall perform such other duties as from time to time may be assigned to him by the Board of Directors or the President.</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4.08 Vice Presidents. </w:t>
      </w:r>
      <w:r>
        <w:rPr>
          <w:rFonts w:ascii="Arial" w:cs="Arial" w:eastAsia="Arial" w:hAnsi="Arial"/>
          <w:sz w:val="17"/>
          <w:szCs w:val="17"/>
          <w:color w:val="auto"/>
        </w:rPr>
        <w:t>In the absence of the President and the Executive Vice President, or in the event of his death, inability or refusal to act, or in the event</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reason it shall be impracticable for them to act personally, the 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Any Vice President may sign, with the Secretary or Assistant Secretary, certificates for shares of the corporation and shall perform such other duties and have such authority as from time to time may be delegated or assigned to him by the President or by the Board of Directors. The execution of any instrument of the corporation by any Vice President shall be conclusive evidence, as to third parties, of his authority to act in the stead of the President.</w:t>
      </w:r>
    </w:p>
    <w:p>
      <w:pPr>
        <w:spacing w:after="0" w:line="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i w:val="1"/>
          <w:iCs w:val="1"/>
          <w:color w:val="auto"/>
        </w:rPr>
        <w:t xml:space="preserve">4.09 Secretary. </w:t>
      </w:r>
      <w:r>
        <w:rPr>
          <w:rFonts w:ascii="Arial" w:cs="Arial" w:eastAsia="Arial" w:hAnsi="Arial"/>
          <w:sz w:val="17"/>
          <w:szCs w:val="17"/>
          <w:color w:val="auto"/>
        </w:rPr>
        <w:t>The Secretary shall: (a) keep the minutes of the meetings of the shareholders and of the Board of Directors in one or more books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or arrange for the keeping of a register of the post office address of each shareholder which shall be furnished to the Secretary by such shareholder; (e) sign with the President, or a Vice President, certificates for shares of the corporation, the issuance of which shall have been authorized by resolution of the Board of Directors; (f) have general charge of the stock transfer books of the corporation; and (g) in general perform all duties incident to the office of Secretary and have such other duties and exercise such authority as from time to time may be delegated or assigned to him by the President or by the Board of Directors.</w:t>
      </w:r>
    </w:p>
    <w:p>
      <w:pPr>
        <w:spacing w:after="0" w:line="71"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i w:val="1"/>
          <w:iCs w:val="1"/>
          <w:color w:val="auto"/>
        </w:rPr>
        <w:t xml:space="preserve">4.10 Treasurer. </w:t>
      </w:r>
      <w:r>
        <w:rPr>
          <w:rFonts w:ascii="Arial" w:cs="Arial" w:eastAsia="Arial" w:hAnsi="Arial"/>
          <w:sz w:val="17"/>
          <w:szCs w:val="17"/>
          <w:color w:val="auto"/>
        </w:rPr>
        <w:t>The Treasurer shall: (a) have charge and custody of and be responsible for all funds and securities of the corporation; (b) receive and give</w:t>
      </w:r>
      <w:r>
        <w:rPr>
          <w:rFonts w:ascii="Arial" w:cs="Arial" w:eastAsia="Arial" w:hAnsi="Arial"/>
          <w:sz w:val="17"/>
          <w:szCs w:val="17"/>
          <w:i w:val="1"/>
          <w:iCs w:val="1"/>
          <w:color w:val="auto"/>
        </w:rPr>
        <w:t xml:space="preserve"> </w:t>
      </w:r>
      <w:r>
        <w:rPr>
          <w:rFonts w:ascii="Arial" w:cs="Arial" w:eastAsia="Arial" w:hAnsi="Arial"/>
          <w:sz w:val="17"/>
          <w:szCs w:val="17"/>
          <w:color w:val="auto"/>
        </w:rPr>
        <w:t>receipts for moneys, due and payable to the corporation from any source whatsoever, and deposit all such moneys in the, name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of the corporation in such banks, trust companies or other depositories as shall be selected in accordance with the provisions of Section 5.04; and (c) in general perform, all of the duties incident to the office of Treasurer and have such other duties and exercise such other authority as from time to time may be delegated or assigned to him by the President or by the Board of Directors.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4.11 Assistant Secretaries and Assistant Treasurers. </w:t>
      </w:r>
      <w:r>
        <w:rPr>
          <w:rFonts w:ascii="Arial" w:cs="Arial" w:eastAsia="Arial" w:hAnsi="Arial"/>
          <w:sz w:val="18"/>
          <w:szCs w:val="18"/>
          <w:color w:val="auto"/>
        </w:rPr>
        <w:t>There shall be such number of Assistant Secretaries and Assistant Treasurers as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President from time to time authorize. The Assistant Secretaries may sign with the President or a Vice President certificates for shares of the corporation the issuance of which shall have been authorized by a resolution of the Board of Directors.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8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i w:val="1"/>
          <w:iCs w:val="1"/>
          <w:color w:val="auto"/>
        </w:rPr>
        <w:t xml:space="preserve">4.12 Other Assistants and Acting Officers. </w:t>
      </w:r>
      <w:r>
        <w:rPr>
          <w:rFonts w:ascii="Arial" w:cs="Arial" w:eastAsia="Arial" w:hAnsi="Arial"/>
          <w:sz w:val="18"/>
          <w:szCs w:val="18"/>
          <w:color w:val="auto"/>
        </w:rPr>
        <w:t>The Board of Directors and the President shall have the power to appoint any person to act as assistant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as agent for the corporation in his stead, or to perform the duties of such officer whenever for any reason it is impracticable for such officer to act personally, and such assistant or acting officers or other agent so appointed by the Board of Directors or President shall have the power to perform all the duties of the office to which he is so appointed to be assistant, or as to which he is so appointed to act, except as such power may be otherwise defined or restricted by the Board of Directors or President.</w:t>
      </w:r>
    </w:p>
    <w:p>
      <w:pPr>
        <w:spacing w:after="0" w:line="80"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i w:val="1"/>
          <w:iCs w:val="1"/>
          <w:color w:val="auto"/>
        </w:rPr>
        <w:t xml:space="preserve">4.13 Salaries. </w:t>
      </w:r>
      <w:r>
        <w:rPr>
          <w:rFonts w:ascii="Arial" w:cs="Arial" w:eastAsia="Arial" w:hAnsi="Arial"/>
          <w:sz w:val="17"/>
          <w:szCs w:val="17"/>
          <w:color w:val="auto"/>
        </w:rPr>
        <w:t>The salaries of the principal officers shall be fixed from time to time by the Board of Directors or by a duly authorized committee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and no officer shall be prevented from receiving such salary by reason of the fact that he is also a director of the corporation.</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 CONTRACTS, LOANS, CHECKS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DEPOSITS. SPECIAL CORPORATE ACTS</w:t>
      </w:r>
    </w:p>
    <w:p>
      <w:pPr>
        <w:spacing w:after="0" w:line="10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i w:val="1"/>
          <w:iCs w:val="1"/>
          <w:color w:val="auto"/>
        </w:rPr>
        <w:t xml:space="preserve">5.01 Contracts. </w:t>
      </w:r>
      <w:r>
        <w:rPr>
          <w:rFonts w:ascii="Arial" w:cs="Arial" w:eastAsia="Arial" w:hAnsi="Arial"/>
          <w:sz w:val="18"/>
          <w:szCs w:val="18"/>
          <w:color w:val="auto"/>
        </w:rPr>
        <w:t>The Board of Directors may authorize any officer or officers, agent or agents, to enter into any contract or execute or deliver any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in the name of and on behalf of the corporation, and such authorization may be general or confined to specific instances. No contract or other transaction between the corporation and one or more of its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ind w:right="40"/>
        <w:spacing w:after="0" w:line="290" w:lineRule="auto"/>
        <w:rPr>
          <w:sz w:val="20"/>
          <w:szCs w:val="20"/>
          <w:color w:val="auto"/>
        </w:rPr>
      </w:pPr>
      <w:r>
        <w:rPr>
          <w:rFonts w:ascii="Arial" w:cs="Arial" w:eastAsia="Arial" w:hAnsi="Arial"/>
          <w:sz w:val="16"/>
          <w:szCs w:val="16"/>
          <w:color w:val="auto"/>
        </w:rPr>
        <w:t>directors or any other corporation, firm, association, or entity in which one or more of its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 1) 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 2) the fact of such relationship or interest is disclosed or known to the shareholders entitled to vote and they authorize, approve or ratify such contract or transaction by vote or written consent.; or 3) the contract or transaction is fair and reasonable to the corporation. Common or interested directors may be counted in determining the presence of a quorum at a meeting of the Board of Directors or a committee thereof which authorizes, approves or ratifies such contract or transaction.</w:t>
      </w:r>
    </w:p>
    <w:p>
      <w:pPr>
        <w:spacing w:after="0" w:line="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5.02 Loans. </w:t>
      </w:r>
      <w:r>
        <w:rPr>
          <w:rFonts w:ascii="Arial" w:cs="Arial" w:eastAsia="Arial" w:hAnsi="Arial"/>
          <w:sz w:val="18"/>
          <w:szCs w:val="18"/>
          <w:color w:val="auto"/>
        </w:rPr>
        <w:t>No indebtedness for borrowed money shall be contracted on behalf of the corporation and no evidences of such indebtedness shall be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its name unless authorized by or under the authority of a resolution of the Board of Directors. Such authorization may be general or confined to specific instances.</w:t>
      </w:r>
    </w:p>
    <w:p>
      <w:pPr>
        <w:spacing w:after="0" w:line="73"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i w:val="1"/>
          <w:iCs w:val="1"/>
          <w:color w:val="auto"/>
        </w:rPr>
        <w:t xml:space="preserve">5.03 Checks, Drafts, etc. </w:t>
      </w:r>
      <w:r>
        <w:rPr>
          <w:rFonts w:ascii="Arial" w:cs="Arial" w:eastAsia="Arial" w:hAnsi="Arial"/>
          <w:sz w:val="18"/>
          <w:szCs w:val="18"/>
          <w:color w:val="auto"/>
        </w:rPr>
        <w:t>All checks, drafts or other orders for the payment of money, notes or other evidences of indebtedness issued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shall be signed by such officer(s), employee(s) or agents of the corporation and in such manner as shall from time to time be determined by or under the authority of a resolution of the Board of Directors.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5.04 Deposits. </w:t>
      </w:r>
      <w:r>
        <w:rPr>
          <w:rFonts w:ascii="Arial" w:cs="Arial" w:eastAsia="Arial" w:hAnsi="Arial"/>
          <w:sz w:val="18"/>
          <w:szCs w:val="18"/>
          <w:color w:val="auto"/>
        </w:rPr>
        <w:t>All funds of the corporation not otherwise employed shall be deposited from time to time to the credit of the corporation in such banks,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other depositories as may be selected by or under the authority of a resolution of the Board of Directors.</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5.05 Voting of Securities Owned by this Corporation. </w:t>
      </w:r>
      <w:r>
        <w:rPr>
          <w:rFonts w:ascii="Arial" w:cs="Arial" w:eastAsia="Arial" w:hAnsi="Arial"/>
          <w:sz w:val="18"/>
          <w:szCs w:val="18"/>
          <w:color w:val="auto"/>
        </w:rPr>
        <w:t>Subject always to the specific directions of the Board of Directors, (a) any shares or other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other corporation and owned or controlled by this corporation may be voted at any meeting of security holders of such other corporation by the President of this corporation if he be present, or in his absence by any Vice President of this corporation who may be present, and (b) whenever. in the judgment of the President, or in his absence, of any Vice President, it is desirable for this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40"/>
        <w:spacing w:after="0" w:line="297" w:lineRule="auto"/>
        <w:rPr>
          <w:sz w:val="20"/>
          <w:szCs w:val="20"/>
          <w:color w:val="auto"/>
        </w:rPr>
      </w:pPr>
      <w:r>
        <w:rPr>
          <w:rFonts w:ascii="Arial" w:cs="Arial" w:eastAsia="Arial" w:hAnsi="Arial"/>
          <w:sz w:val="16"/>
          <w:szCs w:val="16"/>
          <w:color w:val="auto"/>
        </w:rPr>
        <w:t>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 corporate seal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CERTIFICATES FOR SHARES AND THEIR TRANSFER</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6.01 Certificated and Uncertificated Shares. </w:t>
      </w:r>
      <w:r>
        <w:rPr>
          <w:rFonts w:ascii="Arial" w:cs="Arial" w:eastAsia="Arial" w:hAnsi="Arial"/>
          <w:sz w:val="18"/>
          <w:szCs w:val="18"/>
          <w:color w:val="auto"/>
        </w:rPr>
        <w:t>Shares of the corporation’s stock may be certificated or uncertificated as provided under Wisconsin law.</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representing shares of the corporation shall be in such form, consistent with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as provided in Section 6.05.</w:t>
      </w:r>
    </w:p>
    <w:p>
      <w:pPr>
        <w:spacing w:after="0" w:line="81"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i w:val="1"/>
          <w:iCs w:val="1"/>
          <w:color w:val="auto"/>
        </w:rPr>
        <w:t xml:space="preserve">6.02 Facsimile Signatures and Seal. </w:t>
      </w:r>
      <w:r>
        <w:rPr>
          <w:rFonts w:ascii="Arial" w:cs="Arial" w:eastAsia="Arial" w:hAnsi="Arial"/>
          <w:sz w:val="18"/>
          <w:szCs w:val="18"/>
          <w:color w:val="auto"/>
        </w:rPr>
        <w:t>The seal of the corporation on any certificates for shares may be a facsimile. The signatures of the President 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the Secretary or Assistant Secretary upon a certificate may be facsimiles if the certificate is manually signed on behalf of a transfer agent or a registrar, other than the corporation itself or an employee of the corporation.</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6.03 Signature by Former Officers. </w:t>
      </w:r>
      <w:r>
        <w:rPr>
          <w:rFonts w:ascii="Arial" w:cs="Arial" w:eastAsia="Arial" w:hAnsi="Arial"/>
          <w:sz w:val="18"/>
          <w:szCs w:val="18"/>
          <w:color w:val="auto"/>
        </w:rPr>
        <w:t>In case any officer who has signed or whose facsimile signature has been placed upon any certificate for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who shall have ceased to be such officer before such certificate is issued, it may be issued by the corporation with the same effect as if he were such officer at the date of its issue.</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6.04 Transfer of Shares. </w:t>
      </w:r>
      <w:r>
        <w:rPr>
          <w:rFonts w:ascii="Arial" w:cs="Arial" w:eastAsia="Arial" w:hAnsi="Arial"/>
          <w:sz w:val="18"/>
          <w:szCs w:val="18"/>
          <w:color w:val="auto"/>
        </w:rPr>
        <w:t>Transfers of stock shall be made on the books of the corporation only by the record holder of such stock, or by attorney lawfully</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line="272" w:lineRule="auto"/>
        <w:rPr>
          <w:sz w:val="20"/>
          <w:szCs w:val="20"/>
          <w:color w:val="auto"/>
        </w:rPr>
      </w:pPr>
      <w:r>
        <w:rPr>
          <w:rFonts w:ascii="Arial" w:cs="Arial" w:eastAsia="Arial" w:hAnsi="Arial"/>
          <w:sz w:val="17"/>
          <w:szCs w:val="17"/>
          <w:color w:val="auto"/>
        </w:rPr>
        <w:t>writing, and, in the case of stock represented by a certificate, upon surrender of the certificate. All certificates surrendered to the corporation for transfer shall be cancelled and no new certificate shall be issued until the former certificate for a like number of shares shall have been surrendered and cancelled, except as provided in Section 6.05. Prior to due presentment of a certificate for shares for registration or transfer, and unless the corporation has established a procedure by which a beneficial owner of shares held by a nominee is to be recognized by the corporation as the shareholder, the corporation may treat the registered owner of such shares as the person exclusively entitled to vote, to receive notifications and otherwise to have and exercise all the rights and power of an owner. The corporation may require reasonable assurance that all transfer endorsements are genuine and effective and in compliance with all regulations prescribed by or under the authority of the Board of Directors.</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6.05 Lost Destroyed or Stolen Certificates</w:t>
      </w:r>
      <w:r>
        <w:rPr>
          <w:rFonts w:ascii="Arial" w:cs="Arial" w:eastAsia="Arial" w:hAnsi="Arial"/>
          <w:sz w:val="18"/>
          <w:szCs w:val="18"/>
          <w:color w:val="auto"/>
        </w:rPr>
        <w:t>. Where the owner claims that his certificate for shares has been lost destroyed</w:t>
      </w:r>
      <w:r>
        <w:rPr>
          <w:rFonts w:ascii="Arial" w:cs="Arial" w:eastAsia="Arial" w:hAnsi="Arial"/>
          <w:sz w:val="18"/>
          <w:szCs w:val="18"/>
          <w:i w:val="1"/>
          <w:iCs w:val="1"/>
          <w:color w:val="auto"/>
        </w:rPr>
        <w:t xml:space="preserve"> or </w:t>
      </w:r>
      <w:r>
        <w:rPr>
          <w:rFonts w:ascii="Arial" w:cs="Arial" w:eastAsia="Arial" w:hAnsi="Arial"/>
          <w:sz w:val="18"/>
          <w:szCs w:val="18"/>
          <w:color w:val="auto"/>
        </w:rPr>
        <w:t>wrongfully taken, a new</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shall be issued in place thereof if the owner (a) so requests before the corporation has notice that such shares have been acquired by a bona fide purchase, and (b) files with the corporation a sufficient indemnity bond, and (c) satisfies such other reasonable requirements as may be prescribed by or under the authority of the Board of Directors.</w:t>
      </w:r>
    </w:p>
    <w:p>
      <w:pPr>
        <w:spacing w:after="0" w:line="79"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i w:val="1"/>
          <w:iCs w:val="1"/>
          <w:color w:val="auto"/>
        </w:rPr>
        <w:t xml:space="preserve">6.06 Stock Regulations. </w:t>
      </w:r>
      <w:r>
        <w:rPr>
          <w:rFonts w:ascii="Arial" w:cs="Arial" w:eastAsia="Arial" w:hAnsi="Arial"/>
          <w:sz w:val="16"/>
          <w:szCs w:val="16"/>
          <w:color w:val="auto"/>
        </w:rPr>
        <w:t>The Board of Directors shall have the power and authority to make all such rules and regulations not inconsistent with the statutes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Wisconsin as it may deem expedient concerning the issue, transfer and registration of certificates representing shares of the corporation.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 WAIVER OF NOTICE</w:t>
      </w:r>
    </w:p>
    <w:p>
      <w:pPr>
        <w:spacing w:after="0" w:line="121"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 xml:space="preserve">7.01 Written Waiver. </w:t>
      </w:r>
      <w:r>
        <w:rPr>
          <w:rFonts w:ascii="Arial" w:cs="Arial" w:eastAsia="Arial" w:hAnsi="Arial"/>
          <w:sz w:val="16"/>
          <w:szCs w:val="16"/>
          <w:color w:val="auto"/>
        </w:rPr>
        <w:t>Whenever any notice whatever is required to be given under the provisions of the Wisconsin Business Corporation Law 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Articles of Incorporation or By-Laws, a waiver thereof in writing signed at any time, whether before or after the time of the meeting, by the person or persons entitled to such notice shall be deemed equivalent to the giving of such notice. Such waiver by a shareholder in respect of any matter of which notice is required under any provision of The Wisconsin Business Corporation Law shall contain the same information as would have been required to be included in such notice under any applicable provisions of said law, except that the time and place of meeting need not be stated.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left="240"/>
        <w:spacing w:after="0"/>
        <w:rPr>
          <w:sz w:val="20"/>
          <w:szCs w:val="20"/>
          <w:color w:val="auto"/>
        </w:rPr>
      </w:pPr>
      <w:r>
        <w:rPr>
          <w:rFonts w:ascii="Arial" w:cs="Arial" w:eastAsia="Arial" w:hAnsi="Arial"/>
          <w:sz w:val="17"/>
          <w:szCs w:val="17"/>
          <w:i w:val="1"/>
          <w:iCs w:val="1"/>
          <w:color w:val="auto"/>
        </w:rPr>
        <w:t xml:space="preserve">7.02 Shareholder Waiver by Attendance. </w:t>
      </w:r>
      <w:r>
        <w:rPr>
          <w:rFonts w:ascii="Arial" w:cs="Arial" w:eastAsia="Arial" w:hAnsi="Arial"/>
          <w:sz w:val="17"/>
          <w:szCs w:val="17"/>
          <w:color w:val="auto"/>
        </w:rPr>
        <w:t>A shareholder’s attendance at a meeting, in person or by proxy, waives objection to both of the following:</w:t>
      </w:r>
    </w:p>
    <w:p>
      <w:pPr>
        <w:spacing w:after="0" w:line="129" w:lineRule="exact"/>
        <w:rPr>
          <w:sz w:val="20"/>
          <w:szCs w:val="20"/>
          <w:color w:val="auto"/>
        </w:rPr>
      </w:pPr>
    </w:p>
    <w:p>
      <w:pPr>
        <w:ind w:right="80" w:firstLine="458"/>
        <w:spacing w:after="0" w:line="27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notice or defective notice of the meeting, unless the shareholder at the beginning of the meeting or promptly upon arrival objects to holding the meeting or transacting business at the meeting.</w:t>
      </w:r>
    </w:p>
    <w:p>
      <w:pPr>
        <w:spacing w:after="0" w:line="62" w:lineRule="exact"/>
        <w:rPr>
          <w:rFonts w:ascii="Arial" w:cs="Arial" w:eastAsia="Arial" w:hAnsi="Arial"/>
          <w:sz w:val="18"/>
          <w:szCs w:val="18"/>
          <w:color w:val="auto"/>
        </w:rPr>
      </w:pPr>
    </w:p>
    <w:p>
      <w:pPr>
        <w:ind w:right="200" w:firstLine="458"/>
        <w:spacing w:after="0" w:line="277"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of a particular matter at the meeting that is not within the purpose described in the meeting notice, unless the shareholder objects to considering the matter when it is presented.</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i w:val="1"/>
          <w:iCs w:val="1"/>
          <w:color w:val="auto"/>
        </w:rPr>
        <w:t xml:space="preserve">7.03 Director Waiver by Attendance. </w:t>
      </w:r>
      <w:r>
        <w:rPr>
          <w:rFonts w:ascii="Arial" w:cs="Arial" w:eastAsia="Arial" w:hAnsi="Arial"/>
          <w:sz w:val="17"/>
          <w:szCs w:val="17"/>
          <w:color w:val="auto"/>
        </w:rPr>
        <w:t>A director’s attendance at or participation in a meeting of the Board of Directors or any committee thereof waives any</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UNANIMOUS CONSENT WITHOUT A MEETING</w:t>
      </w:r>
    </w:p>
    <w:p>
      <w:pPr>
        <w:spacing w:after="0" w:line="103"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Any action required by the Articles of Incorporation or By-Laws or any provision of the Wisconsin Business Corporation Law to be taken at a meeting or any other action which may be taken at a meeting may be taken without a meeting if a consent in writing setting forth the action so taken shall be signed by all of the shareholders, directors or members of a committee thereof entitled to vote with respect to the subject matter thereof and such consent shall have the same force and effect as a unanimous vote.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0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9.01 Extent of Indemnification. </w:t>
      </w:r>
      <w:r>
        <w:rPr>
          <w:rFonts w:ascii="Arial" w:cs="Arial" w:eastAsia="Arial" w:hAnsi="Arial"/>
          <w:sz w:val="18"/>
          <w:szCs w:val="18"/>
          <w:color w:val="auto"/>
        </w:rPr>
        <w:t>The company shall indemnify any person who was or is threatened to be made a party to any threatened, pending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completed action, suit or proceeding, whether civil, criminal, administrative or investigative (except such as relate to personal injury or death as provided in Section </w:t>
      </w:r>
      <w:r>
        <w:rPr>
          <w:rFonts w:ascii="Arial" w:cs="Arial" w:eastAsia="Arial" w:hAnsi="Arial"/>
          <w:sz w:val="18"/>
          <w:szCs w:val="18"/>
          <w:i w:val="1"/>
          <w:iCs w:val="1"/>
          <w:color w:val="auto"/>
        </w:rPr>
        <w:t>9.02),</w:t>
      </w:r>
      <w:r>
        <w:rPr>
          <w:rFonts w:ascii="Arial" w:cs="Arial" w:eastAsia="Arial" w:hAnsi="Arial"/>
          <w:sz w:val="18"/>
          <w:szCs w:val="18"/>
          <w:color w:val="auto"/>
        </w:rPr>
        <w:t xml:space="preserve"> by reason of the fact that he is or was a director, officer, employee or agent of the company, or is or was serving at the request of the company as a director, officer, employee or agent of another company, partnership, joint venture, trust or other enterprise, against expenses (including attorney’s fees), judgments, fines and amounts paid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settlement actually and reasonably incurred by him in connection with such action, suit or proceeding, to the extent and under the circumstances permitted by the Wisconsin Business Corporation Law.</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9.02 Specific Exceptions to Indemnification. </w:t>
      </w:r>
      <w:r>
        <w:rPr>
          <w:rFonts w:ascii="Arial" w:cs="Arial" w:eastAsia="Arial" w:hAnsi="Arial"/>
          <w:sz w:val="18"/>
          <w:szCs w:val="18"/>
          <w:color w:val="auto"/>
        </w:rPr>
        <w:t>The indemnification provided by this By-Law shall not create any duty or obligation of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any party in connection with any action, suit, proceeding or claim arising out of or based upon personal injury or death for which any such director, officer, employee or agent is alleged to have legal responsibility; nor shall such indemnification in any manner extend any liability or obligation of the company with respect to any such matter involving personal injury or death beyond that which may otherwise exist by reason of any provision of law. The company may elect to grant such indemnification in such matters if it is deemed to be in the company’s best interest, to the same extent as is provided in Section 9.03 for other actions, suits, proceedings or claims.</w:t>
      </w:r>
    </w:p>
    <w:p>
      <w:pPr>
        <w:spacing w:after="0" w:line="85"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i w:val="1"/>
          <w:iCs w:val="1"/>
          <w:color w:val="auto"/>
        </w:rPr>
        <w:t xml:space="preserve">9.03 Manner of Authorization. </w:t>
      </w:r>
      <w:r>
        <w:rPr>
          <w:rFonts w:ascii="Arial" w:cs="Arial" w:eastAsia="Arial" w:hAnsi="Arial"/>
          <w:sz w:val="16"/>
          <w:szCs w:val="16"/>
          <w:color w:val="auto"/>
        </w:rPr>
        <w:t>Indemnification under this Article IX (unless ordered by a court) shall be made as authorized in a specific case upon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that indemnification of the director, officer, employee, or agent is proper in the circumstances because he has met the applicable standards of conduct set forth in the Wisconsin Business Corporation Law or that he acted in the best interests of the company. Such determination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shareholders. The foregoing right of indemnification shall not be deemed exclusive of any other rights to which those seeking indemnification may be entitled under any by-law agreement, insurance, vote of shareholders or disinterested directors or otherwise, and shall continue as to a person who has ceased to be a director, officer, employee or agent and shall inure to the benefit of the heirs, executors and administrators of such a person.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0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Board of Directors shall provide a corporate seal which shall be circular in form and shall have inscribed thereon the name of the corporation and the state of incorporation and the words, “Corporate Seal”.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w:t>
      </w:r>
    </w:p>
    <w:p>
      <w:pPr>
        <w:spacing w:after="0" w:line="103" w:lineRule="exact"/>
        <w:rPr>
          <w:sz w:val="20"/>
          <w:szCs w:val="20"/>
          <w:color w:val="auto"/>
        </w:rPr>
      </w:pPr>
    </w:p>
    <w:p>
      <w:pPr>
        <w:jc w:val="both"/>
        <w:ind w:right="160" w:firstLine="225"/>
        <w:spacing w:after="0" w:line="342" w:lineRule="auto"/>
        <w:rPr>
          <w:sz w:val="20"/>
          <w:szCs w:val="20"/>
          <w:color w:val="auto"/>
        </w:rPr>
      </w:pPr>
      <w:r>
        <w:rPr>
          <w:rFonts w:ascii="Arial" w:cs="Arial" w:eastAsia="Arial" w:hAnsi="Arial"/>
          <w:sz w:val="16"/>
          <w:szCs w:val="16"/>
          <w:i w:val="1"/>
          <w:iCs w:val="1"/>
          <w:color w:val="auto"/>
        </w:rPr>
        <w:t xml:space="preserve">11.01 By Shareholders. </w:t>
      </w:r>
      <w:r>
        <w:rPr>
          <w:rFonts w:ascii="Arial" w:cs="Arial" w:eastAsia="Arial" w:hAnsi="Arial"/>
          <w:sz w:val="16"/>
          <w:szCs w:val="16"/>
          <w:color w:val="auto"/>
        </w:rPr>
        <w:t>These by-laws may be altered, amended or repealed and new by-laws may be adopted by the shareholders by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not less than a majority of the shares present or represented at an annual or special meeting of the shareholders at which a quorum is in attendance.</w:t>
      </w:r>
    </w:p>
    <w:p>
      <w:pPr>
        <w:spacing w:after="0" w:line="16"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i w:val="1"/>
          <w:iCs w:val="1"/>
          <w:color w:val="auto"/>
        </w:rPr>
        <w:t xml:space="preserve">11.02 By Directors. </w:t>
      </w:r>
      <w:r>
        <w:rPr>
          <w:rFonts w:ascii="Arial" w:cs="Arial" w:eastAsia="Arial" w:hAnsi="Arial"/>
          <w:sz w:val="18"/>
          <w:szCs w:val="18"/>
          <w:color w:val="auto"/>
        </w:rPr>
        <w:t>These by-laws may also be altered, amended or repealed and new by-laws may be adopted by the Board of Directors by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number of directors present at any meeting at which a quorum is in attendance, but no by-law adopted by the shareholders shall be amended or repealed by the Board of Directors if the by-law so adopted so provides.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11.03 Implied Amendments. </w:t>
      </w:r>
      <w:r>
        <w:rPr>
          <w:rFonts w:ascii="Arial" w:cs="Arial" w:eastAsia="Arial" w:hAnsi="Arial"/>
          <w:sz w:val="18"/>
          <w:szCs w:val="18"/>
          <w:color w:val="auto"/>
        </w:rPr>
        <w:t>Any action taken or authorized by the shareholders or Board of Directors, which would be inconsistent with the By-laws then</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but is taken or authorized by a vote that would be sufficient to amend the By-laws so that the By-laws would be consistent with such action, shall be given the same effect as though the By-laws had been temporarily amended or suspended so far, but only so far, as is necessary to permit the specific action so taken or authorized.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958" w:right="2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DEFERRED COMPENSATION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For periods prior to calendar year 2005, Brady Corporation has maintained the Brady Corporation Directors’ Deferred Compensation Plan by means of a series of individual deferred compensation agreements with covered directors. This document amends and restates those prior agreements effective as of January 1, 2005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117"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Beneficiary</w:t>
      </w:r>
      <w:r>
        <w:rPr>
          <w:rFonts w:ascii="Arial" w:cs="Arial" w:eastAsia="Arial" w:hAnsi="Arial"/>
          <w:sz w:val="17"/>
          <w:szCs w:val="17"/>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date specified by the Participant pursuant to Section 6.2 upon which distribution shall be made or commenced following the Participant’s Separation from Service or In-Service Payment Event Date, as the case may be. The Distribution Date selected by the Participant must be on the first day of a calendar quarter and may be no later than 12 months after the Participant’s Separation from Service or In-Service Payment Event Date, whichever is the cause of the distribution. If the distribution is payable other than in a single installment, subsequent installments shall be paid on anniversaries of the Distribution Date.</w:t>
      </w:r>
    </w:p>
    <w:p>
      <w:pPr>
        <w:spacing w:after="0" w:line="8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In-Service Payment Event Date</w:t>
      </w:r>
      <w:r>
        <w:rPr>
          <w:rFonts w:ascii="Arial" w:cs="Arial" w:eastAsia="Arial" w:hAnsi="Arial"/>
          <w:sz w:val="18"/>
          <w:szCs w:val="18"/>
          <w:color w:val="auto"/>
        </w:rPr>
        <w:t>” means the date, if any, specified by the Participant pursuant to Section 6.2 as the reference date following which distribution of his Account shall begin. An In-Service Payment Event Date may be no earlier than January 1, 2007.</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of Brady Corporation currently eligible to make deferrals (an “Active Participant”) and any former director who previously participated in the Plan and is entitled to benefits.</w:t>
      </w:r>
    </w:p>
    <w:p>
      <w:pPr>
        <w:spacing w:after="0" w:line="62"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Payment Event</w:t>
      </w:r>
      <w:r>
        <w:rPr>
          <w:rFonts w:ascii="Arial" w:cs="Arial" w:eastAsia="Arial" w:hAnsi="Arial"/>
          <w:sz w:val="18"/>
          <w:szCs w:val="18"/>
          <w:color w:val="auto"/>
        </w:rPr>
        <w:t>” means the earlier of the date of a Participant’s Separation From Service or the date the Participant specifies as his In-Service Payment Event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Plan</w:t>
      </w:r>
      <w:r>
        <w:rPr>
          <w:rFonts w:ascii="Arial" w:cs="Arial" w:eastAsia="Arial" w:hAnsi="Arial"/>
          <w:sz w:val="17"/>
          <w:szCs w:val="17"/>
          <w:color w:val="auto"/>
        </w:rPr>
        <w:t>” means the Brady Corporation Directors’ Deferred Compensation Plan, as set forth herein and as it may be amended from time to time.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17"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w:t>
      </w:r>
    </w:p>
    <w:p>
      <w:pPr>
        <w:spacing w:after="0" w:line="61"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Unforeseeable Emergency</w:t>
      </w:r>
      <w:r>
        <w:rPr>
          <w:rFonts w:ascii="Arial" w:cs="Arial" w:eastAsia="Arial" w:hAnsi="Arial"/>
          <w:sz w:val="17"/>
          <w:szCs w:val="17"/>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spacing w:after="0" w:line="302" w:lineRule="auto"/>
        <w:rPr>
          <w:sz w:val="20"/>
          <w:szCs w:val="20"/>
          <w:color w:val="auto"/>
        </w:rPr>
      </w:pPr>
      <w:r>
        <w:rPr>
          <w:rFonts w:ascii="Arial" w:cs="Arial" w:eastAsia="Arial" w:hAnsi="Arial"/>
          <w:sz w:val="16"/>
          <w:szCs w:val="16"/>
          <w:color w:val="auto"/>
        </w:rPr>
        <w:t>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4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DEFERRALS</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Deferral Elections</w:t>
      </w:r>
      <w:r>
        <w:rPr>
          <w:rFonts w:ascii="Arial" w:cs="Arial" w:eastAsia="Arial" w:hAnsi="Arial"/>
          <w:sz w:val="16"/>
          <w:szCs w:val="16"/>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5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73"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In the event that a Participant makes application for a hardship distribution under Section 6.3 and the Administrator determines that an Unforeseeable Emergency exists, all deferral elections otherwise in effect under this Article III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ACCOUNTS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to Account</w:t>
      </w:r>
      <w:r>
        <w:rPr>
          <w:rFonts w:ascii="Arial" w:cs="Arial" w:eastAsia="Arial" w:hAnsi="Arial"/>
          <w:sz w:val="18"/>
          <w:szCs w:val="18"/>
          <w:color w:val="auto"/>
        </w:rPr>
        <w:t>. Bookkeeping amounts equal to the amounts deferred by a Participant pursuant to Section 3.1 shall be credited to such Participant’s Deferral Account as soon as practicable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after the deferred compensation would otherwise have been paid to such Participant in the absence of deferral.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17" w:lineRule="exact"/>
        <w:rPr>
          <w:sz w:val="20"/>
          <w:szCs w:val="20"/>
          <w:color w:val="auto"/>
        </w:rPr>
      </w:pPr>
    </w:p>
    <w:p>
      <w:pPr>
        <w:ind w:left="700" w:hanging="239"/>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Participant’s Account shall be credited or charged with deemed earnings or losses as if it were invested in accordance with paragraph (b) below.</w:t>
      </w:r>
    </w:p>
    <w:p>
      <w:pPr>
        <w:spacing w:after="0" w:line="140" w:lineRule="exact"/>
        <w:rPr>
          <w:rFonts w:ascii="Arial" w:cs="Arial" w:eastAsia="Arial" w:hAnsi="Arial"/>
          <w:sz w:val="16"/>
          <w:szCs w:val="16"/>
          <w:color w:val="auto"/>
        </w:rPr>
      </w:pPr>
    </w:p>
    <w:p>
      <w:pPr>
        <w:jc w:val="both"/>
        <w:ind w:left="240" w:right="140" w:firstLine="221"/>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78" w:lineRule="exact"/>
        <w:rPr>
          <w:rFonts w:ascii="Arial" w:cs="Arial" w:eastAsia="Arial" w:hAnsi="Arial"/>
          <w:sz w:val="18"/>
          <w:szCs w:val="18"/>
          <w:color w:val="auto"/>
        </w:rPr>
      </w:pPr>
    </w:p>
    <w:p>
      <w:pPr>
        <w:ind w:left="460" w:right="40" w:firstLine="229"/>
        <w:spacing w:after="0" w:line="255" w:lineRule="auto"/>
        <w:tabs>
          <w:tab w:leader="none" w:pos="95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85" w:lineRule="exact"/>
        <w:rPr>
          <w:rFonts w:ascii="Arial" w:cs="Arial" w:eastAsia="Arial" w:hAnsi="Arial"/>
          <w:sz w:val="18"/>
          <w:szCs w:val="18"/>
          <w:color w:val="auto"/>
        </w:rPr>
      </w:pPr>
    </w:p>
    <w:p>
      <w:pPr>
        <w:ind w:left="460" w:right="80" w:firstLine="229"/>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62" w:lineRule="exact"/>
        <w:rPr>
          <w:rFonts w:ascii="Arial" w:cs="Arial" w:eastAsia="Arial" w:hAnsi="Arial"/>
          <w:sz w:val="18"/>
          <w:szCs w:val="18"/>
          <w:color w:val="auto"/>
        </w:rPr>
      </w:pPr>
    </w:p>
    <w:p>
      <w:pPr>
        <w:jc w:val="both"/>
        <w:ind w:left="460" w:right="120" w:firstLine="229"/>
        <w:spacing w:after="0" w:line="264" w:lineRule="auto"/>
        <w:tabs>
          <w:tab w:leader="none" w:pos="9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Fund Sub-account.</w:t>
      </w:r>
    </w:p>
    <w:p>
      <w:pPr>
        <w:spacing w:after="0" w:line="73" w:lineRule="exact"/>
        <w:rPr>
          <w:rFonts w:ascii="Arial" w:cs="Arial" w:eastAsia="Arial" w:hAnsi="Arial"/>
          <w:sz w:val="18"/>
          <w:szCs w:val="18"/>
          <w:color w:val="auto"/>
        </w:rPr>
      </w:pPr>
    </w:p>
    <w:p>
      <w:pPr>
        <w:ind w:left="460" w:firstLine="229"/>
        <w:spacing w:after="0" w:line="289" w:lineRule="auto"/>
        <w:tabs>
          <w:tab w:leader="none" w:pos="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left="220" w:right="620" w:firstLine="229"/>
        <w:spacing w:after="0" w:line="308" w:lineRule="auto"/>
        <w:tabs>
          <w:tab w:leader="none" w:pos="75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38" w:lineRule="exact"/>
        <w:rPr>
          <w:rFonts w:ascii="Arial" w:cs="Arial" w:eastAsia="Arial" w:hAnsi="Arial"/>
          <w:sz w:val="17"/>
          <w:szCs w:val="17"/>
          <w:color w:val="auto"/>
        </w:rPr>
      </w:pPr>
    </w:p>
    <w:p>
      <w:pPr>
        <w:ind w:left="220" w:firstLine="229"/>
        <w:spacing w:after="0" w:line="264"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73" w:lineRule="exact"/>
        <w:rPr>
          <w:rFonts w:ascii="Arial" w:cs="Arial" w:eastAsia="Arial" w:hAnsi="Arial"/>
          <w:sz w:val="18"/>
          <w:szCs w:val="18"/>
          <w:color w:val="auto"/>
        </w:rPr>
      </w:pPr>
    </w:p>
    <w:p>
      <w:pPr>
        <w:ind w:left="220" w:right="880" w:firstLine="229"/>
        <w:spacing w:after="0" w:line="277" w:lineRule="auto"/>
        <w:tabs>
          <w:tab w:leader="none" w:pos="8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Administrator. The Administrator may prescribe uniform percentages for such elections and designations.</w:t>
      </w:r>
    </w:p>
    <w:p>
      <w:pPr>
        <w:spacing w:after="0" w:line="62" w:lineRule="exact"/>
        <w:rPr>
          <w:rFonts w:ascii="Arial" w:cs="Arial" w:eastAsia="Arial" w:hAnsi="Arial"/>
          <w:sz w:val="18"/>
          <w:szCs w:val="18"/>
          <w:color w:val="auto"/>
        </w:rPr>
      </w:pPr>
    </w:p>
    <w:p>
      <w:pPr>
        <w:ind w:left="220" w:firstLine="229"/>
        <w:spacing w:after="0" w:line="273" w:lineRule="auto"/>
        <w:tabs>
          <w:tab w:leader="none" w:pos="75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70" w:lineRule="exact"/>
        <w:rPr>
          <w:rFonts w:ascii="Arial" w:cs="Arial" w:eastAsia="Arial" w:hAnsi="Arial"/>
          <w:sz w:val="17"/>
          <w:szCs w:val="17"/>
          <w:color w:val="auto"/>
        </w:rPr>
      </w:pPr>
    </w:p>
    <w:p>
      <w:pPr>
        <w:ind w:left="220" w:right="260" w:firstLine="229"/>
        <w:spacing w:after="0" w:line="254" w:lineRule="auto"/>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Notwithstanding subparagraph (ix) above, from and after May 1, 2006, a Participant may not shift any amounts from his Brady Stock Sub-account to his General Investment Sub-account or vice-versa. The preceding sentence shall not apply to a Participant who has had a Separation from Service prior to May 1, 2006. A Participant shall, on or after February 16, 2006 and prior to May 1, 2006, be entitled to reallocate up to 50% of the balance of the portion of his Account attributable to pre-2004 deferrals from investments in the Brady Stock Fund to the other investment funds available hereunder; and, thereafter, the portion of such account attributable to pre-2004 deferrals held in the Brady Stock Fund must remain in the Brady Stock Fund but the director may continue to make new investment choices from among available investment funds with respect to remaining portions of that account. The preceding sentence shall not apply to a Participant who has a Separation from Service before reallocation under such sentence has taken place.</w:t>
      </w:r>
    </w:p>
    <w:p>
      <w:pPr>
        <w:spacing w:after="0" w:line="84" w:lineRule="exact"/>
        <w:rPr>
          <w:rFonts w:ascii="Arial" w:cs="Arial" w:eastAsia="Arial" w:hAnsi="Arial"/>
          <w:sz w:val="18"/>
          <w:szCs w:val="18"/>
          <w:color w:val="auto"/>
        </w:rPr>
      </w:pPr>
    </w:p>
    <w:p>
      <w:pPr>
        <w:ind w:right="160" w:firstLine="221"/>
        <w:spacing w:after="0" w:line="264"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shall provide annual reports to each Participant showing (a) the value of the Account as of the most recent December 31</w:t>
      </w:r>
      <w:r>
        <w:rPr>
          <w:rFonts w:ascii="Arial" w:cs="Arial" w:eastAsia="Arial" w:hAnsi="Arial"/>
          <w:sz w:val="15"/>
          <w:szCs w:val="15"/>
          <w:color w:val="auto"/>
        </w:rPr>
        <w:t>st</w:t>
      </w:r>
      <w:r>
        <w:rPr>
          <w:rFonts w:ascii="Arial" w:cs="Arial" w:eastAsia="Arial" w:hAnsi="Arial"/>
          <w:sz w:val="18"/>
          <w:szCs w:val="18"/>
          <w:color w:val="auto"/>
        </w:rPr>
        <w:t>, (b) the amount of deferral made by the Participant for the Plan Year ending on such date and (c) the amount of any investment gain or loss and the costs of administration credited or debited to the Participant’s Account.</w:t>
      </w:r>
    </w:p>
    <w:p>
      <w:pPr>
        <w:spacing w:after="0" w:line="73" w:lineRule="exact"/>
        <w:rPr>
          <w:rFonts w:ascii="Arial" w:cs="Arial" w:eastAsia="Arial" w:hAnsi="Arial"/>
          <w:sz w:val="18"/>
          <w:szCs w:val="18"/>
          <w:color w:val="auto"/>
        </w:rPr>
      </w:pPr>
    </w:p>
    <w:p>
      <w:pPr>
        <w:ind w:right="160" w:firstLine="221"/>
        <w:spacing w:after="0" w:line="25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8"/>
          <w:szCs w:val="18"/>
          <w:u w:val="single" w:color="auto"/>
          <w:color w:val="auto"/>
        </w:rPr>
        <w:t>shall not</w:t>
      </w:r>
      <w:r>
        <w:rPr>
          <w:rFonts w:ascii="Arial" w:cs="Arial" w:eastAsia="Arial" w:hAnsi="Arial"/>
          <w:sz w:val="18"/>
          <w:szCs w:val="18"/>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1" w:name="page32"/>
    <w:bookmarkEnd w:id="31"/>
    <w:p>
      <w:pPr>
        <w:ind w:left="240" w:right="60"/>
        <w:spacing w:after="0" w:line="277" w:lineRule="auto"/>
        <w:rPr>
          <w:sz w:val="20"/>
          <w:szCs w:val="20"/>
          <w:color w:val="auto"/>
        </w:rPr>
      </w:pPr>
      <w:r>
        <w:rPr>
          <w:rFonts w:ascii="Arial" w:cs="Arial" w:eastAsia="Arial" w:hAnsi="Arial"/>
          <w:sz w:val="18"/>
          <w:szCs w:val="18"/>
          <w:color w:val="auto"/>
        </w:rPr>
        <w:t>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11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MANNER AND TIMING OF DISTRIBUTION</w:t>
      </w:r>
    </w:p>
    <w:p>
      <w:pPr>
        <w:spacing w:after="0" w:line="121"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73" w:lineRule="exact"/>
        <w:rPr>
          <w:sz w:val="20"/>
          <w:szCs w:val="20"/>
          <w:color w:val="auto"/>
        </w:rPr>
      </w:pPr>
    </w:p>
    <w:p>
      <w:pPr>
        <w:ind w:left="460" w:right="180" w:firstLine="229"/>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78" w:lineRule="exact"/>
        <w:rPr>
          <w:rFonts w:ascii="Arial" w:cs="Arial" w:eastAsia="Arial" w:hAnsi="Arial"/>
          <w:sz w:val="18"/>
          <w:szCs w:val="18"/>
          <w:color w:val="auto"/>
        </w:rPr>
      </w:pPr>
    </w:p>
    <w:p>
      <w:pPr>
        <w:ind w:left="460" w:right="60" w:firstLine="229"/>
        <w:spacing w:after="0" w:line="257" w:lineRule="auto"/>
        <w:tabs>
          <w:tab w:leader="none" w:pos="95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Installments</w:t>
      </w:r>
      <w:r>
        <w:rPr>
          <w:rFonts w:ascii="Arial" w:cs="Arial" w:eastAsia="Arial" w:hAnsi="Arial"/>
          <w:sz w:val="18"/>
          <w:szCs w:val="18"/>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80" w:lineRule="exact"/>
        <w:rPr>
          <w:rFonts w:ascii="Arial" w:cs="Arial" w:eastAsia="Arial" w:hAnsi="Arial"/>
          <w:sz w:val="18"/>
          <w:szCs w:val="18"/>
          <w:color w:val="auto"/>
        </w:rPr>
      </w:pPr>
    </w:p>
    <w:p>
      <w:pPr>
        <w:ind w:left="700" w:firstLine="218"/>
        <w:spacing w:after="0" w:line="257"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w:t>
      </w:r>
    </w:p>
    <w:p>
      <w:pPr>
        <w:spacing w:after="0" w:line="80" w:lineRule="exact"/>
        <w:rPr>
          <w:rFonts w:ascii="Arial" w:cs="Arial" w:eastAsia="Arial" w:hAnsi="Arial"/>
          <w:sz w:val="18"/>
          <w:szCs w:val="18"/>
          <w:color w:val="auto"/>
        </w:rPr>
      </w:pPr>
    </w:p>
    <w:p>
      <w:pPr>
        <w:ind w:left="700" w:right="200" w:firstLine="218"/>
        <w:spacing w:after="0" w:line="264"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Percentage or Fixed Dollar Method</w:t>
      </w:r>
      <w:r>
        <w:rPr>
          <w:rFonts w:ascii="Arial" w:cs="Arial" w:eastAsia="Arial" w:hAnsi="Arial"/>
          <w:sz w:val="18"/>
          <w:szCs w:val="18"/>
          <w:color w:val="auto"/>
        </w:rPr>
        <w:t>. The annual installment shall be calculated by multiplying the value of the Account, in the case of the percentage method, by the percentage selected by the Participant and paying out the resulting amount or, in the case of the fixed dollar method, by paying out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left="700" w:right="40"/>
        <w:spacing w:after="0" w:line="286" w:lineRule="auto"/>
        <w:rPr>
          <w:sz w:val="20"/>
          <w:szCs w:val="20"/>
          <w:color w:val="auto"/>
        </w:rPr>
      </w:pPr>
      <w:r>
        <w:rPr>
          <w:rFonts w:ascii="Arial" w:cs="Arial" w:eastAsia="Arial" w:hAnsi="Arial"/>
          <w:sz w:val="17"/>
          <w:szCs w:val="17"/>
          <w:color w:val="auto"/>
        </w:rPr>
        <w:t>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57" w:lineRule="exact"/>
        <w:rPr>
          <w:sz w:val="20"/>
          <w:szCs w:val="20"/>
          <w:color w:val="auto"/>
        </w:rPr>
      </w:pPr>
    </w:p>
    <w:p>
      <w:pPr>
        <w:ind w:left="460" w:right="360" w:firstLine="229"/>
        <w:spacing w:after="0" w:line="31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 Cash or In Stock</w:t>
      </w:r>
      <w:r>
        <w:rPr>
          <w:rFonts w:ascii="Arial" w:cs="Arial" w:eastAsia="Arial" w:hAnsi="Arial"/>
          <w:sz w:val="16"/>
          <w:szCs w:val="16"/>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38" w:lineRule="exact"/>
        <w:rPr>
          <w:rFonts w:ascii="Arial" w:cs="Arial" w:eastAsia="Arial" w:hAnsi="Arial"/>
          <w:sz w:val="16"/>
          <w:szCs w:val="16"/>
          <w:color w:val="auto"/>
        </w:rPr>
      </w:pPr>
    </w:p>
    <w:p>
      <w:pPr>
        <w:ind w:left="700" w:right="20" w:firstLine="218"/>
        <w:spacing w:after="0" w:line="279" w:lineRule="auto"/>
        <w:tabs>
          <w:tab w:leader="none" w:pos="12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63" w:lineRule="exact"/>
        <w:rPr>
          <w:rFonts w:ascii="Arial" w:cs="Arial" w:eastAsia="Arial" w:hAnsi="Arial"/>
          <w:sz w:val="17"/>
          <w:szCs w:val="17"/>
          <w:color w:val="auto"/>
        </w:rPr>
      </w:pPr>
    </w:p>
    <w:p>
      <w:pPr>
        <w:ind w:left="700" w:firstLine="218"/>
        <w:spacing w:after="0" w:line="255"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81" w:lineRule="exact"/>
        <w:rPr>
          <w:sz w:val="20"/>
          <w:szCs w:val="20"/>
          <w:color w:val="auto"/>
        </w:rPr>
      </w:pPr>
    </w:p>
    <w:p>
      <w:pPr>
        <w:ind w:right="200" w:firstLine="225"/>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 Participant at the beginning of a Plan Year shall, prior to his date of participation, complete a payment election form specifying the form of payment applicable to such Participant’s Account under the Plan, whether an In-Service Payment Event Date shall apply and the applicable Distribution Date. An individual who first becomes a Participant other than on the first day of a Plan Year shall, no later than</w:t>
      </w:r>
    </w:p>
    <w:p>
      <w:pPr>
        <w:spacing w:after="0" w:line="287" w:lineRule="auto"/>
        <w:rPr>
          <w:sz w:val="20"/>
          <w:szCs w:val="20"/>
          <w:color w:val="auto"/>
        </w:rPr>
      </w:pPr>
      <w:r>
        <w:rPr>
          <w:rFonts w:ascii="Arial" w:cs="Arial" w:eastAsia="Arial" w:hAnsi="Arial"/>
          <w:sz w:val="16"/>
          <w:szCs w:val="16"/>
          <w:color w:val="auto"/>
        </w:rPr>
        <w:t>30 days after the effective date of participation, complete a payment election form specifying the form of payment applicable to such Participant’s Account, whether an In-Service Payment Event Date shall apply and the applicable Distribution Date; provided, however, that if such Participant is already a participant in any other nonqualified plan or plans sponsored by the Corporation of the account balance type, the most recent payment election with respect to any one of those plans shall be the form of payment election deemed elected under this Plan regardless of whether the individual elects a different form of payment during that initial 30 day period, there shall be no In-Service Payment Event Date, and the Distribution Date shall be the same distribution date which would apply under that other plan.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or change a previously elected In-Service Payment Event Date and/or applicable Distribution Date by completing and filing a new payment election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ind w:right="140"/>
        <w:spacing w:after="0" w:line="284" w:lineRule="auto"/>
        <w:rPr>
          <w:sz w:val="20"/>
          <w:szCs w:val="20"/>
          <w:color w:val="auto"/>
        </w:rPr>
      </w:pPr>
      <w:r>
        <w:rPr>
          <w:rFonts w:ascii="Arial" w:cs="Arial" w:eastAsia="Arial" w:hAnsi="Arial"/>
          <w:sz w:val="16"/>
          <w:szCs w:val="16"/>
          <w:color w:val="auto"/>
        </w:rPr>
        <w:t>form with the Corporation, and the payment election form on file with the Corporation as of the date of the Participant’s Payment Event shall be controlling. Notwithstanding the foregoing, a payment election form changing the Participant’s form of payment or changing a previously elected In-Service Payment Date and/or applicable Distribution Date shall not be effective if the Participant has a Payment Event within twelve months after the date on which the election change is filed with the Corporation. Any change in the In-Service Payment Event Date must have the effect of delaying the In-Service Payment Event Date to a date which is at least five (5) years after the In-Service Payment Event Date previously in effect.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w:t>
      </w:r>
    </w:p>
    <w:p>
      <w:pPr>
        <w:spacing w:after="0" w:line="3" w:lineRule="exact"/>
        <w:rPr>
          <w:sz w:val="20"/>
          <w:szCs w:val="20"/>
          <w:color w:val="auto"/>
        </w:rPr>
      </w:pPr>
    </w:p>
    <w:p>
      <w:pPr>
        <w:ind w:right="100" w:firstLine="8"/>
        <w:spacing w:after="0" w:line="268"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years after the initially scheduled Distribution Date. Any change in the In-Service Payment Event Date must have the effect of delaying the In-Service Payment Event Date to a date which is at least five (5) years after the In-Service Payment Event Date previously in effect. For purposes of compliance with Code Section 409A, a series of installment payments is designated as a single payment rather than a right to a series of separate payments; therefore, a Participant who has elected (or is deemed to have elected) any option under Section 6.1(a)(i) or (ii) 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7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Financial Hardship</w:t>
      </w:r>
      <w:r>
        <w:rPr>
          <w:rFonts w:ascii="Arial" w:cs="Arial" w:eastAsia="Arial" w:hAnsi="Arial"/>
          <w:sz w:val="16"/>
          <w:szCs w:val="16"/>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17" w:lineRule="exact"/>
        <w:rPr>
          <w:sz w:val="20"/>
          <w:szCs w:val="20"/>
          <w:color w:val="auto"/>
        </w:rPr>
      </w:pPr>
    </w:p>
    <w:p>
      <w:pPr>
        <w:ind w:left="240" w:right="80" w:firstLine="221"/>
        <w:spacing w:after="0" w:line="279" w:lineRule="auto"/>
        <w:tabs>
          <w:tab w:leader="none" w:pos="7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left="240" w:right="280"/>
        <w:spacing w:after="0" w:line="264" w:lineRule="auto"/>
        <w:rPr>
          <w:sz w:val="20"/>
          <w:szCs w:val="20"/>
          <w:color w:val="auto"/>
        </w:rPr>
      </w:pPr>
      <w:r>
        <w:rPr>
          <w:rFonts w:ascii="Arial" w:cs="Arial" w:eastAsia="Arial" w:hAnsi="Arial"/>
          <w:sz w:val="18"/>
          <w:szCs w:val="18"/>
          <w:color w:val="auto"/>
        </w:rPr>
        <w:t>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73" w:lineRule="exact"/>
        <w:rPr>
          <w:sz w:val="20"/>
          <w:szCs w:val="20"/>
          <w:color w:val="auto"/>
        </w:rPr>
      </w:pPr>
    </w:p>
    <w:p>
      <w:pPr>
        <w:ind w:left="240" w:right="100" w:firstLine="221"/>
        <w:spacing w:after="0" w:line="30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payment otherwise required under this Article VI shall be delayed if the Corporation reasonably anticipates that the making of the payment will violate federal securities laws or other applicable law; provided, however, that payments shall nevertheless be made on the earliest date on which the Corporation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46" w:lineRule="exact"/>
        <w:rPr>
          <w:rFonts w:ascii="Arial" w:cs="Arial" w:eastAsia="Arial" w:hAnsi="Arial"/>
          <w:sz w:val="16"/>
          <w:szCs w:val="16"/>
          <w:color w:val="auto"/>
        </w:rPr>
      </w:pPr>
    </w:p>
    <w:p>
      <w:pPr>
        <w:ind w:left="240" w:right="280" w:firstLine="221"/>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8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of this Article VI, a Participant’s Account balance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$10,000. The foregoing lump sum payment shall be made automatically and any other distribution elections otherwise applicable with respect to the individual in the absence of this provision shall not apply.</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Administrator</w:t>
      </w:r>
      <w:r>
        <w:rPr>
          <w:rFonts w:ascii="Arial" w:cs="Arial" w:eastAsia="Arial" w:hAnsi="Arial"/>
          <w:sz w:val="18"/>
          <w:szCs w:val="18"/>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upon the Corporation’s records as to information pertinent to calculations or determinations made pursuant to the Plan.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7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 capricious based upon the evidence considered by the Administrator at the time of such determination.</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Administrator Actions</w:t>
      </w:r>
      <w:r>
        <w:rPr>
          <w:rFonts w:ascii="Arial" w:cs="Arial" w:eastAsia="Arial" w:hAnsi="Arial"/>
          <w:sz w:val="18"/>
          <w:szCs w:val="18"/>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80"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Minor or Incompetent Payees</w:t>
      </w:r>
      <w:r>
        <w:rPr>
          <w:rFonts w:ascii="Arial" w:cs="Arial" w:eastAsia="Arial" w:hAnsi="Arial"/>
          <w:sz w:val="16"/>
          <w:szCs w:val="16"/>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39"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17" w:lineRule="exact"/>
        <w:rPr>
          <w:sz w:val="20"/>
          <w:szCs w:val="20"/>
          <w:color w:val="auto"/>
        </w:rPr>
      </w:pPr>
    </w:p>
    <w:p>
      <w:pPr>
        <w:ind w:left="240" w:right="80" w:firstLine="221"/>
        <w:spacing w:after="0" w:line="276" w:lineRule="auto"/>
        <w:tabs>
          <w:tab w:leader="none" w:pos="71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64" w:lineRule="exact"/>
        <w:rPr>
          <w:rFonts w:ascii="Arial" w:cs="Arial" w:eastAsia="Arial" w:hAnsi="Arial"/>
          <w:sz w:val="17"/>
          <w:szCs w:val="17"/>
          <w:color w:val="auto"/>
        </w:rPr>
      </w:pPr>
    </w:p>
    <w:p>
      <w:pPr>
        <w:ind w:left="900" w:hanging="211"/>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p>
      <w:pPr>
        <w:ind w:left="960" w:hanging="271"/>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17" w:lineRule="exact"/>
        <w:rPr>
          <w:rFonts w:ascii="Arial" w:cs="Arial" w:eastAsia="Arial" w:hAnsi="Arial"/>
          <w:sz w:val="18"/>
          <w:szCs w:val="18"/>
          <w:color w:val="auto"/>
        </w:rPr>
      </w:pPr>
    </w:p>
    <w:p>
      <w:pPr>
        <w:ind w:left="460" w:right="180" w:firstLine="229"/>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62" w:lineRule="exact"/>
        <w:rPr>
          <w:rFonts w:ascii="Arial" w:cs="Arial" w:eastAsia="Arial" w:hAnsi="Arial"/>
          <w:sz w:val="18"/>
          <w:szCs w:val="18"/>
          <w:color w:val="auto"/>
        </w:rPr>
      </w:pPr>
    </w:p>
    <w:p>
      <w:pPr>
        <w:ind w:left="460" w:right="300" w:firstLine="229"/>
        <w:spacing w:after="0" w:line="277" w:lineRule="auto"/>
        <w:tabs>
          <w:tab w:leader="none" w:pos="9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62" w:lineRule="exact"/>
        <w:rPr>
          <w:rFonts w:ascii="Arial" w:cs="Arial" w:eastAsia="Arial" w:hAnsi="Arial"/>
          <w:sz w:val="18"/>
          <w:szCs w:val="18"/>
          <w:color w:val="auto"/>
        </w:rPr>
      </w:pPr>
    </w:p>
    <w:p>
      <w:pPr>
        <w:ind w:left="240" w:firstLine="221"/>
        <w:spacing w:after="0" w:line="269"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71" w:lineRule="exact"/>
        <w:rPr>
          <w:rFonts w:ascii="Arial" w:cs="Arial" w:eastAsia="Arial" w:hAnsi="Arial"/>
          <w:sz w:val="17"/>
          <w:szCs w:val="17"/>
          <w:color w:val="auto"/>
        </w:rPr>
      </w:pPr>
    </w:p>
    <w:p>
      <w:pPr>
        <w:jc w:val="both"/>
        <w:ind w:left="240" w:right="60" w:firstLine="221"/>
        <w:spacing w:after="0" w:line="286" w:lineRule="auto"/>
        <w:tabs>
          <w:tab w:leader="none" w:pos="7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5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No person who is covered under the Plan may vote or decide upon any matter relating solely to himself or vote in any case in which his individual right to any benefit under the Plan is particularly involved. Decisions shall be made by remaining members of the Corporation’s Board of Directors.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220"/>
        <w:spacing w:after="0" w:line="264" w:lineRule="auto"/>
        <w:rPr>
          <w:sz w:val="20"/>
          <w:szCs w:val="20"/>
          <w:color w:val="auto"/>
        </w:rPr>
      </w:pPr>
      <w:r>
        <w:rPr>
          <w:rFonts w:ascii="Arial" w:cs="Arial" w:eastAsia="Arial" w:hAnsi="Arial"/>
          <w:sz w:val="18"/>
          <w:szCs w:val="18"/>
          <w:color w:val="auto"/>
        </w:rPr>
        <w:t>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73"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If this Plan is terminated, no additional deferrals or contributions shall be credited to any Participant Account hereunder. Following Plan termination, Participants’ Accounts shall be paid at such time and in such form as provided under Article VI of the Plan. Notwithstanding the preceding sentence, either at the time of termination or on a subsequent date the Corporation may, in its discretion, determine to distribute the then existing Account balances of Participants and beneficiaries and, following such distribution, there shall be no further obligation to any Participant or beneficiary under this Plan; provided, however, that the authority granted to the Corporation under this sentence shall be implemented only to the extent permissible under Code Section 409A and regulations and other guidance issued by the Internal Revenue Service interpreting the provisions of that Section.</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Relationship to Other Programs</w:t>
      </w:r>
      <w:r>
        <w:rPr>
          <w:rFonts w:ascii="Arial" w:cs="Arial" w:eastAsia="Arial" w:hAnsi="Arial"/>
          <w:sz w:val="18"/>
          <w:szCs w:val="18"/>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Unsecured Claim; Grantor Trust</w:t>
      </w:r>
      <w:r>
        <w:rPr>
          <w:rFonts w:ascii="Arial" w:cs="Arial" w:eastAsia="Arial" w:hAnsi="Arial"/>
          <w:sz w:val="18"/>
          <w:szCs w:val="18"/>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line="264" w:lineRule="auto"/>
        <w:rPr>
          <w:sz w:val="20"/>
          <w:szCs w:val="20"/>
          <w:color w:val="auto"/>
        </w:rPr>
      </w:pPr>
      <w:r>
        <w:rPr>
          <w:rFonts w:ascii="Arial" w:cs="Arial" w:eastAsia="Arial" w:hAnsi="Arial"/>
          <w:sz w:val="18"/>
          <w:szCs w:val="18"/>
          <w:color w:val="auto"/>
        </w:rPr>
        <w:t>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Milwaukee, WI 53201-0571</w:t>
      </w:r>
    </w:p>
    <w:p>
      <w:pPr>
        <w:spacing w:after="0" w:line="103"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62"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Special rules for 2005-2006</w:t>
      </w:r>
      <w:r>
        <w:rPr>
          <w:rFonts w:ascii="Arial" w:cs="Arial" w:eastAsia="Arial" w:hAnsi="Arial"/>
          <w:sz w:val="18"/>
          <w:szCs w:val="18"/>
          <w:color w:val="auto"/>
        </w:rPr>
        <w:t>. Notwithstanding the usual rules required regarding the deferral elections and distribution elections:</w:t>
      </w:r>
    </w:p>
    <w:p>
      <w:pPr>
        <w:spacing w:after="0" w:line="117" w:lineRule="exact"/>
        <w:rPr>
          <w:sz w:val="20"/>
          <w:szCs w:val="20"/>
          <w:color w:val="auto"/>
        </w:rPr>
      </w:pPr>
    </w:p>
    <w:p>
      <w:pPr>
        <w:ind w:left="240" w:right="160" w:firstLine="221"/>
        <w:spacing w:after="0" w:line="264"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pacing w:after="0" w:line="73" w:lineRule="exact"/>
        <w:rPr>
          <w:rFonts w:ascii="Arial" w:cs="Arial" w:eastAsia="Arial" w:hAnsi="Arial"/>
          <w:sz w:val="18"/>
          <w:szCs w:val="18"/>
          <w:color w:val="auto"/>
        </w:rPr>
      </w:pPr>
    </w:p>
    <w:p>
      <w:pPr>
        <w:ind w:left="240" w:right="100" w:firstLine="221"/>
        <w:spacing w:after="0" w:line="25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or before December 31, 2006,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Such election shall become effective after the last day upon which it is permitted to be made. In order to change any such election after December 31, 2006, the requirements of Section 6.2 hereof must be satisfied.</w:t>
      </w:r>
    </w:p>
    <w:p>
      <w:pPr>
        <w:spacing w:after="0" w:line="8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WITNESS WHEREOF, the Corporation has caused its duly authorized officer to execute this Plan document on its behalf this 14th day of September, 2006, to be effective as of January 1, 2005.</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847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Attest: /s/ Conrad G. Goodkind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935"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EXHIBIT 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record sales and earnings for fiscal 2006 fourth quarter and year end</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MILWAUKEE (September 13, 2006)—Brady Corporation (NYSE: BRC) today reported record results for its fiscal 2006 fourth quarter and fiscal year ended July 31, 2006.</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Sales in the fiscal 2006 fourth quarter rose 37 percent to $288.3 million compared to sales in the fourth quarter of fiscal 2005 of</w:t>
      </w:r>
    </w:p>
    <w:p>
      <w:pPr>
        <w:spacing w:after="0" w:line="234" w:lineRule="auto"/>
        <w:rPr>
          <w:sz w:val="20"/>
          <w:szCs w:val="20"/>
          <w:color w:val="auto"/>
        </w:rPr>
      </w:pPr>
      <w:r>
        <w:rPr>
          <w:rFonts w:ascii="Arial" w:cs="Arial" w:eastAsia="Arial" w:hAnsi="Arial"/>
          <w:sz w:val="18"/>
          <w:szCs w:val="18"/>
          <w:color w:val="auto"/>
        </w:rPr>
        <w:t>$210.0 million. The increase was comprised of organic growth of 8 percent compared to the prior year’s quarter, with acquisitions adding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27 percent, and foreign currency translation contributing 2 percent to sales growth.</w:t>
      </w:r>
    </w:p>
    <w:p>
      <w:pPr>
        <w:spacing w:after="0" w:line="104" w:lineRule="exact"/>
        <w:rPr>
          <w:sz w:val="20"/>
          <w:szCs w:val="20"/>
          <w:color w:val="auto"/>
        </w:rPr>
      </w:pPr>
    </w:p>
    <w:p>
      <w:pPr>
        <w:jc w:val="both"/>
        <w:ind w:right="40" w:firstLine="250"/>
        <w:spacing w:after="0"/>
        <w:rPr>
          <w:sz w:val="20"/>
          <w:szCs w:val="20"/>
          <w:color w:val="auto"/>
        </w:rPr>
      </w:pPr>
      <w:r>
        <w:rPr>
          <w:rFonts w:ascii="Arial" w:cs="Arial" w:eastAsia="Arial" w:hAnsi="Arial"/>
          <w:sz w:val="18"/>
          <w:szCs w:val="18"/>
          <w:color w:val="auto"/>
        </w:rPr>
        <w:t>Net income for the fiscal 2006 fourth quarter was up 40 percent to $ 22.5 million or $ 0.43 per diluted Class A Common share, compared with $16.1 million or $0.32 per diluted Class A Common Share in the fourth quarter of fiscal 2005. Earnings per share in fiscal 2006 reflect issuance of additional 4.6 million shares through an equity offering in the fourth quarter.</w:t>
      </w:r>
    </w:p>
    <w:p>
      <w:pPr>
        <w:spacing w:after="0" w:line="95" w:lineRule="exact"/>
        <w:rPr>
          <w:sz w:val="20"/>
          <w:szCs w:val="20"/>
          <w:color w:val="auto"/>
        </w:rPr>
      </w:pPr>
    </w:p>
    <w:p>
      <w:pPr>
        <w:ind w:right="580" w:firstLine="250"/>
        <w:spacing w:after="0" w:line="246" w:lineRule="auto"/>
        <w:rPr>
          <w:sz w:val="20"/>
          <w:szCs w:val="20"/>
          <w:color w:val="auto"/>
        </w:rPr>
      </w:pPr>
      <w:r>
        <w:rPr>
          <w:rFonts w:ascii="Arial" w:cs="Arial" w:eastAsia="Arial" w:hAnsi="Arial"/>
          <w:sz w:val="18"/>
          <w:szCs w:val="18"/>
          <w:color w:val="auto"/>
        </w:rPr>
        <w:t>Brady’s fiscal 2006 net sales rose 25 percent to $1.018 billion compared to $816.4 million in sales in fiscal 2005. Organic growth was 9 percent, acquisitions added 16 percent and foreign currency had a negligible impact on total sales results.</w:t>
      </w:r>
    </w:p>
    <w:p>
      <w:pPr>
        <w:spacing w:after="0" w:line="89" w:lineRule="exact"/>
        <w:rPr>
          <w:sz w:val="20"/>
          <w:szCs w:val="20"/>
          <w:color w:val="auto"/>
        </w:rPr>
      </w:pPr>
    </w:p>
    <w:p>
      <w:pPr>
        <w:ind w:right="460" w:firstLine="250"/>
        <w:spacing w:after="0" w:line="246" w:lineRule="auto"/>
        <w:rPr>
          <w:sz w:val="20"/>
          <w:szCs w:val="20"/>
          <w:color w:val="auto"/>
        </w:rPr>
      </w:pPr>
      <w:r>
        <w:rPr>
          <w:rFonts w:ascii="Arial" w:cs="Arial" w:eastAsia="Arial" w:hAnsi="Arial"/>
          <w:sz w:val="18"/>
          <w:szCs w:val="18"/>
          <w:color w:val="auto"/>
        </w:rPr>
        <w:t>Net income for fiscal 2006 rose 27 percent to $104.2 million or $2.07 per diluted Class A Common Share, compared to $81.9 million or $1.64 per diluted Class A Common in fiscal 2005.</w:t>
      </w:r>
    </w:p>
    <w:p>
      <w:pPr>
        <w:spacing w:after="0" w:line="89"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“Fiscal 2006 was an outstanding year for Brady as we hit several important milestones, not the least of which is for the first time in Brady’s history we reached sales in excess of $1 billion. The year was also marked by a tremendous amount of activity, including 11 acquisitions; expansions in India, Slovakia and China; and a successful secondary offering of Brady stock,” said Brady President and Chief Executive Officer Frank M. Jaehnert.</w:t>
      </w:r>
    </w:p>
    <w:p>
      <w:pPr>
        <w:spacing w:after="0" w:line="94"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“In fiscal 2006 we were pleased to see solid organic growth, along with strong cash flow from operating activities of $ 115.3 million,” said Brady Vice President and Chief Financial Officer David Mathieson. “With the recent acquisitions of Carroll, Daewon and CIPI, we now expect annual sales of between $ 1.225 and $1.25 billion in fiscal 2007. Earnings-per-share guidance remains unchanged from our June 5 post-equity-offering guidance of $2.18 to $2.27 per share which is consistent with net income of between $120 and $125 million.”</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Webcast regarding fiscal 2006 results will be available at www.investor.bradycorp.com beginning at 9:30 a.m. Central Daylight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40" w:name="page41"/>
    <w:bookmarkEnd w:id="40"/>
    <w:p>
      <w:pPr>
        <w:ind w:right="320" w:firstLine="250"/>
        <w:spacing w:after="0" w:line="237"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7,000 people at operations in the Americas, Europe and Asia/Pacific. Brady’s fiscal 2005 sales were approximately $816 million. More information is available on the Internet at </w:t>
      </w:r>
      <w:r>
        <w:rPr>
          <w:rFonts w:ascii="Arial" w:cs="Arial" w:eastAsia="Arial" w:hAnsi="Arial"/>
          <w:sz w:val="18"/>
          <w:szCs w:val="18"/>
          <w:u w:val="single" w:color="auto"/>
          <w:color w:val="auto"/>
        </w:rPr>
        <w:t>www.bradycorp.com</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Quarterly Report on Form 10-Q for the period ended April 30, 2006.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Information by regional segment for the three and twelve months ended July 31, 2006 and 2005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Corporate 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0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1"/>
              <w:spacing w:after="0" w:line="157" w:lineRule="exact"/>
              <w:rPr>
                <w:sz w:val="20"/>
                <w:szCs w:val="20"/>
                <w:color w:val="auto"/>
              </w:rPr>
            </w:pPr>
            <w:r>
              <w:rPr>
                <w:rFonts w:ascii="Arial" w:cs="Arial" w:eastAsia="Arial" w:hAnsi="Arial"/>
                <w:sz w:val="14"/>
                <w:szCs w:val="14"/>
                <w:color w:val="auto"/>
              </w:rPr>
              <w:t>Europe</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200"/>
              <w:spacing w:after="0" w:line="157" w:lineRule="exact"/>
              <w:rPr>
                <w:sz w:val="20"/>
                <w:szCs w:val="20"/>
                <w:color w:val="auto"/>
              </w:rPr>
            </w:pPr>
            <w:r>
              <w:rPr>
                <w:rFonts w:ascii="Arial" w:cs="Arial" w:eastAsia="Arial" w:hAnsi="Arial"/>
                <w:sz w:val="14"/>
                <w:szCs w:val="14"/>
                <w:color w:val="auto"/>
              </w:rPr>
              <w:t>Asia</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Subtotals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Eliminations</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135,470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88,966</w:t>
            </w:r>
          </w:p>
        </w:tc>
        <w:tc>
          <w:tcPr>
            <w:tcW w:w="54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63,897</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288,333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288,333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rPr>
              <w:t>July 31, 2005</w:t>
            </w:r>
          </w:p>
        </w:tc>
        <w:tc>
          <w:tcPr>
            <w:tcW w:w="24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w w:val="98"/>
              </w:rPr>
              <w:t>108,019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67,825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210,046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210,046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Twelve months ended: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July 31, 2006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498,916</w:t>
            </w:r>
          </w:p>
        </w:tc>
        <w:tc>
          <w:tcPr>
            <w:tcW w:w="3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w w:val="98"/>
              </w:rPr>
              <w:t>319,432</w:t>
            </w:r>
          </w:p>
        </w:tc>
        <w:tc>
          <w:tcPr>
            <w:tcW w:w="146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$200,088</w:t>
            </w:r>
          </w:p>
        </w:tc>
        <w:tc>
          <w:tcPr>
            <w:tcW w:w="13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$1,018,436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172"/>
              <w:spacing w:after="0" w:line="202" w:lineRule="exact"/>
              <w:rPr>
                <w:sz w:val="20"/>
                <w:szCs w:val="20"/>
                <w:color w:val="auto"/>
              </w:rPr>
            </w:pPr>
            <w:r>
              <w:rPr>
                <w:rFonts w:ascii="Arial" w:cs="Arial" w:eastAsia="Arial" w:hAnsi="Arial"/>
                <w:sz w:val="18"/>
                <w:szCs w:val="18"/>
                <w:color w:val="auto"/>
              </w:rPr>
              <w:t>$1,018,436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2005</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417,780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274,691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123,976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816,447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816,447</w:t>
            </w:r>
          </w:p>
        </w:tc>
        <w:tc>
          <w:tcPr>
            <w:tcW w:w="0" w:type="dxa"/>
            <w:vAlign w:val="bottom"/>
          </w:tcPr>
          <w:p>
            <w:pPr>
              <w:spacing w:after="0"/>
              <w:rPr>
                <w:sz w:val="1"/>
                <w:szCs w:val="1"/>
                <w:color w:val="auto"/>
              </w:rPr>
            </w:pPr>
          </w:p>
        </w:tc>
      </w:tr>
      <w:tr>
        <w:trPr>
          <w:trHeight w:val="382"/>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SALES GROWTH</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July 31, 2006: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Base</w:t>
            </w: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404"/>
        </w:trPr>
        <w:tc>
          <w:tcPr>
            <w:tcW w:w="2620" w:type="dxa"/>
            <w:vAlign w:val="bottom"/>
            <w:gridSpan w:val="3"/>
          </w:tcPr>
          <w:p>
            <w:pPr>
              <w:spacing w:after="0"/>
              <w:rPr>
                <w:sz w:val="20"/>
                <w:szCs w:val="20"/>
                <w:color w:val="auto"/>
              </w:rPr>
            </w:pPr>
            <w:r>
              <w:rPr>
                <w:rFonts w:ascii="Arial" w:cs="Arial" w:eastAsia="Arial" w:hAnsi="Arial"/>
                <w:sz w:val="18"/>
                <w:szCs w:val="18"/>
                <w:color w:val="auto"/>
              </w:rPr>
              <w:t>Twelve months ended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July 31, 2006:</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30,336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21,900</w:t>
            </w:r>
          </w:p>
        </w:tc>
        <w:tc>
          <w:tcPr>
            <w:tcW w:w="54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12,192</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64,428</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($2,893)</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61,535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July 31, 2005</w:t>
            </w:r>
          </w:p>
        </w:tc>
        <w:tc>
          <w:tcPr>
            <w:tcW w:w="2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24,227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18,496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8,830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51,553</w:t>
            </w:r>
          </w:p>
        </w:tc>
        <w:tc>
          <w:tcPr>
            <w:tcW w:w="220" w:type="dxa"/>
            <w:vAlign w:val="bottom"/>
          </w:tcPr>
          <w:p>
            <w:pPr>
              <w:spacing w:after="0"/>
              <w:rPr>
                <w:sz w:val="17"/>
                <w:szCs w:val="17"/>
                <w:color w:val="auto"/>
              </w:rPr>
            </w:pPr>
          </w:p>
        </w:tc>
        <w:tc>
          <w:tcPr>
            <w:tcW w:w="1440" w:type="dxa"/>
            <w:vAlign w:val="bottom"/>
            <w:gridSpan w:val="3"/>
          </w:tcPr>
          <w:p>
            <w:pPr>
              <w:jc w:val="right"/>
              <w:ind w:right="54"/>
              <w:spacing w:after="0" w:line="202" w:lineRule="exact"/>
              <w:rPr>
                <w:sz w:val="20"/>
                <w:szCs w:val="20"/>
                <w:color w:val="auto"/>
              </w:rPr>
            </w:pPr>
            <w:r>
              <w:rPr>
                <w:rFonts w:ascii="Arial" w:cs="Arial" w:eastAsia="Arial" w:hAnsi="Arial"/>
                <w:sz w:val="18"/>
                <w:szCs w:val="18"/>
                <w:color w:val="auto"/>
              </w:rPr>
              <w:t>(1,929)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49,624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00" w:type="dxa"/>
            <w:vAlign w:val="bottom"/>
            <w:gridSpan w:val="2"/>
            <w:shd w:val="clear" w:color="auto" w:fill="CCEEFF"/>
          </w:tcPr>
          <w:p>
            <w:pPr>
              <w:ind w:left="400"/>
              <w:spacing w:after="0" w:line="184" w:lineRule="exact"/>
              <w:rPr>
                <w:sz w:val="20"/>
                <w:szCs w:val="20"/>
                <w:color w:val="auto"/>
              </w:rPr>
            </w:pPr>
            <w:r>
              <w:rPr>
                <w:rFonts w:ascii="Arial" w:cs="Arial" w:eastAsia="Arial" w:hAnsi="Arial"/>
                <w:sz w:val="18"/>
                <w:szCs w:val="18"/>
                <w:i w:val="1"/>
                <w:iCs w:val="1"/>
                <w:color w:val="auto"/>
              </w:rPr>
              <w:t>Percentage increase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405"/>
        </w:trPr>
        <w:tc>
          <w:tcPr>
            <w:tcW w:w="2620" w:type="dxa"/>
            <w:vAlign w:val="bottom"/>
            <w:gridSpan w:val="3"/>
          </w:tcPr>
          <w:p>
            <w:pPr>
              <w:spacing w:after="0"/>
              <w:rPr>
                <w:sz w:val="20"/>
                <w:szCs w:val="20"/>
                <w:color w:val="auto"/>
              </w:rPr>
            </w:pPr>
            <w:r>
              <w:rPr>
                <w:rFonts w:ascii="Arial" w:cs="Arial" w:eastAsia="Arial" w:hAnsi="Arial"/>
                <w:sz w:val="18"/>
                <w:szCs w:val="18"/>
                <w:color w:val="auto"/>
              </w:rPr>
              <w:t>Twelve months ended: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July 31, 2006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8"/>
              </w:rPr>
              <w:t>122,525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83,970</w:t>
            </w:r>
          </w:p>
        </w:tc>
        <w:tc>
          <w:tcPr>
            <w:tcW w:w="54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49,316</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255,811</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($10,633)</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245,178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July 31, 2005</w:t>
            </w:r>
          </w:p>
        </w:tc>
        <w:tc>
          <w:tcPr>
            <w:tcW w:w="2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98,193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79,792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34,228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212,213</w:t>
            </w:r>
          </w:p>
        </w:tc>
        <w:tc>
          <w:tcPr>
            <w:tcW w:w="220" w:type="dxa"/>
            <w:vAlign w:val="bottom"/>
          </w:tcPr>
          <w:p>
            <w:pPr>
              <w:spacing w:after="0"/>
              <w:rPr>
                <w:sz w:val="17"/>
                <w:szCs w:val="17"/>
                <w:color w:val="auto"/>
              </w:rPr>
            </w:pPr>
          </w:p>
        </w:tc>
        <w:tc>
          <w:tcPr>
            <w:tcW w:w="1440" w:type="dxa"/>
            <w:vAlign w:val="bottom"/>
            <w:gridSpan w:val="3"/>
          </w:tcPr>
          <w:p>
            <w:pPr>
              <w:jc w:val="right"/>
              <w:ind w:right="54"/>
              <w:spacing w:after="0" w:line="202" w:lineRule="exact"/>
              <w:rPr>
                <w:sz w:val="20"/>
                <w:szCs w:val="20"/>
                <w:color w:val="auto"/>
              </w:rPr>
            </w:pPr>
            <w:r>
              <w:rPr>
                <w:rFonts w:ascii="Arial" w:cs="Arial" w:eastAsia="Arial" w:hAnsi="Arial"/>
                <w:sz w:val="18"/>
                <w:szCs w:val="18"/>
                <w:color w:val="auto"/>
              </w:rPr>
              <w:t>(4,845)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207,368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i w:val="1"/>
                <w:iCs w:val="1"/>
                <w:color w:val="auto"/>
              </w:rPr>
              <w:t>Percentage increase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w:t>
            </w:r>
          </w:p>
        </w:tc>
        <w:tc>
          <w:tcPr>
            <w:tcW w:w="1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432"/>
        </w:trPr>
        <w:tc>
          <w:tcPr>
            <w:tcW w:w="40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652"/>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July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color w:val="auto"/>
              </w:rPr>
              <w:t>July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July 31,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color w:val="auto"/>
              </w:rPr>
              <w:t>July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bottom w:val="single" w:sz="8" w:color="auto"/>
            </w:tcBorders>
            <w:gridSpan w:val="3"/>
          </w:tcPr>
          <w:p>
            <w:pPr>
              <w:ind w:left="420"/>
              <w:spacing w:after="0" w:line="157" w:lineRule="exact"/>
              <w:rPr>
                <w:sz w:val="20"/>
                <w:szCs w:val="20"/>
                <w:color w:val="auto"/>
              </w:rPr>
            </w:pPr>
            <w:r>
              <w:rPr>
                <w:rFonts w:ascii="Arial" w:cs="Arial" w:eastAsia="Arial" w:hAnsi="Arial"/>
                <w:sz w:val="14"/>
                <w:szCs w:val="14"/>
                <w:color w:val="auto"/>
              </w:rPr>
              <w:t>2006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7"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354"/>
              <w:spacing w:after="0" w:line="157" w:lineRule="exact"/>
              <w:rPr>
                <w:sz w:val="20"/>
                <w:szCs w:val="20"/>
                <w:color w:val="auto"/>
              </w:rPr>
            </w:pPr>
            <w:r>
              <w:rPr>
                <w:rFonts w:ascii="Arial" w:cs="Arial" w:eastAsia="Arial" w:hAnsi="Arial"/>
                <w:sz w:val="14"/>
                <w:szCs w:val="14"/>
                <w:color w:val="auto"/>
              </w:rPr>
              <w:t>2006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7"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$ 64,428</w:t>
            </w:r>
          </w:p>
        </w:tc>
        <w:tc>
          <w:tcPr>
            <w:tcW w:w="2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$ 51,553</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$ 255,811</w:t>
            </w:r>
          </w:p>
        </w:tc>
        <w:tc>
          <w:tcPr>
            <w:tcW w:w="6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$ 212,213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gridSpan w:val="4"/>
          </w:tcPr>
          <w:p>
            <w:pPr>
              <w:jc w:val="right"/>
              <w:ind w:right="132"/>
              <w:spacing w:after="0" w:line="202" w:lineRule="exact"/>
              <w:rPr>
                <w:sz w:val="20"/>
                <w:szCs w:val="20"/>
                <w:color w:val="auto"/>
              </w:rPr>
            </w:pPr>
            <w:r>
              <w:rPr>
                <w:rFonts w:ascii="Arial" w:cs="Arial" w:eastAsia="Arial" w:hAnsi="Arial"/>
                <w:sz w:val="18"/>
                <w:szCs w:val="18"/>
                <w:color w:val="auto"/>
              </w:rPr>
              <w:t>(2,893)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(1,929)</w:t>
            </w:r>
          </w:p>
        </w:tc>
        <w:tc>
          <w:tcPr>
            <w:tcW w:w="220" w:type="dxa"/>
            <w:vAlign w:val="bottom"/>
          </w:tcPr>
          <w:p>
            <w:pPr>
              <w:spacing w:after="0"/>
              <w:rPr>
                <w:sz w:val="17"/>
                <w:szCs w:val="17"/>
                <w:color w:val="auto"/>
              </w:rPr>
            </w:pPr>
          </w:p>
        </w:tc>
        <w:tc>
          <w:tcPr>
            <w:tcW w:w="1440" w:type="dxa"/>
            <w:vAlign w:val="bottom"/>
            <w:gridSpan w:val="3"/>
          </w:tcPr>
          <w:p>
            <w:pPr>
              <w:jc w:val="right"/>
              <w:ind w:right="134"/>
              <w:spacing w:after="0" w:line="202" w:lineRule="exact"/>
              <w:rPr>
                <w:sz w:val="20"/>
                <w:szCs w:val="20"/>
                <w:color w:val="auto"/>
              </w:rPr>
            </w:pPr>
            <w:r>
              <w:rPr>
                <w:rFonts w:ascii="Arial" w:cs="Arial" w:eastAsia="Arial" w:hAnsi="Arial"/>
                <w:sz w:val="18"/>
                <w:szCs w:val="18"/>
                <w:color w:val="auto"/>
              </w:rPr>
              <w:t>(10,633)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gridSpan w:val="4"/>
          </w:tcPr>
          <w:p>
            <w:pPr>
              <w:jc w:val="right"/>
              <w:ind w:right="132"/>
              <w:spacing w:after="0" w:line="202" w:lineRule="exact"/>
              <w:rPr>
                <w:sz w:val="20"/>
                <w:szCs w:val="20"/>
                <w:color w:val="auto"/>
              </w:rPr>
            </w:pPr>
            <w:r>
              <w:rPr>
                <w:rFonts w:ascii="Arial" w:cs="Arial" w:eastAsia="Arial" w:hAnsi="Arial"/>
                <w:sz w:val="18"/>
                <w:szCs w:val="18"/>
                <w:color w:val="auto"/>
              </w:rPr>
              <w:t>(24,650)</w:t>
            </w:r>
          </w:p>
        </w:tc>
        <w:tc>
          <w:tcPr>
            <w:tcW w:w="260" w:type="dxa"/>
            <w:vAlign w:val="bottom"/>
          </w:tcPr>
          <w:p>
            <w:pPr>
              <w:spacing w:after="0"/>
              <w:rPr>
                <w:sz w:val="17"/>
                <w:szCs w:val="17"/>
                <w:color w:val="auto"/>
              </w:rPr>
            </w:pPr>
          </w:p>
        </w:tc>
        <w:tc>
          <w:tcPr>
            <w:tcW w:w="1380" w:type="dxa"/>
            <w:vAlign w:val="bottom"/>
            <w:gridSpan w:val="4"/>
          </w:tcPr>
          <w:p>
            <w:pPr>
              <w:jc w:val="right"/>
              <w:ind w:right="151"/>
              <w:spacing w:after="0" w:line="202" w:lineRule="exact"/>
              <w:rPr>
                <w:sz w:val="20"/>
                <w:szCs w:val="20"/>
                <w:color w:val="auto"/>
              </w:rPr>
            </w:pPr>
            <w:r>
              <w:rPr>
                <w:rFonts w:ascii="Arial" w:cs="Arial" w:eastAsia="Arial" w:hAnsi="Arial"/>
                <w:sz w:val="18"/>
                <w:szCs w:val="18"/>
                <w:color w:val="auto"/>
              </w:rPr>
              <w:t>(25,442)</w:t>
            </w:r>
          </w:p>
        </w:tc>
        <w:tc>
          <w:tcPr>
            <w:tcW w:w="220" w:type="dxa"/>
            <w:vAlign w:val="bottom"/>
          </w:tcPr>
          <w:p>
            <w:pPr>
              <w:spacing w:after="0"/>
              <w:rPr>
                <w:sz w:val="17"/>
                <w:szCs w:val="17"/>
                <w:color w:val="auto"/>
              </w:rPr>
            </w:pPr>
          </w:p>
        </w:tc>
        <w:tc>
          <w:tcPr>
            <w:tcW w:w="1440" w:type="dxa"/>
            <w:vAlign w:val="bottom"/>
            <w:gridSpan w:val="3"/>
          </w:tcPr>
          <w:p>
            <w:pPr>
              <w:jc w:val="right"/>
              <w:ind w:right="134"/>
              <w:spacing w:after="0" w:line="202" w:lineRule="exact"/>
              <w:rPr>
                <w:sz w:val="20"/>
                <w:szCs w:val="20"/>
                <w:color w:val="auto"/>
              </w:rPr>
            </w:pPr>
            <w:r>
              <w:rPr>
                <w:rFonts w:ascii="Arial" w:cs="Arial" w:eastAsia="Arial" w:hAnsi="Arial"/>
                <w:sz w:val="18"/>
                <w:szCs w:val="18"/>
                <w:color w:val="auto"/>
              </w:rPr>
              <w:t>(88,662)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(84,916)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9"/>
              </w:rPr>
              <w:t>(356)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2,403</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32"/>
              <w:spacing w:after="0" w:line="202" w:lineRule="exact"/>
              <w:rPr>
                <w:sz w:val="20"/>
                <w:szCs w:val="20"/>
                <w:color w:val="auto"/>
              </w:rPr>
            </w:pPr>
            <w:r>
              <w:rPr>
                <w:rFonts w:ascii="Arial" w:cs="Arial" w:eastAsia="Arial" w:hAnsi="Arial"/>
                <w:sz w:val="18"/>
                <w:szCs w:val="18"/>
                <w:color w:val="auto"/>
              </w:rPr>
              <w:t>(5,311)</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(2,126)</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34"/>
              <w:spacing w:after="0" w:line="202" w:lineRule="exact"/>
              <w:rPr>
                <w:sz w:val="20"/>
                <w:szCs w:val="20"/>
                <w:color w:val="auto"/>
              </w:rPr>
            </w:pPr>
            <w:r>
              <w:rPr>
                <w:rFonts w:ascii="Arial" w:cs="Arial" w:eastAsia="Arial" w:hAnsi="Arial"/>
                <w:sz w:val="18"/>
                <w:szCs w:val="18"/>
                <w:color w:val="auto"/>
              </w:rPr>
              <w:t>(14,231)</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31,218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4"/>
              </w:rPr>
              <w:t>22,613</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144,688</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115,418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32"/>
              <w:spacing w:after="0" w:line="202" w:lineRule="exact"/>
              <w:rPr>
                <w:sz w:val="20"/>
                <w:szCs w:val="20"/>
                <w:color w:val="auto"/>
              </w:rPr>
            </w:pPr>
            <w:r>
              <w:rPr>
                <w:rFonts w:ascii="Arial" w:cs="Arial" w:eastAsia="Arial" w:hAnsi="Arial"/>
                <w:sz w:val="18"/>
                <w:szCs w:val="18"/>
                <w:color w:val="auto"/>
              </w:rPr>
              <w:t>(8,741)</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(6,558)</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34"/>
              <w:spacing w:after="0" w:line="202" w:lineRule="exact"/>
              <w:rPr>
                <w:sz w:val="20"/>
                <w:szCs w:val="20"/>
                <w:color w:val="auto"/>
              </w:rPr>
            </w:pPr>
            <w:r>
              <w:rPr>
                <w:rFonts w:ascii="Arial" w:cs="Arial" w:eastAsia="Arial" w:hAnsi="Arial"/>
                <w:sz w:val="18"/>
                <w:szCs w:val="18"/>
                <w:color w:val="auto"/>
              </w:rPr>
              <w:t>(40,513)</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$ 22,477</w:t>
            </w:r>
          </w:p>
        </w:tc>
        <w:tc>
          <w:tcPr>
            <w:tcW w:w="2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$ 16,055</w:t>
            </w: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$104,175</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2" w:name="page43"/>
    <w:bookmarkEnd w:id="42"/>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Fiscal 2005</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6"/>
        </w:trPr>
        <w:tc>
          <w:tcPr>
            <w:tcW w:w="4120" w:type="dxa"/>
            <w:vAlign w:val="bottom"/>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Q1</w:t>
            </w:r>
          </w:p>
        </w:tc>
        <w:tc>
          <w:tcPr>
            <w:tcW w:w="420" w:type="dxa"/>
            <w:vAlign w:val="bottom"/>
          </w:tcPr>
          <w:p>
            <w:pPr>
              <w:spacing w:after="0"/>
              <w:rPr>
                <w:sz w:val="13"/>
                <w:szCs w:val="13"/>
                <w:color w:val="auto"/>
              </w:rPr>
            </w:pPr>
          </w:p>
        </w:tc>
        <w:tc>
          <w:tcPr>
            <w:tcW w:w="10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2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Q4</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$20,357</w:t>
            </w:r>
          </w:p>
        </w:tc>
        <w:tc>
          <w:tcPr>
            <w:tcW w:w="15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$20,579</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$24,956</w:t>
            </w:r>
          </w:p>
        </w:tc>
        <w:tc>
          <w:tcPr>
            <w:tcW w:w="15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$16,055</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81,947</w:t>
            </w:r>
          </w:p>
        </w:tc>
      </w:tr>
      <w:tr>
        <w:trPr>
          <w:trHeight w:val="203"/>
        </w:trPr>
        <w:tc>
          <w:tcPr>
            <w:tcW w:w="4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2,139</w:t>
            </w:r>
          </w:p>
        </w:tc>
        <w:tc>
          <w:tcPr>
            <w:tcW w:w="15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2,037</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2,101</w:t>
            </w:r>
          </w:p>
        </w:tc>
        <w:tc>
          <w:tcPr>
            <w:tcW w:w="15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2,126</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8,403</w:t>
            </w:r>
          </w:p>
        </w:tc>
      </w:tr>
      <w:tr>
        <w:trPr>
          <w:trHeight w:val="203"/>
        </w:trPr>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9,580</w:t>
            </w:r>
          </w:p>
        </w:tc>
        <w:tc>
          <w:tcPr>
            <w:tcW w:w="15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8,811</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8,522</w:t>
            </w:r>
          </w:p>
        </w:tc>
        <w:tc>
          <w:tcPr>
            <w:tcW w:w="15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6,558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33,471</w:t>
            </w:r>
          </w:p>
        </w:tc>
      </w:tr>
      <w:tr>
        <w:trPr>
          <w:trHeight w:val="203"/>
        </w:trPr>
        <w:tc>
          <w:tcPr>
            <w:tcW w:w="4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6,775</w:t>
            </w:r>
          </w:p>
        </w:tc>
        <w:tc>
          <w:tcPr>
            <w:tcW w:w="1500" w:type="dxa"/>
            <w:vAlign w:val="bottom"/>
            <w:tcBorders>
              <w:bottom w:val="single" w:sz="8" w:color="auto"/>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6,478</w:t>
            </w:r>
          </w:p>
        </w:tc>
        <w:tc>
          <w:tcPr>
            <w:tcW w:w="1540" w:type="dxa"/>
            <w:vAlign w:val="bottom"/>
            <w:tcBorders>
              <w:bottom w:val="single" w:sz="8" w:color="auto"/>
            </w:tcBorders>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6,738</w:t>
            </w:r>
          </w:p>
        </w:tc>
        <w:tc>
          <w:tcPr>
            <w:tcW w:w="154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6,831</w:t>
            </w:r>
          </w:p>
        </w:tc>
        <w:tc>
          <w:tcPr>
            <w:tcW w:w="4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26,822</w:t>
            </w:r>
          </w:p>
        </w:tc>
      </w:tr>
      <w:tr>
        <w:trPr>
          <w:trHeight w:val="426"/>
        </w:trPr>
        <w:tc>
          <w:tcPr>
            <w:tcW w:w="412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$ 38,851</w:t>
            </w:r>
          </w:p>
        </w:tc>
        <w:tc>
          <w:tcPr>
            <w:tcW w:w="1500" w:type="dxa"/>
            <w:vAlign w:val="bottom"/>
            <w:gridSpan w:val="2"/>
          </w:tcPr>
          <w:p>
            <w:pPr>
              <w:jc w:val="right"/>
              <w:ind w:right="168"/>
              <w:spacing w:after="0"/>
              <w:rPr>
                <w:sz w:val="20"/>
                <w:szCs w:val="20"/>
                <w:color w:val="auto"/>
              </w:rPr>
            </w:pPr>
            <w:r>
              <w:rPr>
                <w:rFonts w:ascii="Arial" w:cs="Arial" w:eastAsia="Arial" w:hAnsi="Arial"/>
                <w:sz w:val="18"/>
                <w:szCs w:val="18"/>
                <w:color w:val="auto"/>
              </w:rPr>
              <w:t>$ 37,905</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$ 42,317</w:t>
            </w:r>
          </w:p>
        </w:tc>
        <w:tc>
          <w:tcPr>
            <w:tcW w:w="1540" w:type="dxa"/>
            <w:vAlign w:val="bottom"/>
            <w:gridSpan w:val="2"/>
          </w:tcPr>
          <w:p>
            <w:pPr>
              <w:jc w:val="right"/>
              <w:ind w:right="208"/>
              <w:spacing w:after="0"/>
              <w:rPr>
                <w:sz w:val="20"/>
                <w:szCs w:val="20"/>
                <w:color w:val="auto"/>
              </w:rPr>
            </w:pPr>
            <w:r>
              <w:rPr>
                <w:rFonts w:ascii="Arial" w:cs="Arial" w:eastAsia="Arial" w:hAnsi="Arial"/>
                <w:sz w:val="18"/>
                <w:szCs w:val="18"/>
                <w:color w:val="auto"/>
              </w:rPr>
              <w:t>$ 31,570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150,643</w:t>
            </w:r>
          </w:p>
        </w:tc>
      </w:tr>
      <w:tr>
        <w:trPr>
          <w:trHeight w:val="351"/>
        </w:trPr>
        <w:tc>
          <w:tcPr>
            <w:tcW w:w="4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Fiscal 2006</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6"/>
        </w:trPr>
        <w:tc>
          <w:tcPr>
            <w:tcW w:w="4120" w:type="dxa"/>
            <w:vAlign w:val="bottom"/>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Q1</w:t>
            </w:r>
          </w:p>
        </w:tc>
        <w:tc>
          <w:tcPr>
            <w:tcW w:w="420" w:type="dxa"/>
            <w:vAlign w:val="bottom"/>
          </w:tcPr>
          <w:p>
            <w:pPr>
              <w:spacing w:after="0"/>
              <w:rPr>
                <w:sz w:val="13"/>
                <w:szCs w:val="13"/>
                <w:color w:val="auto"/>
              </w:rPr>
            </w:pPr>
          </w:p>
        </w:tc>
        <w:tc>
          <w:tcPr>
            <w:tcW w:w="10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2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Q4</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$30,198</w:t>
            </w:r>
          </w:p>
        </w:tc>
        <w:tc>
          <w:tcPr>
            <w:tcW w:w="15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$21,254</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$30,246</w:t>
            </w:r>
          </w:p>
        </w:tc>
        <w:tc>
          <w:tcPr>
            <w:tcW w:w="15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$22,477</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w w:val="98"/>
              </w:rPr>
              <w:t>104,175</w:t>
            </w:r>
          </w:p>
        </w:tc>
      </w:tr>
      <w:tr>
        <w:trPr>
          <w:trHeight w:val="203"/>
        </w:trPr>
        <w:tc>
          <w:tcPr>
            <w:tcW w:w="4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1,989</w:t>
            </w:r>
          </w:p>
        </w:tc>
        <w:tc>
          <w:tcPr>
            <w:tcW w:w="150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2,435</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4,496</w:t>
            </w:r>
          </w:p>
        </w:tc>
        <w:tc>
          <w:tcPr>
            <w:tcW w:w="15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5,311</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14,231</w:t>
            </w:r>
          </w:p>
        </w:tc>
      </w:tr>
      <w:tr>
        <w:trPr>
          <w:trHeight w:val="203"/>
        </w:trPr>
        <w:tc>
          <w:tcPr>
            <w:tcW w:w="412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12,334</w:t>
            </w:r>
          </w:p>
        </w:tc>
        <w:tc>
          <w:tcPr>
            <w:tcW w:w="150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7,675</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11,763</w:t>
            </w:r>
          </w:p>
        </w:tc>
        <w:tc>
          <w:tcPr>
            <w:tcW w:w="15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8,741</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40,513</w:t>
            </w:r>
          </w:p>
        </w:tc>
      </w:tr>
      <w:tr>
        <w:trPr>
          <w:trHeight w:val="203"/>
        </w:trPr>
        <w:tc>
          <w:tcPr>
            <w:tcW w:w="4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7,360</w:t>
            </w:r>
          </w:p>
        </w:tc>
        <w:tc>
          <w:tcPr>
            <w:tcW w:w="1500" w:type="dxa"/>
            <w:vAlign w:val="bottom"/>
            <w:tcBorders>
              <w:bottom w:val="single" w:sz="8" w:color="auto"/>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7,194</w:t>
            </w:r>
          </w:p>
        </w:tc>
        <w:tc>
          <w:tcPr>
            <w:tcW w:w="1540" w:type="dxa"/>
            <w:vAlign w:val="bottom"/>
            <w:tcBorders>
              <w:bottom w:val="single" w:sz="8" w:color="auto"/>
            </w:tcBorders>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9,419</w:t>
            </w:r>
          </w:p>
        </w:tc>
        <w:tc>
          <w:tcPr>
            <w:tcW w:w="154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11,171</w:t>
            </w:r>
          </w:p>
        </w:tc>
        <w:tc>
          <w:tcPr>
            <w:tcW w:w="4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35,144</w:t>
            </w:r>
          </w:p>
        </w:tc>
      </w:tr>
      <w:tr>
        <w:trPr>
          <w:trHeight w:val="426"/>
        </w:trPr>
        <w:tc>
          <w:tcPr>
            <w:tcW w:w="412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$51,881</w:t>
            </w:r>
          </w:p>
        </w:tc>
        <w:tc>
          <w:tcPr>
            <w:tcW w:w="1500" w:type="dxa"/>
            <w:vAlign w:val="bottom"/>
            <w:gridSpan w:val="2"/>
          </w:tcPr>
          <w:p>
            <w:pPr>
              <w:jc w:val="right"/>
              <w:ind w:right="168"/>
              <w:spacing w:after="0"/>
              <w:rPr>
                <w:sz w:val="20"/>
                <w:szCs w:val="20"/>
                <w:color w:val="auto"/>
              </w:rPr>
            </w:pPr>
            <w:r>
              <w:rPr>
                <w:rFonts w:ascii="Arial" w:cs="Arial" w:eastAsia="Arial" w:hAnsi="Arial"/>
                <w:sz w:val="18"/>
                <w:szCs w:val="18"/>
                <w:color w:val="auto"/>
              </w:rPr>
              <w:t>$38,558</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$55,924</w:t>
            </w:r>
          </w:p>
        </w:tc>
        <w:tc>
          <w:tcPr>
            <w:tcW w:w="1540" w:type="dxa"/>
            <w:vAlign w:val="bottom"/>
            <w:gridSpan w:val="2"/>
          </w:tcPr>
          <w:p>
            <w:pPr>
              <w:jc w:val="right"/>
              <w:ind w:right="208"/>
              <w:spacing w:after="0"/>
              <w:rPr>
                <w:sz w:val="20"/>
                <w:szCs w:val="20"/>
                <w:color w:val="auto"/>
              </w:rPr>
            </w:pPr>
            <w:r>
              <w:rPr>
                <w:rFonts w:ascii="Arial" w:cs="Arial" w:eastAsia="Arial" w:hAnsi="Arial"/>
                <w:sz w:val="18"/>
                <w:szCs w:val="18"/>
                <w:color w:val="auto"/>
              </w:rPr>
              <w:t>$47,700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194,063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3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4"/>
                <w:szCs w:val="14"/>
                <w:color w:val="auto"/>
              </w:rPr>
              <w:t>(Unaudited)</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jc w:val="right"/>
              <w:ind w:right="20"/>
              <w:spacing w:after="0" w:line="155" w:lineRule="exact"/>
              <w:rPr>
                <w:sz w:val="20"/>
                <w:szCs w:val="20"/>
                <w:color w:val="auto"/>
              </w:rPr>
            </w:pPr>
            <w:r>
              <w:rPr>
                <w:rFonts w:ascii="Arial" w:cs="Arial" w:eastAsia="Arial" w:hAnsi="Arial"/>
                <w:sz w:val="14"/>
                <w:szCs w:val="14"/>
                <w:color w:val="auto"/>
              </w:rPr>
              <w:t>Three Months Ended July 31st</w:t>
            </w:r>
          </w:p>
        </w:tc>
        <w:tc>
          <w:tcPr>
            <w:tcW w:w="7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80"/>
              <w:spacing w:after="0" w:line="155" w:lineRule="exact"/>
              <w:rPr>
                <w:sz w:val="20"/>
                <w:szCs w:val="20"/>
                <w:color w:val="auto"/>
              </w:rPr>
            </w:pPr>
            <w:r>
              <w:rPr>
                <w:rFonts w:ascii="Arial" w:cs="Arial" w:eastAsia="Arial" w:hAnsi="Arial"/>
                <w:sz w:val="14"/>
                <w:szCs w:val="14"/>
                <w:color w:val="auto"/>
              </w:rPr>
              <w:t>Twelve Months Ended July 31st</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center"/>
              <w:ind w:right="588"/>
              <w:spacing w:after="0"/>
              <w:rPr>
                <w:sz w:val="20"/>
                <w:szCs w:val="20"/>
                <w:color w:val="auto"/>
              </w:rPr>
            </w:pPr>
            <w:r>
              <w:rPr>
                <w:rFonts w:ascii="Arial" w:cs="Arial" w:eastAsia="Arial" w:hAnsi="Arial"/>
                <w:sz w:val="14"/>
                <w:szCs w:val="14"/>
                <w:color w:val="auto"/>
              </w:rPr>
              <w:t>Percentage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2005</w:t>
            </w:r>
          </w:p>
        </w:tc>
        <w:tc>
          <w:tcPr>
            <w:tcW w:w="6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7"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2005</w:t>
            </w:r>
          </w:p>
        </w:tc>
        <w:tc>
          <w:tcPr>
            <w:tcW w:w="6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8"/>
              </w:rPr>
              <w:t>288,333</w:t>
            </w:r>
          </w:p>
        </w:tc>
        <w:tc>
          <w:tcPr>
            <w:tcW w:w="3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210,046</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8"/>
              <w:spacing w:after="0" w:line="196" w:lineRule="exact"/>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9"/>
              </w:rPr>
              <w:t>1,018,436</w:t>
            </w:r>
          </w:p>
        </w:tc>
        <w:tc>
          <w:tcPr>
            <w:tcW w:w="3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w w:val="98"/>
              </w:rPr>
              <w:t>816,447</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144,429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101,119</w:t>
            </w:r>
          </w:p>
        </w:tc>
        <w:tc>
          <w:tcPr>
            <w:tcW w:w="600" w:type="dxa"/>
            <w:vAlign w:val="bottom"/>
          </w:tcPr>
          <w:p>
            <w:pPr>
              <w:spacing w:after="0"/>
              <w:rPr>
                <w:sz w:val="17"/>
                <w:szCs w:val="17"/>
                <w:color w:val="auto"/>
              </w:rPr>
            </w:pPr>
          </w:p>
        </w:tc>
        <w:tc>
          <w:tcPr>
            <w:tcW w:w="14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42.8%</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492,681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8"/>
              </w:rPr>
              <w:t>383,171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143,904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108,927</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525,755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8"/>
              </w:rPr>
              <w:t>433,276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9,766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7,334</w:t>
            </w: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30,443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25,078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97,253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77,411</w:t>
            </w:r>
          </w:p>
        </w:tc>
        <w:tc>
          <w:tcPr>
            <w:tcW w:w="1400" w:type="dxa"/>
            <w:vAlign w:val="bottom"/>
            <w:gridSpan w:val="2"/>
          </w:tcPr>
          <w:p>
            <w:pPr>
              <w:jc w:val="right"/>
              <w:ind w:right="428"/>
              <w:spacing w:after="0" w:line="203"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338,796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w w:val="98"/>
              </w:rPr>
              <w:t>285,746</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107,019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84,745</w:t>
            </w: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369,239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8"/>
              </w:rPr>
              <w:t>310,824</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36,885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24,182</w:t>
            </w:r>
          </w:p>
        </w:tc>
        <w:tc>
          <w:tcPr>
            <w:tcW w:w="1400" w:type="dxa"/>
            <w:vAlign w:val="bottom"/>
            <w:gridSpan w:val="2"/>
          </w:tcPr>
          <w:p>
            <w:pPr>
              <w:jc w:val="right"/>
              <w:ind w:right="428"/>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156,516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122,452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600" w:type="dxa"/>
            <w:vAlign w:val="bottom"/>
          </w:tcPr>
          <w:p>
            <w:pPr>
              <w:spacing w:after="0"/>
              <w:rPr>
                <w:sz w:val="17"/>
                <w:szCs w:val="17"/>
                <w:color w:val="auto"/>
              </w:rPr>
            </w:pPr>
          </w:p>
        </w:tc>
        <w:tc>
          <w:tcPr>
            <w:tcW w:w="14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-163.9%</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2,403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1,369</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(5,311)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(2,126)</w:t>
            </w: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(14,231)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(8,403)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31,218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22,613</w:t>
            </w:r>
          </w:p>
        </w:tc>
        <w:tc>
          <w:tcPr>
            <w:tcW w:w="1400" w:type="dxa"/>
            <w:vAlign w:val="bottom"/>
            <w:gridSpan w:val="2"/>
          </w:tcPr>
          <w:p>
            <w:pPr>
              <w:jc w:val="right"/>
              <w:ind w:right="428"/>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144,688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115,418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8,741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6,558</w:t>
            </w: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40,513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33,471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22,477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16,055</w:t>
            </w:r>
          </w:p>
        </w:tc>
        <w:tc>
          <w:tcPr>
            <w:tcW w:w="1400" w:type="dxa"/>
            <w:vAlign w:val="bottom"/>
            <w:gridSpan w:val="2"/>
          </w:tcPr>
          <w:p>
            <w:pPr>
              <w:jc w:val="right"/>
              <w:ind w:right="428"/>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104,175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81,947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Class A Nonvoting Common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340" w:type="dxa"/>
            <w:vAlign w:val="bottom"/>
          </w:tcPr>
          <w:p>
            <w:pPr>
              <w:spacing w:after="0"/>
              <w:rPr>
                <w:sz w:val="17"/>
                <w:szCs w:val="17"/>
                <w:color w:val="auto"/>
              </w:rPr>
            </w:pP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c>
          <w:tcPr>
            <w:tcW w:w="600" w:type="dxa"/>
            <w:vAlign w:val="bottom"/>
          </w:tcPr>
          <w:p>
            <w:pPr>
              <w:spacing w:after="0"/>
              <w:rPr>
                <w:sz w:val="17"/>
                <w:szCs w:val="17"/>
                <w:color w:val="auto"/>
              </w:rPr>
            </w:pPr>
          </w:p>
        </w:tc>
        <w:tc>
          <w:tcPr>
            <w:tcW w:w="14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2.10</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6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2.07</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tcPr>
          <w:p>
            <w:pPr>
              <w:spacing w:after="0"/>
              <w:rPr>
                <w:sz w:val="18"/>
                <w:szCs w:val="18"/>
                <w:color w:val="auto"/>
              </w:rPr>
            </w:pPr>
          </w:p>
        </w:tc>
        <w:tc>
          <w:tcPr>
            <w:tcW w:w="1400" w:type="dxa"/>
            <w:vAlign w:val="bottom"/>
            <w:gridSpan w:val="2"/>
          </w:tcPr>
          <w:p>
            <w:pPr>
              <w:jc w:val="right"/>
              <w:ind w:right="428"/>
              <w:spacing w:after="0"/>
              <w:rPr>
                <w:sz w:val="20"/>
                <w:szCs w:val="20"/>
                <w:color w:val="auto"/>
              </w:rPr>
            </w:pPr>
            <w:r>
              <w:rPr>
                <w:rFonts w:ascii="Arial" w:cs="Arial" w:eastAsia="Arial" w:hAnsi="Arial"/>
                <w:sz w:val="18"/>
                <w:szCs w:val="18"/>
                <w:color w:val="auto"/>
              </w:rPr>
              <w:t>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0.44</w:t>
            </w:r>
          </w:p>
        </w:tc>
        <w:tc>
          <w:tcPr>
            <w:tcW w:w="6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340" w:type="dxa"/>
            <w:vAlign w:val="bottom"/>
          </w:tcPr>
          <w:p>
            <w:pPr>
              <w:spacing w:after="0"/>
              <w:rPr>
                <w:sz w:val="17"/>
                <w:szCs w:val="17"/>
                <w:color w:val="auto"/>
              </w:rPr>
            </w:pP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c>
          <w:tcPr>
            <w:tcW w:w="600" w:type="dxa"/>
            <w:vAlign w:val="bottom"/>
          </w:tcPr>
          <w:p>
            <w:pPr>
              <w:spacing w:after="0"/>
              <w:rPr>
                <w:sz w:val="17"/>
                <w:szCs w:val="17"/>
                <w:color w:val="auto"/>
              </w:rPr>
            </w:pPr>
          </w:p>
        </w:tc>
        <w:tc>
          <w:tcPr>
            <w:tcW w:w="14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2.09</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6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2.05</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tcPr>
          <w:p>
            <w:pPr>
              <w:spacing w:after="0"/>
              <w:rPr>
                <w:sz w:val="18"/>
                <w:szCs w:val="18"/>
                <w:color w:val="auto"/>
              </w:rPr>
            </w:pPr>
          </w:p>
        </w:tc>
        <w:tc>
          <w:tcPr>
            <w:tcW w:w="1400" w:type="dxa"/>
            <w:vAlign w:val="bottom"/>
            <w:gridSpan w:val="2"/>
          </w:tcPr>
          <w:p>
            <w:pPr>
              <w:jc w:val="right"/>
              <w:ind w:right="428"/>
              <w:spacing w:after="0"/>
              <w:rPr>
                <w:sz w:val="20"/>
                <w:szCs w:val="20"/>
                <w:color w:val="auto"/>
              </w:rPr>
            </w:pPr>
            <w:r>
              <w:rPr>
                <w:rFonts w:ascii="Arial" w:cs="Arial" w:eastAsia="Arial" w:hAnsi="Arial"/>
                <w:sz w:val="18"/>
                <w:szCs w:val="18"/>
                <w:color w:val="auto"/>
              </w:rPr>
              <w:t>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0.42</w:t>
            </w:r>
          </w:p>
        </w:tc>
        <w:tc>
          <w:tcPr>
            <w:tcW w:w="6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outstanding (in Thousands):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50,791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49,240</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49,494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48,967</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51,672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50,232</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50,385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49,859</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color w:val="auto"/>
              </w:rPr>
              <w:t>(Unaudited)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1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July 31, 2006</w:t>
            </w:r>
          </w:p>
        </w:tc>
        <w:tc>
          <w:tcPr>
            <w:tcW w:w="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5340"/>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113,008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72,970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11,500</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($6,390 and $3,726, respectively)</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187,907</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123,453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59,365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38,827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400"/>
              <w:spacing w:after="0" w:line="202" w:lineRule="exact"/>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12,850</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37,702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Total inventories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109,917</w:t>
            </w: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36,825</w:t>
            </w:r>
          </w:p>
        </w:tc>
        <w:tc>
          <w:tcPr>
            <w:tcW w:w="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4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459,157</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302,372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587,642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332,369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134,111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71,647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34,135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39,043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10,235</w:t>
            </w:r>
          </w:p>
        </w:tc>
        <w:tc>
          <w:tcPr>
            <w:tcW w:w="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4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766,123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449,364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6,548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78,418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65,007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198,426</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157,093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12,098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295,490</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234,998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155,584</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136,587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139,906</w:t>
            </w:r>
          </w:p>
        </w:tc>
        <w:tc>
          <w:tcPr>
            <w:tcW w:w="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98,411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1,365,186</w:t>
            </w:r>
          </w:p>
        </w:tc>
        <w:tc>
          <w:tcPr>
            <w:tcW w:w="6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850,147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560"/>
              <w:spacing w:after="0" w:line="202" w:lineRule="exact"/>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78,585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52,696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61,778</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49,620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6,231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25,675</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46,763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29,649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219,052</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160,812</w:t>
            </w:r>
          </w:p>
        </w:tc>
        <w:tc>
          <w:tcPr>
            <w:tcW w:w="0" w:type="dxa"/>
            <w:vAlign w:val="bottom"/>
          </w:tcPr>
          <w:p>
            <w:pPr>
              <w:spacing w:after="0"/>
              <w:rPr>
                <w:sz w:val="1"/>
                <w:szCs w:val="1"/>
                <w:color w:val="auto"/>
              </w:rPr>
            </w:pPr>
          </w:p>
        </w:tc>
      </w:tr>
      <w:tr>
        <w:trPr>
          <w:trHeight w:val="419"/>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350,018</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150,026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50,502</w:t>
            </w:r>
          </w:p>
        </w:tc>
        <w:tc>
          <w:tcPr>
            <w:tcW w:w="6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4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619,572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352,873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A nonvoting common stock — Issued 50,481,743 and 45,877,543 shares,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505</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respectively and outstanding 50,188,842 and 45,792,199 shares, respectively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258,922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99,029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460,991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382,880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- 292,901 and 85,344 shares, respectively of Class A nonvoting common stock, at</w:t>
            </w:r>
          </w:p>
        </w:tc>
        <w:tc>
          <w:tcPr>
            <w:tcW w:w="100" w:type="dxa"/>
            <w:vAlign w:val="bottom"/>
          </w:tcPr>
          <w:p>
            <w:pPr>
              <w:spacing w:after="0"/>
              <w:rPr>
                <w:sz w:val="17"/>
                <w:szCs w:val="17"/>
                <w:color w:val="auto"/>
              </w:rPr>
            </w:pPr>
          </w:p>
        </w:tc>
        <w:tc>
          <w:tcPr>
            <w:tcW w:w="14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(10,865)</w:t>
            </w:r>
          </w:p>
        </w:tc>
        <w:tc>
          <w:tcPr>
            <w:tcW w:w="180" w:type="dxa"/>
            <w:vAlign w:val="bottom"/>
          </w:tcPr>
          <w:p>
            <w:pPr>
              <w:spacing w:after="0"/>
              <w:rPr>
                <w:sz w:val="17"/>
                <w:szCs w:val="17"/>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400"/>
              <w:spacing w:after="0" w:line="203" w:lineRule="exact"/>
              <w:rPr>
                <w:sz w:val="20"/>
                <w:szCs w:val="20"/>
                <w:color w:val="auto"/>
              </w:rPr>
            </w:pPr>
            <w:r>
              <w:rPr>
                <w:rFonts w:ascii="Arial" w:cs="Arial" w:eastAsia="Arial" w:hAnsi="Arial"/>
                <w:sz w:val="18"/>
                <w:szCs w:val="18"/>
                <w:color w:val="auto"/>
              </w:rPr>
              <w:t>cost</w:t>
            </w:r>
          </w:p>
        </w:tc>
        <w:tc>
          <w:tcPr>
            <w:tcW w:w="1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b w:val="1"/>
                <w:bCs w:val="1"/>
                <w:color w:val="auto"/>
              </w:rPr>
              <w:t>35,264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17,497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927" w:right="23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stockholders’ investment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745,614</w:t>
            </w:r>
          </w:p>
        </w:tc>
        <w:tc>
          <w:tcPr>
            <w:tcW w:w="64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497,274</w:t>
            </w:r>
          </w:p>
        </w:tc>
        <w:tc>
          <w:tcPr>
            <w:tcW w:w="100" w:type="dxa"/>
            <w:vAlign w:val="bottom"/>
            <w:shd w:val="clear" w:color="auto" w:fill="CCEEFF"/>
          </w:tcPr>
          <w:p>
            <w:pPr>
              <w:spacing w:after="0"/>
              <w:rPr>
                <w:sz w:val="17"/>
                <w:szCs w:val="17"/>
                <w:color w:val="auto"/>
              </w:rPr>
            </w:pPr>
          </w:p>
        </w:tc>
      </w:tr>
      <w:tr>
        <w:trPr>
          <w:trHeight w:val="412"/>
        </w:trPr>
        <w:tc>
          <w:tcPr>
            <w:tcW w:w="8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1,365,186</w:t>
            </w:r>
          </w:p>
        </w:tc>
        <w:tc>
          <w:tcPr>
            <w:tcW w:w="6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  850,147</w:t>
            </w:r>
          </w:p>
        </w:tc>
      </w:tr>
      <w:tr>
        <w:trPr>
          <w:trHeight w:val="20"/>
        </w:trPr>
        <w:tc>
          <w:tcPr>
            <w:tcW w:w="8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88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color w:val="auto"/>
              </w:rPr>
              <w:t>Twelve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color w:val="auto"/>
                <w:w w:val="99"/>
              </w:rPr>
              <w:t>31-Jul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104,175</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81,947</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35,144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26,822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Foreign Currency Contract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(1,516)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5,385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(1,843)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Loss on sale or disposal of property, plant &amp; equipment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1,152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5,568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5,579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restructuring charge accrued liability</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(13,620)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(7,132)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(16,961)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(11,847)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(2,163)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10,421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8,827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492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9,662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(5,643)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4,126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115,330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119,103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87,646</w:t>
            </w:r>
          </w:p>
        </w:tc>
        <w:tc>
          <w:tcPr>
            <w:tcW w:w="0" w:type="dxa"/>
            <w:vAlign w:val="bottom"/>
          </w:tcPr>
          <w:p>
            <w:pPr>
              <w:spacing w:after="0"/>
              <w:rPr>
                <w:sz w:val="1"/>
                <w:szCs w:val="1"/>
                <w:color w:val="auto"/>
              </w:rPr>
            </w:pPr>
          </w:p>
        </w:tc>
      </w:tr>
      <w:tr>
        <w:trPr>
          <w:trHeight w:val="405"/>
        </w:trPr>
        <w:tc>
          <w:tcPr>
            <w:tcW w:w="75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5"/>
              </w:rPr>
              <w:t>(347,681)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(79,926)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(228,928)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5"/>
              </w:rPr>
              <w:t>(150,900)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(50,025)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146,500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48,075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(39,410)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(21,920)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Foreign Currency Contract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(2,134)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546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(2,203)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(395,282)</w:t>
            </w:r>
          </w:p>
        </w:tc>
        <w:tc>
          <w:tcPr>
            <w:tcW w:w="2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(105,092)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(240,505)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(26,064)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(21,291)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166,664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15,734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5"/>
              </w:rPr>
              <w:t>(417,601)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(85,604)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(161,578)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615,730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83,000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(24,683)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4,912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Debt issue costs</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318,958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(9,712)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40,038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4,182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72,970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68,788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113,008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72,970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68,788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8,991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7,836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37,661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19,358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Fair value of asset acquired, net of cash</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167,900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60,193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(63,667)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(35,113)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247,098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54,846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Effect of foreign currency contract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(3,650)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paid for acquisitions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347,681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79,926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228,928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414"/>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3"/>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lvl w:ilvl="1">
      <w:lvlJc w:val="left"/>
      <w:lvlText w:val="(%2)"/>
      <w:numFmt w:val="lowerRoman"/>
      <w:start w:val="2"/>
    </w:lvl>
  </w:abstractNum>
  <w:abstractNum w:abstractNumId="6">
    <w:nsid w:val="140E0F76"/>
    <w:multiLevelType w:val="hybridMultilevel"/>
    <w:lvl w:ilvl="0">
      <w:lvlJc w:val="left"/>
      <w:lvlText w:val="%1"/>
      <w:numFmt w:val="lowerLetter"/>
      <w:start w:val="1"/>
    </w:lvl>
    <w:lvl w:ilvl="1">
      <w:lvlJc w:val="left"/>
      <w:lvlText w:val="(%2)"/>
      <w:numFmt w:val="lowerRoman"/>
      <w:start w:val="6"/>
    </w:lvl>
  </w:abstractNum>
  <w:abstractNum w:abstractNumId="7">
    <w:nsid w:val="3352255A"/>
    <w:multiLevelType w:val="hybridMultilevel"/>
    <w:lvl w:ilvl="0">
      <w:lvlJc w:val="left"/>
      <w:lvlText w:val="(%1)"/>
      <w:numFmt w:val="lowerLetter"/>
      <w:start w:val="3"/>
    </w:lvl>
    <w:lvl w:ilvl="1">
      <w:lvlJc w:val="left"/>
      <w:lvlText w:val="%2"/>
      <w:numFmt w:val="lowerRoman"/>
      <w:start w:val="1"/>
    </w:lvl>
  </w:abstractNum>
  <w:abstractNum w:abstractNumId="8">
    <w:nsid w:val="109CF92E"/>
    <w:multiLevelType w:val="hybridMultilevel"/>
    <w:lvl w:ilvl="0">
      <w:lvlJc w:val="left"/>
      <w:lvlText w:val="(%1)"/>
      <w:numFmt w:val="lowerRoman"/>
      <w:start w:val="1"/>
    </w:lvl>
    <w:lvl w:ilvl="1">
      <w:lvlJc w:val="left"/>
      <w:lvlText w:val="(%2)"/>
      <w:numFmt w:val="upperLetter"/>
      <w:start w:val="1"/>
    </w:lvl>
  </w:abstractNum>
  <w:abstractNum w:abstractNumId="9">
    <w:nsid w:val="DED7263"/>
    <w:multiLevelType w:val="hybridMultilevel"/>
    <w:lvl w:ilvl="0">
      <w:lvlJc w:val="left"/>
      <w:lvlText w:val="(%1)"/>
      <w:numFmt w:val="lowerRoman"/>
      <w:start w:val="3"/>
    </w:lvl>
    <w:lvl w:ilvl="1">
      <w:lvlJc w:val="left"/>
      <w:lvlText w:val="(%2)"/>
      <w:numFmt w:val="upp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1"/>
    </w:lvl>
    <w:lvl w:ilvl="1">
      <w:lvlJc w:val="left"/>
      <w:lvlText w:val="(%2)"/>
      <w:numFmt w:val="lowerLetter"/>
      <w:start w:val="9"/>
    </w:lvl>
  </w:abstractNum>
  <w:abstractNum w:abstractNumId="14">
    <w:nsid w:val="4E6AFB66"/>
    <w:multiLevelType w:val="hybridMultilevel"/>
    <w:lvl w:ilvl="0">
      <w:lvlJc w:val="left"/>
      <w:lvlText w:val="%1"/>
      <w:numFmt w:val="lowerLetter"/>
      <w:start w:val="1"/>
    </w:lvl>
    <w:lvl w:ilvl="1">
      <w:lvlJc w:val="left"/>
      <w:lvlText w:val="(%2)"/>
      <w:numFmt w:val="lowerRoman"/>
      <w:start w:val="2"/>
    </w:lvl>
  </w:abstractNum>
  <w:abstractNum w:abstractNumId="15">
    <w:nsid w:val="25E45D32"/>
    <w:multiLevelType w:val="hybridMultilevel"/>
    <w:lvl w:ilvl="0">
      <w:lvlJc w:val="left"/>
      <w:lvlText w:val="(%1)"/>
      <w:numFmt w:val="lowerLetter"/>
      <w:start w:val="2"/>
    </w:lvl>
    <w:lvl w:ilvl="1">
      <w:lvlJc w:val="left"/>
      <w:lvlText w:val="%2"/>
      <w:numFmt w:val="lowerRoman"/>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2019-12-13T14:13:24Z</dcterms:created>
  <dcterms:modified xsi:type="dcterms:W3CDTF">2019-12-13T14:13:24Z</dcterms:modified>
</cp:coreProperties>
</file>