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147955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139065</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2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60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1-14959</w:t>
            </w:r>
          </w:p>
        </w:tc>
        <w:tc>
          <w:tcPr>
            <w:tcW w:w="340" w:type="dxa"/>
            <w:vAlign w:val="bottom"/>
          </w:tcPr>
          <w:p>
            <w:pPr>
              <w:spacing w:after="0"/>
              <w:rPr>
                <w:sz w:val="20"/>
                <w:szCs w:val="20"/>
                <w:color w:val="auto"/>
              </w:rPr>
            </w:pPr>
          </w:p>
        </w:tc>
        <w:tc>
          <w:tcPr>
            <w:tcW w:w="3520" w:type="dxa"/>
            <w:vAlign w:val="bottom"/>
          </w:tcPr>
          <w:p>
            <w:pPr>
              <w:jc w:val="right"/>
              <w:ind w:right="12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2"/>
        </w:trPr>
        <w:tc>
          <w:tcPr>
            <w:tcW w:w="20" w:type="dxa"/>
            <w:vAlign w:val="bottom"/>
          </w:tcPr>
          <w:p>
            <w:pPr>
              <w:spacing w:after="0"/>
              <w:rPr>
                <w:sz w:val="15"/>
                <w:szCs w:val="15"/>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3"/>
          </w:tcPr>
          <w:p>
            <w:pPr>
              <w:jc w:val="center"/>
              <w:ind w:right="92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 w:type="dxa"/>
            <w:vAlign w:val="bottom"/>
          </w:tcPr>
          <w:p>
            <w:pPr>
              <w:spacing w:after="0"/>
              <w:rPr>
                <w:sz w:val="15"/>
                <w:szCs w:val="15"/>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851"/>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3"/>
          </w:tcPr>
          <w:p>
            <w:pPr>
              <w:jc w:val="center"/>
              <w:ind w:left="579"/>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6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jc w:val="right"/>
              <w:ind w:right="2399"/>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182"/>
        </w:trPr>
        <w:tc>
          <w:tcPr>
            <w:tcW w:w="20" w:type="dxa"/>
            <w:vAlign w:val="bottom"/>
          </w:tcPr>
          <w:p>
            <w:pPr>
              <w:spacing w:after="0"/>
              <w:rPr>
                <w:sz w:val="15"/>
                <w:szCs w:val="15"/>
                <w:color w:val="auto"/>
              </w:rPr>
            </w:pPr>
          </w:p>
        </w:tc>
        <w:tc>
          <w:tcPr>
            <w:tcW w:w="472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20" w:type="dxa"/>
            <w:vAlign w:val="bottom"/>
          </w:tcPr>
          <w:p>
            <w:pPr>
              <w:jc w:val="center"/>
              <w:ind w:right="179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Andrew T. Gorman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(414) 358-6600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24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1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Brady Corporation and its subsidiaries (“Brady,” the “Company,” “we,” “us,” or “our”) have developed and maintain an active initiative to identify sources of materials used in our products that contain metallic forms of tin, tantalum, tungsten or gold (“3TG Minerals” or “Conflict Minerals”), and to determine whether any such materials directly or indirectly fund or benefit armed groups in the Democratic Republic of the Congo (“DRC”) or an adjoining country (the “Covered Countries”). For calendar year 2024, Brady has conducted its reasonable country of origin inquiry (“RCOI”) in good faith for the products manufactured, or contracted to manufacture, by the Company where 3TG Minerals are necessary to the functionality or production of such products. We also conducted due diligence on the source and chain of custody of 3TG Minerals in our supply chain. Based on information received through its RCOI and due diligence program, Brady does not have evidence that 3TG Minerals used in its products, directly or indirectly, fund the armed groups in the DRC and the Covered Countries. However, our due diligence with our suppliers is ongoing with continuous improvement in our supply chain transparency and responsible sourcing of materials contained in our products.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RCOI described in our Conflict Minerals Report, several suppliers disclosed to us that their only sources of 3TG Minerals were from scrap/recycled materials identified in their supply chains, and, as such, did not require due diligence. Brady has reason to believe that 3TG Minerals used in its products do not solely originate from recycled or scrap sources. This determination is included in the attached Conflict Minerals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calendar year 2024, Brady Corporation is filing a Conflict Minerals Report which is attached as Exhibit 1.01 in Item 3.01 and is also publicly available on our website at the below link.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289" w:lineRule="exact"/>
        <w:rPr>
          <w:sz w:val="20"/>
          <w:szCs w:val="20"/>
          <w:color w:val="auto"/>
        </w:rPr>
      </w:pPr>
    </w:p>
    <w:p>
      <w:pPr>
        <w:ind w:left="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as required by Items 1.01 and 1.02 of this Form SD for calendar year ended December 31, 2024.</w:t>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/s/ ANN E. THORNTON</w:t>
      </w:r>
      <w:r>
        <w:rPr>
          <w:sz w:val="20"/>
          <w:szCs w:val="20"/>
          <w:color w:val="auto"/>
        </w:rPr>
        <w:tab/>
      </w:r>
      <w:r>
        <w:rPr>
          <w:rFonts w:ascii="Times New Roman" w:cs="Times New Roman" w:eastAsia="Times New Roman" w:hAnsi="Times New Roman"/>
          <w:sz w:val="17"/>
          <w:szCs w:val="17"/>
          <w:color w:val="auto"/>
        </w:rPr>
        <w:t>Date: May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2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130" w:right="339" w:bottom="1440" w:gutter="0" w:footer="0" w:header="0"/>
        </w:sectPr>
      </w:pPr>
    </w:p>
    <w:bookmarkStart w:id="3" w:name="page4"/>
    <w:bookmarkEnd w:id="3"/>
    <w:p>
      <w:pPr>
        <w:ind w:left="97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Brady Corporation</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0" w:lineRule="exact"/>
        <w:rPr>
          <w:sz w:val="20"/>
          <w:szCs w:val="20"/>
          <w:color w:val="auto"/>
        </w:rPr>
      </w:pPr>
    </w:p>
    <w:p>
      <w:pPr>
        <w:ind w:left="400" w:hanging="378"/>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has been prepared by management of Brady Corporation (hereinafter referred to as “Brady,” the “Company,” “we,” “us,” or “our”) pursuant to Rule 13p-1 under the Securities Exchange Act of 1934 as amended, for the reporting period January 1 to December 31, 2024. The report discusses efforts undertaken by Brady to determine whether our products contain cassiterite, columbite-tantalite, gold, wolframite, or other derivatives, which are limited to metallic forms of tin, tantalum, tungsten and gold (collectively, “3TG Minerals”), and further, to determine whether any such materials directly or indirectly fund or benefit armed groups in the Democratic Republic of the Congo or any adjacent countries (“Covered Countries”). The scope of the reasonable country of origin inquiry (“RCOI”) and due diligence efforts discussed includes products both sourced directly by, and manufactured for Brady in calendar year 2024.</w:t>
      </w:r>
    </w:p>
    <w:p>
      <w:pPr>
        <w:spacing w:after="0" w:line="215" w:lineRule="exact"/>
        <w:rPr>
          <w:rFonts w:ascii="Times New Roman" w:cs="Times New Roman" w:eastAsia="Times New Roman" w:hAnsi="Times New Roman"/>
          <w:sz w:val="18"/>
          <w:szCs w:val="18"/>
          <w:b w:val="1"/>
          <w:bCs w:val="1"/>
          <w:color w:val="auto"/>
        </w:rPr>
      </w:pPr>
    </w:p>
    <w:p>
      <w:pPr>
        <w:ind w:left="4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statements below are based on the activities performed to date in good faith by Brady and are based on information available at the time of this filing.</w:t>
      </w:r>
    </w:p>
    <w:p>
      <w:pPr>
        <w:spacing w:after="0" w:line="188"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manufactures, or contracts to manufacture, products that contain materials or components that use 3TG Minerals. Due to the depth of its supply chain, Brady is far removed from the sources of ore from which these metals are produced and the smelters/refiners that process them. We do not purchase raw ore or unrefined minerals and conduct no purchasing activities directly in the Covered Countries. The efforts undertaken by Brady to identify the country(ies) of origin of those ores reflect our circumstances and position in the supply chain, which is multiple steps removed from the smelter or mine. The information available globally on the traceability and sourcing of these ores is limited at this time, and this situation is not unique to Brady.</w:t>
      </w:r>
    </w:p>
    <w:p>
      <w:pPr>
        <w:spacing w:after="0" w:line="210" w:lineRule="exact"/>
        <w:rPr>
          <w:sz w:val="20"/>
          <w:szCs w:val="20"/>
          <w:color w:val="auto"/>
        </w:rPr>
      </w:pPr>
    </w:p>
    <w:p>
      <w:pPr>
        <w:ind w:left="400" w:hanging="394"/>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Reasonable Country of Origin Inquiry</w:t>
      </w:r>
    </w:p>
    <w:p>
      <w:pPr>
        <w:spacing w:after="0" w:line="256" w:lineRule="exact"/>
        <w:rPr>
          <w:rFonts w:ascii="Times New Roman" w:cs="Times New Roman" w:eastAsia="Times New Roman" w:hAnsi="Times New Roman"/>
          <w:sz w:val="18"/>
          <w:szCs w:val="18"/>
          <w:b w:val="1"/>
          <w:bCs w:val="1"/>
          <w:color w:val="auto"/>
        </w:rPr>
      </w:pPr>
    </w:p>
    <w:p>
      <w:pPr>
        <w:jc w:val="both"/>
        <w:ind w:left="4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2024 RCOI began with identifying the products we manufacture or contract to manufacture that have a possibility of containing 3TG Minerals, or where 3TG Minerals are required for the functionality or production of such products. In 2024, Brady expanded the scope of the review of its product lines by evaluating new products and their material suppliers during the filing year, and where there was uncertainty about whether a particular product potentially contained 3TG Minerals, it was included in the 2024 inquiries. The potential suppliers of the 3TG Minerals that may be contained in such products were determined to be “in scope.” The exact nature of the parts and materials identified in our products that may contain 3TG Minerals ranged over a broad spectrum of items, but were heavily concentrated in electronics and workplace safety products.</w:t>
      </w:r>
    </w:p>
    <w:p>
      <w:pPr>
        <w:spacing w:after="0" w:line="214" w:lineRule="exact"/>
        <w:rPr>
          <w:rFonts w:ascii="Times New Roman" w:cs="Times New Roman" w:eastAsia="Times New Roman" w:hAnsi="Times New Roman"/>
          <w:sz w:val="18"/>
          <w:szCs w:val="18"/>
          <w:b w:val="1"/>
          <w:bCs w:val="1"/>
          <w:color w:val="auto"/>
        </w:rPr>
      </w:pPr>
    </w:p>
    <w:p>
      <w:pPr>
        <w:jc w:val="both"/>
        <w:ind w:lef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Brady conducted its RCOI of those suppliers deemed in scope, using the Conflict Materials Reporting Template (CMRT), which is the Responsible Minerals Initiative (RMI) reporting template. The supplier responses received were reviewed for completeness and consistency. We also verified “No 3TG content declarations” on a random basis to provide additional assurance of the claims made by suppliers. In certain other instances, suppliers were required to provide clarifications or additional detail where responses were incomplete or in need of explanation. Our RCOI process included an escalation procedure seeking information from non-responsive suppliers resulting in 100% in-scope supplier responses.</w:t>
      </w:r>
    </w:p>
    <w:p>
      <w:pPr>
        <w:spacing w:after="0" w:line="210" w:lineRule="exact"/>
        <w:rPr>
          <w:rFonts w:ascii="Times New Roman" w:cs="Times New Roman" w:eastAsia="Times New Roman" w:hAnsi="Times New Roman"/>
          <w:sz w:val="18"/>
          <w:szCs w:val="18"/>
          <w:b w:val="1"/>
          <w:bCs w:val="1"/>
          <w:color w:val="auto"/>
        </w:rPr>
      </w:pPr>
    </w:p>
    <w:p>
      <w:pPr>
        <w:ind w:lef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2024, 321 unique smelters were identified as potentially being part of our supply chain. In addition, Brady undertook due diligence on the identified smelters to determine their status regarding 3TG Minerals.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such, we believe our RCOI process was reasonably designed and performed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60"/>
          </w:cols>
          <w:pgMar w:left="500" w:top="887" w:right="339" w:bottom="1440" w:gutter="0" w:footer="0" w:header="0"/>
        </w:sectPr>
      </w:pPr>
    </w:p>
    <w:bookmarkStart w:id="4" w:name="page5"/>
    <w:bookmarkEnd w:id="4"/>
    <w:p>
      <w:pPr>
        <w:ind w:left="380" w:hanging="374"/>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of Due Diligence Measures</w:t>
      </w:r>
    </w:p>
    <w:p>
      <w:pPr>
        <w:spacing w:after="0" w:line="254" w:lineRule="exact"/>
        <w:rPr>
          <w:rFonts w:ascii="Times New Roman" w:cs="Times New Roman" w:eastAsia="Times New Roman" w:hAnsi="Times New Roman"/>
          <w:sz w:val="18"/>
          <w:szCs w:val="18"/>
          <w:b w:val="1"/>
          <w:bCs w:val="1"/>
          <w:color w:val="auto"/>
        </w:rPr>
      </w:pPr>
    </w:p>
    <w:p>
      <w:pPr>
        <w:jc w:val="both"/>
        <w:ind w:left="40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Brady designed its 3TG Minerals compliance procedures based on, and in conformity with, the five-step framework the </w:t>
      </w:r>
      <w:r>
        <w:rPr>
          <w:rFonts w:ascii="Times New Roman" w:cs="Times New Roman" w:eastAsia="Times New Roman" w:hAnsi="Times New Roman"/>
          <w:sz w:val="18"/>
          <w:szCs w:val="18"/>
          <w:i w:val="1"/>
          <w:iCs w:val="1"/>
          <w:color w:val="auto"/>
        </w:rPr>
        <w:t>OECD Due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Guidance for Responsible Supply Chains of Minerals from Conflict-Affected and High-Risk Areas: Third Edition</w:t>
      </w:r>
      <w:r>
        <w:rPr>
          <w:rFonts w:ascii="Times New Roman" w:cs="Times New Roman" w:eastAsia="Times New Roman" w:hAnsi="Times New Roman"/>
          <w:sz w:val="18"/>
          <w:szCs w:val="18"/>
          <w:color w:val="auto"/>
        </w:rPr>
        <w:t>, and related supplements on 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tungsten, tantalum, and the supplement on gold, as these relate to our position in the supply chain as a downstream user.</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1: Maintain strong company management systems</w:t>
      </w:r>
    </w:p>
    <w:p>
      <w:pPr>
        <w:spacing w:after="0" w:line="27"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2: Identify and assess risks in the supply chain</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4: Support independent third-party audits of smelter/refiner's due diligence practices</w:t>
      </w:r>
    </w:p>
    <w:p>
      <w:pPr>
        <w:spacing w:after="0" w:line="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 5: Report annually on supply chain due diligence</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Measures Performed by Brady Corporation</w:t>
      </w:r>
    </w:p>
    <w:p>
      <w:pPr>
        <w:spacing w:after="0" w:line="229"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are the due diligence measures performed by Brady with respect to the reporting year:</w:t>
      </w:r>
    </w:p>
    <w:p>
      <w:pPr>
        <w:spacing w:after="0" w:line="248" w:lineRule="exact"/>
        <w:rPr>
          <w:rFonts w:ascii="Times New Roman" w:cs="Times New Roman" w:eastAsia="Times New Roman" w:hAnsi="Times New Roman"/>
          <w:sz w:val="18"/>
          <w:szCs w:val="18"/>
          <w:b w:val="1"/>
          <w:bCs w:val="1"/>
          <w:color w:val="auto"/>
        </w:rPr>
      </w:pPr>
    </w:p>
    <w:p>
      <w:pPr>
        <w:ind w:left="800" w:hanging="405"/>
        <w:spacing w:after="0"/>
        <w:tabs>
          <w:tab w:leader="none" w:pos="8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1-Maintain strong company management systems</w:t>
      </w:r>
    </w:p>
    <w:p>
      <w:pPr>
        <w:spacing w:after="0" w:line="256" w:lineRule="exact"/>
        <w:rPr>
          <w:rFonts w:ascii="Times New Roman" w:cs="Times New Roman" w:eastAsia="Times New Roman" w:hAnsi="Times New Roman"/>
          <w:sz w:val="18"/>
          <w:szCs w:val="18"/>
          <w:b w:val="1"/>
          <w:bCs w:val="1"/>
          <w:color w:val="auto"/>
        </w:rPr>
      </w:pPr>
    </w:p>
    <w:p>
      <w:pPr>
        <w:ind w:left="1120" w:right="220" w:hanging="320"/>
        <w:spacing w:after="0" w:line="261"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an internal conflict minerals team involving sourcing and global product compliance staff. The focus of this team is to implement our Conflict Minerals program and ensure compliance.</w:t>
      </w: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maintains a Conflict Minerals Policy, which is available on our company website (see link below) in addition to our due diligence process for assessing the chain of custody of 3TG Minerals.</w:t>
      </w: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https://www.bradyid.com/corporate/supplier-information</w:t>
      </w:r>
    </w:p>
    <w:p>
      <w:pPr>
        <w:spacing w:after="0" w:line="9" w:lineRule="exact"/>
        <w:rPr>
          <w:rFonts w:ascii="Times New Roman" w:cs="Times New Roman" w:eastAsia="Times New Roman" w:hAnsi="Times New Roman"/>
          <w:sz w:val="18"/>
          <w:szCs w:val="18"/>
          <w:color w:val="auto"/>
        </w:rPr>
      </w:pPr>
    </w:p>
    <w:p>
      <w:pPr>
        <w:ind w:left="1120" w:right="20" w:hanging="320"/>
        <w:spacing w:after="0" w:line="25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engagement – Brady conducted internal training to educate relevant employees in our conflict minerals program including reporting obligations.</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engagement – Brady communicated the requirements of the conflict minerals rule to its suppliers regarding 3TG Minerals.</w:t>
      </w:r>
    </w:p>
    <w:p>
      <w:pPr>
        <w:spacing w:after="0" w:line="9" w:lineRule="exact"/>
        <w:rPr>
          <w:rFonts w:ascii="Times New Roman" w:cs="Times New Roman" w:eastAsia="Times New Roman" w:hAnsi="Times New Roman"/>
          <w:sz w:val="18"/>
          <w:szCs w:val="18"/>
          <w:color w:val="auto"/>
        </w:rPr>
      </w:pPr>
    </w:p>
    <w:p>
      <w:pPr>
        <w:ind w:left="1120" w:hanging="320"/>
        <w:spacing w:after="0" w:line="250" w:lineRule="auto"/>
        <w:tabs>
          <w:tab w:leader="none" w:pos="1157"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on our conflict minerals program to relevant business leaders and to Brady’s head of Global Compliance.</w:t>
      </w:r>
    </w:p>
    <w:p>
      <w:pPr>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mechanism to enable the reporting of and response to any customer facing questions related to conflict minerals and other supply chain matters.</w:t>
      </w:r>
    </w:p>
    <w:p>
      <w:pPr>
        <w:ind w:left="1120" w:hanging="320"/>
        <w:spacing w:after="0" w:line="260" w:lineRule="auto"/>
        <w:tabs>
          <w:tab w:leader="none" w:pos="117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retain conflict minerals program documentation in accordance with the Company’s existing corporate retention policy and procedures.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2-Identify and assess risk in the supply chain</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conducted a detailed review of the products manufactured or contracted to be manufactured during the reporting year 2024 to identify products that may be in scope of the rule.</w:t>
      </w: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identified the direct suppliers of products or components that may contain 3TG Minerals.</w:t>
      </w:r>
    </w:p>
    <w:p>
      <w:pPr>
        <w:spacing w:after="0" w:line="9" w:lineRule="exact"/>
        <w:rPr>
          <w:rFonts w:ascii="Times New Roman" w:cs="Times New Roman" w:eastAsia="Times New Roman" w:hAnsi="Times New Roman"/>
          <w:sz w:val="18"/>
          <w:szCs w:val="18"/>
          <w:color w:val="auto"/>
        </w:rPr>
      </w:pPr>
    </w:p>
    <w:p>
      <w:pPr>
        <w:jc w:val="both"/>
        <w:ind w:left="1120" w:hanging="320"/>
        <w:spacing w:after="0" w:line="25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conducted supply chain surveys of the in-scope suppliers using the industry-developed CMRT and requested that suppliers conduct their own 3TG Mineral inquiries to identify smelters and refineries as well as the country of origin of 3TG Minerals in products that are supplied to Brady.</w:t>
      </w:r>
    </w:p>
    <w:p>
      <w:pPr>
        <w:spacing w:after="0" w:line="1"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followed up with non-responding direct suppliers and also worked to clarify and validate the responses from the suppliers.</w:t>
      </w:r>
    </w:p>
    <w:p>
      <w:pPr>
        <w:spacing w:after="0" w:line="9"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 listings supplied by responding suppliers with the RMI list of validated conflict free and verified facilities. Further smelter confirmation was conducted using a commercially available smelter verification service.</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3-Design and implement a strategy to respond to identified risks</w:t>
      </w:r>
    </w:p>
    <w:p>
      <w:pPr>
        <w:spacing w:after="0" w:line="256" w:lineRule="exact"/>
        <w:rPr>
          <w:rFonts w:ascii="Times New Roman" w:cs="Times New Roman" w:eastAsia="Times New Roman" w:hAnsi="Times New Roman"/>
          <w:sz w:val="18"/>
          <w:szCs w:val="18"/>
          <w:b w:val="1"/>
          <w:bCs w:val="1"/>
          <w:color w:val="auto"/>
        </w:rPr>
      </w:pPr>
    </w:p>
    <w:p>
      <w:pPr>
        <w:ind w:left="1120" w:hanging="320"/>
        <w:spacing w:after="0" w:line="261" w:lineRule="auto"/>
        <w:tabs>
          <w:tab w:leader="none" w:pos="113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has a risk management plan that addresses known issues with suppliers that do not meet the requirements of Brady’s corporate sourcing policy.</w:t>
      </w:r>
    </w:p>
    <w:p>
      <w:pPr>
        <w:ind w:left="1120" w:hanging="320"/>
        <w:spacing w:after="0" w:line="260" w:lineRule="auto"/>
        <w:tabs>
          <w:tab w:leader="none" w:pos="1143"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conflict minerals team reports to relevant business leaders and the head of Global Compliance on the status of direct supplier responses.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500" w:top="887" w:right="339" w:bottom="1440" w:gutter="0" w:footer="0" w:header="0"/>
        </w:sectPr>
      </w:pPr>
    </w:p>
    <w:bookmarkStart w:id="5" w:name="page6"/>
    <w:bookmarkEnd w:id="5"/>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4-Support independent third-party audits of smelter/refiners' due diligence practices</w:t>
      </w:r>
    </w:p>
    <w:p>
      <w:pPr>
        <w:spacing w:after="0" w:line="256" w:lineRule="exact"/>
        <w:rPr>
          <w:rFonts w:ascii="Times New Roman" w:cs="Times New Roman" w:eastAsia="Times New Roman" w:hAnsi="Times New Roman"/>
          <w:sz w:val="18"/>
          <w:szCs w:val="18"/>
          <w:b w:val="1"/>
          <w:bCs w:val="1"/>
          <w:color w:val="auto"/>
        </w:rPr>
      </w:pPr>
    </w:p>
    <w:p>
      <w:pPr>
        <w:jc w:val="both"/>
        <w:ind w:left="1120" w:hanging="320"/>
        <w:spacing w:after="0" w:line="257" w:lineRule="auto"/>
        <w:tabs>
          <w:tab w:leader="none" w:pos="113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relies on RMI’s published lists of smelters and refiners that have been audited by various industry groups. Brady is many steps removed from the mining of 3TG Minerals. We do not purchase raw ore or unrefined 3TG Minerals, and we do not conduct any purchasing activities in the Covered Countries.</w:t>
      </w:r>
    </w:p>
    <w:p>
      <w:pPr>
        <w:spacing w:after="0" w:line="1" w:lineRule="exact"/>
        <w:rPr>
          <w:rFonts w:ascii="Times New Roman" w:cs="Times New Roman" w:eastAsia="Times New Roman" w:hAnsi="Times New Roman"/>
          <w:sz w:val="18"/>
          <w:szCs w:val="18"/>
          <w:color w:val="auto"/>
        </w:rPr>
      </w:pPr>
    </w:p>
    <w:p>
      <w:pPr>
        <w:ind w:left="1120" w:hanging="320"/>
        <w:spacing w:after="0" w:line="260"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supported the development and implementation of independent third-party audits of smelters/refiners through our Conflict Minerals Policy and procurement practices, which encourage suppliers to purchase materials from audited smelters/refiners.</w:t>
      </w:r>
    </w:p>
    <w:p>
      <w:pPr>
        <w:spacing w:after="0" w:line="204" w:lineRule="exact"/>
        <w:rPr>
          <w:rFonts w:ascii="Times New Roman" w:cs="Times New Roman" w:eastAsia="Times New Roman" w:hAnsi="Times New Roman"/>
          <w:sz w:val="18"/>
          <w:szCs w:val="18"/>
          <w:color w:val="auto"/>
        </w:rPr>
      </w:pPr>
    </w:p>
    <w:p>
      <w:pPr>
        <w:ind w:left="800" w:hanging="324"/>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 5-Report annually on supply chain due diligence</w:t>
      </w:r>
    </w:p>
    <w:p>
      <w:pPr>
        <w:spacing w:after="0" w:line="256" w:lineRule="exact"/>
        <w:rPr>
          <w:rFonts w:ascii="Times New Roman" w:cs="Times New Roman" w:eastAsia="Times New Roman" w:hAnsi="Times New Roman"/>
          <w:sz w:val="18"/>
          <w:szCs w:val="18"/>
          <w:b w:val="1"/>
          <w:bCs w:val="1"/>
          <w:color w:val="auto"/>
        </w:rPr>
      </w:pPr>
    </w:p>
    <w:p>
      <w:pPr>
        <w:ind w:left="1120" w:right="3580" w:hanging="320"/>
        <w:spacing w:after="0" w:line="532"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 has publicly communicated its Conflict Minerals Policy on our company website. </w:t>
      </w:r>
      <w:r>
        <w:rPr>
          <w:rFonts w:ascii="Times New Roman" w:cs="Times New Roman" w:eastAsia="Times New Roman" w:hAnsi="Times New Roman"/>
          <w:sz w:val="18"/>
          <w:szCs w:val="18"/>
          <w:u w:val="single" w:color="auto"/>
          <w:color w:val="0000FF"/>
        </w:rPr>
        <w:t>https://www.bradyid.com/corporate/supplier-information</w:t>
      </w:r>
    </w:p>
    <w:p>
      <w:pPr>
        <w:ind w:left="1120" w:right="1280" w:hanging="320"/>
        <w:spacing w:after="0" w:line="529" w:lineRule="auto"/>
        <w:tabs>
          <w:tab w:leader="none" w:pos="111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Brady’s Form SD and Conflict Minerals Report were filed with the SEC and are also available on our company website. </w:t>
      </w:r>
      <w:r>
        <w:rPr>
          <w:rFonts w:ascii="Times New Roman" w:cs="Times New Roman" w:eastAsia="Times New Roman" w:hAnsi="Times New Roman"/>
          <w:sz w:val="18"/>
          <w:szCs w:val="18"/>
          <w:u w:val="single" w:color="auto"/>
          <w:color w:val="0000FF"/>
        </w:rPr>
        <w:t>https://www.bradyid.com/corporate/supplier-information</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Results of the Due Diligence measures</w:t>
      </w:r>
    </w:p>
    <w:p>
      <w:pPr>
        <w:spacing w:after="0" w:line="256" w:lineRule="exact"/>
        <w:rPr>
          <w:sz w:val="20"/>
          <w:szCs w:val="20"/>
          <w:color w:val="auto"/>
        </w:rPr>
      </w:pPr>
    </w:p>
    <w:p>
      <w:pPr>
        <w:jc w:val="both"/>
        <w:ind w:left="400"/>
        <w:spacing w:after="0" w:line="258" w:lineRule="auto"/>
        <w:rPr>
          <w:sz w:val="20"/>
          <w:szCs w:val="20"/>
          <w:color w:val="auto"/>
        </w:rPr>
      </w:pPr>
      <w:r>
        <w:rPr>
          <w:rFonts w:ascii="Times New Roman" w:cs="Times New Roman" w:eastAsia="Times New Roman" w:hAnsi="Times New Roman"/>
          <w:sz w:val="18"/>
          <w:szCs w:val="18"/>
          <w:color w:val="auto"/>
        </w:rPr>
        <w:t>Brady’s due diligence on the source and chain of custody of necessary 3TG Minerals contained in its products revealed that a majority of smelters identified in our supply chain are either conformant or low risk. However, not all smelters in global mineral supply chains have been audited or re-audited yet. In addition, the compliance or operational status of certain smelters/refiners may have changed since December 31, 2024. Brady is working with its suppliers to ensure that all the smelters in its supply chain comply with the requirements of the rule. Additional due diligence is on-going, since most suppliers provided a company-level and not product-level declaration.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Product Description; Processing Facilities</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scope of our inquiry covered the following products, which we believe are the most likely to contain metallic forms of 3TG Minerals:</w:t>
      </w:r>
    </w:p>
    <w:p>
      <w:pPr>
        <w:spacing w:after="0" w:line="252" w:lineRule="exact"/>
        <w:rPr>
          <w:sz w:val="20"/>
          <w:szCs w:val="20"/>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Inkjet and thermal transfer printers—both handheld and desktop models—containing electronic parts;</w:t>
      </w:r>
    </w:p>
    <w:p>
      <w:pPr>
        <w:spacing w:after="0" w:line="2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Labels and tapes for thermal transfer printing, some of which are in cassettes containing electronic parts;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Preprinted labels and tapes, some with external coating, pipe and wire markers, and metal asset tags;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devices including barcode scanners, barcode readers, and RFID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signs and traffic signs;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Pads for medical applications and sorbent materials for environmental clean-up;</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Lock-out / tag-out devices;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Visitor identification badges, badge holders and lanyards, and wristbands; and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Die-cut materials for the telecommunications industry, primarily plastics and polyester foams.</w:t>
      </w:r>
    </w:p>
    <w:p>
      <w:pPr>
        <w:spacing w:after="0" w:line="234" w:lineRule="exact"/>
        <w:rPr>
          <w:sz w:val="20"/>
          <w:szCs w:val="20"/>
          <w:color w:val="auto"/>
        </w:rPr>
      </w:pPr>
    </w:p>
    <w:p>
      <w:pPr>
        <w:jc w:val="both"/>
        <w:ind w:left="400"/>
        <w:spacing w:after="0" w:line="261" w:lineRule="auto"/>
        <w:rPr>
          <w:sz w:val="20"/>
          <w:szCs w:val="20"/>
          <w:color w:val="auto"/>
        </w:rPr>
      </w:pPr>
      <w:r>
        <w:rPr>
          <w:rFonts w:ascii="Times New Roman" w:cs="Times New Roman" w:eastAsia="Times New Roman" w:hAnsi="Times New Roman"/>
          <w:sz w:val="18"/>
          <w:szCs w:val="18"/>
          <w:color w:val="auto"/>
        </w:rPr>
        <w:t>Brady also sells products that are purchased “as is” from manufacturers and not manufactured, or contracted to be manufactured, or whose design and bill of materials is not influenced in any way by Brady. These include traffic cones and barriers, barrier and perimeter tapes, and certain lock-out/tag-out devices. Brady also develops software for products that is factory-installed or downloadable. All of the foregoing products are not within the scope of this report.</w:t>
      </w:r>
    </w:p>
    <w:p>
      <w:pPr>
        <w:spacing w:after="0" w:line="207"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The smelting and refining facilities used to process the 3TG Minerals that were identified by our suppliers are listed in Appendix 1 and the potential countries of origin of the 3TG Minerals are listed in Appendix 2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500" w:top="887" w:right="339" w:bottom="1440" w:gutter="0" w:footer="0" w:header="0"/>
        </w:sectPr>
      </w:pPr>
    </w:p>
    <w:bookmarkStart w:id="6" w:name="page7"/>
    <w:bookmarkEnd w:id="6"/>
    <w:p>
      <w:pPr>
        <w:ind w:left="360" w:hanging="354"/>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Steps to Improve Due Diligence</w:t>
      </w:r>
    </w:p>
    <w:p>
      <w:pPr>
        <w:spacing w:after="0" w:line="256" w:lineRule="exact"/>
        <w:rPr>
          <w:sz w:val="20"/>
          <w:szCs w:val="20"/>
          <w:color w:val="auto"/>
        </w:rPr>
      </w:pPr>
    </w:p>
    <w:p>
      <w:pPr>
        <w:jc w:val="both"/>
        <w:ind w:left="400"/>
        <w:spacing w:after="0" w:line="254" w:lineRule="auto"/>
        <w:rPr>
          <w:sz w:val="20"/>
          <w:szCs w:val="20"/>
          <w:color w:val="auto"/>
        </w:rPr>
      </w:pPr>
      <w:r>
        <w:rPr>
          <w:rFonts w:ascii="Times New Roman" w:cs="Times New Roman" w:eastAsia="Times New Roman" w:hAnsi="Times New Roman"/>
          <w:sz w:val="18"/>
          <w:szCs w:val="18"/>
          <w:color w:val="auto"/>
        </w:rPr>
        <w:t>We will continue to communicate our expectations and information requirements regarding 3TG Minerals to our direct suppliers, as a part of our supplier compliance program. Brady has incorporated detailed discussions of conflict minerals in our supplier manual, which is distributed to all suppliers, and in our specifications for all new parts. We also include conflict minerals information in discussions with our suppliers, including discussions regarding relevant policies, procedures and practices. We will continue to monitor changes in circumstances that may impact the facts or our determination regarding the source of our 3TG Minerals. Over time, we anticipate that the amount of information globally on the traceability and sourcing of these ores will increase and improve our knowledge. We will continue to make further inquiries to our direct suppliers with the goals of assessing our supply chain, including existing and new suppliers, and improving our understanding of each 3TG Mineral supply chain. In addition, we will continue to monitor the smelters in our supply chain that are currently participating in audit programs for their “conflict-free” status.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Independent Private Sector Audit</w:t>
      </w:r>
    </w:p>
    <w:p>
      <w:pPr>
        <w:spacing w:after="0" w:line="256" w:lineRule="exact"/>
        <w:rPr>
          <w:sz w:val="20"/>
          <w:szCs w:val="20"/>
          <w:color w:val="auto"/>
        </w:rPr>
      </w:pPr>
    </w:p>
    <w:p>
      <w:pPr>
        <w:jc w:val="both"/>
        <w:ind w:left="400"/>
        <w:spacing w:after="0" w:line="282" w:lineRule="auto"/>
        <w:rPr>
          <w:sz w:val="20"/>
          <w:szCs w:val="20"/>
          <w:color w:val="auto"/>
        </w:rPr>
      </w:pPr>
      <w:r>
        <w:rPr>
          <w:rFonts w:ascii="Times New Roman" w:cs="Times New Roman" w:eastAsia="Times New Roman" w:hAnsi="Times New Roman"/>
          <w:sz w:val="18"/>
          <w:szCs w:val="18"/>
          <w:color w:val="auto"/>
        </w:rPr>
        <w:t>Pursuant to SEC rules and related guidance, an independent private sector audit was not required for Brady’s Conflict Minerals Report for calendar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60"/>
          </w:cols>
          <w:pgMar w:left="500" w:top="887" w:right="339" w:bottom="1440" w:gutter="0" w:footer="0" w:header="0"/>
        </w:sectPr>
      </w:pPr>
    </w:p>
    <w:bookmarkStart w:id="7" w:name="page8"/>
    <w:bookmarkEnd w:id="7"/>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Smelters/Refiners Identified by Suppliers Identified in Brady’s Supply Chain</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40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480" w:type="dxa"/>
            <w:vAlign w:val="bottom"/>
            <w:tcBorders>
              <w:top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Country Location</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Entity ID</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8853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ABC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Agosi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CID000035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CID002560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Albino Mountinho Lda.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CID002760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Alexy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CID003500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Argor-Heraeus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METALFINE,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Asahi Refining USA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CID000920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Asaka Riken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CID000090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CID004697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 Traders and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CID000113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Bangalore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CID002863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Bangko Sentral ng Pilipinas (Central Bank of the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CID000128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Boliden Ronnskar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Hafner GmbH +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Caridad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Cendres + Metaux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CID000189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CGR Metalloys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CID003382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Chimet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Chugai Mining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CID000264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Coimpa Industrial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CID004010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CID002867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CID003348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Dongwu Gold Group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CID003663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CID000401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CID000359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CID000425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CID003424</w:t>
            </w:r>
          </w:p>
        </w:tc>
      </w:tr>
    </w:tbl>
    <w:p>
      <w:pPr>
        <w:spacing w:after="0" w:line="200" w:lineRule="exact"/>
        <w:rPr>
          <w:sz w:val="20"/>
          <w:szCs w:val="20"/>
          <w:color w:val="auto"/>
        </w:rPr>
      </w:pPr>
    </w:p>
    <w:p>
      <w:pPr>
        <w:sectPr>
          <w:pgSz w:w="11900" w:h="16838" w:orient="portrait"/>
          <w:cols w:equalWidth="0" w:num="1">
            <w:col w:w="10900"/>
          </w:cols>
          <w:pgMar w:left="320" w:top="887"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00"/>
          </w:cols>
          <w:pgMar w:left="320" w:top="887" w:right="67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Elite Industech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CID003490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Emirates Gold DMCC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Fujairah Gold FZC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 Refinery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CID004506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by Gold Colombia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CID003641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Gold Coast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GHANA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CID000651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CID000671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Heimerle + Meule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CID000694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CID000711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HwaSeong CJ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CID004714</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Inner Mongolia Qiankun Gold and Silver Refinery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CID000807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Istanbul Gold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CID000814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Italpreziosi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JALAN &amp;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Copper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CID000855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CID000937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 Rasmussen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Kaloti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CID002563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Kazakhmys Smelting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Kazzinc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CID002511</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6</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CID000981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Zinc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Kyrgyzaltyn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KYRGYZSTAN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CID001029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CID001032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CID001058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L'Orfebre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ANDORRA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MnM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 Metal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Marsam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CID002606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Matsuda Sangyo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MD Overseas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CID003548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CID003575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Metallix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CID001193</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MKS PAMP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CID001352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MMTC-PAMP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and Watson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CID001220</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CID001236</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NH Recytech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CID003189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Nihon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CID001259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NOBLE METAL SERVICES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CID003690</w:t>
            </w:r>
          </w:p>
        </w:tc>
      </w:tr>
      <w:tr>
        <w:trPr>
          <w:trHeight w:val="211"/>
        </w:trPr>
        <w:tc>
          <w:tcPr>
            <w:tcW w:w="1580" w:type="dxa"/>
            <w:vAlign w:val="bottom"/>
            <w:tcBorders>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Ogussa Osterreichische Gold- und Silber-Scheideanstalt</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GmbH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CID001325</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Pease &amp; Curren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CID002872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CID001362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CID002919</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CID001397</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PX Precinox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CID001498</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QG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Rand Refinery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CID001512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CID000522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REMONDIS PMR B.V.</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CID002582</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Royal Canadian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CID001534</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SAAMP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CID002761</w:t>
            </w:r>
          </w:p>
        </w:tc>
      </w:tr>
      <w:tr>
        <w:trPr>
          <w:trHeight w:val="250"/>
        </w:trPr>
        <w:tc>
          <w:tcPr>
            <w:tcW w:w="1580" w:type="dxa"/>
            <w:vAlign w:val="bottom"/>
            <w:tcBorders>
              <w:left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Sabin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CID001546</w:t>
            </w:r>
          </w:p>
        </w:tc>
      </w:tr>
    </w:tbl>
    <w:p>
      <w:pPr>
        <w:spacing w:after="0" w:line="200" w:lineRule="exact"/>
        <w:rPr>
          <w:sz w:val="20"/>
          <w:szCs w:val="20"/>
          <w:color w:val="auto"/>
        </w:rPr>
      </w:pPr>
    </w:p>
    <w:p>
      <w:pPr>
        <w:sectPr>
          <w:pgSz w:w="11900" w:h="16838" w:orient="portrait"/>
          <w:cols w:equalWidth="0" w:num="1">
            <w:col w:w="10900"/>
          </w:cols>
          <w:pgMar w:left="320" w:top="916" w:right="67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900"/>
          </w:cols>
          <w:pgMar w:left="320" w:top="916" w:right="67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Safimet S.p.A</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SAFINA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CZECHIA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CID002290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Sai Refinery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Samduck Precious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Samwon Metals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CID001562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CID001585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CID001619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CID002750</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JINJUNWEI RESOURCE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CID004435</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DEVELOPMENT 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CID002527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Sovereign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CID003383</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LITHUANIA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CID003153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SungEel HiMetal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CID002918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CID001810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T.C.A S.p.A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Tokuriki Honten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CID001938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CID001947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TOO Tau-Ken-Altyn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Torecom</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CID001955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Valcambi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WEEEREFINING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Yamakin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Yokohama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CID002129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CID002224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5D Production OU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CID003926</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8</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 Brasil</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Block Metals,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CID004813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Tanbre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CID000917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KEMET de Mexico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Materion Newton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CID001163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NPM Silmet 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ESTONIA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CID001200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PowerX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CID004054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CID001769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Taki Chemical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Japan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Telex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CID001969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CID000616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Tantalum</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CID001522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Beerse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Aurubis Berango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CID000228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CID003190</w:t>
            </w:r>
          </w:p>
        </w:tc>
      </w:tr>
      <w:tr>
        <w:trPr>
          <w:trHeight w:val="864"/>
        </w:trPr>
        <w:tc>
          <w:tcPr>
            <w:tcW w:w="1580" w:type="dxa"/>
            <w:vAlign w:val="bottom"/>
          </w:tcPr>
          <w:p>
            <w:pPr>
              <w:spacing w:after="0"/>
              <w:rPr>
                <w:sz w:val="24"/>
                <w:szCs w:val="24"/>
                <w:color w:val="auto"/>
              </w:rPr>
            </w:pPr>
          </w:p>
        </w:tc>
        <w:tc>
          <w:tcPr>
            <w:tcW w:w="440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9</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Tin Group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CID001070</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CID003486</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CRM Synergies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CID003524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CV Ayi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CID003356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Dowa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CID000402</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CID002572</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4"/>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 Vinto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CID000438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Estanho de Rondonia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CID000448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Fenix Metals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CID000942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CID000538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CID001908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CID000555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CID004754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CID003116</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CID001231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Luna Smelter,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CID003387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CID003379</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CID002468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CID001105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Melt Metais e Ligas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CID002500</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Metallic Resources,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CID001142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Mineracao Taboca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CID001173</w:t>
            </w:r>
          </w:p>
        </w:tc>
      </w:tr>
      <w:tr>
        <w:trPr>
          <w:trHeight w:val="211"/>
        </w:trPr>
        <w:tc>
          <w:tcPr>
            <w:tcW w:w="1580" w:type="dxa"/>
            <w:vAlign w:val="bottom"/>
            <w:tcBorders>
              <w:left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CID004065</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Minsur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CID001182</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CID001191</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Modeltech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CID002858</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CID002573</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Novosibirsk Tin Combine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CID001305</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CID001314</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CID002517</w:t>
            </w:r>
          </w:p>
        </w:tc>
      </w:tr>
      <w:tr>
        <w:trPr>
          <w:trHeight w:val="250"/>
        </w:trPr>
        <w:tc>
          <w:tcPr>
            <w:tcW w:w="158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CID001337</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10</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CID003208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Bangka Prima Tin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CID002776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Cipta Persada Mulia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CID002696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Stania Prima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CID003449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CID000313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CID003868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CID002593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CID001477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CID001482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CID002706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CID004692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CID001539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CID002756</w:t>
            </w:r>
          </w:p>
        </w:tc>
      </w:tr>
      <w:tr>
        <w:trPr>
          <w:trHeight w:val="211"/>
        </w:trPr>
        <w:tc>
          <w:tcPr>
            <w:tcW w:w="15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CID004403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CID001898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CID002180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CID003325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CID002574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CID002036</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CID004724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CID002158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CID003397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CID000004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ACL Metais Eireli</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CID002833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CID003427</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Artek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CID003553</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CID002502</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CID000258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CID000281</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CID003468</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CID004060</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CID003609</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CID002315</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CID002494</w:t>
            </w:r>
          </w:p>
        </w:tc>
      </w:tr>
      <w:tr>
        <w:trPr>
          <w:trHeight w:val="250"/>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CID000568</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11</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CID000218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H.C. Starck Tungsten GmbH</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HANNAE FOR T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CID003978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CID000769</w:t>
            </w:r>
          </w:p>
        </w:tc>
      </w:tr>
      <w:tr>
        <w:trPr>
          <w:trHeight w:val="211"/>
        </w:trPr>
        <w:tc>
          <w:tcPr>
            <w:tcW w:w="158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CID002513</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Products Branch</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Hydrometallurg, JSC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CID002649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 New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CID000825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CID002551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CID002321</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CID002313</w:t>
            </w:r>
          </w:p>
        </w:tc>
      </w:tr>
      <w:tr>
        <w:trPr>
          <w:trHeight w:val="211"/>
        </w:trPr>
        <w:tc>
          <w:tcPr>
            <w:tcW w:w="158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1580" w:type="dxa"/>
            <w:vAlign w:val="bottom"/>
            <w:tcBorders>
              <w:left w:val="single" w:sz="8" w:color="auto"/>
              <w:right w:val="single" w:sz="8" w:color="auto"/>
            </w:tcBorders>
          </w:tcPr>
          <w:p>
            <w:pPr>
              <w:spacing w:after="0"/>
              <w:rPr>
                <w:sz w:val="20"/>
                <w:szCs w:val="20"/>
                <w:color w:val="auto"/>
              </w:rPr>
            </w:pPr>
          </w:p>
        </w:tc>
        <w:tc>
          <w:tcPr>
            <w:tcW w:w="4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Ltd.</w:t>
            </w:r>
          </w:p>
        </w:tc>
        <w:tc>
          <w:tcPr>
            <w:tcW w:w="34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r>
      <w:tr>
        <w:trPr>
          <w:trHeight w:val="27"/>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r>
        <w:trPr>
          <w:trHeight w:val="243"/>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CID004619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Fallon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CID000966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Kennametal Huntsville</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CID000105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Metals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CID003407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CID004397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 Vostok</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CID004056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CID002319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Moliren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CID002845</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CID004034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Niagara Refining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CID002589</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NPP Tyazhmetprom LLC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CID003416</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1</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CID003614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OOO “Technolom” 2</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CID003612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CID004797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CID004438</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CID002827</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CID004430</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CID002542</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CID003993</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CID002724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CID002044</w:t>
            </w:r>
          </w:p>
        </w:tc>
      </w:tr>
      <w:tr>
        <w:trPr>
          <w:trHeight w:val="25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44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CID002320</w:t>
            </w:r>
          </w:p>
        </w:tc>
      </w:tr>
      <w:tr>
        <w:trPr>
          <w:trHeight w:val="864"/>
        </w:trPr>
        <w:tc>
          <w:tcPr>
            <w:tcW w:w="1580" w:type="dxa"/>
            <w:vAlign w:val="bottom"/>
          </w:tcPr>
          <w:p>
            <w:pPr>
              <w:spacing w:after="0"/>
              <w:rPr>
                <w:sz w:val="24"/>
                <w:szCs w:val="24"/>
                <w:color w:val="auto"/>
              </w:rPr>
            </w:pPr>
          </w:p>
        </w:tc>
        <w:tc>
          <w:tcPr>
            <w:tcW w:w="440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12</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580" w:type="dxa"/>
            <w:vAlign w:val="bottom"/>
            <w:tcBorders>
              <w:top w:val="single" w:sz="8" w:color="auto"/>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Xiamen Tungsten Co., Ltd.</w:t>
            </w:r>
          </w:p>
        </w:tc>
        <w:tc>
          <w:tcPr>
            <w:tcW w:w="800" w:type="dxa"/>
            <w:vAlign w:val="bottom"/>
            <w:tcBorders>
              <w:top w:val="single" w:sz="8" w:color="auto"/>
              <w:bottom w:val="single" w:sz="8" w:color="auto"/>
              <w:right w:val="single" w:sz="8" w:color="auto"/>
            </w:tcBorders>
          </w:tcPr>
          <w:p>
            <w:pPr>
              <w:spacing w:after="0"/>
              <w:rPr>
                <w:sz w:val="22"/>
                <w:szCs w:val="22"/>
                <w:color w:val="auto"/>
              </w:rPr>
            </w:pPr>
          </w:p>
        </w:tc>
        <w:tc>
          <w:tcPr>
            <w:tcW w:w="3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CID002082</w:t>
            </w:r>
          </w:p>
        </w:tc>
      </w:tr>
      <w:tr>
        <w:trPr>
          <w:trHeight w:val="230"/>
        </w:trPr>
        <w:tc>
          <w:tcPr>
            <w:tcW w:w="158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Tungsten</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800" w:type="dxa"/>
            <w:vAlign w:val="bottom"/>
            <w:tcBorders>
              <w:bottom w:val="single" w:sz="8" w:color="auto"/>
              <w:right w:val="single" w:sz="8" w:color="auto"/>
            </w:tcBorders>
          </w:tcPr>
          <w:p>
            <w:pPr>
              <w:spacing w:after="0"/>
              <w:rPr>
                <w:sz w:val="19"/>
                <w:szCs w:val="19"/>
                <w:color w:val="auto"/>
              </w:rPr>
            </w:pPr>
          </w:p>
        </w:tc>
        <w:tc>
          <w:tcPr>
            <w:tcW w:w="3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CID003662</w:t>
            </w:r>
          </w:p>
        </w:tc>
      </w:tr>
      <w:tr>
        <w:trPr>
          <w:trHeight w:val="858"/>
        </w:trPr>
        <w:tc>
          <w:tcPr>
            <w:tcW w:w="1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0900"/>
          </w:cols>
          <w:pgMar w:left="320" w:top="916" w:right="679" w:bottom="1440" w:gutter="0" w:footer="0" w:header="0"/>
        </w:sectPr>
      </w:pPr>
    </w:p>
    <w:bookmarkStart w:id="16" w:name="page17"/>
    <w:bookmarkEnd w:id="16"/>
    <w:p>
      <w:pPr>
        <w:spacing w:after="0" w:line="1" w:lineRule="exact"/>
        <w:rPr>
          <w:sz w:val="20"/>
          <w:szCs w:val="20"/>
          <w:color w:val="auto"/>
        </w:rPr>
      </w:pPr>
    </w:p>
    <w:tbl>
      <w:tblPr>
        <w:tblLayout w:type="fixed"/>
        <w:tblInd w:w="185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Appendix 2</w:t>
            </w:r>
          </w:p>
        </w:tc>
      </w:tr>
      <w:tr>
        <w:trPr>
          <w:trHeight w:val="459"/>
        </w:trPr>
        <w:tc>
          <w:tcPr>
            <w:tcW w:w="2780" w:type="dxa"/>
            <w:vAlign w:val="bottom"/>
          </w:tcPr>
          <w:p>
            <w:pPr>
              <w:spacing w:after="0"/>
              <w:rPr>
                <w:sz w:val="24"/>
                <w:szCs w:val="24"/>
                <w:color w:val="auto"/>
              </w:rPr>
            </w:pPr>
          </w:p>
        </w:tc>
        <w:tc>
          <w:tcPr>
            <w:tcW w:w="484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9"/>
              </w:rPr>
              <w:t>Countries of Origin*</w:t>
            </w:r>
          </w:p>
        </w:tc>
      </w:tr>
      <w:tr>
        <w:trPr>
          <w:trHeight w:val="270"/>
        </w:trPr>
        <w:tc>
          <w:tcPr>
            <w:tcW w:w="27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Nicaragua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Benin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Burundi</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Peru</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Chile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Colombia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Rwanda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Sierra Leone</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Ethiopia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Guyana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Laos</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Madagascar</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 of Great Britain and Northern Ireland</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Mongolia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Mozambique</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Myanmar</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Zambia</w:t>
            </w:r>
          </w:p>
        </w:tc>
      </w:tr>
      <w:tr>
        <w:trPr>
          <w:trHeight w:val="223"/>
        </w:trPr>
        <w:tc>
          <w:tcPr>
            <w:tcW w:w="278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Namibia</w:t>
            </w:r>
          </w:p>
        </w:tc>
        <w:tc>
          <w:tcPr>
            <w:tcW w:w="76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Zimbabwe</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22222"/>
        </w:rPr>
        <w:t>*The information provided in this list is based on supplier declarations. However, Brady is many steps removed from the mines and smelters, there are many tiers of suppliers in our supply chain, and there is uncertainty as to whether ore from these countries would be present in our supply chain. Brady continues to work with our suppliers, and use publicly available information as well as commercially available services to take corrective actions as needed to further improve our due diligence as it relates to supply chain transparency.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 in Ukraine and resulting U.S. government sanctions against Russia have impacted the information we have about, and the status of, certain Russian-based smelters. The Company does not source directly from Russia. Furthermore, since Russia invaded Ukraine in February 2022, we have halted new orders and shipments into and out of Russia and Belarus until further notice and in alignment with international sanctions. The inclusion of a country on the list of smelters is not a final indicator that the Company utilized materials sourced from this country.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9"/>
    </w:lvl>
  </w:abstractNum>
  <w:abstractNum w:abstractNumId="3">
    <w:nsid w:val="507ED7AB"/>
    <w:multiLevelType w:val="hybridMultilevel"/>
    <w:lvl w:ilvl="0">
      <w:lvlJc w:val="left"/>
      <w:lvlText w:val="%1."/>
      <w:numFmt w:val="upperLetter"/>
      <w:start w:val="35"/>
    </w:lvl>
  </w:abstractNum>
  <w:abstractNum w:abstractNumId="4">
    <w:nsid w:val="2EB141F2"/>
    <w:multiLevelType w:val="hybridMultilevel"/>
    <w:lvl w:ilvl="0">
      <w:lvlJc w:val="left"/>
      <w:lvlText w:val="%1."/>
      <w:numFmt w:val="upperLetter"/>
      <w:start w:val="6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2025-05-22T11:42:14Z</dcterms:created>
  <dcterms:modified xsi:type="dcterms:W3CDTF">2025-05-22T11:42:14Z</dcterms:modified>
</cp:coreProperties>
</file>