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217170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400"/>
          </w:cols>
          <w:pgMar w:left="240" w:top="733" w:right="25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40" w:space="720"/>
            <w:col w:w="3140"/>
          </w:cols>
          <w:pgMar w:left="240" w:top="733" w:right="259" w:bottom="1440" w:gutter="0" w:footer="0" w:header="0"/>
          <w:type w:val="continuous"/>
        </w:sectPr>
      </w:pPr>
    </w:p>
    <w:p>
      <w:pPr>
        <w:jc w:val="center"/>
        <w:ind w:right="178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6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400" w:space="720"/>
            <w:col w:w="3280"/>
          </w:cols>
          <w:pgMar w:left="240" w:top="733" w:right="25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type w:val="continuous"/>
        </w:sectPr>
      </w:pPr>
    </w:p>
    <w:p>
      <w:pPr>
        <w:spacing w:after="0" w:line="388" w:lineRule="exact"/>
        <w:rPr>
          <w:sz w:val="24"/>
          <w:szCs w:val="24"/>
          <w:color w:val="auto"/>
        </w:rPr>
      </w:pPr>
    </w:p>
    <w:p>
      <w:pPr>
        <w:ind w:left="580" w:right="2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33" w:right="25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7"/>
          <w:szCs w:val="17"/>
          <w:color w:val="auto"/>
        </w:rPr>
        <w:t>RESULTS OF OPERATIONS AND FINANCIAL CONDITION</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February 22, 2018, Brady Corporation (the “Company”) issued a press release announcing its fiscal 2018 second quarter financial results. A copy of the press release is being furnished to the Securities and Exchange Commission as Exhibit 99.1 attached hereto and is incorporated herein by reference.</w:t>
      </w:r>
    </w:p>
    <w:p>
      <w:pPr>
        <w:spacing w:after="0" w:line="28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7"/>
          <w:szCs w:val="17"/>
          <w:color w:val="auto"/>
        </w:rPr>
        <w:t>REGULATION FD DISCLOSURE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22, 2018, the Company hosted a conference call related to its fiscal 2018 second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ind w:left="40"/>
              <w:spacing w:after="0"/>
              <w:rPr>
                <w:sz w:val="20"/>
                <w:szCs w:val="20"/>
                <w:color w:val="auto"/>
              </w:rPr>
            </w:pPr>
            <w:r>
              <w:rPr>
                <w:rFonts w:ascii="Arial" w:cs="Arial" w:eastAsia="Arial" w:hAnsi="Arial"/>
                <w:sz w:val="18"/>
                <w:szCs w:val="18"/>
                <w:color w:val="auto"/>
              </w:rPr>
              <w:t>Item 9.01</w:t>
            </w:r>
          </w:p>
        </w:tc>
        <w:tc>
          <w:tcPr>
            <w:tcW w:w="8760" w:type="dxa"/>
            <w:vAlign w:val="bottom"/>
            <w:gridSpan w:val="6"/>
          </w:tcPr>
          <w:p>
            <w:pPr>
              <w:ind w:left="100"/>
              <w:spacing w:after="0"/>
              <w:rPr>
                <w:sz w:val="20"/>
                <w:szCs w:val="20"/>
                <w:color w:val="auto"/>
              </w:rPr>
            </w:pPr>
            <w:r>
              <w:rPr>
                <w:rFonts w:ascii="Arial" w:cs="Arial" w:eastAsia="Arial" w:hAnsi="Arial"/>
                <w:sz w:val="18"/>
                <w:szCs w:val="18"/>
                <w:color w:val="auto"/>
              </w:rPr>
              <w:t>FINANCIAL STATEMENTS AND EXHIBITS</w:t>
            </w:r>
          </w:p>
        </w:tc>
        <w:tc>
          <w:tcPr>
            <w:tcW w:w="0" w:type="dxa"/>
            <w:vAlign w:val="bottom"/>
          </w:tcPr>
          <w:p>
            <w:pPr>
              <w:spacing w:after="0"/>
              <w:rPr>
                <w:sz w:val="1"/>
                <w:szCs w:val="1"/>
                <w:color w:val="auto"/>
              </w:rPr>
            </w:pP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80" w:type="dxa"/>
            <w:vAlign w:val="bottom"/>
          </w:tcPr>
          <w:p>
            <w:pPr>
              <w:ind w:left="40"/>
              <w:spacing w:after="0"/>
              <w:rPr>
                <w:sz w:val="20"/>
                <w:szCs w:val="20"/>
                <w:color w:val="auto"/>
              </w:rPr>
            </w:pPr>
            <w:r>
              <w:rPr>
                <w:rFonts w:ascii="Arial" w:cs="Arial" w:eastAsia="Arial" w:hAnsi="Arial"/>
                <w:sz w:val="16"/>
                <w:szCs w:val="16"/>
                <w:color w:val="auto"/>
              </w:rPr>
              <w:t>EXHIBIT</w:t>
            </w:r>
          </w:p>
        </w:tc>
        <w:tc>
          <w:tcPr>
            <w:tcW w:w="320" w:type="dxa"/>
            <w:vAlign w:val="bottom"/>
          </w:tcPr>
          <w:p>
            <w:pPr>
              <w:spacing w:after="0"/>
              <w:rPr>
                <w:sz w:val="24"/>
                <w:szCs w:val="24"/>
                <w:color w:val="auto"/>
              </w:rPr>
            </w:pPr>
          </w:p>
        </w:tc>
        <w:tc>
          <w:tcPr>
            <w:tcW w:w="8440" w:type="dxa"/>
            <w:vAlign w:val="bottom"/>
            <w:gridSpan w:val="5"/>
            <w:vMerge w:val="restart"/>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2"/>
        </w:trPr>
        <w:tc>
          <w:tcPr>
            <w:tcW w:w="980" w:type="dxa"/>
            <w:vAlign w:val="bottom"/>
          </w:tcPr>
          <w:p>
            <w:pPr>
              <w:ind w:left="40"/>
              <w:spacing w:after="0"/>
              <w:rPr>
                <w:sz w:val="20"/>
                <w:szCs w:val="20"/>
                <w:color w:val="auto"/>
              </w:rPr>
            </w:pPr>
            <w:r>
              <w:rPr>
                <w:rFonts w:ascii="Arial" w:cs="Arial" w:eastAsia="Arial" w:hAnsi="Arial"/>
                <w:sz w:val="16"/>
                <w:szCs w:val="16"/>
                <w:color w:val="auto"/>
              </w:rPr>
              <w:t>NUMBER</w:t>
            </w:r>
          </w:p>
        </w:tc>
        <w:tc>
          <w:tcPr>
            <w:tcW w:w="320" w:type="dxa"/>
            <w:vAlign w:val="bottom"/>
          </w:tcPr>
          <w:p>
            <w:pPr>
              <w:spacing w:after="0"/>
              <w:rPr>
                <w:sz w:val="18"/>
                <w:szCs w:val="18"/>
                <w:color w:val="auto"/>
              </w:rPr>
            </w:pPr>
          </w:p>
        </w:tc>
        <w:tc>
          <w:tcPr>
            <w:tcW w:w="84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78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Press Release of Brady Corporation, dated February 22, 2018, relating to second quarter fiscal 2018 financial</w:t>
              </w:r>
            </w:hyperlink>
          </w:p>
        </w:tc>
        <w:tc>
          <w:tcPr>
            <w:tcW w:w="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440" w:type="dxa"/>
            <w:vAlign w:val="bottom"/>
            <w:gridSpan w:val="5"/>
            <w:vMerge w:val="restart"/>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results.</w:t>
              </w:r>
            </w:hyperlink>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83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Informational slides provided by Brady Corporation, dated February 22, 2018, relating to second quarter fiscal 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44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rPr>
              <w:t>financial results.</w:t>
            </w: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74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 Ann Thornton 414-438-6887</w:t>
      </w:r>
    </w:p>
    <w:p>
      <w:pPr>
        <w:spacing w:after="0"/>
        <w:rPr>
          <w:sz w:val="20"/>
          <w:szCs w:val="20"/>
          <w:color w:val="auto"/>
        </w:rPr>
      </w:pPr>
      <w:r>
        <w:rPr>
          <w:rFonts w:ascii="Arial" w:cs="Arial" w:eastAsia="Arial" w:hAnsi="Arial"/>
          <w:sz w:val="20"/>
          <w:szCs w:val="20"/>
          <w:color w:val="auto"/>
        </w:rPr>
        <w:t>Media contact: Kate Venne 414-358-5176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Brady Corporation Reports Fiscal 2018 Second Quarter Results and Increases its Fiscal 2018 EPS Guidance</w:t>
      </w:r>
    </w:p>
    <w:p>
      <w:pPr>
        <w:spacing w:after="0" w:line="370" w:lineRule="exact"/>
        <w:rPr>
          <w:sz w:val="20"/>
          <w:szCs w:val="20"/>
          <w:color w:val="auto"/>
        </w:rPr>
      </w:pPr>
    </w:p>
    <w:p>
      <w:pPr>
        <w:ind w:left="660" w:right="120" w:hanging="328"/>
        <w:spacing w:after="0" w:line="31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Earnings before income taxes increased 20.4 percent, finishing at $35.0 million in the second quarter of fiscal 2018 compared to $29.1 million in the second quarter of fiscal 2017. This marks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consecutive quarter of growth.</w:t>
      </w:r>
    </w:p>
    <w:p>
      <w:pPr>
        <w:ind w:left="660" w:right="60" w:hanging="328"/>
        <w:spacing w:after="0" w:line="35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Earnings per diluted Class A Nonvoting Common Share were $0.08 in the second quarter of fiscal 2018 compared to $0.49 in the same quarter of the prior year. Results were reduced by approximately $0.40 per diluted Class A Nonvoting Common Share due to tax charges primarily related to U.S. tax legislation enacted during the quarter.</w:t>
      </w:r>
    </w:p>
    <w:p>
      <w:pPr>
        <w:ind w:left="660" w:right="280" w:hanging="328"/>
        <w:spacing w:after="0" w:line="35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Total revenues increased 7.4 percent, which consisted of organic revenue growth of 3.2 percent and an increase of 4.2 percent due to foreign currency translation.</w:t>
      </w:r>
    </w:p>
    <w:p>
      <w:pPr>
        <w:ind w:left="660" w:hanging="328"/>
        <w:spacing w:after="0" w:line="37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Earnings per diluted Class A Common Share guidance for the full year ending July 31, 2018 was increased to a range of $1.90 to $2.00, exclusive of tax charges primarily related to the enactment of the U.S. tax legislation.</w:t>
      </w:r>
    </w:p>
    <w:p>
      <w:pPr>
        <w:spacing w:after="0" w:line="271" w:lineRule="exact"/>
        <w:rPr>
          <w:sz w:val="20"/>
          <w:szCs w:val="20"/>
          <w:color w:val="auto"/>
        </w:rPr>
      </w:pPr>
    </w:p>
    <w:p>
      <w:pPr>
        <w:ind w:right="360"/>
        <w:spacing w:after="0" w:line="373" w:lineRule="auto"/>
        <w:rPr>
          <w:sz w:val="20"/>
          <w:szCs w:val="20"/>
          <w:color w:val="auto"/>
        </w:rPr>
      </w:pPr>
      <w:r>
        <w:rPr>
          <w:rFonts w:ascii="Arial" w:cs="Arial" w:eastAsia="Arial" w:hAnsi="Arial"/>
          <w:sz w:val="20"/>
          <w:szCs w:val="20"/>
          <w:color w:val="auto"/>
        </w:rPr>
        <w:t>MILWAUKEE (February 22, 2018)--Brady Corporation (NYSE: BRC) (“Brady” or “Company”), a world leader in identification solutions, today reported its financial results for its fiscal 2018 second quarter ended January 31, 2018.</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 Ended January 31, 2018 Financial Results:</w:t>
      </w:r>
    </w:p>
    <w:p>
      <w:pPr>
        <w:spacing w:after="0" w:line="114" w:lineRule="exact"/>
        <w:rPr>
          <w:sz w:val="20"/>
          <w:szCs w:val="20"/>
          <w:color w:val="auto"/>
        </w:rPr>
      </w:pPr>
    </w:p>
    <w:p>
      <w:pPr>
        <w:ind w:right="40" w:firstLine="648"/>
        <w:spacing w:after="0" w:line="352" w:lineRule="auto"/>
        <w:rPr>
          <w:sz w:val="20"/>
          <w:szCs w:val="20"/>
          <w:color w:val="auto"/>
        </w:rPr>
      </w:pPr>
      <w:r>
        <w:rPr>
          <w:rFonts w:ascii="Arial" w:cs="Arial" w:eastAsia="Arial" w:hAnsi="Arial"/>
          <w:sz w:val="20"/>
          <w:szCs w:val="20"/>
          <w:color w:val="auto"/>
        </w:rPr>
        <w:t>Earnings before income taxes increased 20.4 percent, finishing at $35.0 million for the second quarter of fiscal 2018 compared to $29.1 million for the second quarter of fiscal 2017.</w:t>
      </w:r>
    </w:p>
    <w:p>
      <w:pPr>
        <w:spacing w:after="0" w:line="1" w:lineRule="exact"/>
        <w:rPr>
          <w:sz w:val="20"/>
          <w:szCs w:val="20"/>
          <w:color w:val="auto"/>
        </w:rPr>
      </w:pPr>
    </w:p>
    <w:p>
      <w:pPr>
        <w:ind w:right="80" w:firstLine="648"/>
        <w:spacing w:after="0" w:line="352" w:lineRule="auto"/>
        <w:rPr>
          <w:sz w:val="20"/>
          <w:szCs w:val="20"/>
          <w:color w:val="auto"/>
        </w:rPr>
      </w:pPr>
      <w:r>
        <w:rPr>
          <w:rFonts w:ascii="Arial" w:cs="Arial" w:eastAsia="Arial" w:hAnsi="Arial"/>
          <w:sz w:val="20"/>
          <w:szCs w:val="20"/>
          <w:color w:val="auto"/>
        </w:rPr>
        <w:t>Net earnings for the quarter ended January 31, 2018, were $4.3 million compared to $25.3 million in the same quarter last year. During the quarter ended January 31, 2018, net earnings were reduced by $21.1 million due to income tax charges primarily related to the passage of the U.S. Tax Cuts and Jobs Act of 2017. The prior year quarter ended January 31, 2017 was impacted by a cash repatriation which resulted in a lower than normal income tax rate.</w:t>
      </w:r>
    </w:p>
    <w:p>
      <w:pPr>
        <w:spacing w:after="0" w:line="1" w:lineRule="exact"/>
        <w:rPr>
          <w:sz w:val="20"/>
          <w:szCs w:val="20"/>
          <w:color w:val="auto"/>
        </w:rPr>
      </w:pPr>
    </w:p>
    <w:p>
      <w:pPr>
        <w:ind w:right="200" w:firstLine="648"/>
        <w:spacing w:after="0" w:line="359" w:lineRule="auto"/>
        <w:rPr>
          <w:sz w:val="20"/>
          <w:szCs w:val="20"/>
          <w:color w:val="auto"/>
        </w:rPr>
      </w:pPr>
      <w:r>
        <w:rPr>
          <w:rFonts w:ascii="Arial" w:cs="Arial" w:eastAsia="Arial" w:hAnsi="Arial"/>
          <w:sz w:val="20"/>
          <w:szCs w:val="20"/>
          <w:color w:val="auto"/>
        </w:rPr>
        <w:t>Earnings per diluted Class A Nonvoting Common Share were $0.08 for the quarter ended January 31, 2018, compared to $0.49 in the same quarter last year. Income tax expense in the prior year quarter ended January 31, 2017 was impacted by a cash repatriation which increased earnings per diluted Class A Nonvoting Common Share by approximately $0.09, whereas the impact on income tax expense for the quarter ended January 31, 2018 from tax</w:t>
      </w:r>
    </w:p>
    <w:p>
      <w:pPr>
        <w:sectPr>
          <w:pgSz w:w="11900" w:h="16838" w:orient="portrait"/>
          <w:cols w:equalWidth="0" w:num="1">
            <w:col w:w="11420"/>
          </w:cols>
          <w:pgMar w:left="240" w:top="805" w:right="239" w:bottom="1440" w:gutter="0" w:footer="0" w:header="0"/>
        </w:sectPr>
      </w:pPr>
    </w:p>
    <w:bookmarkStart w:id="3" w:name="page4"/>
    <w:bookmarkEnd w:id="3"/>
    <w:p>
      <w:pPr>
        <w:spacing w:after="0" w:line="352" w:lineRule="auto"/>
        <w:rPr>
          <w:sz w:val="20"/>
          <w:szCs w:val="20"/>
          <w:color w:val="auto"/>
        </w:rPr>
      </w:pPr>
      <w:r>
        <w:rPr>
          <w:rFonts w:ascii="Arial" w:cs="Arial" w:eastAsia="Arial" w:hAnsi="Arial"/>
          <w:sz w:val="20"/>
          <w:szCs w:val="20"/>
          <w:color w:val="auto"/>
        </w:rPr>
        <w:t>charges primarily related to the enactment of the U.S. tax legislation was a reduction in earnings per diluted Class A Nonvoting Common Share of approximately $0.40.</w:t>
      </w:r>
    </w:p>
    <w:p>
      <w:pPr>
        <w:spacing w:after="0" w:line="1" w:lineRule="exact"/>
        <w:rPr>
          <w:sz w:val="20"/>
          <w:szCs w:val="20"/>
          <w:color w:val="auto"/>
        </w:rPr>
      </w:pPr>
    </w:p>
    <w:p>
      <w:pPr>
        <w:jc w:val="both"/>
        <w:ind w:right="220" w:firstLine="648"/>
        <w:spacing w:after="0" w:line="416" w:lineRule="auto"/>
        <w:rPr>
          <w:sz w:val="20"/>
          <w:szCs w:val="20"/>
          <w:color w:val="auto"/>
        </w:rPr>
      </w:pPr>
      <w:r>
        <w:rPr>
          <w:rFonts w:ascii="Arial" w:cs="Arial" w:eastAsia="Arial" w:hAnsi="Arial"/>
          <w:sz w:val="18"/>
          <w:szCs w:val="18"/>
          <w:color w:val="auto"/>
        </w:rPr>
        <w:t>Sales for the quarter ended January 31, 2018 increased 7.4 percent to $287.8 million compared to $268.0 million in the same quarter last year. By segment, sales increased 8.1 percent in Identification Solutions and 5.6 percent in Workplace Safety, which consisted of organic sales growth of 4.7 percent in Identification Solutions and an organic sales decline of 0.5 percent in Workplace Safety.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Six-Month Period Ended January 31, 2018 Financial Results:</w:t>
      </w:r>
    </w:p>
    <w:p>
      <w:pPr>
        <w:spacing w:after="0" w:line="114" w:lineRule="exact"/>
        <w:rPr>
          <w:sz w:val="20"/>
          <w:szCs w:val="20"/>
          <w:color w:val="auto"/>
        </w:rPr>
      </w:pPr>
    </w:p>
    <w:p>
      <w:pPr>
        <w:ind w:right="480" w:firstLine="648"/>
        <w:spacing w:after="0" w:line="352" w:lineRule="auto"/>
        <w:rPr>
          <w:sz w:val="20"/>
          <w:szCs w:val="20"/>
          <w:color w:val="auto"/>
        </w:rPr>
      </w:pPr>
      <w:r>
        <w:rPr>
          <w:rFonts w:ascii="Arial" w:cs="Arial" w:eastAsia="Arial" w:hAnsi="Arial"/>
          <w:sz w:val="20"/>
          <w:szCs w:val="20"/>
          <w:color w:val="auto"/>
        </w:rPr>
        <w:t>Earnings before income taxes increased 16.1 percent, finishing at $69.8 million for the six-month period ended January 31, 2018, compared to $60.1 million for the six-month period ended January 31, 2017.</w:t>
      </w:r>
    </w:p>
    <w:p>
      <w:pPr>
        <w:spacing w:after="0" w:line="1" w:lineRule="exact"/>
        <w:rPr>
          <w:sz w:val="20"/>
          <w:szCs w:val="20"/>
          <w:color w:val="auto"/>
        </w:rPr>
      </w:pPr>
    </w:p>
    <w:p>
      <w:pPr>
        <w:ind w:right="140" w:firstLine="648"/>
        <w:spacing w:after="0" w:line="370" w:lineRule="auto"/>
        <w:rPr>
          <w:sz w:val="20"/>
          <w:szCs w:val="20"/>
          <w:color w:val="auto"/>
        </w:rPr>
      </w:pPr>
      <w:r>
        <w:rPr>
          <w:rFonts w:ascii="Arial" w:cs="Arial" w:eastAsia="Arial" w:hAnsi="Arial"/>
          <w:sz w:val="19"/>
          <w:szCs w:val="19"/>
          <w:color w:val="auto"/>
        </w:rPr>
        <w:t>Net earnings for the six-month period ended January 31, 2018 were $30.1 million compared to $47.9 million for the six-month period ended January 31, 2017. During the six-month period ended January 31, 2018, net earnings were reduced by $21.1 million due to tax charges primarily related to the passage of the U.S. Tax Cuts and Jobs Act of 2017. The prior year six-month period ended January 31, 2017 was impacted by a cash repatriation which resulted in a lower than normal income tax rate.</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Earnings per diluted Class A Nonvoting Common Share were $0.57 for the six-month period ended January 31, 2018, compared to</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$0.93 in the same six-month period last year. Income tax expense in the prior year six-month period ended January 31, 2017 was impacted by 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cash repatriation which increased earnings per diluted Class A Nonvoting Common Share by approximately $0.09, whereas the impact 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for the six-month period ended January 31, 2018 from tax charges primarily related to the enactment of U.S. tax legislation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was a reduction of approximately $0.40 of earnings per diluted Class A Nonvoting Common Share.</w:t>
      </w:r>
    </w:p>
    <w:p>
      <w:pPr>
        <w:spacing w:after="0" w:line="108" w:lineRule="exact"/>
        <w:rPr>
          <w:sz w:val="20"/>
          <w:szCs w:val="20"/>
          <w:color w:val="auto"/>
        </w:rPr>
      </w:pPr>
    </w:p>
    <w:p>
      <w:pPr>
        <w:ind w:right="60" w:firstLine="648"/>
        <w:spacing w:after="0" w:line="483" w:lineRule="auto"/>
        <w:rPr>
          <w:sz w:val="20"/>
          <w:szCs w:val="20"/>
          <w:color w:val="auto"/>
        </w:rPr>
      </w:pPr>
      <w:r>
        <w:rPr>
          <w:rFonts w:ascii="Arial" w:cs="Arial" w:eastAsia="Arial" w:hAnsi="Arial"/>
          <w:sz w:val="16"/>
          <w:szCs w:val="16"/>
          <w:color w:val="auto"/>
        </w:rPr>
        <w:t>Sales for the six-month period ended January 31, 2018 increased 5.4 percent to $577.9 million compared to $548.2 million in the same six-month period last year. By segment, sales increased 6.1 percent in Identification Solutions and 3.7 percent in Workplace Safety, which consisted of organic sales growth of 3.8 percent in Identification Solutions and an organic sales decline of 1.0 percent in Workplace Safety.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Commentary:</w:t>
      </w:r>
    </w:p>
    <w:p>
      <w:pPr>
        <w:spacing w:after="0" w:line="114" w:lineRule="exact"/>
        <w:rPr>
          <w:sz w:val="20"/>
          <w:szCs w:val="20"/>
          <w:color w:val="auto"/>
        </w:rPr>
      </w:pPr>
    </w:p>
    <w:p>
      <w:pPr>
        <w:ind w:firstLine="648"/>
        <w:spacing w:after="0" w:line="370" w:lineRule="auto"/>
        <w:rPr>
          <w:sz w:val="20"/>
          <w:szCs w:val="20"/>
          <w:color w:val="auto"/>
        </w:rPr>
      </w:pPr>
      <w:r>
        <w:rPr>
          <w:rFonts w:ascii="Arial" w:cs="Arial" w:eastAsia="Arial" w:hAnsi="Arial"/>
          <w:sz w:val="19"/>
          <w:szCs w:val="19"/>
          <w:color w:val="auto"/>
        </w:rPr>
        <w:t>“Our investment in the development of innovative, high-quality products is paying off as we generated more than three percent organic sales growth this quarter, which was driven by our Identification Solutions business. This marks our tenth consecutive quarter of year-over-year pre-tax earnings improvement, which was a direct result of our focus on driving organic growth while achieving sustainable efficiency gains throughout our SG&amp;A structure,” said Brady’s President and Chief Executive Officer, J. Michael Nauman. “We expect to continue this positive organic sales trend as we gain momentum in our research and development processes and through the execution of our strategy in our Workplace Safety business. Our focus is consistent and remains on the long-term by taking actions today that we believe will result in organic sales growth and profit improvements into the future.”</w:t>
      </w:r>
    </w:p>
    <w:p>
      <w:pPr>
        <w:spacing w:after="0" w:line="6" w:lineRule="exact"/>
        <w:rPr>
          <w:sz w:val="20"/>
          <w:szCs w:val="20"/>
          <w:color w:val="auto"/>
        </w:rPr>
      </w:pPr>
    </w:p>
    <w:p>
      <w:pPr>
        <w:ind w:right="960" w:firstLine="648"/>
        <w:spacing w:after="0" w:line="373" w:lineRule="auto"/>
        <w:rPr>
          <w:sz w:val="20"/>
          <w:szCs w:val="20"/>
          <w:color w:val="auto"/>
        </w:rPr>
      </w:pPr>
      <w:r>
        <w:rPr>
          <w:rFonts w:ascii="Arial" w:cs="Arial" w:eastAsia="Arial" w:hAnsi="Arial"/>
          <w:sz w:val="20"/>
          <w:szCs w:val="20"/>
          <w:color w:val="auto"/>
        </w:rPr>
        <w:t>“Organic sales growth and our continued focus on efficiency opportunities throughout SG&amp;A were the drivers of our profit improvement this quarter,” said Brady’s Chief Financial Officer, Aaron Pearce. “We used our</w:t>
      </w:r>
    </w:p>
    <w:p>
      <w:pPr>
        <w:sectPr>
          <w:pgSz w:w="11900" w:h="16838" w:orient="portrait"/>
          <w:cols w:equalWidth="0" w:num="1">
            <w:col w:w="11380"/>
          </w:cols>
          <w:pgMar w:left="240" w:top="636" w:right="279" w:bottom="1440" w:gutter="0" w:footer="0" w:header="0"/>
        </w:sectPr>
      </w:pPr>
    </w:p>
    <w:bookmarkStart w:id="4" w:name="page5"/>
    <w:bookmarkEnd w:id="4"/>
    <w:p>
      <w:pPr>
        <w:jc w:val="both"/>
        <w:ind w:right="200"/>
        <w:spacing w:after="0" w:line="363" w:lineRule="auto"/>
        <w:rPr>
          <w:sz w:val="20"/>
          <w:szCs w:val="20"/>
          <w:color w:val="auto"/>
        </w:rPr>
      </w:pPr>
      <w:r>
        <w:rPr>
          <w:rFonts w:ascii="Arial" w:cs="Arial" w:eastAsia="Arial" w:hAnsi="Arial"/>
          <w:sz w:val="20"/>
          <w:szCs w:val="20"/>
          <w:color w:val="auto"/>
        </w:rPr>
        <w:t>cash generation to return funds to our shareholders and to repay debt. We repaid $27.9 million in debt during the quarter and finished in a net cash position of $44.1 million as of January 31, 2018. Our balance sheet continues to provide significant flexibility for investments in growth opportunities to drive long-term value for our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2018 Guidance:</w:t>
      </w:r>
    </w:p>
    <w:p>
      <w:pPr>
        <w:spacing w:after="0" w:line="114" w:lineRule="exact"/>
        <w:rPr>
          <w:sz w:val="20"/>
          <w:szCs w:val="20"/>
          <w:color w:val="auto"/>
        </w:rPr>
      </w:pPr>
    </w:p>
    <w:p>
      <w:pPr>
        <w:ind w:firstLine="648"/>
        <w:spacing w:after="0" w:line="401" w:lineRule="auto"/>
        <w:rPr>
          <w:sz w:val="20"/>
          <w:szCs w:val="20"/>
          <w:color w:val="auto"/>
        </w:rPr>
      </w:pPr>
      <w:r>
        <w:rPr>
          <w:rFonts w:ascii="Arial" w:cs="Arial" w:eastAsia="Arial" w:hAnsi="Arial"/>
          <w:sz w:val="18"/>
          <w:szCs w:val="18"/>
          <w:color w:val="auto"/>
        </w:rPr>
        <w:t>The Company is increasing its full year fiscal 2018 earnings per diluted Class A Nonvoting Common Share guidance from its previous range of $1.85 to $1.95 to a range of $1.90 to $2.00, exclusive of tax charges primarily related to the enactment of the U.S. Tax Cuts and Jobs Act of 2017. Included in this guidance is low-single digit organic sales growth, depreciation and amortization expense of approximately $26 million, and capital expenditures of approximately $20 million during the year ending July 31, 2018. The Company expects its full-year income tax rate, exclusive of charges primarily related to the enactment of the U.S. Tax Cuts and Jobs Act of 2017, to range from approximately 27 percent to 29 percent. This guidance is based upon foreign exchange rates as of January 31, 2018.</w:t>
      </w:r>
    </w:p>
    <w:p>
      <w:pPr>
        <w:spacing w:after="0" w:line="261" w:lineRule="exact"/>
        <w:rPr>
          <w:sz w:val="20"/>
          <w:szCs w:val="20"/>
          <w:color w:val="auto"/>
        </w:rPr>
      </w:pPr>
    </w:p>
    <w:p>
      <w:pPr>
        <w:ind w:right="300" w:firstLine="648"/>
        <w:spacing w:after="0" w:line="373" w:lineRule="auto"/>
        <w:rPr>
          <w:sz w:val="20"/>
          <w:szCs w:val="20"/>
          <w:color w:val="auto"/>
        </w:rPr>
      </w:pPr>
      <w:r>
        <w:rPr>
          <w:rFonts w:ascii="Arial" w:cs="Arial" w:eastAsia="Arial" w:hAnsi="Arial"/>
          <w:sz w:val="20"/>
          <w:szCs w:val="20"/>
          <w:color w:val="auto"/>
        </w:rPr>
        <w:t xml:space="preserve">A webcast regarding Brady’s fiscal 2018 second quarter financial results will be available at </w:t>
      </w:r>
      <w:r>
        <w:rPr>
          <w:rFonts w:ascii="Arial" w:cs="Arial" w:eastAsia="Arial" w:hAnsi="Arial"/>
          <w:sz w:val="20"/>
          <w:szCs w:val="20"/>
          <w:u w:val="single" w:color="auto"/>
          <w:color w:val="0000FF"/>
        </w:rPr>
        <w:t>www.bradycorp.com</w:t>
      </w:r>
      <w:r>
        <w:rPr>
          <w:rFonts w:ascii="Arial" w:cs="Arial" w:eastAsia="Arial" w:hAnsi="Arial"/>
          <w:sz w:val="20"/>
          <w:szCs w:val="20"/>
          <w:color w:val="auto"/>
        </w:rPr>
        <w:t xml:space="preserve"> beginning at 9:30 a.m. Central Time today.</w:t>
      </w:r>
    </w:p>
    <w:p>
      <w:pPr>
        <w:spacing w:after="0" w:line="271" w:lineRule="exact"/>
        <w:rPr>
          <w:sz w:val="20"/>
          <w:szCs w:val="20"/>
          <w:color w:val="auto"/>
        </w:rPr>
      </w:pPr>
    </w:p>
    <w:p>
      <w:pPr>
        <w:ind w:firstLine="648"/>
        <w:spacing w:after="0" w:line="355" w:lineRule="auto"/>
        <w:rPr>
          <w:sz w:val="20"/>
          <w:szCs w:val="20"/>
          <w:color w:val="auto"/>
        </w:rPr>
      </w:pPr>
      <w:r>
        <w:rPr>
          <w:rFonts w:ascii="Arial" w:cs="Arial" w:eastAsia="Arial" w:hAnsi="Arial"/>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2017, employed approximately 6,300 people in its worldwide businesses. Brady’s fiscal 2017 sales were approximately $1.11 billion. Brady stock trades on the New York Stock Exchange under the symbol BRC. More information is available on the Internet at </w:t>
      </w:r>
      <w:r>
        <w:rPr>
          <w:rFonts w:ascii="Arial" w:cs="Arial" w:eastAsia="Arial" w:hAnsi="Arial"/>
          <w:sz w:val="20"/>
          <w:szCs w:val="20"/>
          <w:u w:val="single" w:color="auto"/>
          <w:color w:val="0000FF"/>
        </w:rPr>
        <w:t>www.bradycorp.com.</w:t>
      </w:r>
    </w:p>
    <w:p>
      <w:pPr>
        <w:sectPr>
          <w:pgSz w:w="11900" w:h="16838" w:orient="portrait"/>
          <w:cols w:equalWidth="0" w:num="1">
            <w:col w:w="11400"/>
          </w:cols>
          <w:pgMar w:left="240" w:top="636"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0"/>
          <w:szCs w:val="20"/>
          <w:color w:val="auto"/>
        </w:rPr>
        <w:t>###</w:t>
      </w:r>
    </w:p>
    <w:p>
      <w:pPr>
        <w:spacing w:after="0" w:line="27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Brady’s ability to retain large customers; extensive regulations by U.S. and non-U.S. governmental and self-regulatory entities; Brady’s ability to execute facility consolidations and maintain acceptable operational service metrics; litigation, including product liability claims; risks associated with the loss of key employees; divestitures and contingent liabilities from divestitures; Brady’s ability to properly identify, integrate, and grow acquired companies; foreign currency fluctuations; the impact of the Tax Reform Act and any other changes in tax legislation and tax rates;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2017.</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00"/>
          </w:cols>
          <w:pgMar w:left="240" w:top="636"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EARNINGS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Dollars 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gridSpan w:val="5"/>
          </w:tcPr>
          <w:p>
            <w:pPr>
              <w:ind w:left="60"/>
              <w:spacing w:after="0"/>
              <w:rPr>
                <w:sz w:val="20"/>
                <w:szCs w:val="20"/>
                <w:color w:val="auto"/>
              </w:rPr>
            </w:pPr>
            <w:r>
              <w:rPr>
                <w:rFonts w:ascii="Arial" w:cs="Arial" w:eastAsia="Arial" w:hAnsi="Arial"/>
                <w:sz w:val="16"/>
                <w:szCs w:val="16"/>
                <w:color w:val="auto"/>
              </w:rPr>
              <w:t>Three months ended January 31,</w:t>
            </w:r>
          </w:p>
        </w:tc>
        <w:tc>
          <w:tcPr>
            <w:tcW w:w="200" w:type="dxa"/>
            <w:vAlign w:val="bottom"/>
          </w:tcPr>
          <w:p>
            <w:pPr>
              <w:spacing w:after="0"/>
              <w:rPr>
                <w:sz w:val="17"/>
                <w:szCs w:val="17"/>
                <w:color w:val="auto"/>
              </w:rPr>
            </w:pPr>
          </w:p>
        </w:tc>
        <w:tc>
          <w:tcPr>
            <w:tcW w:w="2300" w:type="dxa"/>
            <w:vAlign w:val="bottom"/>
            <w:gridSpan w:val="4"/>
          </w:tcPr>
          <w:p>
            <w:pPr>
              <w:jc w:val="right"/>
              <w:ind w:right="179"/>
              <w:spacing w:after="0"/>
              <w:rPr>
                <w:sz w:val="20"/>
                <w:szCs w:val="20"/>
                <w:color w:val="auto"/>
              </w:rPr>
            </w:pPr>
            <w:r>
              <w:rPr>
                <w:rFonts w:ascii="Arial" w:cs="Arial" w:eastAsia="Arial" w:hAnsi="Arial"/>
                <w:sz w:val="16"/>
                <w:szCs w:val="16"/>
                <w:color w:val="auto"/>
                <w:w w:val="93"/>
              </w:rPr>
              <w:t>Six months ended January 31,</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2017</w:t>
            </w:r>
          </w:p>
        </w:tc>
      </w:tr>
      <w:tr>
        <w:trPr>
          <w:trHeight w:val="33"/>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577,931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548,177</w:t>
            </w: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Cost of products sold</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144,088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133,843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288,174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273,661</w:t>
            </w:r>
          </w:p>
        </w:tc>
      </w:tr>
      <w:tr>
        <w:trPr>
          <w:trHeight w:val="33"/>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143,692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274,516</w:t>
            </w: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18,627</w:t>
            </w:r>
          </w:p>
        </w:tc>
      </w:tr>
      <w:tr>
        <w:trPr>
          <w:trHeight w:val="237"/>
        </w:trPr>
        <w:tc>
          <w:tcPr>
            <w:tcW w:w="46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97,582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94,715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197,716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192,719</w:t>
            </w:r>
          </w:p>
        </w:tc>
      </w:tr>
      <w:tr>
        <w:trPr>
          <w:trHeight w:val="33"/>
        </w:trPr>
        <w:tc>
          <w:tcPr>
            <w:tcW w:w="4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operating expenses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219,550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211,346</w:t>
            </w:r>
          </w:p>
        </w:tc>
      </w:tr>
      <w:tr>
        <w:trPr>
          <w:trHeight w:val="216"/>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63,170</w:t>
            </w:r>
          </w:p>
        </w:tc>
      </w:tr>
      <w:tr>
        <w:trPr>
          <w:trHeight w:val="216"/>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660" w:type="dxa"/>
            <w:vAlign w:val="bottom"/>
          </w:tcPr>
          <w:p>
            <w:pPr>
              <w:ind w:left="280"/>
              <w:spacing w:after="0"/>
              <w:rPr>
                <w:sz w:val="20"/>
                <w:szCs w:val="20"/>
                <w:color w:val="auto"/>
              </w:rPr>
            </w:pPr>
            <w:r>
              <w:rPr>
                <w:rFonts w:ascii="Arial" w:cs="Arial" w:eastAsia="Arial" w:hAnsi="Arial"/>
                <w:sz w:val="16"/>
                <w:szCs w:val="16"/>
                <w:color w:val="auto"/>
              </w:rPr>
              <w:t>Investment and other income</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r>
      <w:tr>
        <w:trPr>
          <w:trHeight w:val="210"/>
        </w:trPr>
        <w:tc>
          <w:tcPr>
            <w:tcW w:w="4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Earnings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60,087</w:t>
            </w:r>
          </w:p>
        </w:tc>
      </w:tr>
      <w:tr>
        <w:trPr>
          <w:trHeight w:val="216"/>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12,237</w:t>
            </w:r>
          </w:p>
        </w:tc>
      </w:tr>
      <w:tr>
        <w:trPr>
          <w:trHeight w:val="210"/>
        </w:trPr>
        <w:tc>
          <w:tcPr>
            <w:tcW w:w="4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62"/>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47,850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r>
      <w:tr>
        <w:trPr>
          <w:trHeight w:val="237"/>
        </w:trPr>
        <w:tc>
          <w:tcPr>
            <w:tcW w:w="4660" w:type="dxa"/>
            <w:vAlign w:val="bottom"/>
          </w:tcPr>
          <w:p>
            <w:pPr>
              <w:ind w:left="28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r>
      <w:tr>
        <w:trPr>
          <w:trHeight w:val="216"/>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earnings per Class B Voting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660" w:type="dxa"/>
            <w:vAlign w:val="bottom"/>
          </w:tcPr>
          <w:p>
            <w:pPr>
              <w:ind w:left="28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0.91</w:t>
            </w:r>
          </w:p>
        </w:tc>
      </w:tr>
      <w:tr>
        <w:trPr>
          <w:trHeight w:val="237"/>
        </w:trPr>
        <w:tc>
          <w:tcPr>
            <w:tcW w:w="466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0.39</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50,844</w:t>
            </w:r>
          </w:p>
        </w:tc>
      </w:tr>
      <w:tr>
        <w:trPr>
          <w:trHeight w:val="237"/>
        </w:trPr>
        <w:tc>
          <w:tcPr>
            <w:tcW w:w="4660" w:type="dxa"/>
            <w:vAlign w:val="bottom"/>
          </w:tcPr>
          <w:p>
            <w:pPr>
              <w:ind w:left="28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52,719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51,954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51,721</w:t>
            </w:r>
          </w:p>
        </w:tc>
      </w:tr>
    </w:tbl>
    <w:p>
      <w:pPr>
        <w:sectPr>
          <w:pgSz w:w="11900" w:h="16838" w:orient="portrait"/>
          <w:cols w:equalWidth="0" w:num="1">
            <w:col w:w="10219"/>
          </w:cols>
          <w:pgMar w:left="240" w:top="585" w:right="1440"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January 31, 2018</w:t>
            </w:r>
          </w:p>
        </w:tc>
        <w:tc>
          <w:tcPr>
            <w:tcW w:w="20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w w:val="98"/>
              </w:rPr>
              <w:t>July 31, 2017</w:t>
            </w:r>
          </w:p>
        </w:tc>
      </w:tr>
      <w:tr>
        <w:trPr>
          <w:trHeight w:val="33"/>
        </w:trPr>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ind w:left="620"/>
              <w:spacing w:after="0" w:line="169"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75"/>
        </w:trPr>
        <w:tc>
          <w:tcPr>
            <w:tcW w:w="7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30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r>
      <w:tr>
        <w:trPr>
          <w:trHeight w:val="224"/>
        </w:trPr>
        <w:tc>
          <w:tcPr>
            <w:tcW w:w="6680" w:type="dxa"/>
            <w:vAlign w:val="bottom"/>
            <w:gridSpan w:val="6"/>
          </w:tcPr>
          <w:p>
            <w:pPr>
              <w:ind w:left="4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668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133,944</w:t>
            </w:r>
          </w:p>
        </w:tc>
      </w:tr>
      <w:tr>
        <w:trPr>
          <w:trHeight w:val="237"/>
        </w:trPr>
        <w:tc>
          <w:tcPr>
            <w:tcW w:w="6680" w:type="dxa"/>
            <w:vAlign w:val="bottom"/>
            <w:gridSpan w:val="6"/>
          </w:tcPr>
          <w:p>
            <w:pPr>
              <w:ind w:left="380"/>
              <w:spacing w:after="0"/>
              <w:rPr>
                <w:sz w:val="20"/>
                <w:szCs w:val="20"/>
                <w:color w:val="auto"/>
              </w:rPr>
            </w:pPr>
            <w:r>
              <w:rPr>
                <w:rFonts w:ascii="Arial" w:cs="Arial" w:eastAsia="Arial" w:hAnsi="Arial"/>
                <w:sz w:val="16"/>
                <w:szCs w:val="16"/>
                <w:color w:val="auto"/>
              </w:rPr>
              <w:t>Accounts receivable—net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164,400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149,638</w:t>
            </w:r>
          </w:p>
        </w:tc>
      </w:tr>
      <w:tr>
        <w:trPr>
          <w:trHeight w:val="33"/>
        </w:trPr>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720" w:type="dxa"/>
            <w:vAlign w:val="bottom"/>
          </w:tcPr>
          <w:p>
            <w:pPr>
              <w:spacing w:after="0"/>
              <w:rPr>
                <w:sz w:val="20"/>
                <w:szCs w:val="20"/>
                <w:color w:val="auto"/>
              </w:rPr>
            </w:pPr>
          </w:p>
        </w:tc>
        <w:tc>
          <w:tcPr>
            <w:tcW w:w="5960" w:type="dxa"/>
            <w:vAlign w:val="bottom"/>
            <w:gridSpan w:val="5"/>
          </w:tcPr>
          <w:p>
            <w:pPr>
              <w:spacing w:after="0"/>
              <w:rPr>
                <w:sz w:val="20"/>
                <w:szCs w:val="20"/>
                <w:color w:val="auto"/>
              </w:rPr>
            </w:pPr>
            <w:r>
              <w:rPr>
                <w:rFonts w:ascii="Arial" w:cs="Arial" w:eastAsia="Arial" w:hAnsi="Arial"/>
                <w:sz w:val="16"/>
                <w:szCs w:val="16"/>
                <w:color w:val="auto"/>
              </w:rPr>
              <w:t>Finished products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72,629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69,760</w:t>
            </w:r>
          </w:p>
        </w:tc>
      </w:tr>
      <w:tr>
        <w:trPr>
          <w:trHeight w:val="33"/>
        </w:trPr>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Work-in-process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18,117</w:t>
            </w:r>
          </w:p>
        </w:tc>
      </w:tr>
      <w:tr>
        <w:trPr>
          <w:trHeight w:val="237"/>
        </w:trPr>
        <w:tc>
          <w:tcPr>
            <w:tcW w:w="720" w:type="dxa"/>
            <w:vAlign w:val="bottom"/>
          </w:tcPr>
          <w:p>
            <w:pPr>
              <w:spacing w:after="0"/>
              <w:rPr>
                <w:sz w:val="20"/>
                <w:szCs w:val="20"/>
                <w:color w:val="auto"/>
              </w:rPr>
            </w:pPr>
          </w:p>
        </w:tc>
        <w:tc>
          <w:tcPr>
            <w:tcW w:w="5960" w:type="dxa"/>
            <w:vAlign w:val="bottom"/>
            <w:gridSpan w:val="5"/>
          </w:tcPr>
          <w:p>
            <w:pPr>
              <w:spacing w:after="0"/>
              <w:rPr>
                <w:sz w:val="20"/>
                <w:szCs w:val="20"/>
                <w:color w:val="auto"/>
              </w:rPr>
            </w:pPr>
            <w:r>
              <w:rPr>
                <w:rFonts w:ascii="Arial" w:cs="Arial" w:eastAsia="Arial" w:hAnsi="Arial"/>
                <w:sz w:val="16"/>
                <w:szCs w:val="16"/>
                <w:color w:val="auto"/>
              </w:rPr>
              <w:t>Raw materials and supplies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19,147</w:t>
            </w:r>
          </w:p>
        </w:tc>
      </w:tr>
      <w:tr>
        <w:trPr>
          <w:trHeight w:val="33"/>
        </w:trPr>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color w:val="auto"/>
              </w:rPr>
              <w:t>Total inventories</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107,024</w:t>
            </w:r>
          </w:p>
        </w:tc>
      </w:tr>
      <w:tr>
        <w:trPr>
          <w:trHeight w:val="237"/>
        </w:trPr>
        <w:tc>
          <w:tcPr>
            <w:tcW w:w="6680" w:type="dxa"/>
            <w:vAlign w:val="bottom"/>
            <w:gridSpan w:val="6"/>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17,208</w:t>
            </w:r>
          </w:p>
        </w:tc>
      </w:tr>
      <w:tr>
        <w:trPr>
          <w:trHeight w:val="33"/>
        </w:trPr>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shd w:val="clear" w:color="auto" w:fill="CCEEFF"/>
              </w:rPr>
              <w:t>Total current assets</w:t>
            </w:r>
          </w:p>
        </w:tc>
        <w:tc>
          <w:tcPr>
            <w:tcW w:w="1220" w:type="dxa"/>
            <w:vAlign w:val="bottom"/>
            <w:tcBorders>
              <w:bottom w:val="single" w:sz="8" w:color="CCEEFF"/>
            </w:tcBorders>
            <w:gridSpan w:val="2"/>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414,122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407,814</w:t>
            </w:r>
          </w:p>
        </w:tc>
      </w:tr>
      <w:tr>
        <w:trPr>
          <w:trHeight w:val="224"/>
        </w:trPr>
        <w:tc>
          <w:tcPr>
            <w:tcW w:w="6680" w:type="dxa"/>
            <w:vAlign w:val="bottom"/>
            <w:gridSpan w:val="6"/>
          </w:tcPr>
          <w:p>
            <w:pPr>
              <w:ind w:left="40"/>
              <w:spacing w:after="0"/>
              <w:rPr>
                <w:sz w:val="20"/>
                <w:szCs w:val="20"/>
                <w:color w:val="auto"/>
              </w:rPr>
            </w:pPr>
            <w:r>
              <w:rPr>
                <w:rFonts w:ascii="Arial" w:cs="Arial" w:eastAsia="Arial" w:hAnsi="Arial"/>
                <w:sz w:val="16"/>
                <w:szCs w:val="16"/>
                <w:b w:val="1"/>
                <w:bCs w:val="1"/>
                <w:color w:val="auto"/>
              </w:rPr>
              <w:t>Other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1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Goodwill</w:t>
            </w:r>
          </w:p>
        </w:tc>
        <w:tc>
          <w:tcPr>
            <w:tcW w:w="1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437,697</w:t>
            </w:r>
          </w:p>
        </w:tc>
      </w:tr>
      <w:tr>
        <w:trPr>
          <w:trHeight w:val="237"/>
        </w:trPr>
        <w:tc>
          <w:tcPr>
            <w:tcW w:w="6680" w:type="dxa"/>
            <w:vAlign w:val="bottom"/>
            <w:gridSpan w:val="6"/>
          </w:tcPr>
          <w:p>
            <w:pPr>
              <w:ind w:left="380"/>
              <w:spacing w:after="0"/>
              <w:rPr>
                <w:sz w:val="20"/>
                <w:szCs w:val="20"/>
                <w:color w:val="auto"/>
              </w:rPr>
            </w:pPr>
            <w:r>
              <w:rPr>
                <w:rFonts w:ascii="Arial" w:cs="Arial" w:eastAsia="Arial" w:hAnsi="Arial"/>
                <w:sz w:val="16"/>
                <w:szCs w:val="16"/>
                <w:color w:val="auto"/>
              </w:rPr>
              <w:t>Other intangible assets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53,076</w:t>
            </w:r>
          </w:p>
        </w:tc>
      </w:tr>
      <w:tr>
        <w:trPr>
          <w:trHeight w:val="33"/>
        </w:trPr>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Deferred income taxes</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35,456</w:t>
            </w:r>
          </w:p>
        </w:tc>
      </w:tr>
      <w:tr>
        <w:trPr>
          <w:trHeight w:val="237"/>
        </w:trPr>
        <w:tc>
          <w:tcPr>
            <w:tcW w:w="6680" w:type="dxa"/>
            <w:vAlign w:val="bottom"/>
            <w:gridSpan w:val="6"/>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18,579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18,077</w:t>
            </w:r>
          </w:p>
        </w:tc>
      </w:tr>
      <w:tr>
        <w:trPr>
          <w:trHeight w:val="33"/>
        </w:trPr>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w w:val="99"/>
                <w:shd w:val="clear" w:color="auto" w:fill="CCEEFF"/>
              </w:rPr>
              <w:t>Property, plant and equipment:</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4"/>
        </w:trPr>
        <w:tc>
          <w:tcPr>
            <w:tcW w:w="6680" w:type="dxa"/>
            <w:vAlign w:val="bottom"/>
            <w:gridSpan w:val="6"/>
          </w:tcPr>
          <w:p>
            <w:pPr>
              <w:ind w:left="380"/>
              <w:spacing w:after="0"/>
              <w:rPr>
                <w:sz w:val="20"/>
                <w:szCs w:val="20"/>
                <w:color w:val="auto"/>
              </w:rPr>
            </w:pPr>
            <w:r>
              <w:rPr>
                <w:rFonts w:ascii="Arial" w:cs="Arial" w:eastAsia="Arial" w:hAnsi="Arial"/>
                <w:sz w:val="16"/>
                <w:szCs w:val="16"/>
                <w:color w:val="auto"/>
              </w:rPr>
              <w:t>Cost:</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4"/>
                <w:shd w:val="clear" w:color="auto" w:fill="CCEEFF"/>
              </w:rPr>
              <w:t>Land</w:t>
            </w:r>
          </w:p>
        </w:tc>
        <w:tc>
          <w:tcPr>
            <w:tcW w:w="1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7,470</w:t>
            </w:r>
          </w:p>
        </w:tc>
      </w:tr>
      <w:tr>
        <w:trPr>
          <w:trHeight w:val="237"/>
        </w:trPr>
        <w:tc>
          <w:tcPr>
            <w:tcW w:w="720" w:type="dxa"/>
            <w:vAlign w:val="bottom"/>
          </w:tcPr>
          <w:p>
            <w:pPr>
              <w:spacing w:after="0"/>
              <w:rPr>
                <w:sz w:val="20"/>
                <w:szCs w:val="20"/>
                <w:color w:val="auto"/>
              </w:rPr>
            </w:pPr>
          </w:p>
        </w:tc>
        <w:tc>
          <w:tcPr>
            <w:tcW w:w="5960" w:type="dxa"/>
            <w:vAlign w:val="bottom"/>
            <w:gridSpan w:val="5"/>
          </w:tcPr>
          <w:p>
            <w:pPr>
              <w:spacing w:after="0"/>
              <w:rPr>
                <w:sz w:val="20"/>
                <w:szCs w:val="20"/>
                <w:color w:val="auto"/>
              </w:rPr>
            </w:pPr>
            <w:r>
              <w:rPr>
                <w:rFonts w:ascii="Arial" w:cs="Arial" w:eastAsia="Arial" w:hAnsi="Arial"/>
                <w:sz w:val="16"/>
                <w:szCs w:val="16"/>
                <w:color w:val="auto"/>
              </w:rPr>
              <w:t>Buildings and improvements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98,256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98,228</w:t>
            </w:r>
          </w:p>
        </w:tc>
      </w:tr>
      <w:tr>
        <w:trPr>
          <w:trHeight w:val="33"/>
        </w:trPr>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Machinery and equipment</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265,640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261,192</w:t>
            </w:r>
          </w:p>
        </w:tc>
      </w:tr>
      <w:tr>
        <w:trPr>
          <w:trHeight w:val="237"/>
        </w:trPr>
        <w:tc>
          <w:tcPr>
            <w:tcW w:w="720" w:type="dxa"/>
            <w:vAlign w:val="bottom"/>
          </w:tcPr>
          <w:p>
            <w:pPr>
              <w:spacing w:after="0"/>
              <w:rPr>
                <w:sz w:val="20"/>
                <w:szCs w:val="20"/>
                <w:color w:val="auto"/>
              </w:rPr>
            </w:pPr>
          </w:p>
        </w:tc>
        <w:tc>
          <w:tcPr>
            <w:tcW w:w="5960" w:type="dxa"/>
            <w:vAlign w:val="bottom"/>
            <w:gridSpan w:val="5"/>
          </w:tcPr>
          <w:p>
            <w:pPr>
              <w:spacing w:after="0"/>
              <w:rPr>
                <w:sz w:val="20"/>
                <w:szCs w:val="20"/>
                <w:color w:val="auto"/>
              </w:rPr>
            </w:pPr>
            <w:r>
              <w:rPr>
                <w:rFonts w:ascii="Arial" w:cs="Arial" w:eastAsia="Arial" w:hAnsi="Arial"/>
                <w:sz w:val="16"/>
                <w:szCs w:val="16"/>
                <w:color w:val="auto"/>
              </w:rPr>
              <w:t>Construction in progress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4,109</w:t>
            </w:r>
          </w:p>
        </w:tc>
      </w:tr>
      <w:tr>
        <w:trPr>
          <w:trHeight w:val="33"/>
        </w:trPr>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377,607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370,999</w:t>
            </w:r>
          </w:p>
        </w:tc>
      </w:tr>
      <w:tr>
        <w:trPr>
          <w:trHeight w:val="237"/>
        </w:trPr>
        <w:tc>
          <w:tcPr>
            <w:tcW w:w="6680" w:type="dxa"/>
            <w:vAlign w:val="bottom"/>
            <w:gridSpan w:val="6"/>
          </w:tcPr>
          <w:p>
            <w:pPr>
              <w:ind w:left="380"/>
              <w:spacing w:after="0"/>
              <w:rPr>
                <w:sz w:val="20"/>
                <w:szCs w:val="20"/>
                <w:color w:val="auto"/>
              </w:rPr>
            </w:pPr>
            <w:r>
              <w:rPr>
                <w:rFonts w:ascii="Arial" w:cs="Arial" w:eastAsia="Arial" w:hAnsi="Arial"/>
                <w:sz w:val="16"/>
                <w:szCs w:val="16"/>
                <w:color w:val="auto"/>
              </w:rPr>
              <w:t>Less accumulated depreciation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279,826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272,896</w:t>
            </w:r>
          </w:p>
        </w:tc>
      </w:tr>
      <w:tr>
        <w:trPr>
          <w:trHeight w:val="33"/>
        </w:trPr>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shd w:val="clear" w:color="auto" w:fill="CCEEFF"/>
              </w:rPr>
              <w:t>Property, plant and equipment—net</w:t>
            </w:r>
          </w:p>
        </w:tc>
        <w:tc>
          <w:tcPr>
            <w:tcW w:w="3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98,103</w:t>
            </w:r>
          </w:p>
        </w:tc>
      </w:tr>
      <w:tr>
        <w:trPr>
          <w:trHeight w:val="217"/>
        </w:trPr>
        <w:tc>
          <w:tcPr>
            <w:tcW w:w="6680" w:type="dxa"/>
            <w:vAlign w:val="bottom"/>
            <w:gridSpan w:val="6"/>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1,034,385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1,050,223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10616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06160" cy="197485"/>
                    </a:xfrm>
                    <a:prstGeom prst="rect">
                      <a:avLst/>
                    </a:prstGeom>
                    <a:noFill/>
                  </pic:spPr>
                </pic:pic>
              </a:graphicData>
            </a:graphic>
          </wp:anchor>
        </w:drawing>
      </w:r>
    </w:p>
    <w:p>
      <w:pPr>
        <w:spacing w:after="0" w:line="40" w:lineRule="exact"/>
        <w:rPr>
          <w:sz w:val="20"/>
          <w:szCs w:val="20"/>
          <w:color w:val="auto"/>
        </w:rPr>
      </w:pPr>
    </w:p>
    <w:p>
      <w:pPr>
        <w:ind w:left="1360"/>
        <w:spacing w:after="0"/>
        <w:rPr>
          <w:sz w:val="20"/>
          <w:szCs w:val="20"/>
          <w:color w:val="auto"/>
        </w:rPr>
      </w:pPr>
      <w:r>
        <w:rPr>
          <w:rFonts w:ascii="Arial" w:cs="Arial" w:eastAsia="Arial" w:hAnsi="Arial"/>
          <w:sz w:val="16"/>
          <w:szCs w:val="16"/>
          <w:b w:val="1"/>
          <w:bCs w:val="1"/>
          <w:u w:val="single" w:color="auto"/>
          <w:color w:val="auto"/>
          <w:shd w:val="clear" w:color="auto" w:fill="CCEEFF"/>
        </w:rPr>
        <w:t>LIABILITIES AND STOCKHOLDERS’ INVESTMENT</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1061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sectPr>
      </w:pPr>
    </w:p>
    <w:p>
      <w:pPr>
        <w:spacing w:after="0" w:line="90" w:lineRule="exact"/>
        <w:rPr>
          <w:sz w:val="20"/>
          <w:szCs w:val="20"/>
          <w:color w:val="auto"/>
        </w:rPr>
      </w:pPr>
    </w:p>
    <w:p>
      <w:pPr>
        <w:ind w:left="380"/>
        <w:spacing w:after="0"/>
        <w:tabs>
          <w:tab w:leader="none" w:pos="6680" w:val="left"/>
        </w:tabs>
        <w:rPr>
          <w:sz w:val="20"/>
          <w:szCs w:val="20"/>
          <w:color w:val="auto"/>
        </w:rPr>
      </w:pPr>
      <w:r>
        <w:rPr>
          <w:rFonts w:ascii="Arial" w:cs="Arial" w:eastAsia="Arial" w:hAnsi="Arial"/>
          <w:sz w:val="16"/>
          <w:szCs w:val="16"/>
          <w:color w:val="auto"/>
          <w:shd w:val="clear" w:color="auto" w:fill="CCEEFF"/>
        </w:rPr>
        <w:t>Notes payable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061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Wages and amounts withheld from employees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061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0616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shd w:val="clear" w:color="auto" w:fill="CCEEFF"/>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Long-term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10616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shd w:val="clear" w:color="auto" w:fill="CCEEFF"/>
        </w:rPr>
        <w:t>Other liabilities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10616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shd w:val="clear" w:color="auto" w:fill="CCEEFF"/>
        </w:rPr>
        <w:t>Stockholders’ investment:</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0616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06160" cy="291465"/>
                    </a:xfrm>
                    <a:prstGeom prst="rect">
                      <a:avLst/>
                    </a:prstGeom>
                    <a:noFill/>
                  </pic:spPr>
                </pic:pic>
              </a:graphicData>
            </a:graphic>
          </wp:anchor>
        </w:drawing>
      </w:r>
    </w:p>
    <w:p>
      <w:pPr>
        <w:spacing w:after="0" w:line="66" w:lineRule="exact"/>
        <w:rPr>
          <w:sz w:val="20"/>
          <w:szCs w:val="20"/>
          <w:color w:val="auto"/>
        </w:rPr>
      </w:pPr>
    </w:p>
    <w:p>
      <w:pPr>
        <w:ind w:left="720" w:right="160"/>
        <w:spacing w:after="0" w:line="293" w:lineRule="auto"/>
        <w:rPr>
          <w:sz w:val="20"/>
          <w:szCs w:val="20"/>
          <w:color w:val="auto"/>
        </w:rPr>
      </w:pPr>
      <w:r>
        <w:rPr>
          <w:rFonts w:ascii="Arial" w:cs="Arial" w:eastAsia="Arial" w:hAnsi="Arial"/>
          <w:sz w:val="16"/>
          <w:szCs w:val="16"/>
          <w:color w:val="auto"/>
          <w:shd w:val="clear" w:color="auto" w:fill="CCEEFF"/>
        </w:rPr>
        <w:t>Class A nonvoting common stock—Issued 51,261,487 and 51,261,487 shares, respectively, and outstanding 48,238,412 and 47,814,818 shares, respectively</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Class B voting common stock—Issued and outstanding, 3,538,628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061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Additional paid-in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Earnings retained in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0616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06160" cy="291465"/>
                    </a:xfrm>
                    <a:prstGeom prst="rect">
                      <a:avLst/>
                    </a:prstGeom>
                    <a:noFill/>
                  </pic:spPr>
                </pic:pic>
              </a:graphicData>
            </a:graphic>
          </wp:anchor>
        </w:drawing>
      </w:r>
    </w:p>
    <w:p>
      <w:pPr>
        <w:spacing w:after="0" w:line="66" w:lineRule="exact"/>
        <w:rPr>
          <w:sz w:val="20"/>
          <w:szCs w:val="20"/>
          <w:color w:val="auto"/>
        </w:rPr>
      </w:pPr>
    </w:p>
    <w:p>
      <w:pPr>
        <w:ind w:left="380" w:right="340"/>
        <w:spacing w:after="0" w:line="293" w:lineRule="auto"/>
        <w:rPr>
          <w:sz w:val="20"/>
          <w:szCs w:val="20"/>
          <w:color w:val="auto"/>
        </w:rPr>
      </w:pPr>
      <w:r>
        <w:rPr>
          <w:rFonts w:ascii="Arial" w:cs="Arial" w:eastAsia="Arial" w:hAnsi="Arial"/>
          <w:sz w:val="16"/>
          <w:szCs w:val="16"/>
          <w:color w:val="auto"/>
          <w:shd w:val="clear" w:color="auto" w:fill="CCEEFF"/>
        </w:rPr>
        <w:t>Treasury stock—3,023,075 and 3,446,669 shares, respectively of Class A nonvoting common stock, at cost</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061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06160" cy="17145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shd w:val="clear" w:color="auto" w:fill="CCEEFF"/>
        </w:rPr>
        <w:t>Total stockholders’ investment</w:t>
      </w:r>
    </w:p>
    <w:p>
      <w:pPr>
        <w:spacing w:after="0" w:line="86" w:lineRule="exact"/>
        <w:rPr>
          <w:sz w:val="20"/>
          <w:szCs w:val="20"/>
          <w:color w:val="auto"/>
        </w:rPr>
      </w:pPr>
    </w:p>
    <w:p>
      <w:pPr>
        <w:ind w:left="40"/>
        <w:spacing w:after="0"/>
        <w:tabs>
          <w:tab w:leader="none" w:pos="668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06"/>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585</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3,228</w:t>
            </w:r>
          </w:p>
        </w:tc>
      </w:tr>
      <w:tr>
        <w:trPr>
          <w:trHeight w:val="270"/>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64,365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66,817</w:t>
            </w:r>
          </w:p>
        </w:tc>
      </w:tr>
      <w:tr>
        <w:trPr>
          <w:trHeight w:val="270"/>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49,679</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58,192</w:t>
            </w:r>
          </w:p>
        </w:tc>
      </w:tr>
      <w:tr>
        <w:trPr>
          <w:trHeight w:val="270"/>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7,997</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7,970</w:t>
            </w:r>
          </w:p>
        </w:tc>
      </w:tr>
      <w:tr>
        <w:trPr>
          <w:trHeight w:val="270"/>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6,085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7,373</w:t>
            </w:r>
          </w:p>
        </w:tc>
      </w:tr>
      <w:tr>
        <w:trPr>
          <w:trHeight w:val="270"/>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42,961</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43,618</w:t>
            </w:r>
          </w:p>
        </w:tc>
      </w:tr>
      <w:tr>
        <w:trPr>
          <w:trHeight w:val="33"/>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99"/>
              <w:spacing w:after="0"/>
              <w:rPr>
                <w:sz w:val="20"/>
                <w:szCs w:val="20"/>
                <w:color w:val="auto"/>
              </w:rPr>
            </w:pPr>
            <w:r>
              <w:rPr>
                <w:rFonts w:ascii="Arial" w:cs="Arial" w:eastAsia="Arial" w:hAnsi="Arial"/>
                <w:sz w:val="16"/>
                <w:szCs w:val="16"/>
                <w:color w:val="auto"/>
                <w:w w:val="86"/>
              </w:rPr>
              <w:t>171,672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187,198</w:t>
            </w:r>
          </w:p>
        </w:tc>
      </w:tr>
      <w:tr>
        <w:trPr>
          <w:trHeight w:val="270"/>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70,615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104,536</w:t>
            </w:r>
          </w:p>
        </w:tc>
      </w:tr>
      <w:tr>
        <w:trPr>
          <w:trHeight w:val="270"/>
        </w:trPr>
        <w:tc>
          <w:tcPr>
            <w:tcW w:w="700" w:type="dxa"/>
            <w:vAlign w:val="bottom"/>
          </w:tcPr>
          <w:p>
            <w:pPr>
              <w:jc w:val="right"/>
              <w:ind w:right="99"/>
              <w:spacing w:after="0"/>
              <w:rPr>
                <w:sz w:val="20"/>
                <w:szCs w:val="20"/>
                <w:color w:val="auto"/>
              </w:rPr>
            </w:pPr>
            <w:r>
              <w:rPr>
                <w:rFonts w:ascii="Arial" w:cs="Arial" w:eastAsia="Arial" w:hAnsi="Arial"/>
                <w:sz w:val="16"/>
                <w:szCs w:val="16"/>
                <w:color w:val="auto"/>
              </w:rPr>
              <w:t>60,125</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58,349</w:t>
            </w:r>
          </w:p>
        </w:tc>
      </w:tr>
      <w:tr>
        <w:trPr>
          <w:trHeight w:val="33"/>
        </w:trPr>
        <w:tc>
          <w:tcPr>
            <w:tcW w:w="7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00" w:type="dxa"/>
            <w:vAlign w:val="bottom"/>
          </w:tcPr>
          <w:p>
            <w:pPr>
              <w:jc w:val="right"/>
              <w:ind w:right="99"/>
              <w:spacing w:after="0"/>
              <w:rPr>
                <w:sz w:val="20"/>
                <w:szCs w:val="20"/>
                <w:color w:val="auto"/>
              </w:rPr>
            </w:pPr>
            <w:r>
              <w:rPr>
                <w:rFonts w:ascii="Arial" w:cs="Arial" w:eastAsia="Arial" w:hAnsi="Arial"/>
                <w:sz w:val="16"/>
                <w:szCs w:val="16"/>
                <w:color w:val="auto"/>
                <w:w w:val="86"/>
              </w:rPr>
              <w:t>302,412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350,083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-149860</wp:posOffset>
            </wp:positionV>
            <wp:extent cx="9004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513</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325,733</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322,608</w:t>
            </w: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515,872</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507,136</w:t>
            </w:r>
          </w:p>
        </w:tc>
      </w:tr>
      <w:tr>
        <w:trPr>
          <w:trHeight w:val="459"/>
        </w:trPr>
        <w:tc>
          <w:tcPr>
            <w:tcW w:w="840" w:type="dxa"/>
            <w:vAlign w:val="bottom"/>
          </w:tcPr>
          <w:p>
            <w:pPr>
              <w:jc w:val="right"/>
              <w:ind w:right="39"/>
              <w:spacing w:after="0"/>
              <w:rPr>
                <w:sz w:val="20"/>
                <w:szCs w:val="20"/>
                <w:color w:val="auto"/>
              </w:rPr>
            </w:pPr>
            <w:r>
              <w:rPr>
                <w:rFonts w:ascii="Arial" w:cs="Arial" w:eastAsia="Arial" w:hAnsi="Arial"/>
                <w:sz w:val="16"/>
                <w:szCs w:val="16"/>
                <w:color w:val="auto"/>
              </w:rPr>
              <w:t>(75,090)</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(85,470)</w:t>
            </w:r>
          </w:p>
        </w:tc>
      </w:tr>
      <w:tr>
        <w:trPr>
          <w:trHeight w:val="270"/>
        </w:trPr>
        <w:tc>
          <w:tcPr>
            <w:tcW w:w="840" w:type="dxa"/>
            <w:vAlign w:val="bottom"/>
          </w:tcPr>
          <w:p>
            <w:pPr>
              <w:jc w:val="right"/>
              <w:ind w:right="39"/>
              <w:spacing w:after="0"/>
              <w:rPr>
                <w:sz w:val="20"/>
                <w:szCs w:val="20"/>
                <w:color w:val="auto"/>
              </w:rPr>
            </w:pPr>
            <w:r>
              <w:rPr>
                <w:rFonts w:ascii="Arial" w:cs="Arial" w:eastAsia="Arial" w:hAnsi="Arial"/>
                <w:sz w:val="16"/>
                <w:szCs w:val="16"/>
                <w:color w:val="auto"/>
              </w:rPr>
              <w:t>(35,090)</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(44,682)</w:t>
            </w: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731,973</w:t>
            </w: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700,140</w:t>
            </w:r>
          </w:p>
        </w:tc>
      </w:tr>
      <w:tr>
        <w:trPr>
          <w:trHeight w:val="33"/>
        </w:trPr>
        <w:tc>
          <w:tcPr>
            <w:tcW w:w="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89"/>
              </w:rPr>
              <w:t>1,034,385</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1,050,223</w:t>
            </w:r>
          </w:p>
        </w:tc>
      </w:tr>
      <w:tr>
        <w:trPr>
          <w:trHeight w:val="33"/>
        </w:trPr>
        <w:tc>
          <w:tcPr>
            <w:tcW w:w="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-25400</wp:posOffset>
            </wp:positionV>
            <wp:extent cx="9004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-8255</wp:posOffset>
            </wp:positionV>
            <wp:extent cx="9004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043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-196850</wp:posOffset>
            </wp:positionV>
            <wp:extent cx="9004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ectPr>
          <w:pgSz w:w="11900" w:h="16838" w:orient="portrait"/>
          <w:cols w:equalWidth="0" w:num="2">
            <w:col w:w="6780" w:space="580"/>
            <w:col w:w="2859"/>
          </w:cols>
          <w:pgMar w:left="240" w:top="585" w:right="1440" w:bottom="1440" w:gutter="0" w:footer="0" w:header="0"/>
          <w:type w:val="continuous"/>
        </w:sectPr>
      </w:pPr>
    </w:p>
    <w:bookmarkStart w:id="8" w:name="page9"/>
    <w:bookmarkEnd w:id="8"/>
    <w:p>
      <w:pPr>
        <w:ind w:right="2680"/>
        <w:spacing w:after="0" w:line="263" w:lineRule="auto"/>
        <w:rPr>
          <w:sz w:val="20"/>
          <w:szCs w:val="20"/>
          <w:color w:val="auto"/>
        </w:rPr>
      </w:pPr>
      <w:r>
        <w:rPr>
          <w:rFonts w:ascii="Arial" w:cs="Arial" w:eastAsia="Arial" w:hAnsi="Arial"/>
          <w:sz w:val="16"/>
          <w:szCs w:val="16"/>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617474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74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17474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shd w:val="clear" w:color="auto" w:fill="CCEEFF"/>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474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shd w:val="clear" w:color="auto" w:fill="CCEEFF"/>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shd w:val="clear" w:color="auto" w:fill="CCEEFF"/>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shd w:val="clear" w:color="auto" w:fill="CCEEFF"/>
        </w:rPr>
        <w:t>Income tax on equity-based compensation, and 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474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474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61747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617474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7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5951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2017</w:t>
            </w:r>
          </w:p>
        </w:tc>
      </w:tr>
      <w:tr>
        <w:trPr>
          <w:trHeight w:val="33"/>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01"/>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30,109</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47,850</w:t>
            </w:r>
          </w:p>
        </w:tc>
      </w:tr>
      <w:tr>
        <w:trPr>
          <w:trHeight w:val="540"/>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14,102</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5,394</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(4,547)</w:t>
            </w:r>
          </w:p>
        </w:tc>
      </w:tr>
      <w:tr>
        <w:trPr>
          <w:trHeight w:val="540"/>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3,407</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(9,384)</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(3,932)</w:t>
            </w:r>
          </w:p>
        </w:tc>
      </w:tr>
      <w:tr>
        <w:trPr>
          <w:trHeight w:val="33"/>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42,460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53,334</w:t>
            </w:r>
          </w:p>
        </w:tc>
      </w:tr>
      <w:tr>
        <w:trPr>
          <w:trHeight w:val="824"/>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(8,469)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(7,235)</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33"/>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(6,642)</w:t>
            </w:r>
          </w:p>
        </w:tc>
      </w:tr>
      <w:tr>
        <w:trPr>
          <w:trHeight w:val="824"/>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(21,373)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(20,852)</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14,659</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144,533</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(57,314)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(195,002)</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33"/>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(53,642)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(57,302)</w:t>
            </w:r>
          </w:p>
        </w:tc>
      </w:tr>
      <w:tr>
        <w:trPr>
          <w:trHeight w:val="554"/>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(5,410)</w:t>
            </w:r>
          </w:p>
        </w:tc>
      </w:tr>
      <w:tr>
        <w:trPr>
          <w:trHeight w:val="554"/>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(16,020)</w:t>
            </w:r>
          </w:p>
        </w:tc>
      </w:tr>
      <w:tr>
        <w:trPr>
          <w:trHeight w:val="270"/>
        </w:trPr>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133,944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141,228</w:t>
            </w:r>
          </w:p>
        </w:tc>
      </w:tr>
      <w:tr>
        <w:trPr>
          <w:trHeight w:val="33"/>
        </w:trPr>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500" w:space="720"/>
            <w:col w:w="2999"/>
          </w:cols>
          <w:pgMar w:left="240" w:top="585" w:right="1440" w:bottom="1440" w:gutter="0" w:footer="0" w:header="0"/>
        </w:sectPr>
      </w:pPr>
    </w:p>
    <w:p>
      <w:pPr>
        <w:spacing w:after="0" w:line="101" w:lineRule="exact"/>
        <w:rPr>
          <w:sz w:val="20"/>
          <w:szCs w:val="20"/>
          <w:color w:val="auto"/>
        </w:rPr>
      </w:pPr>
    </w:p>
    <w:p>
      <w:pPr>
        <w:ind w:left="40"/>
        <w:spacing w:after="0"/>
        <w:tabs>
          <w:tab w:leader="none" w:pos="7220" w:val="left"/>
          <w:tab w:leader="none" w:pos="7800" w:val="left"/>
          <w:tab w:leader="none" w:pos="8540" w:val="left"/>
          <w:tab w:leader="none" w:pos="9100" w:val="left"/>
        </w:tabs>
        <w:rPr>
          <w:sz w:val="20"/>
          <w:szCs w:val="20"/>
          <w:color w:val="auto"/>
        </w:rPr>
      </w:pPr>
      <w:r>
        <w:rPr>
          <w:rFonts w:ascii="Arial" w:cs="Arial" w:eastAsia="Arial" w:hAnsi="Arial"/>
          <w:sz w:val="16"/>
          <w:szCs w:val="16"/>
          <w:color w:val="auto"/>
          <w:shd w:val="clear" w:color="auto" w:fill="CCEEFF"/>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115,327</w:t>
        <w:tab/>
        <w:t>$</w:t>
      </w:r>
      <w:r>
        <w:rPr>
          <w:sz w:val="20"/>
          <w:szCs w:val="20"/>
          <w:color w:val="auto"/>
        </w:rPr>
        <w:tab/>
      </w:r>
      <w:r>
        <w:rPr>
          <w:rFonts w:ascii="Arial" w:cs="Arial" w:eastAsia="Arial" w:hAnsi="Arial"/>
          <w:sz w:val="14"/>
          <w:szCs w:val="14"/>
          <w:color w:val="auto"/>
        </w:rPr>
        <w:t>125,208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52070</wp:posOffset>
            </wp:positionV>
            <wp:extent cx="15951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0219"/>
          </w:cols>
          <w:pgMar w:left="240" w:top="585" w:right="1440" w:bottom="1440" w:gutter="0" w:footer="0" w:header="0"/>
          <w:type w:val="continuous"/>
        </w:sectPr>
      </w:pPr>
    </w:p>
    <w:bookmarkStart w:id="9" w:name="page10"/>
    <w:bookmarkEnd w:id="9"/>
    <w:p>
      <w:pPr>
        <w:ind w:right="120"/>
        <w:spacing w:after="0" w:line="263" w:lineRule="auto"/>
        <w:rPr>
          <w:sz w:val="20"/>
          <w:szCs w:val="20"/>
          <w:color w:val="auto"/>
        </w:rPr>
      </w:pPr>
      <w:r>
        <w:rPr>
          <w:rFonts w:ascii="Arial" w:cs="Arial" w:eastAsia="Arial" w:hAnsi="Arial"/>
          <w:sz w:val="16"/>
          <w:szCs w:val="16"/>
          <w:b w:val="1"/>
          <w:bCs w:val="1"/>
          <w:color w:val="auto"/>
        </w:rPr>
        <w:t>BRADY CORPORATION AND SUBSIDIARIES SEGMENT INFORMATION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TO EXTERNAL CUSTOMERS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ID Solutions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INFORMATION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shd w:val="clear" w:color="auto" w:fill="CCEEFF"/>
        </w:rPr>
        <w:t>ID Solutions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Currency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shd w:val="clear" w:color="auto" w:fill="CCEEFF"/>
        </w:rPr>
        <w:t>Workplace Safety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Currency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shd w:val="clear" w:color="auto" w:fill="CCEEFF"/>
        </w:rPr>
        <w:t>Total Company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Organic</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Currency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PROFIT</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ID Solutions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Total</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SEGMENT PROFIT AS A PERCENT OF SALES</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ID Solutions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Workplace Safety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segment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Unallocated amounts: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Administrative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and other income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shd w:val="clear" w:color="auto" w:fill="CCEEFF"/>
        </w:rPr>
        <w:t>Interest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2580" w:type="dxa"/>
            <w:vAlign w:val="bottom"/>
            <w:gridSpan w:val="5"/>
          </w:tcPr>
          <w:p>
            <w:pPr>
              <w:ind w:left="80"/>
              <w:spacing w:after="0"/>
              <w:rPr>
                <w:sz w:val="20"/>
                <w:szCs w:val="20"/>
                <w:color w:val="auto"/>
              </w:rPr>
            </w:pPr>
            <w:r>
              <w:rPr>
                <w:rFonts w:ascii="Arial" w:cs="Arial" w:eastAsia="Arial" w:hAnsi="Arial"/>
                <w:sz w:val="16"/>
                <w:szCs w:val="16"/>
                <w:color w:val="auto"/>
              </w:rPr>
              <w:t>Three months ended January 31,</w:t>
            </w:r>
          </w:p>
        </w:tc>
        <w:tc>
          <w:tcPr>
            <w:tcW w:w="240" w:type="dxa"/>
            <w:vAlign w:val="bottom"/>
          </w:tcPr>
          <w:p>
            <w:pPr>
              <w:spacing w:after="0"/>
              <w:rPr>
                <w:sz w:val="17"/>
                <w:szCs w:val="17"/>
                <w:color w:val="auto"/>
              </w:rPr>
            </w:pPr>
          </w:p>
        </w:tc>
        <w:tc>
          <w:tcPr>
            <w:tcW w:w="2420" w:type="dxa"/>
            <w:vAlign w:val="bottom"/>
            <w:gridSpan w:val="4"/>
          </w:tcPr>
          <w:p>
            <w:pPr>
              <w:jc w:val="right"/>
              <w:ind w:right="259"/>
              <w:spacing w:after="0"/>
              <w:rPr>
                <w:sz w:val="20"/>
                <w:szCs w:val="20"/>
                <w:color w:val="auto"/>
              </w:rPr>
            </w:pPr>
            <w:r>
              <w:rPr>
                <w:rFonts w:ascii="Arial" w:cs="Arial" w:eastAsia="Arial" w:hAnsi="Arial"/>
                <w:sz w:val="16"/>
                <w:szCs w:val="16"/>
                <w:color w:val="auto"/>
                <w:w w:val="95"/>
              </w:rPr>
              <w:t>Six months ended January 31,</w:t>
            </w:r>
          </w:p>
        </w:tc>
      </w:tr>
      <w:tr>
        <w:trPr>
          <w:trHeight w:val="3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22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2017</w:t>
            </w:r>
          </w:p>
        </w:tc>
      </w:tr>
      <w:tr>
        <w:trPr>
          <w:trHeight w:val="3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1"/>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206,432</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190,962</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416,137</w:t>
            </w:r>
          </w:p>
        </w:tc>
        <w:tc>
          <w:tcPr>
            <w:tcW w:w="10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392,226</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81,348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77,039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161,794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155,951</w:t>
            </w:r>
          </w:p>
        </w:tc>
      </w:tr>
      <w:tr>
        <w:trPr>
          <w:trHeight w:val="3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287,780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268,001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577,931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548,177</w:t>
            </w:r>
          </w:p>
        </w:tc>
      </w:tr>
      <w:tr>
        <w:trPr>
          <w:trHeight w:val="33"/>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-719455</wp:posOffset>
            </wp:positionV>
            <wp:extent cx="615759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5759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-368300</wp:posOffset>
            </wp:positionV>
            <wp:extent cx="615759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-16510</wp:posOffset>
            </wp:positionV>
            <wp:extent cx="6157595"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57595" cy="19748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351790</wp:posOffset>
            </wp:positionV>
            <wp:extent cx="615759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575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1.3 %</w:t>
            </w:r>
          </w:p>
        </w:tc>
        <w:tc>
          <w:tcPr>
            <w:tcW w:w="20" w:type="dxa"/>
            <w:vAlign w:val="bottom"/>
          </w:tcPr>
          <w:p>
            <w:pPr>
              <w:spacing w:after="0"/>
              <w:rPr>
                <w:sz w:val="17"/>
                <w:szCs w:val="17"/>
                <w:color w:val="auto"/>
              </w:rPr>
            </w:pPr>
          </w:p>
        </w:tc>
      </w:tr>
      <w:tr>
        <w:trPr>
          <w:trHeight w:val="270"/>
        </w:trPr>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23"/>
                <w:szCs w:val="23"/>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0.4 %</w:t>
            </w:r>
          </w:p>
        </w:tc>
        <w:tc>
          <w:tcPr>
            <w:tcW w:w="20" w:type="dxa"/>
            <w:vAlign w:val="bottom"/>
          </w:tcPr>
          <w:p>
            <w:pPr>
              <w:spacing w:after="0"/>
              <w:rPr>
                <w:sz w:val="18"/>
                <w:szCs w:val="18"/>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8"/>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23"/>
                <w:szCs w:val="23"/>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8"/>
                <w:szCs w:val="18"/>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8"/>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0.5 %</w:t>
            </w:r>
          </w:p>
        </w:tc>
        <w:tc>
          <w:tcPr>
            <w:tcW w:w="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3"/>
                <w:szCs w:val="23"/>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20" w:type="dxa"/>
            <w:vAlign w:val="bottom"/>
          </w:tcPr>
          <w:p>
            <w:pPr>
              <w:spacing w:after="0"/>
              <w:rPr>
                <w:sz w:val="18"/>
                <w:szCs w:val="18"/>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1"/>
        </w:trPr>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34,088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28,961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69,925</w:t>
            </w:r>
          </w:p>
        </w:tc>
        <w:tc>
          <w:tcPr>
            <w:tcW w:w="100" w:type="dxa"/>
            <w:vAlign w:val="bottom"/>
          </w:tcPr>
          <w:p>
            <w:pPr>
              <w:spacing w:after="0"/>
              <w:rPr>
                <w:sz w:val="24"/>
                <w:szCs w:val="2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62,035</w:t>
            </w:r>
          </w:p>
        </w:tc>
        <w:tc>
          <w:tcPr>
            <w:tcW w:w="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7,055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6,059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12,504</w:t>
            </w:r>
          </w:p>
        </w:tc>
        <w:tc>
          <w:tcPr>
            <w:tcW w:w="20" w:type="dxa"/>
            <w:vAlign w:val="bottom"/>
          </w:tcPr>
          <w:p>
            <w:pPr>
              <w:spacing w:after="0"/>
              <w:rPr>
                <w:sz w:val="23"/>
                <w:szCs w:val="23"/>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41,143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35,020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83,425</w:t>
            </w:r>
          </w:p>
        </w:tc>
        <w:tc>
          <w:tcPr>
            <w:tcW w:w="10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74,539</w:t>
            </w:r>
          </w:p>
        </w:tc>
        <w:tc>
          <w:tcPr>
            <w:tcW w:w="20" w:type="dxa"/>
            <w:vAlign w:val="bottom"/>
          </w:tcPr>
          <w:p>
            <w:pPr>
              <w:spacing w:after="0"/>
              <w:rPr>
                <w:sz w:val="18"/>
                <w:szCs w:val="18"/>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8"/>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15.8 %</w:t>
            </w:r>
          </w:p>
        </w:tc>
        <w:tc>
          <w:tcPr>
            <w:tcW w:w="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8.0 %</w:t>
            </w:r>
          </w:p>
        </w:tc>
        <w:tc>
          <w:tcPr>
            <w:tcW w:w="20" w:type="dxa"/>
            <w:vAlign w:val="bottom"/>
          </w:tcPr>
          <w:p>
            <w:pPr>
              <w:spacing w:after="0"/>
              <w:rPr>
                <w:sz w:val="23"/>
                <w:szCs w:val="23"/>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13.6 %</w:t>
            </w:r>
          </w:p>
        </w:tc>
        <w:tc>
          <w:tcPr>
            <w:tcW w:w="20" w:type="dxa"/>
            <w:vAlign w:val="bottom"/>
          </w:tcPr>
          <w:p>
            <w:pPr>
              <w:spacing w:after="0"/>
              <w:rPr>
                <w:sz w:val="18"/>
                <w:szCs w:val="18"/>
                <w:color w:val="auto"/>
              </w:rPr>
            </w:pPr>
          </w:p>
        </w:tc>
      </w:tr>
      <w:tr>
        <w:trPr>
          <w:trHeight w:val="33"/>
        </w:trPr>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9"/>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8"/>
          </w:tcPr>
          <w:p>
            <w:pPr>
              <w:ind w:left="80"/>
              <w:spacing w:after="0"/>
              <w:rPr>
                <w:sz w:val="20"/>
                <w:szCs w:val="20"/>
                <w:color w:val="auto"/>
              </w:rPr>
            </w:pPr>
            <w:r>
              <w:rPr>
                <w:rFonts w:ascii="Arial" w:cs="Arial" w:eastAsia="Arial" w:hAnsi="Arial"/>
                <w:sz w:val="16"/>
                <w:szCs w:val="16"/>
                <w:color w:val="auto"/>
              </w:rPr>
              <w:t>Three months ended January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239"/>
              <w:spacing w:after="0"/>
              <w:rPr>
                <w:sz w:val="20"/>
                <w:szCs w:val="20"/>
                <w:color w:val="auto"/>
              </w:rPr>
            </w:pPr>
            <w:r>
              <w:rPr>
                <w:rFonts w:ascii="Arial" w:cs="Arial" w:eastAsia="Arial" w:hAnsi="Arial"/>
                <w:sz w:val="16"/>
                <w:szCs w:val="16"/>
                <w:color w:val="auto"/>
                <w:w w:val="95"/>
              </w:rPr>
              <w:t>Six months ended January 31,</w:t>
            </w:r>
          </w:p>
        </w:tc>
        <w:tc>
          <w:tcPr>
            <w:tcW w:w="20" w:type="dxa"/>
            <w:vAlign w:val="bottom"/>
          </w:tcPr>
          <w:p>
            <w:pPr>
              <w:spacing w:after="0"/>
              <w:rPr>
                <w:sz w:val="24"/>
                <w:szCs w:val="24"/>
                <w:color w:val="auto"/>
              </w:rPr>
            </w:pPr>
          </w:p>
        </w:tc>
      </w:tr>
      <w:tr>
        <w:trPr>
          <w:trHeight w:val="33"/>
        </w:trPr>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color w:val="auto"/>
              </w:rPr>
              <w:t>2017</w:t>
            </w:r>
          </w:p>
        </w:tc>
        <w:tc>
          <w:tcPr>
            <w:tcW w:w="20" w:type="dxa"/>
            <w:vAlign w:val="bottom"/>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41,143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83,425</w:t>
            </w:r>
          </w:p>
        </w:tc>
        <w:tc>
          <w:tcPr>
            <w:tcW w:w="1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74,539</w:t>
            </w:r>
          </w:p>
        </w:tc>
        <w:tc>
          <w:tcPr>
            <w:tcW w:w="20" w:type="dxa"/>
            <w:vAlign w:val="bottom"/>
          </w:tcPr>
          <w:p>
            <w:pPr>
              <w:spacing w:after="0"/>
              <w:rPr>
                <w:sz w:val="18"/>
                <w:szCs w:val="18"/>
                <w:color w:val="auto"/>
              </w:rPr>
            </w:pPr>
          </w:p>
        </w:tc>
      </w:tr>
      <w:tr>
        <w:trPr>
          <w:trHeight w:val="540"/>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(6,347)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(5,058)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(11,369)</w:t>
            </w:r>
          </w:p>
        </w:tc>
        <w:tc>
          <w:tcPr>
            <w:tcW w:w="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23"/>
                <w:szCs w:val="23"/>
                <w:color w:val="auto"/>
              </w:rPr>
            </w:pPr>
          </w:p>
        </w:tc>
      </w:tr>
      <w:tr>
        <w:trPr>
          <w:trHeight w:val="270"/>
        </w:trPr>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(829)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(3,190)</w:t>
            </w:r>
          </w:p>
        </w:tc>
        <w:tc>
          <w:tcPr>
            <w:tcW w:w="20" w:type="dxa"/>
            <w:vAlign w:val="bottom"/>
          </w:tcPr>
          <w:p>
            <w:pPr>
              <w:spacing w:after="0"/>
              <w:rPr>
                <w:sz w:val="23"/>
                <w:szCs w:val="23"/>
                <w:color w:val="auto"/>
              </w:rPr>
            </w:pPr>
          </w:p>
        </w:tc>
      </w:tr>
      <w:tr>
        <w:trPr>
          <w:trHeight w:val="33"/>
        </w:trPr>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35,023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69,787</w:t>
            </w:r>
          </w:p>
        </w:tc>
        <w:tc>
          <w:tcPr>
            <w:tcW w:w="1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60,087</w:t>
            </w:r>
          </w:p>
        </w:tc>
        <w:tc>
          <w:tcPr>
            <w:tcW w:w="2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-5024755</wp:posOffset>
            </wp:positionV>
            <wp:extent cx="615759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-4672965</wp:posOffset>
            </wp:positionV>
            <wp:extent cx="615759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7595"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-4312920</wp:posOffset>
            </wp:positionV>
            <wp:extent cx="615759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-3961130</wp:posOffset>
            </wp:positionV>
            <wp:extent cx="615759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7595" cy="18859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-3601085</wp:posOffset>
            </wp:positionV>
            <wp:extent cx="615759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-3249295</wp:posOffset>
            </wp:positionV>
            <wp:extent cx="6157595"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7595" cy="19748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-2880995</wp:posOffset>
            </wp:positionV>
            <wp:extent cx="615759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-2538095</wp:posOffset>
            </wp:positionV>
            <wp:extent cx="615759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759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-2169160</wp:posOffset>
            </wp:positionV>
            <wp:extent cx="615759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7595"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-1826260</wp:posOffset>
            </wp:positionV>
            <wp:extent cx="615759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7595"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-1054100</wp:posOffset>
            </wp:positionV>
            <wp:extent cx="61658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6585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-711200</wp:posOffset>
            </wp:positionV>
            <wp:extent cx="616585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6585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-368300</wp:posOffset>
            </wp:positionV>
            <wp:extent cx="616585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sectPr>
      <w:pgSz w:w="11900" w:h="16838" w:orient="portrait"/>
      <w:cols w:equalWidth="0" w:num="2">
        <w:col w:w="3540" w:space="700"/>
        <w:col w:w="5979"/>
      </w:cols>
      <w:pgMar w:left="240" w:top="5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2019-12-29T00:24:18Z</dcterms:created>
  <dcterms:modified xsi:type="dcterms:W3CDTF">2019-12-29T00:24:18Z</dcterms:modified>
</cp:coreProperties>
</file>