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February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right="20" w:firstLine="579"/>
        <w:spacing w:after="0" w:line="279" w:lineRule="auto"/>
        <w:rPr>
          <w:sz w:val="20"/>
          <w:szCs w:val="20"/>
          <w:color w:val="auto"/>
        </w:rPr>
      </w:pPr>
      <w:r>
        <w:rPr>
          <w:rFonts w:ascii="Arial" w:cs="Arial" w:eastAsia="Arial" w:hAnsi="Arial"/>
          <w:sz w:val="16"/>
          <w:szCs w:val="16"/>
          <w:color w:val="auto"/>
        </w:rPr>
        <w:t>On February 23, 2017, Brady Corporation (the “Company”) issued a press release announcing its fiscal 2017 second quarter financial results. A copy of the press release is being furnished to the Securities and Exchange Commission as Exhibit 99.1 attached hereto and is incorporated herein by reference.</w:t>
      </w:r>
    </w:p>
    <w:p>
      <w:pPr>
        <w:spacing w:after="0" w:line="29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right="20" w:firstLine="579"/>
        <w:spacing w:after="0" w:line="265" w:lineRule="auto"/>
        <w:rPr>
          <w:sz w:val="20"/>
          <w:szCs w:val="20"/>
          <w:color w:val="auto"/>
        </w:rPr>
      </w:pPr>
      <w:r>
        <w:rPr>
          <w:rFonts w:ascii="Arial" w:cs="Arial" w:eastAsia="Arial" w:hAnsi="Arial"/>
          <w:sz w:val="16"/>
          <w:szCs w:val="16"/>
          <w:color w:val="auto"/>
        </w:rPr>
        <w:t>On February 23, 2017, the Company hosted a conference call related to its fiscal 2017 second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Pr>
          <w:p>
            <w:pPr>
              <w:ind w:left="20"/>
              <w:spacing w:after="0"/>
              <w:rPr>
                <w:sz w:val="20"/>
                <w:szCs w:val="20"/>
                <w:color w:val="auto"/>
              </w:rPr>
            </w:pPr>
            <w:r>
              <w:rPr>
                <w:rFonts w:ascii="Arial" w:cs="Arial" w:eastAsia="Arial" w:hAnsi="Arial"/>
                <w:sz w:val="16"/>
                <w:szCs w:val="16"/>
                <w:color w:val="auto"/>
              </w:rPr>
              <w:t>Item 9.01</w:t>
            </w:r>
          </w:p>
        </w:tc>
        <w:tc>
          <w:tcPr>
            <w:tcW w:w="7820" w:type="dxa"/>
            <w:vAlign w:val="bottom"/>
          </w:tcPr>
          <w:p>
            <w:pPr>
              <w:ind w:left="100"/>
              <w:spacing w:after="0"/>
              <w:rPr>
                <w:sz w:val="20"/>
                <w:szCs w:val="20"/>
                <w:color w:val="auto"/>
              </w:rPr>
            </w:pPr>
            <w:r>
              <w:rPr>
                <w:rFonts w:ascii="Arial" w:cs="Arial" w:eastAsia="Arial" w:hAnsi="Arial"/>
                <w:sz w:val="16"/>
                <w:szCs w:val="16"/>
                <w:color w:val="auto"/>
              </w:rPr>
              <w:t>FINANCIAL STATEMENTS AND EXHIBITS</w:t>
            </w:r>
          </w:p>
        </w:tc>
        <w:tc>
          <w:tcPr>
            <w:tcW w:w="0" w:type="dxa"/>
            <w:vAlign w:val="bottom"/>
          </w:tcPr>
          <w:p>
            <w:pPr>
              <w:spacing w:after="0"/>
              <w:rPr>
                <w:sz w:val="1"/>
                <w:szCs w:val="1"/>
                <w:color w:val="auto"/>
              </w:rPr>
            </w:pPr>
          </w:p>
        </w:tc>
      </w:tr>
      <w:tr>
        <w:trPr>
          <w:trHeight w:val="410"/>
        </w:trPr>
        <w:tc>
          <w:tcPr>
            <w:tcW w:w="860" w:type="dxa"/>
            <w:vAlign w:val="bottom"/>
          </w:tcPr>
          <w:p>
            <w:pPr>
              <w:spacing w:after="0"/>
              <w:rPr>
                <w:sz w:val="20"/>
                <w:szCs w:val="20"/>
                <w:color w:val="auto"/>
              </w:rPr>
            </w:pPr>
            <w:r>
              <w:rPr>
                <w:rFonts w:ascii="Arial" w:cs="Arial" w:eastAsia="Arial" w:hAnsi="Arial"/>
                <w:sz w:val="16"/>
                <w:szCs w:val="16"/>
                <w:color w:val="auto"/>
              </w:rPr>
              <w:t>(d) Exhibits</w:t>
            </w:r>
          </w:p>
        </w:tc>
        <w:tc>
          <w:tcPr>
            <w:tcW w:w="7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20"/>
              <w:spacing w:after="0"/>
              <w:rPr>
                <w:sz w:val="20"/>
                <w:szCs w:val="20"/>
                <w:color w:val="auto"/>
              </w:rPr>
            </w:pPr>
            <w:r>
              <w:rPr>
                <w:rFonts w:ascii="Arial" w:cs="Arial" w:eastAsia="Arial" w:hAnsi="Arial"/>
                <w:sz w:val="14"/>
                <w:szCs w:val="14"/>
                <w:color w:val="auto"/>
              </w:rPr>
              <w:t>EXHIBIT</w:t>
            </w:r>
          </w:p>
        </w:tc>
        <w:tc>
          <w:tcPr>
            <w:tcW w:w="7820" w:type="dxa"/>
            <w:vAlign w:val="bottom"/>
            <w:vMerge w:val="restart"/>
          </w:tcPr>
          <w:p>
            <w:pPr>
              <w:ind w:left="2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860" w:type="dxa"/>
            <w:vAlign w:val="bottom"/>
          </w:tcPr>
          <w:p>
            <w:pPr>
              <w:ind w:left="20"/>
              <w:spacing w:after="0"/>
              <w:rPr>
                <w:sz w:val="20"/>
                <w:szCs w:val="20"/>
                <w:color w:val="auto"/>
              </w:rPr>
            </w:pPr>
            <w:r>
              <w:rPr>
                <w:rFonts w:ascii="Arial" w:cs="Arial" w:eastAsia="Arial" w:hAnsi="Arial"/>
                <w:sz w:val="14"/>
                <w:szCs w:val="14"/>
                <w:color w:val="auto"/>
              </w:rPr>
              <w:t>NUMBER</w:t>
            </w:r>
          </w:p>
        </w:tc>
        <w:tc>
          <w:tcPr>
            <w:tcW w:w="7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99.1</w:t>
            </w:r>
          </w:p>
        </w:tc>
        <w:tc>
          <w:tcPr>
            <w:tcW w:w="7820" w:type="dxa"/>
            <w:vAlign w:val="bottom"/>
          </w:tcPr>
          <w:p>
            <w:pPr>
              <w:ind w:left="280"/>
              <w:spacing w:after="0"/>
              <w:rPr>
                <w:sz w:val="20"/>
                <w:szCs w:val="20"/>
                <w:color w:val="auto"/>
              </w:rPr>
            </w:pPr>
            <w:r>
              <w:rPr>
                <w:rFonts w:ascii="Arial" w:cs="Arial" w:eastAsia="Arial" w:hAnsi="Arial"/>
                <w:sz w:val="16"/>
                <w:szCs w:val="16"/>
                <w:color w:val="auto"/>
                <w:w w:val="97"/>
              </w:rPr>
              <w:t>Press Release of Brady Corporation, dated February 23, 2017, relating to second quarter fiscal 2017 financial</w:t>
            </w: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7820" w:type="dxa"/>
            <w:vAlign w:val="bottom"/>
            <w:vMerge w:val="restart"/>
          </w:tcPr>
          <w:p>
            <w:pPr>
              <w:ind w:left="28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86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820" w:type="dxa"/>
            <w:vAlign w:val="bottom"/>
          </w:tcPr>
          <w:p>
            <w:pPr>
              <w:ind w:left="280"/>
              <w:spacing w:after="0"/>
              <w:rPr>
                <w:sz w:val="20"/>
                <w:szCs w:val="20"/>
                <w:color w:val="auto"/>
              </w:rPr>
            </w:pPr>
            <w:r>
              <w:rPr>
                <w:rFonts w:ascii="Arial" w:cs="Arial" w:eastAsia="Arial" w:hAnsi="Arial"/>
                <w:sz w:val="16"/>
                <w:szCs w:val="16"/>
                <w:color w:val="auto"/>
                <w:w w:val="92"/>
              </w:rPr>
              <w:t>Informational slides provided by Brady Corporation, dated February 23, 2017, relating to second quarter fiscal 2017</w:t>
            </w: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7820" w:type="dxa"/>
            <w:vAlign w:val="bottom"/>
            <w:vMerge w:val="restart"/>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860" w:type="dxa"/>
            <w:vAlign w:val="bottom"/>
          </w:tcPr>
          <w:p>
            <w:pPr>
              <w:spacing w:after="0"/>
              <w:rPr>
                <w:sz w:val="8"/>
                <w:szCs w:val="8"/>
                <w:color w:val="auto"/>
              </w:rPr>
            </w:pP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February 23, 2017</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7780" w:type="dxa"/>
            <w:vAlign w:val="bottom"/>
          </w:tcPr>
          <w:p>
            <w:pPr>
              <w:ind w:left="422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00" w:type="dxa"/>
            <w:vAlign w:val="bottom"/>
          </w:tcPr>
          <w:p>
            <w:pPr>
              <w:ind w:left="20"/>
              <w:spacing w:after="0"/>
              <w:rPr>
                <w:sz w:val="20"/>
                <w:szCs w:val="20"/>
                <w:color w:val="auto"/>
              </w:rPr>
            </w:pPr>
            <w:r>
              <w:rPr>
                <w:rFonts w:ascii="Arial" w:cs="Arial" w:eastAsia="Arial" w:hAnsi="Arial"/>
                <w:sz w:val="14"/>
                <w:szCs w:val="14"/>
                <w:color w:val="auto"/>
              </w:rPr>
              <w:t>EXHIBIT</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NUMBER</w:t>
            </w:r>
          </w:p>
        </w:tc>
        <w:tc>
          <w:tcPr>
            <w:tcW w:w="7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99.1</w:t>
            </w:r>
          </w:p>
        </w:tc>
        <w:tc>
          <w:tcPr>
            <w:tcW w:w="7780" w:type="dxa"/>
            <w:vAlign w:val="bottom"/>
          </w:tcPr>
          <w:p>
            <w:pPr>
              <w:ind w:left="240"/>
              <w:spacing w:after="0"/>
              <w:rPr>
                <w:sz w:val="20"/>
                <w:szCs w:val="20"/>
                <w:color w:val="auto"/>
              </w:rPr>
            </w:pPr>
            <w:r>
              <w:rPr>
                <w:rFonts w:ascii="Arial" w:cs="Arial" w:eastAsia="Arial" w:hAnsi="Arial"/>
                <w:sz w:val="16"/>
                <w:szCs w:val="16"/>
                <w:color w:val="auto"/>
                <w:w w:val="97"/>
              </w:rPr>
              <w:t>Press Release of Brady Corporation, dated February 23, 2017, relating to second quarter fiscal 2017 financial</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96"/>
        </w:trPr>
        <w:tc>
          <w:tcPr>
            <w:tcW w:w="900" w:type="dxa"/>
            <w:vAlign w:val="bottom"/>
          </w:tcPr>
          <w:p>
            <w:pPr>
              <w:spacing w:after="0"/>
              <w:rPr>
                <w:sz w:val="8"/>
                <w:szCs w:val="8"/>
                <w:color w:val="auto"/>
              </w:rPr>
            </w:pPr>
          </w:p>
        </w:tc>
        <w:tc>
          <w:tcPr>
            <w:tcW w:w="7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780" w:type="dxa"/>
            <w:vAlign w:val="bottom"/>
          </w:tcPr>
          <w:p>
            <w:pPr>
              <w:ind w:left="240"/>
              <w:spacing w:after="0"/>
              <w:rPr>
                <w:sz w:val="20"/>
                <w:szCs w:val="20"/>
                <w:color w:val="auto"/>
              </w:rPr>
            </w:pPr>
            <w:r>
              <w:rPr>
                <w:rFonts w:ascii="Arial" w:cs="Arial" w:eastAsia="Arial" w:hAnsi="Arial"/>
                <w:sz w:val="16"/>
                <w:szCs w:val="16"/>
                <w:color w:val="auto"/>
                <w:w w:val="92"/>
              </w:rPr>
              <w:t>Informational slides provided by Brady Corporation, dated February 23, 2017, relating to second quarter fiscal 2017</w:t>
            </w:r>
          </w:p>
        </w:tc>
        <w:tc>
          <w:tcPr>
            <w:tcW w:w="0" w:type="dxa"/>
            <w:vAlign w:val="bottom"/>
          </w:tcPr>
          <w:p>
            <w:pPr>
              <w:spacing w:after="0"/>
              <w:rPr>
                <w:sz w:val="1"/>
                <w:szCs w:val="1"/>
                <w:color w:val="auto"/>
              </w:rPr>
            </w:pPr>
          </w:p>
        </w:tc>
      </w:tr>
      <w:tr>
        <w:trPr>
          <w:trHeight w:val="109"/>
        </w:trPr>
        <w:tc>
          <w:tcPr>
            <w:tcW w:w="900" w:type="dxa"/>
            <w:vAlign w:val="bottom"/>
            <w:vMerge w:val="continue"/>
          </w:tcPr>
          <w:p>
            <w:pPr>
              <w:spacing w:after="0"/>
              <w:rPr>
                <w:sz w:val="9"/>
                <w:szCs w:val="9"/>
                <w:color w:val="auto"/>
              </w:rPr>
            </w:pP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900" w:type="dxa"/>
            <w:vAlign w:val="bottom"/>
          </w:tcPr>
          <w:p>
            <w:pPr>
              <w:spacing w:after="0"/>
              <w:rPr>
                <w:sz w:val="8"/>
                <w:szCs w:val="8"/>
                <w:color w:val="auto"/>
              </w:rPr>
            </w:pPr>
          </w:p>
        </w:tc>
        <w:tc>
          <w:tcPr>
            <w:tcW w:w="7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Kate Venne 414-358-5176</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2017 Second Quarter Results and Increases its Fiscal 2017 EPS Guidance</w:t>
      </w:r>
    </w:p>
    <w:p>
      <w:pPr>
        <w:spacing w:after="0" w:line="330" w:lineRule="exact"/>
        <w:rPr>
          <w:sz w:val="20"/>
          <w:szCs w:val="20"/>
          <w:color w:val="auto"/>
        </w:rPr>
      </w:pPr>
    </w:p>
    <w:p>
      <w:pPr>
        <w:ind w:left="580" w:right="38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Nonvoting Common Share was $0.49 in the second quarter of fiscal 2017 compared to $0.30 in the same quarter of the prior year. Results for the quarter include $0.09 per share of discrete tax benefits.</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Organic revenue growth was 1.3 percent for the quarter ended January 31, 2017.</w:t>
      </w:r>
    </w:p>
    <w:p>
      <w:pPr>
        <w:spacing w:after="0" w:line="94"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7"/>
          <w:szCs w:val="17"/>
          <w:color w:val="auto"/>
        </w:rPr>
        <w:t>Net debt was $37.7 million at January 31, 2017 compared to $132.5 million at January 31, 2016; providing flexibility for future investments.</w:t>
      </w:r>
    </w:p>
    <w:p>
      <w:pPr>
        <w:spacing w:after="0" w:line="106" w:lineRule="exact"/>
        <w:rPr>
          <w:rFonts w:ascii="Arial" w:cs="Arial" w:eastAsia="Arial" w:hAnsi="Arial"/>
          <w:sz w:val="15"/>
          <w:szCs w:val="15"/>
          <w:color w:val="auto"/>
        </w:rPr>
      </w:pPr>
    </w:p>
    <w:p>
      <w:pPr>
        <w:ind w:left="580" w:right="40" w:hanging="294"/>
        <w:spacing w:after="0" w:line="36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Earnings per diluted Class A Common Share guidance for the full year ending July 31, 2017 increased from a range of $1.55 to $1.70 to a range of $1.75 to $1.85.</w:t>
      </w:r>
    </w:p>
    <w:p>
      <w:pPr>
        <w:spacing w:after="0" w:line="246" w:lineRule="exact"/>
        <w:rPr>
          <w:sz w:val="20"/>
          <w:szCs w:val="20"/>
          <w:color w:val="auto"/>
        </w:rPr>
      </w:pPr>
    </w:p>
    <w:p>
      <w:pPr>
        <w:ind w:right="300"/>
        <w:spacing w:after="0" w:line="368" w:lineRule="auto"/>
        <w:rPr>
          <w:sz w:val="20"/>
          <w:szCs w:val="20"/>
          <w:color w:val="auto"/>
        </w:rPr>
      </w:pPr>
      <w:r>
        <w:rPr>
          <w:rFonts w:ascii="Arial" w:cs="Arial" w:eastAsia="Arial" w:hAnsi="Arial"/>
          <w:sz w:val="18"/>
          <w:szCs w:val="18"/>
          <w:color w:val="auto"/>
        </w:rPr>
        <w:t>MILWAUKEE (February 23, 2017)--Brady Corporation (NYSE: BRC) (“Brady” or “Company”), a world leader in identification solutions, today reported its financial results for its fiscal 2017 second quarter ended January 31, 2017.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January 31, 2017 Financial Results: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earnings for the quarter ended January 31, 2017, were $25.3 million compared to $15.3 million in the same quarter last year.</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Earnings per diluted Class A Nonvoting Common Share were $0.49 for the quarter ended January 31, 2017, compared to $0.30 in the same quarter last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95" w:lineRule="exact"/>
        <w:rPr>
          <w:sz w:val="20"/>
          <w:szCs w:val="20"/>
          <w:color w:val="auto"/>
        </w:rPr>
      </w:pPr>
    </w:p>
    <w:p>
      <w:pPr>
        <w:ind w:right="300" w:firstLine="579"/>
        <w:spacing w:after="0" w:line="349" w:lineRule="auto"/>
        <w:rPr>
          <w:sz w:val="20"/>
          <w:szCs w:val="20"/>
          <w:color w:val="auto"/>
        </w:rPr>
      </w:pPr>
      <w:r>
        <w:rPr>
          <w:rFonts w:ascii="Arial" w:cs="Arial" w:eastAsia="Arial" w:hAnsi="Arial"/>
          <w:sz w:val="18"/>
          <w:szCs w:val="18"/>
          <w:color w:val="auto"/>
        </w:rPr>
        <w:t>During the quarter ended January 31, 2017, the Company’s effective tax rate was 13.1%, which was impacted by certain one-time tax benefits from a cash repatriation. The one-time tax items benefited earnings per diluted Class A Nonvoting Common Share by approximately $0.09 during the quarter. Our historical average effective tax rate is approximately 28%.</w:t>
      </w:r>
    </w:p>
    <w:p>
      <w:pPr>
        <w:spacing w:after="0" w:line="2" w:lineRule="exact"/>
        <w:rPr>
          <w:sz w:val="20"/>
          <w:szCs w:val="20"/>
          <w:color w:val="auto"/>
        </w:rPr>
      </w:pPr>
    </w:p>
    <w:p>
      <w:pPr>
        <w:ind w:right="360" w:firstLine="579"/>
        <w:spacing w:after="0" w:line="359" w:lineRule="auto"/>
        <w:rPr>
          <w:sz w:val="20"/>
          <w:szCs w:val="20"/>
          <w:color w:val="auto"/>
        </w:rPr>
      </w:pPr>
      <w:r>
        <w:rPr>
          <w:rFonts w:ascii="Arial" w:cs="Arial" w:eastAsia="Arial" w:hAnsi="Arial"/>
          <w:sz w:val="18"/>
          <w:szCs w:val="18"/>
          <w:color w:val="auto"/>
        </w:rPr>
        <w:t>Sales for the quarter ended January 31, 2017, decreased 0.2 percent to $268.0 million compared to $268.6 million in the same quarter last year. Total organic sales increased 1.3 percent while the impact of foreign currency translation decreased sales by 1.5 percent. By segment, organic sales increased 1.9 percent in Identification Solutions and decreased 0.2 percent in Workplace Safety.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Period Ended January 31, 2017 Financial Results: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Net earnings for the six-month period ended January 31, 2017, were $47.9 million compared to $34.0 million in the same quarter last year.</w:t>
      </w:r>
    </w:p>
    <w:p>
      <w:pPr>
        <w:sectPr>
          <w:pgSz w:w="11900" w:h="16838" w:orient="portrait"/>
          <w:cols w:equalWidth="0" w:num="1">
            <w:col w:w="11440"/>
          </w:cols>
          <w:pgMar w:left="240" w:top="734" w:right="219" w:bottom="1440" w:gutter="0" w:footer="0" w:header="0"/>
        </w:sectPr>
      </w:pPr>
    </w:p>
    <w:bookmarkStart w:id="4" w:name="page5"/>
    <w:bookmarkEnd w:id="4"/>
    <w:p>
      <w:pPr>
        <w:ind w:right="280" w:firstLine="579"/>
        <w:spacing w:after="0" w:line="349" w:lineRule="auto"/>
        <w:rPr>
          <w:sz w:val="20"/>
          <w:szCs w:val="20"/>
          <w:color w:val="auto"/>
        </w:rPr>
      </w:pPr>
      <w:r>
        <w:rPr>
          <w:rFonts w:ascii="Arial" w:cs="Arial" w:eastAsia="Arial" w:hAnsi="Arial"/>
          <w:sz w:val="18"/>
          <w:szCs w:val="18"/>
          <w:color w:val="auto"/>
        </w:rPr>
        <w:t>Earnings per diluted Class A Nonvoting Common Share were $0.93 for the six-month period ended January 31, 2017, compared to $0.67 in the same period in fiscal 2016.</w:t>
      </w:r>
    </w:p>
    <w:p>
      <w:pPr>
        <w:spacing w:after="0" w:line="1" w:lineRule="exact"/>
        <w:rPr>
          <w:sz w:val="20"/>
          <w:szCs w:val="20"/>
          <w:color w:val="auto"/>
        </w:rPr>
      </w:pPr>
    </w:p>
    <w:p>
      <w:pPr>
        <w:jc w:val="both"/>
        <w:ind w:right="60" w:firstLine="579"/>
        <w:spacing w:after="0" w:line="349" w:lineRule="auto"/>
        <w:rPr>
          <w:sz w:val="20"/>
          <w:szCs w:val="20"/>
          <w:color w:val="auto"/>
        </w:rPr>
      </w:pPr>
      <w:r>
        <w:rPr>
          <w:rFonts w:ascii="Arial" w:cs="Arial" w:eastAsia="Arial" w:hAnsi="Arial"/>
          <w:sz w:val="18"/>
          <w:szCs w:val="18"/>
          <w:color w:val="auto"/>
        </w:rPr>
        <w:t>During the six-month period ended January 31, 2017, the Company’s effective tax rate was 20.4%, which was impacted by certain one-time tax benefits from a cash repatriation. The one-time tax items benefited earnings per diluted Class A Nonvoting Common Share by approximately $0.09 during the six-month period.</w:t>
      </w:r>
    </w:p>
    <w:p>
      <w:pPr>
        <w:spacing w:after="0" w:line="2" w:lineRule="exact"/>
        <w:rPr>
          <w:sz w:val="20"/>
          <w:szCs w:val="20"/>
          <w:color w:val="auto"/>
        </w:rPr>
      </w:pPr>
    </w:p>
    <w:p>
      <w:pPr>
        <w:ind w:right="20" w:firstLine="579"/>
        <w:spacing w:after="0" w:line="359" w:lineRule="auto"/>
        <w:rPr>
          <w:sz w:val="20"/>
          <w:szCs w:val="20"/>
          <w:color w:val="auto"/>
        </w:rPr>
      </w:pPr>
      <w:r>
        <w:rPr>
          <w:rFonts w:ascii="Arial" w:cs="Arial" w:eastAsia="Arial" w:hAnsi="Arial"/>
          <w:sz w:val="18"/>
          <w:szCs w:val="18"/>
          <w:color w:val="auto"/>
        </w:rPr>
        <w:t>Sales for the six-month period ended January 31, 2017, decreased 0.6 percent to $548.2 million compared to $551.7 million in the same quarter last year. Total organic sales increased 0.5 percent while foreign currency translation decreased sales by 1.1 percent. By segment, organic sales increased 1.3 percent in Identification Solutions and decreased 1.3 percent in Workplace Safety.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ind w:firstLine="579"/>
        <w:spacing w:after="0" w:line="370" w:lineRule="auto"/>
        <w:rPr>
          <w:sz w:val="20"/>
          <w:szCs w:val="20"/>
          <w:color w:val="auto"/>
        </w:rPr>
      </w:pPr>
      <w:r>
        <w:rPr>
          <w:rFonts w:ascii="Arial" w:cs="Arial" w:eastAsia="Arial" w:hAnsi="Arial"/>
          <w:sz w:val="17"/>
          <w:szCs w:val="17"/>
          <w:color w:val="auto"/>
        </w:rPr>
        <w:t>“Our continued focus on developing high-quality products, identifying efficiencies in our SG&amp;A structure, and driving a culture of local ownership and accountability is working. This quarter marks our sixth consecutive quarter of year-over-year earnings growth. Our actions to improve organic sales are also working as we realized organic sales growth of 1.3 percent this quarter and are at 0.5 percent organic sales growth year-to-date. However, we do expect to see choppy organic growth patterns in the future as our initiatives gain traction and due to fewer billing days in the second half of fiscal 2017,” said Brady’s President and Chief Executive Officer, J. Michael Nauman. “We believe our actions are starting to result in long-term positive organic sales trends, which we expect will translate into future profit improvements. Looking forward, our priorities remain unchanged, which are to grow our pipeline of innovative new products, deliver efficiency gains, and serve our customers extremely well. We are pleased that we have been able to consistently improve our performance while simultaneously driving our long-term strategy.”</w:t>
      </w:r>
    </w:p>
    <w:p>
      <w:pPr>
        <w:spacing w:after="0" w:line="2" w:lineRule="exact"/>
        <w:rPr>
          <w:sz w:val="20"/>
          <w:szCs w:val="20"/>
          <w:color w:val="auto"/>
        </w:rPr>
      </w:pPr>
    </w:p>
    <w:p>
      <w:pPr>
        <w:ind w:right="40" w:firstLine="579"/>
        <w:spacing w:after="0" w:line="377" w:lineRule="auto"/>
        <w:rPr>
          <w:sz w:val="20"/>
          <w:szCs w:val="20"/>
          <w:color w:val="auto"/>
        </w:rPr>
      </w:pPr>
      <w:r>
        <w:rPr>
          <w:rFonts w:ascii="Arial" w:cs="Arial" w:eastAsia="Arial" w:hAnsi="Arial"/>
          <w:sz w:val="17"/>
          <w:szCs w:val="17"/>
          <w:color w:val="auto"/>
        </w:rPr>
        <w:t>“We continue to see profitability improvements as we focus on driving efficiencies throughout our manufacturing operations while actively reducing our selling, general and administrative expense structure, all while investing in organic growth opportunities,” said Brady’s Chief Financial Officer, Aaron Pearce. “Cash generation for the quarter ended January 31, 2017, was below that of last year due to the timing of certain payments. After taking the impact of these timing items into account, it is clear that our trend of solid cash generation continues as we finished with net debt of $37.7 million as of January 31, 2017, compared to net debt of $132.5 million as of January 31, 2016. As a result of this cash generation, our balance sheet is solid and provides significant flexibility for future investment and returning funds to our shareholders.”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Guidance:</w:t>
      </w:r>
    </w:p>
    <w:p>
      <w:pPr>
        <w:spacing w:after="0" w:line="101" w:lineRule="exact"/>
        <w:rPr>
          <w:sz w:val="20"/>
          <w:szCs w:val="20"/>
          <w:color w:val="auto"/>
        </w:rPr>
      </w:pPr>
    </w:p>
    <w:p>
      <w:pPr>
        <w:jc w:val="both"/>
        <w:ind w:right="100" w:firstLine="579"/>
        <w:spacing w:after="0" w:line="381" w:lineRule="auto"/>
        <w:rPr>
          <w:sz w:val="20"/>
          <w:szCs w:val="20"/>
          <w:color w:val="auto"/>
        </w:rPr>
      </w:pPr>
      <w:r>
        <w:rPr>
          <w:rFonts w:ascii="Arial" w:cs="Arial" w:eastAsia="Arial" w:hAnsi="Arial"/>
          <w:sz w:val="17"/>
          <w:szCs w:val="17"/>
          <w:color w:val="auto"/>
        </w:rPr>
        <w:t>The Company is increasing its earnings per diluted Class A Common Share guidance from a range of $1.55 to $1.70 to a range of $1.75 to $1.85 for the full year ending July 31, 2017. Included in this guidance are organic sales ranging from a low single-digit decline to slightly positive growth for the year ending July 31, 2017. Offsetting this challenging revenue environment are ongoing efficiency gains in the Company’s manufacturing facilities and selling, general, and administrative expenses. This guidance is based upon foreign currency exchange</w:t>
      </w:r>
    </w:p>
    <w:p>
      <w:pPr>
        <w:sectPr>
          <w:pgSz w:w="11900" w:h="16838" w:orient="portrait"/>
          <w:cols w:equalWidth="0" w:num="1">
            <w:col w:w="11420"/>
          </w:cols>
          <w:pgMar w:left="240" w:top="583" w:right="239" w:bottom="1440" w:gutter="0" w:footer="0" w:header="0"/>
        </w:sectPr>
      </w:pPr>
    </w:p>
    <w:bookmarkStart w:id="5" w:name="page6"/>
    <w:bookmarkEnd w:id="5"/>
    <w:p>
      <w:pPr>
        <w:ind w:right="780"/>
        <w:spacing w:after="0" w:line="368" w:lineRule="auto"/>
        <w:rPr>
          <w:sz w:val="20"/>
          <w:szCs w:val="20"/>
          <w:color w:val="auto"/>
        </w:rPr>
      </w:pPr>
      <w:r>
        <w:rPr>
          <w:rFonts w:ascii="Arial" w:cs="Arial" w:eastAsia="Arial" w:hAnsi="Arial"/>
          <w:sz w:val="18"/>
          <w:szCs w:val="18"/>
          <w:color w:val="auto"/>
        </w:rPr>
        <w:t>rates as of January 31, 2017, a full-year income tax rate in the mid-20 percent range, depreciation and amortization expense of $30 million, and capital expenditures approximating $20 million.</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2017 second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72" w:lineRule="exact"/>
        <w:rPr>
          <w:sz w:val="20"/>
          <w:szCs w:val="20"/>
          <w:color w:val="auto"/>
        </w:rPr>
      </w:pPr>
    </w:p>
    <w:p>
      <w:pPr>
        <w:ind w:right="8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2016, employed approximately 6,500 people in its worldwide businesses. Brady’s fiscal 2016 sales were approximately $1.12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deterioration or instability in the global economy and financial markets; decreased demand for our products; Brady’s ability to retain large customers; risks associated with the loss of key employees; changes in tax legislation and tax rates; Brady’s ability to execute facility consolidations and maintain acceptable operational service metrics; extensive regulations by U.S. and non-U.S. governmental and self-regulatory entities; litigation, including product liability claims; divestitures and contingent liabilities from divestitures; Brady’s ability to properly identify, integrate, and grow acquired companies; foreign currency fluctuations;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2016.</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583"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color w:val="auto"/>
              </w:rPr>
              <w:t>Three months ended January 31,</w:t>
            </w:r>
          </w:p>
        </w:tc>
        <w:tc>
          <w:tcPr>
            <w:tcW w:w="180" w:type="dxa"/>
            <w:vAlign w:val="bottom"/>
          </w:tcPr>
          <w:p>
            <w:pPr>
              <w:spacing w:after="0"/>
              <w:rPr>
                <w:sz w:val="15"/>
                <w:szCs w:val="15"/>
                <w:color w:val="auto"/>
              </w:rPr>
            </w:pPr>
          </w:p>
        </w:tc>
        <w:tc>
          <w:tcPr>
            <w:tcW w:w="2040" w:type="dxa"/>
            <w:vAlign w:val="bottom"/>
            <w:gridSpan w:val="4"/>
          </w:tcPr>
          <w:p>
            <w:pPr>
              <w:jc w:val="right"/>
              <w:ind w:right="148"/>
              <w:spacing w:after="0"/>
              <w:rPr>
                <w:sz w:val="20"/>
                <w:szCs w:val="20"/>
                <w:color w:val="auto"/>
              </w:rPr>
            </w:pPr>
            <w:r>
              <w:rPr>
                <w:rFonts w:ascii="Arial" w:cs="Arial" w:eastAsia="Arial" w:hAnsi="Arial"/>
                <w:sz w:val="14"/>
                <w:szCs w:val="14"/>
                <w:color w:val="auto"/>
                <w:w w:val="95"/>
              </w:rPr>
              <w:t>Six months ended January 31,</w:t>
            </w:r>
          </w:p>
        </w:tc>
      </w:tr>
      <w:tr>
        <w:trPr>
          <w:trHeight w:val="30"/>
        </w:trPr>
        <w:tc>
          <w:tcPr>
            <w:tcW w:w="4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2016</w:t>
            </w:r>
          </w:p>
        </w:tc>
      </w:tr>
      <w:tr>
        <w:trPr>
          <w:trHeight w:val="30"/>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268,001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268,630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548,177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551,703</w:t>
            </w: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133,843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135,738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273,661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279,462</w:t>
            </w:r>
          </w:p>
        </w:tc>
      </w:tr>
      <w:tr>
        <w:trPr>
          <w:trHeight w:val="30"/>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134,158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132,892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274,516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272,241</w:t>
            </w: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17,666</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94,715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192,719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200,884</w:t>
            </w:r>
          </w:p>
        </w:tc>
      </w:tr>
      <w:tr>
        <w:trPr>
          <w:trHeight w:val="30"/>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Total operating expenses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104,196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109,303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211,346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218,550</w:t>
            </w:r>
          </w:p>
        </w:tc>
      </w:tr>
      <w:tr>
        <w:trPr>
          <w:trHeight w:val="193"/>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Operating income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53,691</w:t>
            </w:r>
          </w:p>
        </w:tc>
      </w:tr>
      <w:tr>
        <w:trPr>
          <w:trHeight w:val="193"/>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Other income (expense):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Investment and other income (expense)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(1,751)</w:t>
            </w:r>
          </w:p>
        </w:tc>
      </w:tr>
      <w:tr>
        <w:trPr>
          <w:trHeight w:val="30"/>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Interest expense</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(4,281)</w:t>
            </w:r>
          </w:p>
        </w:tc>
      </w:tr>
      <w:tr>
        <w:trPr>
          <w:trHeight w:val="185"/>
        </w:trPr>
        <w:tc>
          <w:tcPr>
            <w:tcW w:w="4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Earnings before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47,659</w:t>
            </w:r>
          </w:p>
        </w:tc>
      </w:tr>
      <w:tr>
        <w:trPr>
          <w:trHeight w:val="193"/>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Income tax expense</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13,666</w:t>
            </w:r>
          </w:p>
        </w:tc>
      </w:tr>
      <w:tr>
        <w:trPr>
          <w:trHeight w:val="185"/>
        </w:trPr>
        <w:tc>
          <w:tcPr>
            <w:tcW w:w="4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3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33,993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3"/>
        </w:trPr>
        <w:tc>
          <w:tcPr>
            <w:tcW w:w="4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0.67</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0.67</w:t>
            </w:r>
          </w:p>
        </w:tc>
      </w:tr>
      <w:tr>
        <w:trPr>
          <w:trHeight w:val="30"/>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0.41</w:t>
            </w:r>
          </w:p>
        </w:tc>
      </w:tr>
      <w:tr>
        <w:trPr>
          <w:trHeight w:val="193"/>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earnings per Class B Voting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0.65</w:t>
            </w:r>
          </w:p>
        </w:tc>
      </w:tr>
      <w:tr>
        <w:trPr>
          <w:trHeight w:val="30"/>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0.65</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0.39</w:t>
            </w:r>
          </w:p>
        </w:tc>
      </w:tr>
      <w:tr>
        <w:trPr>
          <w:trHeight w:val="30"/>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shd w:val="clear" w:color="auto" w:fill="CCEEFF"/>
              </w:rPr>
              <w:t>Basic</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50,527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50,778</w:t>
            </w:r>
          </w:p>
        </w:tc>
      </w:tr>
      <w:tr>
        <w:trPr>
          <w:trHeight w:val="211"/>
        </w:trPr>
        <w:tc>
          <w:tcPr>
            <w:tcW w:w="414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51,954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50,868</w:t>
            </w:r>
          </w:p>
        </w:tc>
      </w:tr>
    </w:tbl>
    <w:p>
      <w:pPr>
        <w:sectPr>
          <w:pgSz w:w="11900" w:h="16838" w:orient="portrait"/>
          <w:cols w:equalWidth="0" w:num="1">
            <w:col w:w="10219"/>
          </w:cols>
          <w:pgMar w:left="240" w:top="537"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January 31, 2017</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2016</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9"/>
        </w:trPr>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64"/>
        </w:trPr>
        <w:tc>
          <w:tcPr>
            <w:tcW w:w="6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125,208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141,228</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140,018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147,333</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Finished products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60,642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64,313</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Work-in-process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17,029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16,678</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Raw materials and supplies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18,436</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Total inventories</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97,408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99,427</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19,051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19,436</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current assets</w:t>
            </w: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381,685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407,424</w:t>
            </w: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assets: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Goodwill</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424,857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429,871</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intangible assets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59,806</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shd w:val="clear" w:color="auto" w:fill="CCEEFF"/>
              </w:rPr>
              <w:t>Deferred income taxes</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27,403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27,238</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17,181</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2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shd w:val="clear" w:color="auto" w:fill="CCEEFF"/>
              </w:rPr>
              <w:t>Property, plant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199"/>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Cost: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2"/>
        </w:trPr>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9"/>
                <w:shd w:val="clear" w:color="auto" w:fill="CCEEFF"/>
              </w:rPr>
              <w:t>Land</w:t>
            </w:r>
          </w:p>
        </w:tc>
        <w:tc>
          <w:tcPr>
            <w:tcW w:w="1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5,809</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Buildings and improvements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94,542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95,355</w:t>
            </w:r>
          </w:p>
        </w:tc>
      </w:tr>
      <w:tr>
        <w:trPr>
          <w:trHeight w:val="30"/>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shd w:val="clear" w:color="auto" w:fill="CCEEFF"/>
              </w:rPr>
              <w:t>Machinery and equipment</w:t>
            </w:r>
          </w:p>
        </w:tc>
        <w:tc>
          <w:tcPr>
            <w:tcW w:w="5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254,688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256,549</w:t>
            </w:r>
          </w:p>
        </w:tc>
      </w:tr>
      <w:tr>
        <w:trPr>
          <w:trHeight w:val="211"/>
        </w:trPr>
        <w:tc>
          <w:tcPr>
            <w:tcW w:w="620" w:type="dxa"/>
            <w:vAlign w:val="bottom"/>
          </w:tcPr>
          <w:p>
            <w:pPr>
              <w:spacing w:after="0"/>
              <w:rPr>
                <w:sz w:val="18"/>
                <w:szCs w:val="18"/>
                <w:color w:val="auto"/>
              </w:rPr>
            </w:pPr>
          </w:p>
        </w:tc>
        <w:tc>
          <w:tcPr>
            <w:tcW w:w="5340" w:type="dxa"/>
            <w:vAlign w:val="bottom"/>
            <w:gridSpan w:val="4"/>
          </w:tcPr>
          <w:p>
            <w:pPr>
              <w:spacing w:after="0"/>
              <w:rPr>
                <w:sz w:val="20"/>
                <w:szCs w:val="20"/>
                <w:color w:val="auto"/>
              </w:rPr>
            </w:pPr>
            <w:r>
              <w:rPr>
                <w:rFonts w:ascii="Arial" w:cs="Arial" w:eastAsia="Arial" w:hAnsi="Arial"/>
                <w:sz w:val="14"/>
                <w:szCs w:val="14"/>
                <w:color w:val="auto"/>
              </w:rPr>
              <w:t>Construction in progress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3,168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2,842</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359,670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360,555</w:t>
            </w: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Less accumulated depreciation</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262,786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258,111</w:t>
            </w:r>
          </w:p>
        </w:tc>
      </w:tr>
      <w:tr>
        <w:trPr>
          <w:trHeight w:val="30"/>
        </w:trPr>
        <w:tc>
          <w:tcPr>
            <w:tcW w:w="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6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Property, plant and equipment—net</w:t>
            </w: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96,884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102,444</w:t>
            </w:r>
          </w:p>
        </w:tc>
      </w:tr>
      <w:tr>
        <w:trPr>
          <w:trHeight w:val="19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1,003,136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1,043,964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5453380"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3380" cy="175895"/>
                    </a:xfrm>
                    <a:prstGeom prst="rect">
                      <a:avLst/>
                    </a:prstGeom>
                    <a:noFill/>
                  </pic:spPr>
                </pic:pic>
              </a:graphicData>
            </a:graphic>
          </wp:anchor>
        </w:drawing>
      </w:r>
    </w:p>
    <w:p>
      <w:pPr>
        <w:spacing w:after="0" w:line="34" w:lineRule="exact"/>
        <w:rPr>
          <w:sz w:val="20"/>
          <w:szCs w:val="20"/>
          <w:color w:val="auto"/>
        </w:rPr>
      </w:pPr>
    </w:p>
    <w:p>
      <w:pPr>
        <w:ind w:left="1200"/>
        <w:spacing w:after="0"/>
        <w:rPr>
          <w:sz w:val="20"/>
          <w:szCs w:val="20"/>
          <w:color w:val="auto"/>
        </w:rPr>
      </w:pPr>
      <w:r>
        <w:rPr>
          <w:rFonts w:ascii="Arial" w:cs="Arial" w:eastAsia="Arial" w:hAnsi="Arial"/>
          <w:sz w:val="14"/>
          <w:szCs w:val="14"/>
          <w:b w:val="1"/>
          <w:bCs w:val="1"/>
          <w:u w:val="single" w:color="auto"/>
          <w:color w:val="auto"/>
          <w:shd w:val="clear" w:color="auto" w:fill="CCEEFF"/>
        </w:rPr>
        <w:t>LIABILITIES AND STOCKHOLDERS’ INVESTMENT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p>
      <w:pPr>
        <w:spacing w:after="0" w:line="84" w:lineRule="exact"/>
        <w:rPr>
          <w:sz w:val="20"/>
          <w:szCs w:val="20"/>
          <w:color w:val="auto"/>
        </w:rPr>
      </w:pPr>
    </w:p>
    <w:p>
      <w:pPr>
        <w:ind w:left="340"/>
        <w:spacing w:after="0"/>
        <w:tabs>
          <w:tab w:leader="none" w:pos="5960" w:val="left"/>
        </w:tabs>
        <w:rPr>
          <w:sz w:val="20"/>
          <w:szCs w:val="20"/>
          <w:color w:val="auto"/>
        </w:rPr>
      </w:pPr>
      <w:r>
        <w:rPr>
          <w:rFonts w:ascii="Arial" w:cs="Arial" w:eastAsia="Arial" w:hAnsi="Arial"/>
          <w:sz w:val="14"/>
          <w:szCs w:val="14"/>
          <w:color w:val="auto"/>
          <w:shd w:val="clear" w:color="auto" w:fill="CCEEFF"/>
        </w:rPr>
        <w:t>Notes payable</w:t>
      </w:r>
      <w:r>
        <w:rPr>
          <w:sz w:val="20"/>
          <w:szCs w:val="20"/>
          <w:color w:val="auto"/>
        </w:rPr>
        <w:tab/>
      </w:r>
      <w:r>
        <w:rPr>
          <w:rFonts w:ascii="Arial" w:cs="Arial" w:eastAsia="Arial" w:hAnsi="Arial"/>
          <w:sz w:val="14"/>
          <w:szCs w:val="14"/>
          <w:color w:val="auto"/>
        </w:rPr>
        <w: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Wages and amounts withheld from employees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income taxes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shd w:val="clear" w:color="auto" w:fill="CCEEFF"/>
        </w:rPr>
        <w:t>Total current liabilities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Long-term obligations, less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shd w:val="clear" w:color="auto" w:fill="CCEEFF"/>
        </w:rPr>
        <w:t>Other liabilities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shd w:val="clear" w:color="auto" w:fill="CCEEFF"/>
        </w:rPr>
        <w:t>Stockholders’ investment: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260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3380" cy="260350"/>
                    </a:xfrm>
                    <a:prstGeom prst="rect">
                      <a:avLst/>
                    </a:prstGeom>
                    <a:noFill/>
                  </pic:spPr>
                </pic:pic>
              </a:graphicData>
            </a:graphic>
          </wp:anchor>
        </w:drawing>
      </w:r>
    </w:p>
    <w:p>
      <w:pPr>
        <w:spacing w:after="0" w:line="60" w:lineRule="exact"/>
        <w:rPr>
          <w:sz w:val="20"/>
          <w:szCs w:val="20"/>
          <w:color w:val="auto"/>
        </w:rPr>
      </w:pPr>
    </w:p>
    <w:p>
      <w:pPr>
        <w:ind w:left="620" w:right="180"/>
        <w:spacing w:after="0" w:line="302" w:lineRule="auto"/>
        <w:rPr>
          <w:sz w:val="20"/>
          <w:szCs w:val="20"/>
          <w:color w:val="auto"/>
        </w:rPr>
      </w:pPr>
      <w:r>
        <w:rPr>
          <w:rFonts w:ascii="Arial" w:cs="Arial" w:eastAsia="Arial" w:hAnsi="Arial"/>
          <w:sz w:val="14"/>
          <w:szCs w:val="14"/>
          <w:color w:val="auto"/>
          <w:shd w:val="clear" w:color="auto" w:fill="CCEEFF"/>
        </w:rPr>
        <w:t>Class A nonvoting common stock—Issued 51,261,487 and 51,261,487 shares, respectively and outstanding 47,594,684 and 46,920,974 shares, respectively</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Class B voting common stock—Issued and outstanding, 3,538,628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Additional paid-in capital</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Earnings retained in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260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3380" cy="260350"/>
                    </a:xfrm>
                    <a:prstGeom prst="rect">
                      <a:avLst/>
                    </a:prstGeom>
                    <a:noFill/>
                  </pic:spPr>
                </pic:pic>
              </a:graphicData>
            </a:graphic>
          </wp:anchor>
        </w:drawing>
      </w:r>
    </w:p>
    <w:p>
      <w:pPr>
        <w:spacing w:after="0" w:line="60" w:lineRule="exact"/>
        <w:rPr>
          <w:sz w:val="20"/>
          <w:szCs w:val="20"/>
          <w:color w:val="auto"/>
        </w:rPr>
      </w:pPr>
    </w:p>
    <w:p>
      <w:pPr>
        <w:ind w:left="340" w:right="320"/>
        <w:spacing w:after="0" w:line="302" w:lineRule="auto"/>
        <w:rPr>
          <w:sz w:val="20"/>
          <w:szCs w:val="20"/>
          <w:color w:val="auto"/>
        </w:rPr>
      </w:pPr>
      <w:r>
        <w:rPr>
          <w:rFonts w:ascii="Arial" w:cs="Arial" w:eastAsia="Arial" w:hAnsi="Arial"/>
          <w:sz w:val="14"/>
          <w:szCs w:val="14"/>
          <w:color w:val="auto"/>
          <w:shd w:val="clear" w:color="auto" w:fill="CCEEFF"/>
        </w:rPr>
        <w:t>Treasury stock—3,666,803 and 4,340,513 shares, respectively of Class A nonvoting common stock, at cost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453380"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Other</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Total stockholders’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5453380" cy="160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3380" cy="160655"/>
                    </a:xfrm>
                    <a:prstGeom prst="rect">
                      <a:avLst/>
                    </a:prstGeom>
                    <a:noFill/>
                  </pic:spPr>
                </pic:pic>
              </a:graphicData>
            </a:graphic>
          </wp:anchor>
        </w:drawing>
      </w:r>
    </w:p>
    <w:p>
      <w:pPr>
        <w:spacing w:after="0" w:line="60"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4"/>
          <w:szCs w:val="14"/>
          <w:b w:val="1"/>
          <w:bCs w:val="1"/>
          <w:color w:val="auto"/>
          <w:shd w:val="clear" w:color="auto" w:fill="CCEEFF"/>
        </w:rPr>
        <w:t>Total</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8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5,691</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4,928</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58,515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62,245</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39,157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45,998</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6,617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7,403</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2,011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6,136</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38,210</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40,017</w:t>
            </w:r>
          </w:p>
        </w:tc>
      </w:tr>
      <w:tr>
        <w:trPr>
          <w:trHeight w:val="30"/>
        </w:trPr>
        <w:tc>
          <w:tcPr>
            <w:tcW w:w="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150,201</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166,727</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157,223</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211,982</w:t>
            </w:r>
          </w:p>
        </w:tc>
      </w:tr>
      <w:tr>
        <w:trPr>
          <w:trHeight w:val="241"/>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60,820</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61,657</w:t>
            </w:r>
          </w:p>
        </w:tc>
      </w:tr>
      <w:tr>
        <w:trPr>
          <w:trHeight w:val="30"/>
        </w:trPr>
        <w:tc>
          <w:tcPr>
            <w:tcW w:w="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1"/>
        </w:trPr>
        <w:tc>
          <w:tcPr>
            <w:tcW w:w="640" w:type="dxa"/>
            <w:vAlign w:val="bottom"/>
          </w:tcPr>
          <w:p>
            <w:pPr>
              <w:jc w:val="right"/>
              <w:ind w:right="108"/>
              <w:spacing w:after="0"/>
              <w:rPr>
                <w:sz w:val="20"/>
                <w:szCs w:val="20"/>
                <w:color w:val="auto"/>
              </w:rPr>
            </w:pPr>
            <w:r>
              <w:rPr>
                <w:rFonts w:ascii="Arial" w:cs="Arial" w:eastAsia="Arial" w:hAnsi="Arial"/>
                <w:sz w:val="14"/>
                <w:szCs w:val="14"/>
                <w:color w:val="auto"/>
                <w:w w:val="86"/>
              </w:rPr>
              <w:t>368,244</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440,366</w:t>
            </w:r>
          </w:p>
        </w:tc>
      </w:tr>
      <w:tr>
        <w:trPr>
          <w:trHeight w:val="893"/>
        </w:trPr>
        <w:tc>
          <w:tcPr>
            <w:tcW w:w="640" w:type="dxa"/>
            <w:vAlign w:val="bottom"/>
          </w:tcPr>
          <w:p>
            <w:pPr>
              <w:jc w:val="right"/>
              <w:ind w:right="108"/>
              <w:spacing w:after="0"/>
              <w:rPr>
                <w:sz w:val="20"/>
                <w:szCs w:val="20"/>
                <w:color w:val="auto"/>
              </w:rPr>
            </w:pPr>
            <w:r>
              <w:rPr>
                <w:rFonts w:ascii="Arial" w:cs="Arial" w:eastAsia="Arial" w:hAnsi="Arial"/>
                <w:sz w:val="14"/>
                <w:szCs w:val="14"/>
                <w:color w:val="auto"/>
              </w:rPr>
              <w:t>513</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-699770</wp:posOffset>
            </wp:positionV>
            <wp:extent cx="8045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pacing w:after="0" w:line="38" w:lineRule="exact"/>
        <w:rPr>
          <w:sz w:val="20"/>
          <w:szCs w:val="20"/>
          <w:color w:val="auto"/>
        </w:rPr>
      </w:pPr>
    </w:p>
    <w:p>
      <w:pPr>
        <w:ind w:left="1780" w:hanging="1355"/>
        <w:spacing w:after="0"/>
        <w:tabs>
          <w:tab w:leader="none" w:pos="1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35</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317,587</w:t>
      </w:r>
      <w:r>
        <w:rPr>
          <w:rFonts w:ascii="Arial" w:cs="Arial" w:eastAsia="Arial" w:hAnsi="Arial"/>
          <w:sz w:val="13"/>
          <w:szCs w:val="13"/>
          <w:color w:val="auto"/>
        </w:rPr>
        <w:t>317,001</w:t>
      </w:r>
    </w:p>
    <w:p>
      <w:pPr>
        <w:spacing w:after="0" w:line="80" w:lineRule="exact"/>
        <w:rPr>
          <w:rFonts w:ascii="Arial" w:cs="Arial" w:eastAsia="Arial" w:hAnsi="Arial"/>
          <w:sz w:val="14"/>
          <w:szCs w:val="14"/>
          <w:color w:val="auto"/>
        </w:rPr>
      </w:pPr>
    </w:p>
    <w:p>
      <w:pPr>
        <w:ind w:left="100"/>
        <w:spacing w:after="0"/>
        <w:rPr>
          <w:rFonts w:ascii="Arial" w:cs="Arial" w:eastAsia="Arial" w:hAnsi="Arial"/>
          <w:sz w:val="14"/>
          <w:szCs w:val="14"/>
          <w:color w:val="auto"/>
        </w:rPr>
      </w:pPr>
      <w:r>
        <w:rPr>
          <w:rFonts w:ascii="Arial" w:cs="Arial" w:eastAsia="Arial" w:hAnsi="Arial"/>
          <w:sz w:val="14"/>
          <w:szCs w:val="14"/>
          <w:color w:val="auto"/>
        </w:rPr>
        <w:t>480,368</w:t>
      </w:r>
      <w:r>
        <w:rPr>
          <w:rFonts w:ascii="Arial" w:cs="Arial" w:eastAsia="Arial" w:hAnsi="Arial"/>
          <w:sz w:val="13"/>
          <w:szCs w:val="13"/>
          <w:color w:val="auto"/>
        </w:rPr>
        <w:t>453,371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(90,998)</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(108,714)</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(68,214)</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(54,745)</w:t>
            </w:r>
          </w:p>
        </w:tc>
      </w:tr>
      <w:tr>
        <w:trPr>
          <w:trHeight w:val="241"/>
        </w:trPr>
        <w:tc>
          <w:tcPr>
            <w:tcW w:w="740" w:type="dxa"/>
            <w:vAlign w:val="bottom"/>
          </w:tcPr>
          <w:p>
            <w:pPr>
              <w:jc w:val="right"/>
              <w:ind w:right="48"/>
              <w:spacing w:after="0"/>
              <w:rPr>
                <w:sz w:val="20"/>
                <w:szCs w:val="20"/>
                <w:color w:val="auto"/>
              </w:rPr>
            </w:pPr>
            <w:r>
              <w:rPr>
                <w:rFonts w:ascii="Arial" w:cs="Arial" w:eastAsia="Arial" w:hAnsi="Arial"/>
                <w:sz w:val="14"/>
                <w:szCs w:val="14"/>
                <w:color w:val="auto"/>
              </w:rPr>
              <w:t>(4,399)</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(3,863)</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634,892</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603,598</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1"/>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1,003,136</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1,043,964</w:t>
            </w:r>
          </w:p>
        </w:tc>
      </w:tr>
      <w:tr>
        <w:trPr>
          <w:trHeight w:val="30"/>
        </w:trPr>
        <w:tc>
          <w:tcPr>
            <w:tcW w:w="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-6985</wp:posOffset>
            </wp:positionV>
            <wp:extent cx="8045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-328930</wp:posOffset>
            </wp:positionV>
            <wp:extent cx="8045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ectPr>
          <w:pgSz w:w="11900" w:h="16838" w:orient="portrait"/>
          <w:cols w:equalWidth="0" w:num="2">
            <w:col w:w="6060" w:space="520"/>
            <w:col w:w="3639"/>
          </w:cols>
          <w:pgMar w:left="240" w:top="537" w:right="1440" w:bottom="1440" w:gutter="0" w:footer="0" w:header="0"/>
          <w:type w:val="continuous"/>
        </w:sectPr>
      </w:pPr>
    </w:p>
    <w:bookmarkStart w:id="8" w:name="page9"/>
    <w:bookmarkEnd w:id="8"/>
    <w:p>
      <w:pPr>
        <w:ind w:right="2320"/>
        <w:spacing w:after="0" w:line="271" w:lineRule="auto"/>
        <w:rPr>
          <w:sz w:val="20"/>
          <w:szCs w:val="20"/>
          <w:color w:val="auto"/>
        </w:rPr>
      </w:pPr>
      <w:r>
        <w:rPr>
          <w:rFonts w:ascii="Arial" w:cs="Arial" w:eastAsia="Arial" w:hAnsi="Arial"/>
          <w:sz w:val="14"/>
          <w:szCs w:val="14"/>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5514975" cy="160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4975" cy="1606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activities: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Stock-based compensation expense</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Changes in operating assets and liabilities: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Inventories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Accounts payable and accrued liabilities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5514975" cy="153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Investing activities: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Other</w:t>
      </w:r>
    </w:p>
    <w:p>
      <w:pPr>
        <w:spacing w:after="0" w:line="80"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60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4975" cy="16065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Payment of dividends</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shd w:val="clear" w:color="auto" w:fill="CCEEFF"/>
        </w:rPr>
        <w:t>Purchase of treasury stock</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4975" cy="14541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Debt issuance costs</w:t>
      </w:r>
    </w:p>
    <w:p>
      <w:pPr>
        <w:spacing w:after="0" w:line="6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Income tax on equity-based compensation,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1400"/>
        <w:spacing w:after="0"/>
        <w:rPr>
          <w:sz w:val="20"/>
          <w:szCs w:val="20"/>
          <w:color w:val="auto"/>
        </w:rPr>
      </w:pPr>
      <w:r>
        <w:rPr>
          <w:rFonts w:ascii="Arial" w:cs="Arial" w:eastAsia="Arial" w:hAnsi="Arial"/>
          <w:sz w:val="14"/>
          <w:szCs w:val="14"/>
          <w:color w:val="auto"/>
          <w:shd w:val="clear" w:color="auto" w:fill="CCEEFF"/>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5514975" cy="153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shd w:val="clear" w:color="auto" w:fill="CCEEFF"/>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201930</wp:posOffset>
            </wp:positionV>
            <wp:extent cx="5514975" cy="153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shd w:val="clear" w:color="auto" w:fill="CCEEFF"/>
        </w:rPr>
        <w:t>Net (decrease) increase in cash and cash equivalents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68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497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19"/>
        <w:spacing w:after="0"/>
        <w:rPr>
          <w:sz w:val="20"/>
          <w:szCs w:val="20"/>
          <w:color w:val="auto"/>
        </w:rPr>
      </w:pPr>
      <w:r>
        <w:rPr>
          <w:rFonts w:ascii="Arial" w:cs="Arial" w:eastAsia="Arial" w:hAnsi="Arial"/>
          <w:sz w:val="14"/>
          <w:szCs w:val="14"/>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14249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2016</w:t>
            </w:r>
          </w:p>
        </w:tc>
      </w:tr>
      <w:tr>
        <w:trPr>
          <w:trHeight w:val="30"/>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44"/>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47,850</w:t>
            </w:r>
          </w:p>
        </w:tc>
        <w:tc>
          <w:tcPr>
            <w:tcW w:w="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33,993</w:t>
            </w:r>
          </w:p>
        </w:tc>
      </w:tr>
      <w:tr>
        <w:trPr>
          <w:trHeight w:val="482"/>
        </w:trPr>
        <w:tc>
          <w:tcPr>
            <w:tcW w:w="2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14,102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17,502</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4,569</w:t>
            </w:r>
          </w:p>
        </w:tc>
      </w:tr>
      <w:tr>
        <w:trPr>
          <w:trHeight w:val="241"/>
        </w:trPr>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(4,547)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3,338</w:t>
            </w:r>
          </w:p>
        </w:tc>
      </w:tr>
      <w:tr>
        <w:trPr>
          <w:trHeight w:val="482"/>
        </w:trPr>
        <w:tc>
          <w:tcPr>
            <w:tcW w:w="2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3,407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3,204</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3,403</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(3,811)</w:t>
            </w:r>
          </w:p>
        </w:tc>
      </w:tr>
      <w:tr>
        <w:trPr>
          <w:trHeight w:val="241"/>
        </w:trPr>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(1,618)</w:t>
            </w:r>
          </w:p>
        </w:tc>
      </w:tr>
      <w:tr>
        <w:trPr>
          <w:trHeight w:val="241"/>
        </w:trPr>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(2,326)</w:t>
            </w:r>
          </w:p>
        </w:tc>
      </w:tr>
      <w:tr>
        <w:trPr>
          <w:trHeight w:val="30"/>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53,334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58,254</w:t>
            </w:r>
          </w:p>
        </w:tc>
      </w:tr>
      <w:tr>
        <w:trPr>
          <w:trHeight w:val="736"/>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(7,235)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(3,928)</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2,521</w:t>
            </w:r>
          </w:p>
        </w:tc>
      </w:tr>
      <w:tr>
        <w:trPr>
          <w:trHeight w:val="30"/>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(6,642)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(1,407)</w:t>
            </w:r>
          </w:p>
        </w:tc>
      </w:tr>
      <w:tr>
        <w:trPr>
          <w:trHeight w:val="736"/>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(20,852)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(20,425)</w:t>
            </w:r>
          </w:p>
        </w:tc>
      </w:tr>
      <w:tr>
        <w:trPr>
          <w:trHeight w:val="241"/>
        </w:trPr>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14,659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w:t>
            </w:r>
          </w:p>
        </w:tc>
      </w:tr>
      <w:tr>
        <w:trPr>
          <w:trHeight w:val="241"/>
        </w:trPr>
        <w:tc>
          <w:tcPr>
            <w:tcW w:w="2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(23,397)</w:t>
            </w:r>
          </w:p>
        </w:tc>
      </w:tr>
      <w:tr>
        <w:trPr>
          <w:trHeight w:val="241"/>
        </w:trPr>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(50,469)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(437)</w:t>
            </w:r>
          </w:p>
        </w:tc>
      </w:tr>
      <w:tr>
        <w:trPr>
          <w:trHeight w:val="229"/>
        </w:trPr>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(803)</w:t>
            </w:r>
          </w:p>
        </w:tc>
      </w:tr>
    </w:tbl>
    <w:p>
      <w:pPr>
        <w:spacing w:after="0" w:line="58" w:lineRule="exact"/>
        <w:rPr>
          <w:sz w:val="20"/>
          <w:szCs w:val="20"/>
          <w:color w:val="auto"/>
        </w:rPr>
      </w:pPr>
    </w:p>
    <w:p>
      <w:pPr>
        <w:ind w:left="1800" w:hanging="1066"/>
        <w:spacing w:after="0"/>
        <w:tabs>
          <w:tab w:leader="none" w:pos="1800" w:val="left"/>
        </w:tabs>
        <w:numPr>
          <w:ilvl w:val="0"/>
          <w:numId w:val="4"/>
        </w:numPr>
        <w:rPr>
          <w:rFonts w:ascii="Arial" w:cs="Arial" w:eastAsia="Arial" w:hAnsi="Arial"/>
          <w:sz w:val="13"/>
          <w:szCs w:val="13"/>
          <w:color w:val="auto"/>
        </w:rPr>
      </w:pPr>
      <w:r>
        <w:rPr>
          <w:rFonts w:ascii="Arial" w:cs="Arial" w:eastAsia="Arial" w:hAnsi="Arial"/>
          <w:sz w:val="13"/>
          <w:szCs w:val="13"/>
          <w:color w:val="auto"/>
        </w:rPr>
        <w:t>(1,299)</w:t>
      </w:r>
    </w:p>
    <w:p>
      <w:pPr>
        <w:spacing w:after="0" w:line="91"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4"/>
          <w:szCs w:val="14"/>
          <w:color w:val="auto"/>
        </w:rPr>
        <w:t>(57,302)</w:t>
      </w:r>
      <w:r>
        <w:rPr>
          <w:rFonts w:ascii="Arial" w:cs="Arial" w:eastAsia="Arial" w:hAnsi="Arial"/>
          <w:sz w:val="13"/>
          <w:szCs w:val="13"/>
          <w:color w:val="auto"/>
        </w:rPr>
        <w:t>(46,308)</w:t>
      </w:r>
    </w:p>
    <w:p>
      <w:pPr>
        <w:spacing w:after="0" w:line="334" w:lineRule="exact"/>
        <w:rPr>
          <w:sz w:val="20"/>
          <w:szCs w:val="20"/>
          <w:color w:val="auto"/>
        </w:rPr>
      </w:pPr>
    </w:p>
    <w:p>
      <w:pPr>
        <w:ind w:left="620"/>
        <w:spacing w:after="0"/>
        <w:tabs>
          <w:tab w:leader="none" w:pos="1780" w:val="left"/>
        </w:tabs>
        <w:rPr>
          <w:sz w:val="20"/>
          <w:szCs w:val="20"/>
          <w:color w:val="auto"/>
        </w:rPr>
      </w:pPr>
      <w:r>
        <w:rPr>
          <w:rFonts w:ascii="Arial" w:cs="Arial" w:eastAsia="Arial" w:hAnsi="Arial"/>
          <w:sz w:val="13"/>
          <w:szCs w:val="13"/>
          <w:color w:val="auto"/>
        </w:rPr>
        <w:t>(5,410)</w:t>
      </w:r>
      <w:r>
        <w:rPr>
          <w:sz w:val="20"/>
          <w:szCs w:val="20"/>
          <w:color w:val="auto"/>
        </w:rPr>
        <w:tab/>
      </w:r>
      <w:r>
        <w:rPr>
          <w:rFonts w:ascii="Arial" w:cs="Arial" w:eastAsia="Arial" w:hAnsi="Arial"/>
          <w:sz w:val="13"/>
          <w:szCs w:val="13"/>
          <w:color w:val="auto"/>
        </w:rPr>
        <w:t>(4,833)</w:t>
      </w:r>
    </w:p>
    <w:p>
      <w:pPr>
        <w:spacing w:after="0" w:line="345" w:lineRule="exact"/>
        <w:rPr>
          <w:sz w:val="20"/>
          <w:szCs w:val="20"/>
          <w:color w:val="auto"/>
        </w:rPr>
      </w:pPr>
    </w:p>
    <w:p>
      <w:pPr>
        <w:ind w:left="560"/>
        <w:spacing w:after="0"/>
        <w:tabs>
          <w:tab w:leader="none" w:pos="1820" w:val="left"/>
        </w:tabs>
        <w:rPr>
          <w:sz w:val="20"/>
          <w:szCs w:val="20"/>
          <w:color w:val="auto"/>
        </w:rPr>
      </w:pPr>
      <w:r>
        <w:rPr>
          <w:rFonts w:ascii="Arial" w:cs="Arial" w:eastAsia="Arial" w:hAnsi="Arial"/>
          <w:sz w:val="14"/>
          <w:szCs w:val="14"/>
          <w:color w:val="auto"/>
        </w:rPr>
        <w:t>(16,020)</w:t>
      </w:r>
      <w:r>
        <w:rPr>
          <w:sz w:val="20"/>
          <w:szCs w:val="20"/>
          <w:color w:val="auto"/>
        </w:rPr>
        <w:tab/>
      </w:r>
      <w:r>
        <w:rPr>
          <w:rFonts w:ascii="Arial" w:cs="Arial" w:eastAsia="Arial" w:hAnsi="Arial"/>
          <w:sz w:val="14"/>
          <w:szCs w:val="14"/>
          <w:color w:val="auto"/>
        </w:rPr>
        <w:t>5,706</w:t>
      </w:r>
    </w:p>
    <w:p>
      <w:pPr>
        <w:spacing w:after="0" w:line="80" w:lineRule="exact"/>
        <w:rPr>
          <w:sz w:val="20"/>
          <w:szCs w:val="20"/>
          <w:color w:val="auto"/>
        </w:rPr>
      </w:pPr>
    </w:p>
    <w:p>
      <w:pPr>
        <w:ind w:left="520"/>
        <w:spacing w:after="0"/>
        <w:tabs>
          <w:tab w:leader="none" w:pos="1680" w:val="left"/>
        </w:tabs>
        <w:rPr>
          <w:sz w:val="20"/>
          <w:szCs w:val="20"/>
          <w:color w:val="auto"/>
        </w:rPr>
      </w:pPr>
      <w:r>
        <w:rPr>
          <w:rFonts w:ascii="Arial" w:cs="Arial" w:eastAsia="Arial" w:hAnsi="Arial"/>
          <w:sz w:val="14"/>
          <w:szCs w:val="14"/>
          <w:color w:val="auto"/>
        </w:rPr>
        <w:t>141,228</w:t>
      </w:r>
      <w:r>
        <w:rPr>
          <w:sz w:val="20"/>
          <w:szCs w:val="20"/>
          <w:color w:val="auto"/>
        </w:rPr>
        <w:tab/>
      </w:r>
      <w:r>
        <w:rPr>
          <w:rFonts w:ascii="Arial" w:cs="Arial" w:eastAsia="Arial" w:hAnsi="Arial"/>
          <w:sz w:val="14"/>
          <w:szCs w:val="14"/>
          <w:color w:val="auto"/>
        </w:rPr>
        <w:t>114,492</w:t>
      </w:r>
    </w:p>
    <w:p>
      <w:pPr>
        <w:spacing w:after="0" w:line="200" w:lineRule="exact"/>
        <w:rPr>
          <w:sz w:val="20"/>
          <w:szCs w:val="20"/>
          <w:color w:val="auto"/>
        </w:rPr>
      </w:pPr>
    </w:p>
    <w:p>
      <w:pPr>
        <w:sectPr>
          <w:pgSz w:w="11900" w:h="16838" w:orient="portrait"/>
          <w:cols w:equalWidth="0" w:num="2">
            <w:col w:w="5720" w:space="720"/>
            <w:col w:w="3779"/>
          </w:cols>
          <w:pgMar w:left="240" w:top="537" w:right="1440" w:bottom="1440" w:gutter="0" w:footer="0" w:header="0"/>
        </w:sectPr>
      </w:pPr>
    </w:p>
    <w:p>
      <w:pPr>
        <w:spacing w:after="0" w:line="134" w:lineRule="exact"/>
        <w:rPr>
          <w:sz w:val="20"/>
          <w:szCs w:val="20"/>
          <w:color w:val="auto"/>
        </w:rPr>
      </w:pPr>
    </w:p>
    <w:p>
      <w:pPr>
        <w:ind w:left="20"/>
        <w:spacing w:after="0"/>
        <w:tabs>
          <w:tab w:leader="none" w:pos="6440" w:val="left"/>
          <w:tab w:leader="none" w:pos="6940" w:val="left"/>
          <w:tab w:leader="none" w:pos="7620" w:val="left"/>
          <w:tab w:leader="none" w:pos="8120" w:val="left"/>
        </w:tabs>
        <w:rPr>
          <w:sz w:val="20"/>
          <w:szCs w:val="20"/>
          <w:color w:val="auto"/>
        </w:rPr>
      </w:pPr>
      <w:r>
        <w:rPr>
          <w:rFonts w:ascii="Arial" w:cs="Arial" w:eastAsia="Arial" w:hAnsi="Arial"/>
          <w:sz w:val="14"/>
          <w:szCs w:val="14"/>
          <w:color w:val="auto"/>
        </w:rPr>
        <w:t>Cash and cash equivalents, end of period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125,208</w:t>
        <w:tab/>
        <w:t>$</w:t>
      </w:r>
      <w:r>
        <w:rPr>
          <w:sz w:val="20"/>
          <w:szCs w:val="20"/>
          <w:color w:val="auto"/>
        </w:rPr>
        <w:tab/>
      </w:r>
      <w:r>
        <w:rPr>
          <w:rFonts w:ascii="Arial" w:cs="Arial" w:eastAsia="Arial" w:hAnsi="Arial"/>
          <w:sz w:val="12"/>
          <w:szCs w:val="12"/>
          <w:color w:val="auto"/>
        </w:rPr>
        <w:t>120,198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33020</wp:posOffset>
            </wp:positionV>
            <wp:extent cx="1424940"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4940" cy="22860"/>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type w:val="continuous"/>
        </w:sectPr>
      </w:pPr>
    </w:p>
    <w:bookmarkStart w:id="9" w:name="page10"/>
    <w:bookmarkEnd w:id="9"/>
    <w:p>
      <w:pPr>
        <w:ind w:right="100"/>
        <w:spacing w:after="0" w:line="271" w:lineRule="auto"/>
        <w:rPr>
          <w:sz w:val="20"/>
          <w:szCs w:val="20"/>
          <w:color w:val="auto"/>
        </w:rPr>
      </w:pPr>
      <w:r>
        <w:rPr>
          <w:rFonts w:ascii="Arial" w:cs="Arial" w:eastAsia="Arial" w:hAnsi="Arial"/>
          <w:sz w:val="14"/>
          <w:szCs w:val="14"/>
          <w:b w:val="1"/>
          <w:bCs w:val="1"/>
          <w:color w:val="auto"/>
        </w:rPr>
        <w:t>BRADY CORPORATION AND SUBSIDIARIES SEGMENT INFORMATION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TO EXTERNAL CUSTOMERS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Workplace Safety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Organic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Currency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Workplace Safety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Organic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Currency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shd w:val="clear" w:color="auto" w:fill="CCEEFF"/>
        </w:rPr>
        <w:t>Total Company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Organic</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Currency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PROFIT</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Workplace Safety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Total</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SEGMENT PROFIT AS A PERCENT OF SALES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ID Solutions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Workplace Safety</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segment profit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Unallocated amounts: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Administrative costs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Investment and other income (expense)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4"/>
          <w:szCs w:val="14"/>
          <w:color w:val="auto"/>
          <w:shd w:val="clear" w:color="auto" w:fill="CCEEFF"/>
        </w:rPr>
        <w:t>Interest expense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color w:val="auto"/>
              </w:rPr>
              <w:t>Three months ended January 31,</w:t>
            </w:r>
          </w:p>
        </w:tc>
        <w:tc>
          <w:tcPr>
            <w:tcW w:w="220" w:type="dxa"/>
            <w:vAlign w:val="bottom"/>
          </w:tcPr>
          <w:p>
            <w:pPr>
              <w:spacing w:after="0"/>
              <w:rPr>
                <w:sz w:val="15"/>
                <w:szCs w:val="15"/>
                <w:color w:val="auto"/>
              </w:rPr>
            </w:pPr>
          </w:p>
        </w:tc>
        <w:tc>
          <w:tcPr>
            <w:tcW w:w="2200" w:type="dxa"/>
            <w:vAlign w:val="bottom"/>
            <w:gridSpan w:val="4"/>
          </w:tcPr>
          <w:p>
            <w:pPr>
              <w:jc w:val="right"/>
              <w:ind w:right="248"/>
              <w:spacing w:after="0"/>
              <w:rPr>
                <w:sz w:val="20"/>
                <w:szCs w:val="20"/>
                <w:color w:val="auto"/>
              </w:rPr>
            </w:pPr>
            <w:r>
              <w:rPr>
                <w:rFonts w:ascii="Arial" w:cs="Arial" w:eastAsia="Arial" w:hAnsi="Arial"/>
                <w:sz w:val="14"/>
                <w:szCs w:val="14"/>
                <w:color w:val="auto"/>
                <w:w w:val="98"/>
              </w:rPr>
              <w:t>Six months ended January 31,</w:t>
            </w:r>
          </w:p>
        </w:tc>
      </w:tr>
      <w:tr>
        <w:trPr>
          <w:trHeight w:val="30"/>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180" w:type="dxa"/>
            <w:vAlign w:val="bottom"/>
          </w:tcPr>
          <w:p>
            <w:pPr>
              <w:spacing w:after="0"/>
              <w:rPr>
                <w:sz w:val="17"/>
                <w:szCs w:val="17"/>
                <w:color w:val="auto"/>
              </w:rPr>
            </w:pPr>
          </w:p>
        </w:tc>
        <w:tc>
          <w:tcPr>
            <w:tcW w:w="1000" w:type="dxa"/>
            <w:vAlign w:val="bottom"/>
          </w:tcPr>
          <w:p>
            <w:pPr>
              <w:jc w:val="right"/>
              <w:ind w:right="36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6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2016</w:t>
            </w:r>
          </w:p>
        </w:tc>
      </w:tr>
      <w:tr>
        <w:trPr>
          <w:trHeight w:val="30"/>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4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190,962</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189,780</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392,226</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390,800</w:t>
            </w:r>
          </w:p>
        </w:tc>
      </w:tr>
      <w:tr>
        <w:trPr>
          <w:trHeight w:val="241"/>
        </w:trPr>
        <w:tc>
          <w:tcPr>
            <w:tcW w:w="180" w:type="dxa"/>
            <w:vAlign w:val="bottom"/>
          </w:tcPr>
          <w:p>
            <w:pPr>
              <w:spacing w:after="0"/>
              <w:rPr>
                <w:sz w:val="20"/>
                <w:szCs w:val="20"/>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77,039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78,850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155,951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160,903</w:t>
            </w:r>
          </w:p>
        </w:tc>
      </w:tr>
      <w:tr>
        <w:trPr>
          <w:trHeight w:val="30"/>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268,001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268,630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548,177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551,703</w:t>
            </w:r>
          </w:p>
        </w:tc>
      </w:tr>
      <w:tr>
        <w:trPr>
          <w:trHeight w:val="30"/>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-642620</wp:posOffset>
            </wp:positionV>
            <wp:extent cx="5499735" cy="160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99735" cy="16065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-328930</wp:posOffset>
            </wp:positionV>
            <wp:extent cx="5499735" cy="153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-14605</wp:posOffset>
            </wp:positionV>
            <wp:extent cx="5499735"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99735" cy="17589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314325</wp:posOffset>
            </wp:positionV>
            <wp:extent cx="5499735" cy="153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41"/>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8"/>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41"/>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8"/>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41"/>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82"/>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28,961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23,056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62,035</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48,487</w:t>
            </w:r>
          </w:p>
        </w:tc>
      </w:tr>
      <w:tr>
        <w:trPr>
          <w:trHeight w:val="241"/>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6,059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6,296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12,504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15,678</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35,020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29,352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74,539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64,165</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8"/>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15.2 %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12.4 %</w:t>
            </w:r>
          </w:p>
        </w:tc>
      </w:tr>
      <w:tr>
        <w:trPr>
          <w:trHeight w:val="241"/>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9.7 %</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11.6 %</w:t>
            </w:r>
          </w:p>
        </w:tc>
      </w:tr>
      <w:tr>
        <w:trPr>
          <w:trHeight w:val="30"/>
        </w:trPr>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501"/>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8"/>
          </w:tcPr>
          <w:p>
            <w:pPr>
              <w:ind w:left="80"/>
              <w:spacing w:after="0"/>
              <w:rPr>
                <w:sz w:val="20"/>
                <w:szCs w:val="20"/>
                <w:color w:val="auto"/>
              </w:rPr>
            </w:pPr>
            <w:r>
              <w:rPr>
                <w:rFonts w:ascii="Arial" w:cs="Arial" w:eastAsia="Arial" w:hAnsi="Arial"/>
                <w:sz w:val="14"/>
                <w:szCs w:val="14"/>
                <w:color w:val="auto"/>
              </w:rPr>
              <w:t>Three months ended January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color w:val="auto"/>
                <w:w w:val="97"/>
              </w:rPr>
              <w:t>Six months ended January 31,</w:t>
            </w:r>
          </w:p>
        </w:tc>
      </w:tr>
      <w:tr>
        <w:trPr>
          <w:trHeight w:val="30"/>
        </w:trPr>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2016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2016</w:t>
            </w:r>
          </w:p>
        </w:tc>
      </w:tr>
      <w:tr>
        <w:trPr>
          <w:trHeight w:val="30"/>
        </w:trPr>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29,352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74,539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64,165</w:t>
            </w:r>
          </w:p>
        </w:tc>
      </w:tr>
      <w:tr>
        <w:trPr>
          <w:trHeight w:val="482"/>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(5,058)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(5,763)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(10,474)</w:t>
            </w:r>
          </w:p>
        </w:tc>
      </w:tr>
      <w:tr>
        <w:trPr>
          <w:trHeight w:val="241"/>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(992)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(1,751)</w:t>
            </w:r>
          </w:p>
        </w:tc>
      </w:tr>
      <w:tr>
        <w:trPr>
          <w:trHeight w:val="241"/>
        </w:trPr>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(1,458)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(2,130)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(4,281)</w:t>
            </w:r>
          </w:p>
        </w:tc>
      </w:tr>
      <w:tr>
        <w:trPr>
          <w:trHeight w:val="30"/>
        </w:trPr>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1"/>
        </w:trPr>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29,100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20,467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60,087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47,659</w:t>
            </w:r>
          </w:p>
        </w:tc>
      </w:tr>
      <w:tr>
        <w:trPr>
          <w:trHeight w:val="30"/>
        </w:trPr>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-4487545</wp:posOffset>
            </wp:positionV>
            <wp:extent cx="5499735" cy="153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-4173855</wp:posOffset>
            </wp:positionV>
            <wp:extent cx="5499735"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99735" cy="16827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-3851910</wp:posOffset>
            </wp:positionV>
            <wp:extent cx="5499735" cy="153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-3538220</wp:posOffset>
            </wp:positionV>
            <wp:extent cx="5499735"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99735" cy="16827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-3216275</wp:posOffset>
            </wp:positionV>
            <wp:extent cx="5499735" cy="153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-2902585</wp:posOffset>
            </wp:positionV>
            <wp:extent cx="5499735" cy="175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99735" cy="17589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-2573020</wp:posOffset>
            </wp:positionV>
            <wp:extent cx="5499735" cy="153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-2266315</wp:posOffset>
            </wp:positionV>
            <wp:extent cx="5499735" cy="160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99735" cy="16065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-1937385</wp:posOffset>
            </wp:positionV>
            <wp:extent cx="5499735" cy="153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99735" cy="15303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-1630680</wp:posOffset>
            </wp:positionV>
            <wp:extent cx="5499735" cy="160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99735" cy="16065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-941705</wp:posOffset>
            </wp:positionV>
            <wp:extent cx="5507355" cy="153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07355" cy="15303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-635000</wp:posOffset>
            </wp:positionV>
            <wp:extent cx="5507355" cy="153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07355" cy="15303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-328930</wp:posOffset>
            </wp:positionV>
            <wp:extent cx="5507355" cy="153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07355" cy="153035"/>
                    </a:xfrm>
                    <a:prstGeom prst="rect">
                      <a:avLst/>
                    </a:prstGeom>
                    <a:noFill/>
                  </pic:spPr>
                </pic:pic>
              </a:graphicData>
            </a:graphic>
          </wp:anchor>
        </w:drawing>
      </w:r>
    </w:p>
    <w:p>
      <w:pPr>
        <w:sectPr>
          <w:pgSz w:w="11900" w:h="16838" w:orient="portrait"/>
          <w:cols w:equalWidth="0" w:num="2">
            <w:col w:w="3140" w:space="600"/>
            <w:col w:w="6479"/>
          </w:cols>
          <w:pgMar w:left="240" w:top="537"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35"/>
    </w:lvl>
  </w:abstractNum>
  <w:abstractNum w:abstractNumId="3">
    <w:nsid w:val="625558EC"/>
    <w:multiLevelType w:val="hybridMultilevel"/>
    <w:lvl w:ilvl="0">
      <w:lvlJc w:val="left"/>
      <w:lvlText w:val="(%1)"/>
      <w:numFmt w:val="decimal"/>
      <w:start w:val="6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2019-12-05T11:52:52Z</dcterms:created>
  <dcterms:modified xsi:type="dcterms:W3CDTF">2019-12-05T11:52:52Z</dcterms:modified>
</cp:coreProperties>
</file>