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64770</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85090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 February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126365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83185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Commission File Number 1-14959</w:t>
      </w:r>
    </w:p>
    <w:p>
      <w:pPr>
        <w:sectPr>
          <w:pgSz w:w="11900" w:h="16838" w:orient="portrait"/>
          <w:cols w:equalWidth="0" w:num="1">
            <w:col w:w="11240"/>
          </w:cols>
          <w:pgMar w:left="300" w:top="742" w:right="359" w:bottom="1440" w:gutter="0" w:footer="0" w:header="0"/>
        </w:sectPr>
      </w:pPr>
    </w:p>
    <w:p>
      <w:pPr>
        <w:spacing w:after="0" w:line="213" w:lineRule="exact"/>
        <w:rPr>
          <w:sz w:val="24"/>
          <w:szCs w:val="24"/>
          <w:color w:val="auto"/>
        </w:rPr>
      </w:pPr>
    </w:p>
    <w:p>
      <w:pPr>
        <w:ind w:left="2500"/>
        <w:spacing w:after="0"/>
        <w:rPr>
          <w:sz w:val="20"/>
          <w:szCs w:val="20"/>
          <w:color w:val="auto"/>
        </w:rPr>
      </w:pPr>
      <w:r>
        <w:rPr>
          <w:rFonts w:ascii="Arial" w:cs="Arial" w:eastAsia="Arial" w:hAnsi="Arial"/>
          <w:sz w:val="10"/>
          <w:szCs w:val="10"/>
          <w:b w:val="1"/>
          <w:bCs w:val="1"/>
          <w:color w:val="auto"/>
        </w:rPr>
        <w:t>Wisconsin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39-0971239</w:t>
      </w:r>
    </w:p>
    <w:p>
      <w:pPr>
        <w:spacing w:after="0" w:line="42" w:lineRule="exact"/>
        <w:rPr>
          <w:sz w:val="24"/>
          <w:szCs w:val="24"/>
          <w:color w:val="auto"/>
        </w:rPr>
      </w:pPr>
    </w:p>
    <w:p>
      <w:pPr>
        <w:sectPr>
          <w:pgSz w:w="11900" w:h="16838" w:orient="portrait"/>
          <w:cols w:equalWidth="0" w:num="2">
            <w:col w:w="7560" w:space="720"/>
            <w:col w:w="2960"/>
          </w:cols>
          <w:pgMar w:left="300" w:top="742" w:right="359" w:bottom="1440" w:gutter="0" w:footer="0" w:header="0"/>
          <w:type w:val="continuous"/>
        </w:sectPr>
      </w:pPr>
    </w:p>
    <w:p>
      <w:pPr>
        <w:ind w:left="1520"/>
        <w:spacing w:after="0"/>
        <w:rPr>
          <w:sz w:val="20"/>
          <w:szCs w:val="20"/>
          <w:color w:val="auto"/>
        </w:rPr>
      </w:pPr>
      <w:r>
        <w:rPr>
          <w:rFonts w:ascii="Arial" w:cs="Arial" w:eastAsia="Arial" w:hAnsi="Arial"/>
          <w:sz w:val="8"/>
          <w:szCs w:val="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(IRS Employer Identification No.)</w:t>
      </w:r>
    </w:p>
    <w:p>
      <w:pPr>
        <w:spacing w:after="0" w:line="93" w:lineRule="exact"/>
        <w:rPr>
          <w:sz w:val="24"/>
          <w:szCs w:val="24"/>
          <w:color w:val="auto"/>
        </w:rPr>
      </w:pPr>
    </w:p>
    <w:p>
      <w:pPr>
        <w:sectPr>
          <w:pgSz w:w="11900" w:h="16838" w:orient="portrait"/>
          <w:cols w:equalWidth="0" w:num="2">
            <w:col w:w="7160" w:space="720"/>
            <w:col w:w="3360"/>
          </w:cols>
          <w:pgMar w:left="300" w:top="742" w:right="359" w:bottom="1440" w:gutter="0" w:footer="0" w:header="0"/>
          <w:type w:val="continuous"/>
        </w:sectPr>
      </w:pPr>
    </w:p>
    <w:p>
      <w:pPr>
        <w:ind w:left="4920"/>
        <w:spacing w:after="0"/>
        <w:rPr>
          <w:sz w:val="20"/>
          <w:szCs w:val="20"/>
          <w:color w:val="auto"/>
        </w:rPr>
      </w:pPr>
      <w:r>
        <w:rPr>
          <w:rFonts w:ascii="Arial" w:cs="Arial" w:eastAsia="Arial" w:hAnsi="Arial"/>
          <w:sz w:val="12"/>
          <w:szCs w:val="12"/>
          <w:b w:val="1"/>
          <w:bCs w:val="1"/>
          <w:color w:val="auto"/>
        </w:rPr>
        <w:t>6555 West Good Hope Road</w:t>
      </w:r>
    </w:p>
    <w:p>
      <w:pPr>
        <w:spacing w:after="0" w:line="78" w:lineRule="exact"/>
        <w:rPr>
          <w:sz w:val="24"/>
          <w:szCs w:val="24"/>
          <w:color w:val="auto"/>
        </w:rPr>
      </w:pPr>
    </w:p>
    <w:p>
      <w:pPr>
        <w:ind w:left="4900"/>
        <w:spacing w:after="0"/>
        <w:rPr>
          <w:sz w:val="20"/>
          <w:szCs w:val="20"/>
          <w:color w:val="auto"/>
        </w:rPr>
      </w:pPr>
      <w:r>
        <w:rPr>
          <w:rFonts w:ascii="Arial" w:cs="Arial" w:eastAsia="Arial" w:hAnsi="Arial"/>
          <w:sz w:val="12"/>
          <w:szCs w:val="12"/>
          <w:b w:val="1"/>
          <w:bCs w:val="1"/>
          <w:color w:val="auto"/>
        </w:rPr>
        <w:t>Milwaukee, Wisconsin 53223</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8"/>
          <w:szCs w:val="8"/>
          <w:b w:val="1"/>
          <w:bCs w:val="1"/>
          <w:color w:val="auto"/>
        </w:rPr>
        <w:t>(Address of principal executive offices and Zip Code)</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(414) 358-6600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2772410</wp:posOffset>
            </wp:positionH>
            <wp:positionV relativeFrom="paragraph">
              <wp:posOffset>79375</wp:posOffset>
            </wp:positionV>
            <wp:extent cx="15944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Written communications pursuant to Rule 425 under the Securities Act (17 CFR 230.425)</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70"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26"/>
        </w:trPr>
        <w:tc>
          <w:tcPr>
            <w:tcW w:w="61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6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0"/>
              </w:rPr>
              <w:t>Trading</w:t>
            </w:r>
          </w:p>
        </w:tc>
        <w:tc>
          <w:tcPr>
            <w:tcW w:w="3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53"/>
        </w:trPr>
        <w:tc>
          <w:tcPr>
            <w:tcW w:w="614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Symbol</w:t>
            </w:r>
          </w:p>
        </w:tc>
        <w:tc>
          <w:tcPr>
            <w:tcW w:w="34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New York Stock Exchange</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right="40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40"/>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February 18, 2021, Brady Corporation (the “Company”) issued a press release announcing its fiscal 2021 second quarter financial results. A copy of the press release is being furnished to the Securities and Exchange Commission as Exhibit 99.1 attached hereto and is incorporated herein by reference.</w:t>
      </w: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February 18, 2021, the Company hosted a conference call related to its fiscal 2021 second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00" w:type="dxa"/>
            <w:vAlign w:val="bottom"/>
          </w:tcPr>
          <w:p>
            <w:pPr>
              <w:spacing w:after="0"/>
              <w:rPr>
                <w:sz w:val="20"/>
                <w:szCs w:val="20"/>
                <w:color w:val="auto"/>
              </w:rPr>
            </w:pPr>
            <w:r>
              <w:rPr>
                <w:rFonts w:ascii="Arial" w:cs="Arial" w:eastAsia="Arial" w:hAnsi="Arial"/>
                <w:sz w:val="12"/>
                <w:szCs w:val="12"/>
                <w:color w:val="auto"/>
              </w:rPr>
              <w:t>(d) Exhibits</w:t>
            </w:r>
          </w:p>
        </w:tc>
        <w:tc>
          <w:tcPr>
            <w:tcW w:w="10200" w:type="dxa"/>
            <w:vAlign w:val="bottom"/>
          </w:tcPr>
          <w:p>
            <w:pPr>
              <w:spacing w:after="0"/>
              <w:rPr>
                <w:sz w:val="13"/>
                <w:szCs w:val="13"/>
                <w:color w:val="auto"/>
              </w:rPr>
            </w:pPr>
          </w:p>
        </w:tc>
      </w:tr>
      <w:tr>
        <w:trPr>
          <w:trHeight w:val="279"/>
        </w:trPr>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2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DESCRIPTION</w:t>
            </w:r>
          </w:p>
        </w:tc>
      </w:tr>
      <w:tr>
        <w:trPr>
          <w:trHeight w:val="205"/>
        </w:trPr>
        <w:tc>
          <w:tcPr>
            <w:tcW w:w="1100" w:type="dxa"/>
            <w:vAlign w:val="bottom"/>
          </w:tcPr>
          <w:p>
            <w:pPr>
              <w:spacing w:after="0"/>
              <w:rPr>
                <w:sz w:val="20"/>
                <w:szCs w:val="20"/>
                <w:color w:val="auto"/>
              </w:rPr>
            </w:pPr>
            <w:r>
              <w:rPr>
                <w:rFonts w:ascii="Arial" w:cs="Arial" w:eastAsia="Arial" w:hAnsi="Arial"/>
                <w:sz w:val="12"/>
                <w:szCs w:val="12"/>
                <w:color w:val="auto"/>
              </w:rPr>
              <w:t>99.1</w:t>
            </w:r>
          </w:p>
        </w:tc>
        <w:tc>
          <w:tcPr>
            <w:tcW w:w="10200" w:type="dxa"/>
            <w:vAlign w:val="bottom"/>
          </w:tcPr>
          <w:p>
            <w:pPr>
              <w:ind w:left="80"/>
              <w:spacing w:after="0"/>
              <w:rPr>
                <w:rFonts w:ascii="Arial" w:cs="Arial" w:eastAsia="Arial" w:hAnsi="Arial"/>
                <w:sz w:val="12"/>
                <w:szCs w:val="12"/>
                <w:color w:val="0000FF"/>
              </w:rPr>
            </w:pPr>
            <w:hyperlink w:anchor="page3">
              <w:r>
                <w:rPr>
                  <w:rFonts w:ascii="Arial" w:cs="Arial" w:eastAsia="Arial" w:hAnsi="Arial"/>
                  <w:sz w:val="12"/>
                  <w:szCs w:val="12"/>
                  <w:u w:val="single" w:color="auto"/>
                  <w:color w:val="0000FF"/>
                </w:rPr>
                <w:t>Press Release of Brady Corporation, dated February 18, 2021, relating to fiscal 2021 second quarter financial results</w:t>
              </w:r>
              <w:r>
                <w:rPr>
                  <w:rFonts w:ascii="Arial" w:cs="Arial" w:eastAsia="Arial" w:hAnsi="Arial"/>
                  <w:sz w:val="12"/>
                  <w:szCs w:val="12"/>
                  <w:color w:val="0000FF"/>
                </w:rPr>
                <w:t>.</w:t>
              </w:r>
            </w:hyperlink>
          </w:p>
        </w:tc>
      </w:tr>
      <w:tr>
        <w:trPr>
          <w:trHeight w:val="207"/>
        </w:trPr>
        <w:tc>
          <w:tcPr>
            <w:tcW w:w="1100" w:type="dxa"/>
            <w:vAlign w:val="bottom"/>
          </w:tcPr>
          <w:p>
            <w:pPr>
              <w:spacing w:after="0"/>
              <w:rPr>
                <w:sz w:val="20"/>
                <w:szCs w:val="20"/>
                <w:color w:val="auto"/>
              </w:rPr>
            </w:pPr>
            <w:r>
              <w:rPr>
                <w:rFonts w:ascii="Arial" w:cs="Arial" w:eastAsia="Arial" w:hAnsi="Arial"/>
                <w:sz w:val="12"/>
                <w:szCs w:val="12"/>
                <w:color w:val="auto"/>
              </w:rPr>
              <w:t>99.2</w:t>
            </w:r>
          </w:p>
        </w:tc>
        <w:tc>
          <w:tcPr>
            <w:tcW w:w="10200" w:type="dxa"/>
            <w:vAlign w:val="bottom"/>
          </w:tcPr>
          <w:p>
            <w:pPr>
              <w:ind w:left="80"/>
              <w:spacing w:after="0"/>
              <w:rPr>
                <w:rFonts w:ascii="Arial" w:cs="Arial" w:eastAsia="Arial" w:hAnsi="Arial"/>
                <w:sz w:val="12"/>
                <w:szCs w:val="12"/>
                <w:color w:val="0000FF"/>
              </w:rPr>
            </w:pPr>
            <w:hyperlink w:anchor="page10">
              <w:r>
                <w:rPr>
                  <w:rFonts w:ascii="Arial" w:cs="Arial" w:eastAsia="Arial" w:hAnsi="Arial"/>
                  <w:sz w:val="12"/>
                  <w:szCs w:val="12"/>
                  <w:u w:val="single" w:color="auto"/>
                  <w:color w:val="0000FF"/>
                </w:rPr>
                <w:t>Informational slides provided by Brady Corporation, dated February 18, 2021, relating to fiscal 2021 second quarter financial results</w:t>
              </w:r>
              <w:r>
                <w:rPr>
                  <w:rFonts w:ascii="Arial" w:cs="Arial" w:eastAsia="Arial" w:hAnsi="Arial"/>
                  <w:sz w:val="12"/>
                  <w:szCs w:val="12"/>
                  <w:color w:val="0000FF"/>
                </w:rPr>
                <w:t>.</w:t>
              </w:r>
            </w:hyperlink>
          </w:p>
        </w:tc>
      </w:tr>
      <w:tr>
        <w:trPr>
          <w:trHeight w:val="216"/>
        </w:trPr>
        <w:tc>
          <w:tcPr>
            <w:tcW w:w="1100" w:type="dxa"/>
            <w:vAlign w:val="bottom"/>
          </w:tcPr>
          <w:p>
            <w:pPr>
              <w:spacing w:after="0"/>
              <w:rPr>
                <w:sz w:val="20"/>
                <w:szCs w:val="20"/>
                <w:color w:val="auto"/>
              </w:rPr>
            </w:pPr>
            <w:r>
              <w:rPr>
                <w:rFonts w:ascii="Arial" w:cs="Arial" w:eastAsia="Arial" w:hAnsi="Arial"/>
                <w:sz w:val="12"/>
                <w:szCs w:val="12"/>
                <w:color w:val="auto"/>
              </w:rPr>
              <w:t>104</w:t>
            </w:r>
          </w:p>
        </w:tc>
        <w:tc>
          <w:tcPr>
            <w:tcW w:w="10200" w:type="dxa"/>
            <w:vAlign w:val="bottom"/>
          </w:tcPr>
          <w:p>
            <w:pPr>
              <w:ind w:left="80"/>
              <w:spacing w:after="0"/>
              <w:rPr>
                <w:sz w:val="20"/>
                <w:szCs w:val="20"/>
                <w:color w:val="auto"/>
              </w:rPr>
            </w:pPr>
            <w:r>
              <w:rPr>
                <w:rFonts w:ascii="Arial" w:cs="Arial" w:eastAsia="Arial" w:hAnsi="Arial"/>
                <w:sz w:val="12"/>
                <w:szCs w:val="12"/>
                <w:color w:val="auto"/>
              </w:rPr>
              <w:t>Cover Page Interactive Data File (embedded within Inline XBRL document).</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color w:val="auto"/>
        </w:rPr>
        <w:t>Date: February 18, 2021</w:t>
      </w:r>
    </w:p>
    <w:p>
      <w:pPr>
        <w:spacing w:after="0" w:line="19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9525</wp:posOffset>
            </wp:positionV>
            <wp:extent cx="34518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4"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300"/>
          </w:cols>
          <w:pgMar w:left="300" w:top="833"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2021 Second Quarter Results and Announces its Fiscal 2021 EPS Guidance</w:t>
      </w:r>
    </w:p>
    <w:p>
      <w:pPr>
        <w:spacing w:after="0" w:line="197"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Income before income taxes and losses of unconsolidated affiliate was $39.4 million in the second quarter of fiscal 2021 compared to $42.4 million in the same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was $0.59 in the second quarter of fiscal 2021 compared to $0.62 in the same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declined 3.9 percent. Organic sales declined 6.3 percent and the impact of foreign currency translation increased sales by 2.4 percent.</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Net cash provided by operating activities was $36.1 million in the second quarter of fiscal 2021 compared to $14.3 million in the second quarter of the prior year.</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guidance for the full year ending July 31, 2021 announced at a range of $2.48 to $2.58, which equates to EPS guidance for the second half of fiscal 2021 of $1.25 to $1.35.</w:t>
      </w:r>
    </w:p>
    <w:p>
      <w:pPr>
        <w:spacing w:after="0" w:line="208" w:lineRule="exact"/>
        <w:rPr>
          <w:sz w:val="20"/>
          <w:szCs w:val="20"/>
          <w:color w:val="auto"/>
        </w:rPr>
      </w:pPr>
    </w:p>
    <w:p>
      <w:pPr>
        <w:jc w:val="both"/>
        <w:spacing w:after="0" w:line="343" w:lineRule="auto"/>
        <w:rPr>
          <w:sz w:val="20"/>
          <w:szCs w:val="20"/>
          <w:color w:val="auto"/>
        </w:rPr>
      </w:pPr>
      <w:r>
        <w:rPr>
          <w:rFonts w:ascii="Arial" w:cs="Arial" w:eastAsia="Arial" w:hAnsi="Arial"/>
          <w:sz w:val="13"/>
          <w:szCs w:val="13"/>
          <w:color w:val="auto"/>
        </w:rPr>
        <w:t>MILWAUKEE (February 18, 2021) -- Brady Corporation (NYSE: BRC) (“Brady” or “Company”), a world leader in identification solutions, today reported its financial results for its fiscal 2021 second quarter ended January 31, 2021.</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January 31, 2021 Financial Results: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Income before income taxes and losses of unconsolidated affiliate decreased 7.0 percent to $39.4 million for the quarter ended January 31, 2021, compared to $42.4 million in the same quarter last year.</w:t>
      </w:r>
    </w:p>
    <w:p>
      <w:pPr>
        <w:spacing w:after="0" w:line="69" w:lineRule="exact"/>
        <w:rPr>
          <w:sz w:val="20"/>
          <w:szCs w:val="20"/>
          <w:color w:val="auto"/>
        </w:rPr>
      </w:pPr>
    </w:p>
    <w:p>
      <w:pPr>
        <w:jc w:val="both"/>
        <w:ind w:firstLine="432"/>
        <w:spacing w:after="0" w:line="332" w:lineRule="auto"/>
        <w:rPr>
          <w:sz w:val="20"/>
          <w:szCs w:val="20"/>
          <w:color w:val="auto"/>
        </w:rPr>
      </w:pPr>
      <w:r>
        <w:rPr>
          <w:rFonts w:ascii="Arial" w:cs="Arial" w:eastAsia="Arial" w:hAnsi="Arial"/>
          <w:sz w:val="13"/>
          <w:szCs w:val="13"/>
          <w:color w:val="auto"/>
        </w:rPr>
        <w:t>Net income for the quarter ended January 31, 2021 declined 8.0 percent to $30.9 million compared to $33.6 million in the same quarter last year. Earnings per diluted Class A Nonvoting Common Share were $0.59 for the second quarter of fiscal 2021, compared to $0.62 in the same quarter last year.</w:t>
      </w:r>
    </w:p>
    <w:p>
      <w:pPr>
        <w:jc w:val="both"/>
        <w:ind w:firstLine="432"/>
        <w:spacing w:after="0" w:line="391" w:lineRule="auto"/>
        <w:rPr>
          <w:sz w:val="20"/>
          <w:szCs w:val="20"/>
          <w:color w:val="auto"/>
        </w:rPr>
      </w:pPr>
      <w:r>
        <w:rPr>
          <w:rFonts w:ascii="Arial" w:cs="Arial" w:eastAsia="Arial" w:hAnsi="Arial"/>
          <w:sz w:val="12"/>
          <w:szCs w:val="12"/>
          <w:color w:val="auto"/>
        </w:rPr>
        <w:t>Sales for the quarter ended January 31, 2021 declined 3.9 percent, which consisted of an organic sales decline of 6.3 percent and an increase of 2.4 percent from foreign currency translation. Sales for the quarter ended January 31, 2021 were $265.8 million compared to $276.7 million in the same quarter last year. By segment, sales declined 5.4 percent in Identification Solutions and increased 0.4 percent in Workplace Safety, which consisted of an organic sales decline of 6.9 percent in Identification Solutions and an organic sales decline of 4.8 percent in Workplace Safety.</w:t>
      </w:r>
    </w:p>
    <w:p>
      <w:pPr>
        <w:sectPr>
          <w:pgSz w:w="11900" w:h="16838" w:orient="portrait"/>
          <w:cols w:equalWidth="0" w:num="1">
            <w:col w:w="11300"/>
          </w:cols>
          <w:pgMar w:left="300" w:top="638" w:right="29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Six-Month Period Ended January 31, 2021 Financial Results: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Income before income taxes and losses of unconsolidated affiliate decreased 2.7 percent to $81.6 million for the six-month period ended January 31, 2021, compared to $83.9 million for the same period last</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year.</w:t>
      </w:r>
    </w:p>
    <w:p>
      <w:pPr>
        <w:spacing w:after="0" w:line="58" w:lineRule="exact"/>
        <w:rPr>
          <w:sz w:val="20"/>
          <w:szCs w:val="20"/>
          <w:color w:val="auto"/>
        </w:rPr>
      </w:pPr>
    </w:p>
    <w:p>
      <w:pPr>
        <w:jc w:val="both"/>
        <w:ind w:firstLine="432"/>
        <w:spacing w:after="0" w:line="365" w:lineRule="auto"/>
        <w:rPr>
          <w:sz w:val="20"/>
          <w:szCs w:val="20"/>
          <w:color w:val="auto"/>
        </w:rPr>
      </w:pPr>
      <w:r>
        <w:rPr>
          <w:rFonts w:ascii="Arial" w:cs="Arial" w:eastAsia="Arial" w:hAnsi="Arial"/>
          <w:sz w:val="12"/>
          <w:szCs w:val="12"/>
          <w:color w:val="auto"/>
        </w:rPr>
        <w:t>Net income for the six-month period ended January 31, 2021 declined 9.4 percent to $64.3 million compared to $71.1 million for the same period last year. Earnings per diluted Class A Nonvoting Common Share were $1.23 for the six-month period ended January 31, 2021, compared to $1.32 for the same period last year. Net income and earnings per diluted Class A Nonvoting Common Share for the six-month period ended January 31, 2020 were impacted by a reduced income tax rate of 15.3 percent primarily due to a favorable tax audit settlement and tax benefits from equity-based compensation.</w:t>
      </w:r>
    </w:p>
    <w:p>
      <w:pPr>
        <w:jc w:val="both"/>
        <w:ind w:firstLine="432"/>
        <w:spacing w:after="0" w:line="391" w:lineRule="auto"/>
        <w:rPr>
          <w:sz w:val="20"/>
          <w:szCs w:val="20"/>
          <w:color w:val="auto"/>
        </w:rPr>
      </w:pPr>
      <w:r>
        <w:rPr>
          <w:rFonts w:ascii="Arial" w:cs="Arial" w:eastAsia="Arial" w:hAnsi="Arial"/>
          <w:sz w:val="12"/>
          <w:szCs w:val="12"/>
          <w:color w:val="auto"/>
        </w:rPr>
        <w:t>Sales for the six-month period ended January 31, 2021 declined 3.6 percent, which consisted of an organic sales decline of 5.6 percent and an increase of 2.0 percent from foreign currency translation. Sales for the six months ended January 31, 2021 were $543.1 million compared to $563.6 million in the same period last year. By segment, sales declined 6.6 percent in Identification Solutions and increased 5.2 percent in Workplace Safety, which consisted of an organic sales decline of 7.6 percent in Identification Solutions and organic sales growth of 0.4 percent in Workplace Safety.</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71" w:lineRule="exact"/>
        <w:rPr>
          <w:sz w:val="20"/>
          <w:szCs w:val="20"/>
          <w:color w:val="auto"/>
        </w:rPr>
      </w:pPr>
    </w:p>
    <w:p>
      <w:pPr>
        <w:jc w:val="both"/>
        <w:ind w:firstLine="432"/>
        <w:spacing w:after="0" w:line="335" w:lineRule="auto"/>
        <w:rPr>
          <w:sz w:val="20"/>
          <w:szCs w:val="20"/>
          <w:color w:val="auto"/>
        </w:rPr>
      </w:pPr>
      <w:r>
        <w:rPr>
          <w:rFonts w:ascii="Arial" w:cs="Arial" w:eastAsia="Arial" w:hAnsi="Arial"/>
          <w:sz w:val="13"/>
          <w:szCs w:val="13"/>
          <w:color w:val="auto"/>
        </w:rPr>
        <w:t>“Our operations are running globally as we continue to do our part to supply products to first responders, healthcare providers, transportation, food processing and many other critical industries,” said Brady’s President and Chief Executive Officer, J. Michael Nauman. “Our outlook has improved and to supplement organic sales growth, we are investing in sales, marketing and new product development that will help accelerate growth in the back half of this fiscal year and into the future. We are also actively investigating acquisitions that complement our strategic growth initiatives. Brady is in a strong financial position and we are using this strong financial position to set ourselves up for strong growth as we exit from the pandemic.”</w:t>
      </w:r>
    </w:p>
    <w:p>
      <w:pPr>
        <w:spacing w:after="0" w:line="2" w:lineRule="exact"/>
        <w:rPr>
          <w:sz w:val="20"/>
          <w:szCs w:val="20"/>
          <w:color w:val="auto"/>
        </w:rPr>
      </w:pPr>
    </w:p>
    <w:p>
      <w:pPr>
        <w:jc w:val="both"/>
        <w:ind w:firstLine="432"/>
        <w:spacing w:after="0" w:line="387" w:lineRule="auto"/>
        <w:rPr>
          <w:sz w:val="20"/>
          <w:szCs w:val="20"/>
          <w:color w:val="auto"/>
        </w:rPr>
      </w:pPr>
      <w:r>
        <w:rPr>
          <w:rFonts w:ascii="Arial" w:cs="Arial" w:eastAsia="Arial" w:hAnsi="Arial"/>
          <w:sz w:val="12"/>
          <w:szCs w:val="12"/>
          <w:color w:val="auto"/>
        </w:rPr>
        <w:t>“Brady continues to generate strong cash flow and has a very strong balance sheet. As of January 31, 2021, we had $277.6 million of cash on hand and no outstanding debt,” said Brady’s Chief Financial Officer, Aaron Pearce. “We generated $36.1 million of cash flow from operating activities this quarter, which was an increase of 153 percent compared to last year’s second quarter. Positively impacting our cash flow this quarter were benefits from improved working capital management and a reduction in incentive-based compensation payments when compared to the second quarter of last year. This quarter, we also returned $12.3 million to our shareholders in the form of dividends and share buybacks. Although the economy is still challenged, we do expect the general trend of improving economic conditions to continue over the next several quarters. Regardless of what happens with the macro economy, Brady’s strong balance sheet and cash generation position us well for future financial success."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2021 Guidance:</w:t>
      </w:r>
    </w:p>
    <w:p>
      <w:pPr>
        <w:spacing w:after="0" w:line="62" w:lineRule="exact"/>
        <w:rPr>
          <w:sz w:val="20"/>
          <w:szCs w:val="20"/>
          <w:color w:val="auto"/>
        </w:rPr>
      </w:pPr>
    </w:p>
    <w:p>
      <w:pPr>
        <w:jc w:val="both"/>
        <w:ind w:firstLine="432"/>
        <w:spacing w:after="0" w:line="352" w:lineRule="auto"/>
        <w:rPr>
          <w:sz w:val="20"/>
          <w:szCs w:val="20"/>
          <w:color w:val="auto"/>
        </w:rPr>
      </w:pPr>
      <w:r>
        <w:rPr>
          <w:rFonts w:ascii="Arial" w:cs="Arial" w:eastAsia="Arial" w:hAnsi="Arial"/>
          <w:sz w:val="13"/>
          <w:szCs w:val="13"/>
          <w:color w:val="auto"/>
        </w:rPr>
        <w:t>The Company expects earnings per diluted Class A Nonvoting Common Share to range from $2.48 to $2.58 for the full fiscal year ending July 31, 2021. This equates to diluted earnings per share in the range of $1.25 to $1.35 in the second half of the fiscal year ending July 31, 2021. The Company also expects organic sales growth to be in the mid-single digits in the second half of fiscal 2021. This guidance is based on foreign currency exchange rates as of January 31, 2021 and assumes a continued economic recovery.</w:t>
      </w:r>
    </w:p>
    <w:p>
      <w:pPr>
        <w:sectPr>
          <w:pgSz w:w="11900" w:h="16838" w:orient="portrait"/>
          <w:cols w:equalWidth="0" w:num="1">
            <w:col w:w="11300"/>
          </w:cols>
          <w:pgMar w:left="300" w:top="665" w:right="299" w:bottom="1440" w:gutter="0" w:footer="0" w:header="0"/>
        </w:sectPr>
      </w:pPr>
    </w:p>
    <w:bookmarkStart w:id="4" w:name="page5"/>
    <w:bookmarkEnd w:id="4"/>
    <w:p>
      <w:pPr>
        <w:ind w:left="420"/>
        <w:spacing w:after="0"/>
        <w:rPr>
          <w:sz w:val="20"/>
          <w:szCs w:val="20"/>
          <w:color w:val="auto"/>
        </w:rPr>
      </w:pPr>
      <w:r>
        <w:rPr>
          <w:rFonts w:ascii="Arial" w:cs="Arial" w:eastAsia="Arial" w:hAnsi="Arial"/>
          <w:sz w:val="13"/>
          <w:szCs w:val="13"/>
          <w:color w:val="auto"/>
        </w:rPr>
        <w:t xml:space="preserve">A webcast regarding Brady’s fiscal 2021 second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20" w:lineRule="exact"/>
        <w:rPr>
          <w:sz w:val="20"/>
          <w:szCs w:val="20"/>
          <w:color w:val="auto"/>
        </w:rPr>
      </w:pPr>
    </w:p>
    <w:p>
      <w:pPr>
        <w:jc w:val="both"/>
        <w:ind w:firstLine="432"/>
        <w:spacing w:after="0" w:line="349"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2020, employed approximately 5,400 people in its worldwide businesses. Brady’s fiscal 2020 sales were approximately $1.08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www.bradyid.com</w:t>
      </w:r>
      <w:r>
        <w:rPr>
          <w:rFonts w:ascii="Arial" w:cs="Arial" w:eastAsia="Arial" w:hAnsi="Arial"/>
          <w:sz w:val="13"/>
          <w:szCs w:val="13"/>
          <w:color w:val="0000FF"/>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adverse impacts of the novel coronavirus (“COVID-19”) pandemic or other pandemics; decreased demand for our products; our ability to compete effectively or to successfully execute our strategy; Brady’s ability to develop technologically advanced products that meet customer demands; raw material and other cost increases; difficulties in protecting our websites, networks, and systems against security breaches;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potential write-offs of Brady’s goodwill and other intangible assets; changes in tax legislation and tax rates;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2020 and subsequent Form 10-Q filings.</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69" w:right="299" w:bottom="1440" w:gutter="0" w:footer="0" w:header="0"/>
        </w:sectPr>
      </w:pPr>
    </w:p>
    <w:bookmarkStart w:id="5" w:name="page6"/>
    <w:bookmarkEnd w:id="5"/>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1"/>
                <w:szCs w:val="11"/>
                <w:color w:val="auto"/>
              </w:rPr>
              <w:t>Three months ended January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1"/>
                <w:szCs w:val="11"/>
                <w:color w:val="auto"/>
              </w:rPr>
              <w:t>Six months ended January 31,</w:t>
            </w:r>
          </w:p>
        </w:tc>
      </w:tr>
      <w:tr>
        <w:trPr>
          <w:trHeight w:val="133"/>
        </w:trPr>
        <w:tc>
          <w:tcPr>
            <w:tcW w:w="55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2020</w:t>
            </w:r>
          </w:p>
        </w:tc>
      </w:tr>
      <w:tr>
        <w:trPr>
          <w:trHeight w:val="135"/>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Net sales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265,838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276,665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543,065</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563,612</w:t>
            </w:r>
          </w:p>
        </w:tc>
      </w:tr>
      <w:tr>
        <w:trPr>
          <w:trHeight w:val="142"/>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136,316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137,538</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278,115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283,080</w:t>
            </w:r>
          </w:p>
        </w:tc>
      </w:tr>
      <w:tr>
        <w:trPr>
          <w:trHeight w:val="135"/>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129,522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139,127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264,950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280,532</w:t>
            </w: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9,876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10,517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20,079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21,484</w:t>
            </w:r>
          </w:p>
        </w:tc>
      </w:tr>
      <w:tr>
        <w:trPr>
          <w:trHeight w:val="142"/>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82,234</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87,366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165,271</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176,913</w:t>
            </w:r>
          </w:p>
        </w:tc>
      </w:tr>
      <w:tr>
        <w:trPr>
          <w:trHeight w:val="135"/>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92,110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97,883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185,350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198,397</w:t>
            </w:r>
          </w:p>
        </w:tc>
      </w:tr>
      <w:tr>
        <w:trPr>
          <w:trHeight w:val="144"/>
        </w:trPr>
        <w:tc>
          <w:tcPr>
            <w:tcW w:w="5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37,412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41,244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79,600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82,135</w:t>
            </w:r>
          </w:p>
        </w:tc>
      </w:tr>
      <w:tr>
        <w:trPr>
          <w:trHeight w:val="144"/>
        </w:trPr>
        <w:tc>
          <w:tcPr>
            <w:tcW w:w="5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2,036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1,760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2,191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3,140</w:t>
            </w:r>
          </w:p>
        </w:tc>
      </w:tr>
      <w:tr>
        <w:trPr>
          <w:trHeight w:val="144"/>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(647)</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(1,348)</w:t>
            </w:r>
          </w:p>
        </w:tc>
      </w:tr>
      <w:tr>
        <w:trPr>
          <w:trHeight w:val="126"/>
        </w:trPr>
        <w:tc>
          <w:tcPr>
            <w:tcW w:w="5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39,397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42,357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81,634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83,927</w:t>
            </w:r>
          </w:p>
        </w:tc>
      </w:tr>
      <w:tr>
        <w:trPr>
          <w:trHeight w:val="144"/>
        </w:trPr>
        <w:tc>
          <w:tcPr>
            <w:tcW w:w="5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2"/>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8,206</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8,804</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16,788</w:t>
            </w: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12,876</w:t>
            </w:r>
          </w:p>
        </w:tc>
      </w:tr>
      <w:tr>
        <w:trPr>
          <w:trHeight w:val="126"/>
        </w:trPr>
        <w:tc>
          <w:tcPr>
            <w:tcW w:w="5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Income before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31,191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33,553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64,846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71,051</w:t>
            </w: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6"/>
        </w:trPr>
        <w:tc>
          <w:tcPr>
            <w:tcW w:w="55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r>
      <w:tr>
        <w:trPr>
          <w:trHeight w:val="160"/>
        </w:trPr>
        <w:tc>
          <w:tcPr>
            <w:tcW w:w="55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income</w:t>
            </w:r>
          </w:p>
        </w:tc>
        <w:tc>
          <w:tcPr>
            <w:tcW w:w="880" w:type="dxa"/>
            <w:vAlign w:val="bottom"/>
            <w:tcBorders>
              <w:bottom w:val="single" w:sz="8" w:color="auto"/>
            </w:tcBorders>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30,860</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33,553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64,341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71,051</w:t>
            </w:r>
          </w:p>
        </w:tc>
      </w:tr>
      <w:tr>
        <w:trPr>
          <w:trHeight w:val="126"/>
        </w:trPr>
        <w:tc>
          <w:tcPr>
            <w:tcW w:w="55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Net income per Class A Nonvoting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0.59</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0.62</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1.32</w:t>
            </w: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0.44</w:t>
            </w:r>
          </w:p>
        </w:tc>
      </w:tr>
      <w:tr>
        <w:trPr>
          <w:trHeight w:val="144"/>
        </w:trPr>
        <w:tc>
          <w:tcPr>
            <w:tcW w:w="5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5580" w:type="dxa"/>
            <w:vAlign w:val="bottom"/>
            <w:shd w:val="clear" w:color="auto" w:fill="CCEEFF"/>
          </w:tcPr>
          <w:p>
            <w:pPr>
              <w:spacing w:after="0"/>
              <w:rPr>
                <w:sz w:val="20"/>
                <w:szCs w:val="20"/>
                <w:color w:val="auto"/>
              </w:rPr>
            </w:pPr>
            <w:r>
              <w:rPr>
                <w:rFonts w:ascii="Arial" w:cs="Arial" w:eastAsia="Arial" w:hAnsi="Arial"/>
                <w:sz w:val="11"/>
                <w:szCs w:val="11"/>
                <w:color w:val="auto"/>
              </w:rPr>
              <w:t>Net income per Class B Voting Common Share: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0.59</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0.63</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1.32</w:t>
            </w: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0.59</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r>
      <w:tr>
        <w:trPr>
          <w:trHeight w:val="142"/>
        </w:trPr>
        <w:tc>
          <w:tcPr>
            <w:tcW w:w="5580" w:type="dxa"/>
            <w:vAlign w:val="bottom"/>
          </w:tcPr>
          <w:p>
            <w:pPr>
              <w:ind w:left="140"/>
              <w:spacing w:after="0"/>
              <w:rPr>
                <w:sz w:val="20"/>
                <w:szCs w:val="20"/>
                <w:color w:val="auto"/>
              </w:rPr>
            </w:pPr>
            <w:r>
              <w:rPr>
                <w:rFonts w:ascii="Arial" w:cs="Arial" w:eastAsia="Arial" w:hAnsi="Arial"/>
                <w:sz w:val="11"/>
                <w:szCs w:val="11"/>
                <w:color w:val="auto"/>
              </w:rPr>
              <w:t>Dividends</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0.22</w:t>
            </w:r>
          </w:p>
        </w:tc>
        <w:tc>
          <w:tcPr>
            <w:tcW w:w="10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0.22</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0.42</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0.42</w:t>
            </w:r>
          </w:p>
        </w:tc>
      </w:tr>
      <w:tr>
        <w:trPr>
          <w:trHeight w:val="146"/>
        </w:trPr>
        <w:tc>
          <w:tcPr>
            <w:tcW w:w="55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8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52,018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53,320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52,020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53,232</w:t>
            </w:r>
          </w:p>
        </w:tc>
      </w:tr>
      <w:tr>
        <w:trPr>
          <w:trHeight w:val="140"/>
        </w:trPr>
        <w:tc>
          <w:tcPr>
            <w:tcW w:w="5580" w:type="dxa"/>
            <w:vAlign w:val="bottom"/>
          </w:tcPr>
          <w:p>
            <w:pPr>
              <w:ind w:left="140"/>
              <w:spacing w:after="0"/>
              <w:rPr>
                <w:sz w:val="20"/>
                <w:szCs w:val="20"/>
                <w:color w:val="auto"/>
              </w:rPr>
            </w:pPr>
            <w:r>
              <w:rPr>
                <w:rFonts w:ascii="Arial" w:cs="Arial" w:eastAsia="Arial" w:hAnsi="Arial"/>
                <w:sz w:val="11"/>
                <w:szCs w:val="11"/>
                <w:color w:val="auto"/>
              </w:rPr>
              <w:t>Diluted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52,282</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53,827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52,288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53,781</w:t>
            </w:r>
          </w:p>
        </w:tc>
      </w:tr>
    </w:tbl>
    <w:p>
      <w:pPr>
        <w:sectPr>
          <w:pgSz w:w="11900" w:h="16838" w:orient="portrait"/>
          <w:cols w:equalWidth="0" w:num="1">
            <w:col w:w="11300"/>
          </w:cols>
          <w:pgMar w:left="300" w:top="562"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color w:val="auto"/>
                <w:w w:val="87"/>
              </w:rPr>
              <w:t>January 31, 2021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color w:val="auto"/>
              </w:rPr>
              <w:t>July 31, 2020</w:t>
            </w:r>
          </w:p>
        </w:tc>
      </w:tr>
      <w:tr>
        <w:trPr>
          <w:trHeight w:val="133"/>
        </w:trPr>
        <w:tc>
          <w:tcPr>
            <w:tcW w:w="3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1"/>
                <w:szCs w:val="11"/>
                <w:color w:val="auto"/>
                <w:w w:val="90"/>
              </w:rPr>
              <w:t>(Unaudited)</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6"/>
        </w:trPr>
        <w:tc>
          <w:tcPr>
            <w:tcW w:w="30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440" w:type="dxa"/>
            <w:vAlign w:val="bottom"/>
            <w:gridSpan w:val="3"/>
            <w:shd w:val="clear" w:color="auto" w:fill="CCEEFF"/>
          </w:tcPr>
          <w:p>
            <w:pPr>
              <w:jc w:val="center"/>
              <w:ind w:right="4040"/>
              <w:spacing w:after="0" w:line="119" w:lineRule="exact"/>
              <w:rPr>
                <w:sz w:val="20"/>
                <w:szCs w:val="20"/>
                <w:color w:val="auto"/>
              </w:rPr>
            </w:pPr>
            <w:r>
              <w:rPr>
                <w:rFonts w:ascii="Arial" w:cs="Arial" w:eastAsia="Arial" w:hAnsi="Arial"/>
                <w:sz w:val="11"/>
                <w:szCs w:val="11"/>
                <w:b w:val="1"/>
                <w:bCs w:val="1"/>
                <w:color w:val="auto"/>
                <w:w w:val="90"/>
              </w:rPr>
              <w:t>ASSETS</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2"/>
        </w:trPr>
        <w:tc>
          <w:tcPr>
            <w:tcW w:w="404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404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277,588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217,643</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Accounts receivable, net of allowance for credit losses of $7,450 and $7,157, respectively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154,052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146,181</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Inventories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122,922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135,662</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Prepaid expenses and other current assets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12,774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9,962</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567,336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509,448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122,088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115,068</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420,726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416,034</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19,809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22,334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8,845</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38,849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41,899</w:t>
            </w:r>
          </w:p>
        </w:tc>
      </w:tr>
      <w:tr>
        <w:trPr>
          <w:trHeight w:val="144"/>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30,813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28,838</w:t>
            </w:r>
          </w:p>
        </w:tc>
      </w:tr>
      <w:tr>
        <w:trPr>
          <w:trHeight w:val="151"/>
        </w:trPr>
        <w:tc>
          <w:tcPr>
            <w:tcW w:w="848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1,207,882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1,142,466</w:t>
            </w:r>
          </w:p>
        </w:tc>
      </w:tr>
      <w:tr>
        <w:trPr>
          <w:trHeight w:val="106"/>
        </w:trPr>
        <w:tc>
          <w:tcPr>
            <w:tcW w:w="306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auto"/>
            </w:tcBorders>
            <w:gridSpan w:val="3"/>
            <w:shd w:val="clear" w:color="auto" w:fill="CCEEFF"/>
          </w:tcPr>
          <w:p>
            <w:pPr>
              <w:jc w:val="center"/>
              <w:spacing w:after="0" w:line="99" w:lineRule="exact"/>
              <w:rPr>
                <w:sz w:val="20"/>
                <w:szCs w:val="20"/>
                <w:color w:val="auto"/>
              </w:rPr>
            </w:pPr>
            <w:r>
              <w:rPr>
                <w:rFonts w:ascii="Arial" w:cs="Arial" w:eastAsia="Arial" w:hAnsi="Arial"/>
                <w:sz w:val="11"/>
                <w:szCs w:val="11"/>
                <w:b w:val="1"/>
                <w:bCs w:val="1"/>
                <w:color w:val="auto"/>
              </w:rPr>
              <w:t>LIABILITIES AND STOCKHOLDERS’ EQUITY</w:t>
            </w:r>
          </w:p>
        </w:tc>
        <w:tc>
          <w:tcPr>
            <w:tcW w:w="306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Accounts payable</w:t>
            </w: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67,483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62,547</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compensation and benefits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52,098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41,546</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Taxes, other than income taxes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8,518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8,057</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Accrued income taxes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9,393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8,652</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Current operating lease liabilities</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15,304</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Other current liabilities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47,518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49,782</w:t>
            </w:r>
          </w:p>
        </w:tc>
      </w:tr>
      <w:tr>
        <w:trPr>
          <w:trHeight w:val="135"/>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201,544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185,888</w:t>
            </w:r>
          </w:p>
        </w:tc>
      </w:tr>
      <w:tr>
        <w:trPr>
          <w:trHeight w:val="142"/>
        </w:trPr>
        <w:tc>
          <w:tcPr>
            <w:tcW w:w="8480" w:type="dxa"/>
            <w:vAlign w:val="bottom"/>
            <w:gridSpan w:val="5"/>
          </w:tcPr>
          <w:p>
            <w:pPr>
              <w:spacing w:after="0"/>
              <w:rPr>
                <w:sz w:val="20"/>
                <w:szCs w:val="20"/>
                <w:color w:val="auto"/>
              </w:rPr>
            </w:pPr>
            <w:r>
              <w:rPr>
                <w:rFonts w:ascii="Arial" w:cs="Arial" w:eastAsia="Arial" w:hAnsi="Arial"/>
                <w:sz w:val="11"/>
                <w:szCs w:val="11"/>
                <w:color w:val="auto"/>
              </w:rPr>
              <w:t>Long-term operating lease liabilities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27,134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31,982</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Other liabilities</w:t>
            </w: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59,869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61,524</w:t>
            </w:r>
          </w:p>
        </w:tc>
      </w:tr>
      <w:tr>
        <w:trPr>
          <w:trHeight w:val="131"/>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Total liabilities</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288,547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279,394</w:t>
            </w:r>
          </w:p>
        </w:tc>
      </w:tr>
      <w:tr>
        <w:trPr>
          <w:trHeight w:val="146"/>
        </w:trPr>
        <w:tc>
          <w:tcPr>
            <w:tcW w:w="8480" w:type="dxa"/>
            <w:vAlign w:val="bottom"/>
            <w:gridSpan w:val="5"/>
            <w:shd w:val="clear" w:color="auto" w:fill="CCEEFF"/>
          </w:tcPr>
          <w:p>
            <w:pPr>
              <w:spacing w:after="0"/>
              <w:rPr>
                <w:sz w:val="20"/>
                <w:szCs w:val="20"/>
                <w:color w:val="auto"/>
              </w:rPr>
            </w:pPr>
            <w:r>
              <w:rPr>
                <w:rFonts w:ascii="Arial" w:cs="Arial" w:eastAsia="Arial" w:hAnsi="Arial"/>
                <w:sz w:val="11"/>
                <w:szCs w:val="11"/>
                <w:color w:val="auto"/>
              </w:rPr>
              <w:t>Stockholders’ equity:</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Common stock:</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Class A nonvoting common stock—Issued 51,261,487 shares, and outstanding 48,486,758 and 48,456,954 shares, respectively</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w:t>
            </w:r>
          </w:p>
        </w:tc>
      </w:tr>
      <w:tr>
        <w:trPr>
          <w:trHeight w:val="142"/>
        </w:trPr>
        <w:tc>
          <w:tcPr>
            <w:tcW w:w="8480" w:type="dxa"/>
            <w:vAlign w:val="bottom"/>
            <w:gridSpan w:val="5"/>
          </w:tcPr>
          <w:p>
            <w:pPr>
              <w:ind w:left="36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Additional paid-in capital</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334,077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331,761</w:t>
            </w:r>
          </w:p>
        </w:tc>
      </w:tr>
      <w:tr>
        <w:trPr>
          <w:trHeight w:val="142"/>
        </w:trPr>
        <w:tc>
          <w:tcPr>
            <w:tcW w:w="8480" w:type="dxa"/>
            <w:vAlign w:val="bottom"/>
            <w:gridSpan w:val="5"/>
          </w:tcPr>
          <w:p>
            <w:pPr>
              <w:ind w:left="220"/>
              <w:spacing w:after="0"/>
              <w:rPr>
                <w:sz w:val="20"/>
                <w:szCs w:val="20"/>
                <w:color w:val="auto"/>
              </w:rPr>
            </w:pPr>
            <w:r>
              <w:rPr>
                <w:rFonts w:ascii="Arial" w:cs="Arial" w:eastAsia="Arial" w:hAnsi="Arial"/>
                <w:sz w:val="11"/>
                <w:szCs w:val="11"/>
                <w:color w:val="auto"/>
              </w:rPr>
              <w:t>Retained earnings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745,960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704,456</w:t>
            </w:r>
          </w:p>
        </w:tc>
      </w:tr>
      <w:tr>
        <w:trPr>
          <w:trHeight w:val="146"/>
        </w:trPr>
        <w:tc>
          <w:tcPr>
            <w:tcW w:w="8480" w:type="dxa"/>
            <w:vAlign w:val="bottom"/>
            <w:gridSpan w:val="5"/>
            <w:shd w:val="clear" w:color="auto" w:fill="CCEEFF"/>
          </w:tcPr>
          <w:p>
            <w:pPr>
              <w:ind w:left="220"/>
              <w:spacing w:after="0"/>
              <w:rPr>
                <w:sz w:val="20"/>
                <w:szCs w:val="20"/>
                <w:color w:val="auto"/>
              </w:rPr>
            </w:pPr>
            <w:r>
              <w:rPr>
                <w:rFonts w:ascii="Arial" w:cs="Arial" w:eastAsia="Arial" w:hAnsi="Arial"/>
                <w:sz w:val="11"/>
                <w:szCs w:val="11"/>
                <w:color w:val="auto"/>
              </w:rPr>
              <w:t>Treasury stock—2,774,729 and 2,804,533 shares, respectively of Class A nonvoting common stock, at cost</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(109,789)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(107,216)</w:t>
            </w:r>
          </w:p>
        </w:tc>
      </w:tr>
      <w:tr>
        <w:trPr>
          <w:trHeight w:val="142"/>
        </w:trPr>
        <w:tc>
          <w:tcPr>
            <w:tcW w:w="8480" w:type="dxa"/>
            <w:vAlign w:val="bottom"/>
            <w:tcBorders>
              <w:bottom w:val="single" w:sz="8" w:color="CCEEFF"/>
            </w:tcBorders>
            <w:gridSpan w:val="5"/>
          </w:tcPr>
          <w:p>
            <w:pPr>
              <w:ind w:left="220"/>
              <w:spacing w:after="0"/>
              <w:rPr>
                <w:sz w:val="20"/>
                <w:szCs w:val="20"/>
                <w:color w:val="auto"/>
              </w:rPr>
            </w:pPr>
            <w:r>
              <w:rPr>
                <w:rFonts w:ascii="Arial" w:cs="Arial" w:eastAsia="Arial" w:hAnsi="Arial"/>
                <w:sz w:val="11"/>
                <w:szCs w:val="11"/>
                <w:color w:val="auto"/>
              </w:rPr>
              <w:t>Accumulated other comprehensive loss</w:t>
            </w: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(51,461)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(66,477)</w:t>
            </w:r>
          </w:p>
        </w:tc>
      </w:tr>
      <w:tr>
        <w:trPr>
          <w:trHeight w:val="133"/>
        </w:trPr>
        <w:tc>
          <w:tcPr>
            <w:tcW w:w="8480" w:type="dxa"/>
            <w:vAlign w:val="bottom"/>
            <w:gridSpan w:val="5"/>
            <w:shd w:val="clear" w:color="auto" w:fill="CCEEFF"/>
          </w:tcPr>
          <w:p>
            <w:pPr>
              <w:ind w:left="360"/>
              <w:spacing w:after="0"/>
              <w:rPr>
                <w:sz w:val="20"/>
                <w:szCs w:val="20"/>
                <w:color w:val="auto"/>
              </w:rPr>
            </w:pPr>
            <w:r>
              <w:rPr>
                <w:rFonts w:ascii="Arial" w:cs="Arial" w:eastAsia="Arial" w:hAnsi="Arial"/>
                <w:sz w:val="11"/>
                <w:szCs w:val="11"/>
                <w:color w:val="auto"/>
              </w:rPr>
              <w:t>Total stockholders’ equity</w:t>
            </w:r>
          </w:p>
        </w:tc>
        <w:tc>
          <w:tcPr>
            <w:tcW w:w="2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919,335</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863,072</w:t>
            </w:r>
          </w:p>
        </w:tc>
      </w:tr>
      <w:tr>
        <w:trPr>
          <w:trHeight w:val="135"/>
        </w:trPr>
        <w:tc>
          <w:tcPr>
            <w:tcW w:w="8480" w:type="dxa"/>
            <w:vAlign w:val="bottom"/>
            <w:gridSpan w:val="5"/>
          </w:tcPr>
          <w:p>
            <w:pPr>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1,207,882</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1,142,466</w:t>
            </w:r>
          </w:p>
        </w:tc>
      </w:tr>
      <w:tr>
        <w:trPr>
          <w:trHeight w:val="20"/>
        </w:trPr>
        <w:tc>
          <w:tcPr>
            <w:tcW w:w="3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1"/>
                <w:szCs w:val="11"/>
                <w:color w:val="auto"/>
              </w:rPr>
              <w:t>Six months ended January 31,</w:t>
            </w:r>
          </w:p>
        </w:tc>
        <w:tc>
          <w:tcPr>
            <w:tcW w:w="480" w:type="dxa"/>
            <w:vAlign w:val="bottom"/>
            <w:tcBorders>
              <w:bottom w:val="single" w:sz="8" w:color="auto"/>
            </w:tcBorders>
          </w:tcPr>
          <w:p>
            <w:pPr>
              <w:spacing w:after="0"/>
              <w:rPr>
                <w:sz w:val="12"/>
                <w:szCs w:val="12"/>
                <w:color w:val="auto"/>
              </w:rPr>
            </w:pPr>
          </w:p>
        </w:tc>
      </w:tr>
      <w:tr>
        <w:trPr>
          <w:trHeight w:val="133"/>
        </w:trPr>
        <w:tc>
          <w:tcPr>
            <w:tcW w:w="84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2020</w:t>
            </w:r>
          </w:p>
        </w:tc>
        <w:tc>
          <w:tcPr>
            <w:tcW w:w="480" w:type="dxa"/>
            <w:vAlign w:val="bottom"/>
            <w:tcBorders>
              <w:bottom w:val="single" w:sz="8" w:color="auto"/>
            </w:tcBorders>
          </w:tcPr>
          <w:p>
            <w:pPr>
              <w:spacing w:after="0"/>
              <w:rPr>
                <w:sz w:val="11"/>
                <w:szCs w:val="11"/>
                <w:color w:val="auto"/>
              </w:rPr>
            </w:pPr>
          </w:p>
        </w:tc>
      </w:tr>
      <w:tr>
        <w:trPr>
          <w:trHeight w:val="126"/>
        </w:trPr>
        <w:tc>
          <w:tcPr>
            <w:tcW w:w="84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Operating activities:</w:t>
            </w: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880" w:type="dxa"/>
            <w:vAlign w:val="bottom"/>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64,341</w:t>
            </w:r>
          </w:p>
        </w:tc>
        <w:tc>
          <w:tcPr>
            <w:tcW w:w="100" w:type="dxa"/>
            <w:vAlign w:val="bottom"/>
          </w:tcPr>
          <w:p>
            <w:pPr>
              <w:spacing w:after="0"/>
              <w:rPr>
                <w:sz w:val="12"/>
                <w:szCs w:val="12"/>
                <w:color w:val="auto"/>
              </w:rPr>
            </w:pPr>
          </w:p>
        </w:tc>
        <w:tc>
          <w:tcPr>
            <w:tcW w:w="880" w:type="dxa"/>
            <w:vAlign w:val="bottom"/>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71,051</w:t>
            </w:r>
          </w:p>
        </w:tc>
      </w:tr>
      <w:tr>
        <w:trPr>
          <w:trHeight w:val="146"/>
        </w:trPr>
        <w:tc>
          <w:tcPr>
            <w:tcW w:w="84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11,421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11,672</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5,471</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5,384</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(3,866)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1,272</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Equity in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1,664</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Changes in operating assets and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(4,157)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6,209</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Inventories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15,018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(1,311)</w:t>
            </w:r>
          </w:p>
        </w:tc>
      </w:tr>
      <w:tr>
        <w:trPr>
          <w:trHeight w:val="142"/>
        </w:trPr>
        <w:tc>
          <w:tcPr>
            <w:tcW w:w="8480" w:type="dxa"/>
            <w:vAlign w:val="bottom"/>
          </w:tcPr>
          <w:p>
            <w:pPr>
              <w:ind w:left="74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(2,436)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(2,621)</w:t>
            </w:r>
          </w:p>
        </w:tc>
      </w:tr>
      <w:tr>
        <w:trPr>
          <w:trHeight w:val="146"/>
        </w:trPr>
        <w:tc>
          <w:tcPr>
            <w:tcW w:w="84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Accounts payable and accrued liabilities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(39,777)</w:t>
            </w:r>
          </w:p>
        </w:tc>
      </w:tr>
      <w:tr>
        <w:trPr>
          <w:trHeight w:val="142"/>
        </w:trPr>
        <w:tc>
          <w:tcPr>
            <w:tcW w:w="848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Income taxes</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481</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(436)</w:t>
            </w:r>
          </w:p>
        </w:tc>
      </w:tr>
      <w:tr>
        <w:trPr>
          <w:trHeight w:val="135"/>
        </w:trPr>
        <w:tc>
          <w:tcPr>
            <w:tcW w:w="8480" w:type="dxa"/>
            <w:vAlign w:val="bottom"/>
            <w:shd w:val="clear" w:color="auto" w:fill="CCEEFF"/>
          </w:tcPr>
          <w:p>
            <w:pPr>
              <w:ind w:left="1000"/>
              <w:spacing w:after="0" w:line="122" w:lineRule="exact"/>
              <w:rPr>
                <w:sz w:val="20"/>
                <w:szCs w:val="20"/>
                <w:color w:val="auto"/>
              </w:rPr>
            </w:pPr>
            <w:r>
              <w:rPr>
                <w:rFonts w:ascii="Arial" w:cs="Arial" w:eastAsia="Arial" w:hAnsi="Arial"/>
                <w:sz w:val="11"/>
                <w:szCs w:val="11"/>
                <w:color w:val="auto"/>
              </w:rPr>
              <w:t>Net cash provided by operating activities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98,889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53,107</w:t>
            </w:r>
          </w:p>
        </w:tc>
      </w:tr>
      <w:tr>
        <w:trPr>
          <w:trHeight w:val="144"/>
        </w:trPr>
        <w:tc>
          <w:tcPr>
            <w:tcW w:w="8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Purchases of property, plant and equipment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(14,511)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(13,100)</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(3,406)</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investing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(16,392)</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(16,506)</w:t>
            </w:r>
          </w:p>
        </w:tc>
      </w:tr>
      <w:tr>
        <w:trPr>
          <w:trHeight w:val="146"/>
        </w:trPr>
        <w:tc>
          <w:tcPr>
            <w:tcW w:w="8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Financing activities: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 of dividends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(22,837)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(23,136)</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4,686</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for employee taxes withheld from stock-based awards</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(2,638)</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(7,733)</w:t>
            </w:r>
          </w:p>
        </w:tc>
      </w:tr>
      <w:tr>
        <w:trPr>
          <w:trHeight w:val="142"/>
        </w:trPr>
        <w:tc>
          <w:tcPr>
            <w:tcW w:w="8480" w:type="dxa"/>
            <w:vAlign w:val="bottom"/>
          </w:tcPr>
          <w:p>
            <w:pPr>
              <w:ind w:left="440"/>
              <w:spacing w:after="0"/>
              <w:rPr>
                <w:sz w:val="20"/>
                <w:szCs w:val="20"/>
                <w:color w:val="auto"/>
              </w:rPr>
            </w:pPr>
            <w:r>
              <w:rPr>
                <w:rFonts w:ascii="Arial" w:cs="Arial" w:eastAsia="Arial" w:hAnsi="Arial"/>
                <w:sz w:val="11"/>
                <w:szCs w:val="11"/>
                <w:color w:val="auto"/>
              </w:rPr>
              <w:t>Purchase of treasury stock</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(3,593)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4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w:t>
            </w:r>
          </w:p>
        </w:tc>
      </w:tr>
      <w:tr>
        <w:trPr>
          <w:trHeight w:val="131"/>
        </w:trPr>
        <w:tc>
          <w:tcPr>
            <w:tcW w:w="8480" w:type="dxa"/>
            <w:vAlign w:val="bottom"/>
          </w:tcPr>
          <w:p>
            <w:pPr>
              <w:ind w:left="1000"/>
              <w:spacing w:after="0" w:line="120" w:lineRule="exact"/>
              <w:rPr>
                <w:sz w:val="20"/>
                <w:szCs w:val="20"/>
                <w:color w:val="auto"/>
              </w:rPr>
            </w:pPr>
            <w:r>
              <w:rPr>
                <w:rFonts w:ascii="Arial" w:cs="Arial" w:eastAsia="Arial" w:hAnsi="Arial"/>
                <w:sz w:val="11"/>
                <w:szCs w:val="11"/>
                <w:color w:val="auto"/>
              </w:rPr>
              <w:t>Net cash used in financing activities</w:t>
            </w: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(28,828)</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(26,049)</w:t>
            </w:r>
          </w:p>
        </w:tc>
      </w:tr>
      <w:tr>
        <w:trPr>
          <w:trHeight w:val="146"/>
        </w:trPr>
        <w:tc>
          <w:tcPr>
            <w:tcW w:w="8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2"/>
        </w:trPr>
        <w:tc>
          <w:tcPr>
            <w:tcW w:w="84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Effect of exchange rate changes on cash</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6,276</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w:t>
            </w:r>
          </w:p>
        </w:tc>
      </w:tr>
      <w:tr>
        <w:trPr>
          <w:trHeight w:val="126"/>
        </w:trPr>
        <w:tc>
          <w:tcPr>
            <w:tcW w:w="84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2"/>
        </w:trPr>
        <w:tc>
          <w:tcPr>
            <w:tcW w:w="8480" w:type="dxa"/>
            <w:vAlign w:val="bottom"/>
          </w:tcPr>
          <w:p>
            <w:pPr>
              <w:spacing w:after="0"/>
              <w:rPr>
                <w:sz w:val="20"/>
                <w:szCs w:val="20"/>
                <w:color w:val="auto"/>
              </w:rPr>
            </w:pPr>
            <w:r>
              <w:rPr>
                <w:rFonts w:ascii="Arial" w:cs="Arial" w:eastAsia="Arial" w:hAnsi="Arial"/>
                <w:sz w:val="11"/>
                <w:szCs w:val="11"/>
                <w:color w:val="auto"/>
              </w:rPr>
              <w:t>Net increase in cash and cash equivalents</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59,945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10,731</w:t>
            </w:r>
          </w:p>
        </w:tc>
      </w:tr>
      <w:tr>
        <w:trPr>
          <w:trHeight w:val="144"/>
        </w:trPr>
        <w:tc>
          <w:tcPr>
            <w:tcW w:w="8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beginning of period</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217,643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279,072</w:t>
            </w:r>
          </w:p>
        </w:tc>
      </w:tr>
      <w:tr>
        <w:trPr>
          <w:trHeight w:val="126"/>
        </w:trPr>
        <w:tc>
          <w:tcPr>
            <w:tcW w:w="8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6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88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277,588</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289,803</w:t>
            </w: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1"/>
                <w:szCs w:val="11"/>
                <w:color w:val="auto"/>
              </w:rPr>
              <w:t>Three months ended January 31,</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1"/>
                <w:szCs w:val="11"/>
                <w:color w:val="auto"/>
              </w:rPr>
              <w:t>Six months ended January 31,</w:t>
            </w:r>
          </w:p>
        </w:tc>
      </w:tr>
      <w:tr>
        <w:trPr>
          <w:trHeight w:val="151"/>
        </w:trPr>
        <w:tc>
          <w:tcPr>
            <w:tcW w:w="53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2020</w:t>
            </w:r>
          </w:p>
        </w:tc>
      </w:tr>
      <w:tr>
        <w:trPr>
          <w:trHeight w:val="126"/>
        </w:trPr>
        <w:tc>
          <w:tcPr>
            <w:tcW w:w="53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SALES</w:t>
            </w: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ID Solutions</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194,227</w:t>
            </w:r>
          </w:p>
        </w:tc>
        <w:tc>
          <w:tcPr>
            <w:tcW w:w="100" w:type="dxa"/>
            <w:vAlign w:val="bottom"/>
          </w:tcPr>
          <w:p>
            <w:pPr>
              <w:spacing w:after="0"/>
              <w:rPr>
                <w:sz w:val="12"/>
                <w:szCs w:val="12"/>
                <w:color w:val="auto"/>
              </w:rPr>
            </w:pPr>
          </w:p>
        </w:tc>
        <w:tc>
          <w:tcPr>
            <w:tcW w:w="860" w:type="dxa"/>
            <w:vAlign w:val="bottom"/>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205,362</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392,419</w:t>
            </w:r>
          </w:p>
        </w:tc>
        <w:tc>
          <w:tcPr>
            <w:tcW w:w="8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420,349</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Workplace Safety</w:t>
            </w: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71,611</w:t>
            </w:r>
          </w:p>
        </w:tc>
        <w:tc>
          <w:tcPr>
            <w:tcW w:w="1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71,303</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150,646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143,263</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860" w:type="dxa"/>
            <w:vAlign w:val="bottom"/>
            <w:tcBorders>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265,838</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7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276,665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543,065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563,612</w:t>
            </w:r>
          </w:p>
        </w:tc>
      </w:tr>
      <w:tr>
        <w:trPr>
          <w:trHeight w:val="126"/>
        </w:trPr>
        <w:tc>
          <w:tcPr>
            <w:tcW w:w="5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ID Solutions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(0.7)%</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1.5 %</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(0.9)%</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r>
      <w:tr>
        <w:trPr>
          <w:trHeight w:val="126"/>
        </w:trPr>
        <w:tc>
          <w:tcPr>
            <w:tcW w:w="53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i w:val="1"/>
                <w:iCs w:val="1"/>
                <w:color w:val="auto"/>
              </w:rPr>
              <w:t>Workplace Safety</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0.4 %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5.2 %</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0.4 %</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5.2 %</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r>
      <w:tr>
        <w:trPr>
          <w:trHeight w:val="126"/>
        </w:trPr>
        <w:tc>
          <w:tcPr>
            <w:tcW w:w="538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i w:val="1"/>
                <w:iCs w:val="1"/>
                <w:color w:val="auto"/>
              </w:rPr>
              <w:t>Total Company</w:t>
            </w: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Organic</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(0.8)%</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Currency</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2.4 %</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2.0 %</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r>
      <w:tr>
        <w:trPr>
          <w:trHeight w:val="151"/>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r>
      <w:tr>
        <w:trPr>
          <w:trHeight w:val="126"/>
        </w:trPr>
        <w:tc>
          <w:tcPr>
            <w:tcW w:w="53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r>
      <w:tr>
        <w:trPr>
          <w:trHeight w:val="142"/>
        </w:trPr>
        <w:tc>
          <w:tcPr>
            <w:tcW w:w="5380" w:type="dxa"/>
            <w:vAlign w:val="bottom"/>
          </w:tcPr>
          <w:p>
            <w:pPr>
              <w:spacing w:after="0"/>
              <w:rPr>
                <w:sz w:val="20"/>
                <w:szCs w:val="20"/>
                <w:color w:val="auto"/>
              </w:rPr>
            </w:pPr>
            <w:r>
              <w:rPr>
                <w:rFonts w:ascii="Arial" w:cs="Arial" w:eastAsia="Arial" w:hAnsi="Arial"/>
                <w:sz w:val="11"/>
                <w:szCs w:val="11"/>
                <w:b w:val="1"/>
                <w:bCs w:val="1"/>
                <w:color w:val="auto"/>
              </w:rPr>
              <w:t>SEGMENT PROFIT</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39,000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40,655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79,279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83,098</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3,463</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5,455</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11,451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10,612</w:t>
            </w:r>
          </w:p>
        </w:tc>
      </w:tr>
      <w:tr>
        <w:trPr>
          <w:trHeight w:val="15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42,463</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46,110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90,730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93,710</w:t>
            </w:r>
          </w:p>
        </w:tc>
      </w:tr>
      <w:tr>
        <w:trPr>
          <w:trHeight w:val="120"/>
        </w:trPr>
        <w:tc>
          <w:tcPr>
            <w:tcW w:w="5380" w:type="dxa"/>
            <w:vAlign w:val="bottom"/>
          </w:tcPr>
          <w:p>
            <w:pPr>
              <w:spacing w:after="0" w:line="120" w:lineRule="exact"/>
              <w:rPr>
                <w:sz w:val="20"/>
                <w:szCs w:val="20"/>
                <w:color w:val="auto"/>
              </w:rPr>
            </w:pPr>
            <w:r>
              <w:rPr>
                <w:rFonts w:ascii="Arial" w:cs="Arial" w:eastAsia="Arial" w:hAnsi="Arial"/>
                <w:sz w:val="11"/>
                <w:szCs w:val="11"/>
                <w:b w:val="1"/>
                <w:bCs w:val="1"/>
                <w:color w:val="auto"/>
              </w:rPr>
              <w:t>SEGMENT PROFIT AS A PERCENT OF NET SALES</w:t>
            </w: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ID Solutions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20.1 %</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19.8 %</w:t>
            </w:r>
          </w:p>
        </w:tc>
      </w:tr>
      <w:tr>
        <w:trPr>
          <w:trHeight w:val="142"/>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Workplace Safety</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4.8 %</w:t>
            </w: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7.4 %</w:t>
            </w:r>
          </w:p>
        </w:tc>
      </w:tr>
      <w:tr>
        <w:trPr>
          <w:trHeight w:val="151"/>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16.0 %</w:t>
            </w:r>
          </w:p>
        </w:tc>
        <w:tc>
          <w:tcPr>
            <w:tcW w:w="1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16.7 %</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16.7 %</w:t>
            </w:r>
          </w:p>
        </w:tc>
        <w:tc>
          <w:tcPr>
            <w:tcW w:w="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16.6 %</w:t>
            </w:r>
          </w:p>
        </w:tc>
      </w:tr>
      <w:tr>
        <w:trPr>
          <w:trHeight w:val="412"/>
        </w:trPr>
        <w:tc>
          <w:tcPr>
            <w:tcW w:w="5380" w:type="dxa"/>
            <w:vAlign w:val="bottom"/>
          </w:tcPr>
          <w:p>
            <w:pPr>
              <w:spacing w:after="0"/>
              <w:rPr>
                <w:sz w:val="24"/>
                <w:szCs w:val="24"/>
                <w:color w:val="auto"/>
              </w:rPr>
            </w:pPr>
          </w:p>
        </w:tc>
        <w:tc>
          <w:tcPr>
            <w:tcW w:w="24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1"/>
                <w:szCs w:val="11"/>
                <w:color w:val="auto"/>
              </w:rPr>
              <w:t>Three months ended January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1"/>
                <w:szCs w:val="11"/>
                <w:color w:val="auto"/>
              </w:rPr>
              <w:t>Six months ended January 31,</w:t>
            </w:r>
          </w:p>
        </w:tc>
      </w:tr>
      <w:tr>
        <w:trPr>
          <w:trHeight w:val="133"/>
        </w:trPr>
        <w:tc>
          <w:tcPr>
            <w:tcW w:w="53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color w:val="auto"/>
              </w:rPr>
              <w:t>2020</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Arial" w:cs="Arial" w:eastAsia="Arial" w:hAnsi="Arial"/>
                <w:sz w:val="11"/>
                <w:szCs w:val="11"/>
                <w:color w:val="auto"/>
              </w:rPr>
              <w:t>2020</w:t>
            </w:r>
          </w:p>
        </w:tc>
      </w:tr>
      <w:tr>
        <w:trPr>
          <w:trHeight w:val="135"/>
        </w:trPr>
        <w:tc>
          <w:tcPr>
            <w:tcW w:w="5380" w:type="dxa"/>
            <w:vAlign w:val="bottom"/>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42,463</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46,110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90,730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93,710</w:t>
            </w:r>
          </w:p>
        </w:tc>
      </w:tr>
      <w:tr>
        <w:trPr>
          <w:trHeight w:val="142"/>
        </w:trPr>
        <w:tc>
          <w:tcPr>
            <w:tcW w:w="5380" w:type="dxa"/>
            <w:vAlign w:val="bottom"/>
          </w:tcPr>
          <w:p>
            <w:pPr>
              <w:spacing w:after="0"/>
              <w:rPr>
                <w:sz w:val="20"/>
                <w:szCs w:val="20"/>
                <w:color w:val="auto"/>
              </w:rPr>
            </w:pPr>
            <w:r>
              <w:rPr>
                <w:rFonts w:ascii="Arial" w:cs="Arial" w:eastAsia="Arial" w:hAnsi="Arial"/>
                <w:sz w:val="11"/>
                <w:szCs w:val="11"/>
                <w:color w:val="auto"/>
              </w:rPr>
              <w:t>Unallocated amounts: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6"/>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Administrative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(5,051)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(4,866)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(11,130)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(11,575)</w:t>
            </w:r>
          </w:p>
        </w:tc>
      </w:tr>
      <w:tr>
        <w:trPr>
          <w:trHeight w:val="142"/>
        </w:trPr>
        <w:tc>
          <w:tcPr>
            <w:tcW w:w="5380" w:type="dxa"/>
            <w:vAlign w:val="bottom"/>
          </w:tcPr>
          <w:p>
            <w:pPr>
              <w:ind w:left="220"/>
              <w:spacing w:after="0"/>
              <w:rPr>
                <w:sz w:val="20"/>
                <w:szCs w:val="20"/>
                <w:color w:val="auto"/>
              </w:rPr>
            </w:pPr>
            <w:r>
              <w:rPr>
                <w:rFonts w:ascii="Arial" w:cs="Arial" w:eastAsia="Arial" w:hAnsi="Arial"/>
                <w:sz w:val="11"/>
                <w:szCs w:val="11"/>
                <w:color w:val="auto"/>
              </w:rPr>
              <w:t>Investment and other income</w:t>
            </w: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2,036</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1,760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2,191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86"/>
              <w:spacing w:after="0"/>
              <w:rPr>
                <w:sz w:val="20"/>
                <w:szCs w:val="20"/>
                <w:color w:val="auto"/>
              </w:rPr>
            </w:pPr>
            <w:r>
              <w:rPr>
                <w:rFonts w:ascii="Arial" w:cs="Arial" w:eastAsia="Arial" w:hAnsi="Arial"/>
                <w:sz w:val="11"/>
                <w:szCs w:val="11"/>
                <w:color w:val="auto"/>
              </w:rPr>
              <w:t>3,140</w:t>
            </w:r>
          </w:p>
        </w:tc>
      </w:tr>
      <w:tr>
        <w:trPr>
          <w:trHeight w:val="144"/>
        </w:trPr>
        <w:tc>
          <w:tcPr>
            <w:tcW w:w="53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(647)</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(157)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(1,348)</w:t>
            </w:r>
          </w:p>
        </w:tc>
      </w:tr>
      <w:tr>
        <w:trPr>
          <w:trHeight w:val="135"/>
        </w:trPr>
        <w:tc>
          <w:tcPr>
            <w:tcW w:w="5380" w:type="dxa"/>
            <w:vAlign w:val="bottom"/>
          </w:tcPr>
          <w:p>
            <w:pPr>
              <w:spacing w:after="0"/>
              <w:rPr>
                <w:sz w:val="20"/>
                <w:szCs w:val="20"/>
                <w:color w:val="auto"/>
              </w:rPr>
            </w:pPr>
            <w:r>
              <w:rPr>
                <w:rFonts w:ascii="Arial" w:cs="Arial" w:eastAsia="Arial" w:hAnsi="Arial"/>
                <w:sz w:val="11"/>
                <w:szCs w:val="11"/>
                <w:color w:val="auto"/>
              </w:rPr>
              <w:t>Income before income taxes and losses of unconsolidated affiliate</w:t>
            </w: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39,397</w:t>
            </w: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42,357</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81,634</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83,927</w:t>
            </w: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964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70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970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2021-02-18T06:07:37Z</dcterms:created>
  <dcterms:modified xsi:type="dcterms:W3CDTF">2021-02-18T06:07:37Z</dcterms:modified>
</cp:coreProperties>
</file>