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tbl>
      <w:tblPr>
        <w:tblLayout w:type="fixed"/>
        <w:tblInd w:w="1620" w:type="dxa"/>
        <w:tblCellMar>
          <w:top w:w="0" w:type="dxa"/>
          <w:left w:w="0" w:type="dxa"/>
          <w:bottom w:w="0" w:type="dxa"/>
          <w:right w:w="0" w:type="dxa"/>
        </w:tblCellMar>
      </w:tblPr>
      <w:tr>
        <w:trPr>
          <w:trHeight w:val="352"/>
        </w:trPr>
        <w:tc>
          <w:tcPr>
            <w:tcW w:w="2340" w:type="dxa"/>
            <w:vAlign w:val="bottom"/>
          </w:tcPr>
          <w:p>
            <w:pPr>
              <w:spacing w:after="0"/>
              <w:rPr>
                <w:sz w:val="24"/>
                <w:szCs w:val="24"/>
                <w:color w:val="auto"/>
              </w:rPr>
            </w:pPr>
          </w:p>
        </w:tc>
        <w:tc>
          <w:tcPr>
            <w:tcW w:w="5280" w:type="dxa"/>
            <w:vAlign w:val="bottom"/>
            <w:gridSpan w:val="3"/>
          </w:tcPr>
          <w:p>
            <w:pPr>
              <w:jc w:val="center"/>
              <w:ind w:right="1852"/>
              <w:spacing w:after="0"/>
              <w:rPr>
                <w:sz w:val="20"/>
                <w:szCs w:val="20"/>
                <w:color w:val="auto"/>
              </w:rPr>
            </w:pPr>
            <w:r>
              <w:rPr>
                <w:rFonts w:ascii="Times New Roman" w:cs="Times New Roman" w:eastAsia="Times New Roman" w:hAnsi="Times New Roman"/>
                <w:sz w:val="29"/>
                <w:szCs w:val="29"/>
                <w:b w:val="1"/>
                <w:bCs w:val="1"/>
                <w:color w:val="auto"/>
                <w:w w:val="98"/>
              </w:rPr>
              <w:t>BRADY CORPORATION</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(Exact name of registrant as specified in its charter)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r>
        <w:trPr>
          <w:trHeight w:val="286"/>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5"/>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5280" w:type="dxa"/>
            <w:vAlign w:val="bottom"/>
            <w:gridSpan w:val="3"/>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3"/>
        </w:trPr>
        <w:tc>
          <w:tcPr>
            <w:tcW w:w="2340" w:type="dxa"/>
            <w:vAlign w:val="bottom"/>
          </w:tcPr>
          <w:p>
            <w:pPr>
              <w:jc w:val="center"/>
              <w:ind w:right="6"/>
              <w:spacing w:after="0"/>
              <w:rPr>
                <w:sz w:val="20"/>
                <w:szCs w:val="20"/>
                <w:color w:val="auto"/>
              </w:rPr>
            </w:pPr>
            <w:r>
              <w:rPr>
                <w:rFonts w:ascii="Times New Roman" w:cs="Times New Roman" w:eastAsia="Times New Roman" w:hAnsi="Times New Roman"/>
                <w:sz w:val="10"/>
                <w:szCs w:val="10"/>
                <w:color w:val="auto"/>
                <w:w w:val="95"/>
              </w:rPr>
              <w:t>(State or other jurisdiction of incorporation or organization)</w:t>
            </w:r>
          </w:p>
        </w:tc>
        <w:tc>
          <w:tcPr>
            <w:tcW w:w="4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60" w:type="dxa"/>
            <w:vAlign w:val="bottom"/>
          </w:tcPr>
          <w:p>
            <w:pPr>
              <w:jc w:val="center"/>
              <w:ind w:left="992"/>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72"/>
        </w:trPr>
        <w:tc>
          <w:tcPr>
            <w:tcW w:w="2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4"/>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52"/>
              <w:spacing w:after="0"/>
              <w:rPr>
                <w:sz w:val="20"/>
                <w:szCs w:val="20"/>
                <w:color w:val="auto"/>
              </w:rPr>
            </w:pPr>
            <w:r>
              <w:rPr>
                <w:rFonts w:ascii="Times New Roman" w:cs="Times New Roman" w:eastAsia="Times New Roman" w:hAnsi="Times New Roman"/>
                <w:sz w:val="10"/>
                <w:szCs w:val="10"/>
                <w:color w:val="auto"/>
                <w:w w:val="95"/>
              </w:rPr>
              <w:t>(Address of principal executive offices and Zip Code)</w:t>
            </w:r>
          </w:p>
        </w:tc>
      </w:tr>
      <w:tr>
        <w:trPr>
          <w:trHeight w:val="246"/>
        </w:trPr>
        <w:tc>
          <w:tcPr>
            <w:tcW w:w="2340" w:type="dxa"/>
            <w:vAlign w:val="bottom"/>
          </w:tcPr>
          <w:p>
            <w:pPr>
              <w:spacing w:after="0"/>
              <w:rPr>
                <w:sz w:val="21"/>
                <w:szCs w:val="21"/>
                <w:color w:val="auto"/>
              </w:rPr>
            </w:pPr>
          </w:p>
        </w:tc>
        <w:tc>
          <w:tcPr>
            <w:tcW w:w="2920" w:type="dxa"/>
            <w:vAlign w:val="bottom"/>
            <w:gridSpan w:val="2"/>
          </w:tcPr>
          <w:p>
            <w:pPr>
              <w:jc w:val="center"/>
              <w:ind w:left="352"/>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60" w:type="dxa"/>
            <w:vAlign w:val="bottom"/>
          </w:tcPr>
          <w:p>
            <w:pPr>
              <w:spacing w:after="0"/>
              <w:rPr>
                <w:sz w:val="21"/>
                <w:szCs w:val="21"/>
                <w:color w:val="auto"/>
              </w:rPr>
            </w:pPr>
          </w:p>
        </w:tc>
      </w:tr>
      <w:tr>
        <w:trPr>
          <w:trHeight w:val="123"/>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80" w:type="dxa"/>
            <w:vAlign w:val="bottom"/>
            <w:gridSpan w:val="2"/>
          </w:tcPr>
          <w:p>
            <w:pPr>
              <w:jc w:val="center"/>
              <w:ind w:right="2272"/>
              <w:spacing w:after="0"/>
              <w:rPr>
                <w:sz w:val="20"/>
                <w:szCs w:val="20"/>
                <w:color w:val="auto"/>
              </w:rPr>
            </w:pPr>
            <w:r>
              <w:rPr>
                <w:rFonts w:ascii="Times New Roman" w:cs="Times New Roman" w:eastAsia="Times New Roman" w:hAnsi="Times New Roman"/>
                <w:sz w:val="10"/>
                <w:szCs w:val="10"/>
                <w:color w:val="auto"/>
                <w:w w:val="94"/>
              </w:rPr>
              <w:t>(Registrant’s Telephone Number)</w:t>
            </w:r>
          </w:p>
        </w:tc>
      </w:tr>
      <w:tr>
        <w:trPr>
          <w:trHeight w:val="62"/>
        </w:trPr>
        <w:tc>
          <w:tcPr>
            <w:tcW w:w="2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6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3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60"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jc w:val="both"/>
        <w:ind w:right="2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340360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8" w:right="299" w:bottom="1440" w:gutter="0" w:footer="0" w:header="0"/>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February 19, 2026, Brady Corporation (the “Company”) issued a press release announcing its fiscal 2026 second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February 19, 2026, the Company hosted a conference call related to its fiscal 2026 second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79"/>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of Brady Corporation, dated February 19, 2026, relating to fiscal 2026 second quarter financial results.</w:t>
            </w:r>
          </w:p>
        </w:tc>
        <w:tc>
          <w:tcPr>
            <w:tcW w:w="4280" w:type="dxa"/>
            <w:vAlign w:val="bottom"/>
            <w:gridSpan w:val="2"/>
          </w:tcPr>
          <w:p>
            <w:pPr>
              <w:spacing w:after="0"/>
              <w:rPr>
                <w:sz w:val="15"/>
                <w:szCs w:val="15"/>
                <w:color w:val="auto"/>
              </w:rPr>
            </w:pPr>
          </w:p>
        </w:tc>
      </w:tr>
      <w:tr>
        <w:trPr>
          <w:trHeight w:val="196"/>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Informational slides provided by Brady Corporation, dated February 19, 2026, relating to fiscal 2026 second quarter financial results.</w:t>
            </w:r>
          </w:p>
        </w:tc>
        <w:tc>
          <w:tcPr>
            <w:tcW w:w="3500" w:type="dxa"/>
            <w:vAlign w:val="bottom"/>
          </w:tcPr>
          <w:p>
            <w:pPr>
              <w:spacing w:after="0"/>
              <w:rPr>
                <w:sz w:val="17"/>
                <w:szCs w:val="17"/>
                <w:color w:val="auto"/>
              </w:rPr>
            </w:pPr>
          </w:p>
        </w:tc>
      </w:tr>
      <w:tr>
        <w:trPr>
          <w:trHeight w:val="223"/>
        </w:trPr>
        <w:tc>
          <w:tcPr>
            <w:tcW w:w="14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19, 2026</w:t>
      </w:r>
    </w:p>
    <w:p>
      <w:pPr>
        <w:spacing w:after="0" w:line="19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10795</wp:posOffset>
            </wp:positionV>
            <wp:extent cx="2423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3160" cy="5715"/>
                    </a:xfrm>
                    <a:prstGeom prst="rect">
                      <a:avLst/>
                    </a:prstGeom>
                    <a:noFill/>
                  </pic:spPr>
                </pic:pic>
              </a:graphicData>
            </a:graphic>
          </wp:anchor>
        </w:drawing>
      </w:r>
    </w:p>
    <w:p>
      <w:pPr>
        <w:spacing w:after="0" w:line="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Ann E. Thornton</w:t>
      </w:r>
    </w:p>
    <w:p>
      <w:pPr>
        <w:spacing w:after="0" w:line="1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2"/>
          <w:szCs w:val="12"/>
          <w:color w:val="auto"/>
        </w:rPr>
        <w:t>Chief Financial Officer, Chief Accounting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2026 Second Quarter Results and Raises the Low End of its Fiscal 2026 EPS Guidance</w:t>
      </w:r>
    </w:p>
    <w:p>
      <w:pPr>
        <w:spacing w:after="0" w:line="195"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7.7 percent. Organic sales increased 1.6 percent, acquisitions increased sales 2.3 percent and foreign currency translation increased sales 3.8 percent.</w:t>
      </w:r>
    </w:p>
    <w:p>
      <w:pPr>
        <w:spacing w:after="0" w:line="55" w:lineRule="exact"/>
        <w:rPr>
          <w:rFonts w:ascii="Arial" w:cs="Arial" w:eastAsia="Arial" w:hAnsi="Arial"/>
          <w:sz w:val="14"/>
          <w:szCs w:val="14"/>
          <w:color w:val="auto"/>
        </w:rPr>
      </w:pPr>
    </w:p>
    <w:p>
      <w:pPr>
        <w:ind w:left="420" w:hanging="212"/>
        <w:spacing w:after="0" w:line="310"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Diluted EPS increased 21.7 percent to $1.01 in the second quarter of fiscal 2026 compared to $0.83 in the same quarter of the prior year. Adjusted Diluted EPS* increased 9.0 percent to $1.09 in the second quarter of fiscal 2026 compared to $1.00 in the same quarter of the prior year.</w:t>
      </w:r>
    </w:p>
    <w:p>
      <w:pPr>
        <w:spacing w:after="0" w:line="1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Net cash provided by operating activities increased to $53.3 million in the second quarter of fiscal 2026 compared to $39.6 million in the second quarter of last year.</w:t>
      </w:r>
    </w:p>
    <w:p>
      <w:pPr>
        <w:spacing w:after="0" w:line="55" w:lineRule="exact"/>
        <w:rPr>
          <w:rFonts w:ascii="Times New Roman" w:cs="Times New Roman" w:eastAsia="Times New Roman" w:hAnsi="Times New Roman"/>
          <w:sz w:val="14"/>
          <w:szCs w:val="14"/>
          <w:color w:val="auto"/>
        </w:rPr>
      </w:pPr>
    </w:p>
    <w:p>
      <w:pPr>
        <w:ind w:left="420" w:hanging="212"/>
        <w:spacing w:after="0" w:line="349" w:lineRule="auto"/>
        <w:tabs>
          <w:tab w:leader="none" w:pos="4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low end of Adjusted Diluted EPS* Guidance was raised for the full year ending July 31, 2026 from the previous range of $4.90 to $5.15 per share to the new range of $4.95 to $5.15 per share. GAAP earnings per diluted Class A Nonvoting Common share guidance for the year ending July 31, 2026 was raised from the previous range of $4.57 to $4.82 per share to $4.62 to $4.82 per share.</w:t>
      </w:r>
    </w:p>
    <w:p>
      <w:pPr>
        <w:spacing w:after="0" w:line="116"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3"/>
          <w:szCs w:val="13"/>
          <w:color w:val="auto"/>
        </w:rPr>
        <w:t>MILWAUKEE (February 19, 2026) -- Brady Corporation (NYSE: BRC) (“Brady” or “Company”), a world leader in identification solutions, today reported its financial results for its fiscal 2026 second quarter ended January 31,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January 31, 2026 Financial Results:</w:t>
      </w:r>
    </w:p>
    <w:p>
      <w:pPr>
        <w:spacing w:after="0" w:line="51"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Sales for the quarter ended January 31, 2026 increased 7.7 percent, which consisted of organic sales growth of 1.6 percent, growth of 2.3 percent from acquisitions and an increase of 3.8 percent from foreign currency translation. Sales for the quarter ended January 31, 2026 were $384.1 million compared to $356.7 million in the same quarter last year. By region, sales increased 7.6 percent in the Americas &amp; Asia and sales increased 7.9 percent in Europe &amp; Australia, which consisted of organic sales growth of 3.1 percent in the Americas &amp; Asia and an organic sales decline of 1.1 percent in Europe &amp; Australia.</w:t>
      </w:r>
    </w:p>
    <w:p>
      <w:pPr>
        <w:spacing w:after="0" w:line="2"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Income before income taxes increased 19.1 percent to $62.0 million in the quarter ended January 31, 2026, compared to $52.0 million in the same quarter last year. Adjusted Income Before Income Taxes* in the quarter ended January 31, 2026, which was adjusted for amortization expense of $5.2 million, was $67.2 million, an increase of 7.7 percent compared to the second quarter of last year. Adjusted Income Before Income Taxes* in the quarter ended January 31, 2025, which was adjusted for amortization expense and facility closure and other reorganization costs of $10.3 million, was $62.4 million.</w:t>
      </w:r>
    </w:p>
    <w:p>
      <w:pPr>
        <w:spacing w:after="0" w:line="2"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Net income for the quarter ended January 31, 2026 was $48.1 million compared to $40.3 million in the same quarter last year. Adjusted Net Income* in the quarter ended January 31, 2026 was $52.0 million compared to $48.1 million in the same quarter last year. Earnings per diluted Class A Nonvoting Common Share was $1.01</w:t>
      </w:r>
    </w:p>
    <w:p>
      <w:pPr>
        <w:sectPr>
          <w:pgSz w:w="11900" w:h="16838" w:orient="portrait"/>
          <w:cols w:equalWidth="0" w:num="1">
            <w:col w:w="11300"/>
          </w:cols>
          <w:pgMar w:left="300" w:top="63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auto"/>
        </w:rPr>
        <w:t>compared to $0.83 in the same quarter last year. Adjusted Diluted EPS* in the quarter ended January 31, 2026 was $1.09 compared to $1.00 in the same quarter last year.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Six-Month Period Ended January 31, 2026 Financial Results:</w:t>
      </w:r>
    </w:p>
    <w:p>
      <w:pPr>
        <w:spacing w:after="0" w:line="51" w:lineRule="exact"/>
        <w:rPr>
          <w:sz w:val="20"/>
          <w:szCs w:val="20"/>
          <w:color w:val="auto"/>
        </w:rPr>
      </w:pPr>
    </w:p>
    <w:p>
      <w:pPr>
        <w:jc w:val="both"/>
        <w:ind w:firstLine="432"/>
        <w:spacing w:after="0" w:line="340" w:lineRule="auto"/>
        <w:rPr>
          <w:sz w:val="20"/>
          <w:szCs w:val="20"/>
          <w:color w:val="auto"/>
        </w:rPr>
      </w:pPr>
      <w:r>
        <w:rPr>
          <w:rFonts w:ascii="Times New Roman" w:cs="Times New Roman" w:eastAsia="Times New Roman" w:hAnsi="Times New Roman"/>
          <w:sz w:val="13"/>
          <w:szCs w:val="13"/>
          <w:color w:val="auto"/>
        </w:rPr>
        <w:t>Sales for the six-month period ended January 31, 2026 increased 7.6 percent, which consisted of organic sales growth of 2.2 percent, growth of 2.8 percent from acquisitions and an increase of 2.6 percent from foreign currency translation. Sales for the six months ended January 31, 2026 were $789.4 million compared to $733.7 million in the same period last year. By region, sales increased 8.6 percent in the Americas &amp; Asia and sales increased 5.7 percent in Europe &amp; Australia, which consisted of organic sales growth of 3.9 percent in the Americas &amp; Asia and an organic sales decline of 0.9 percent in Europe &amp; Australia.</w:t>
      </w:r>
    </w:p>
    <w:p>
      <w:pPr>
        <w:spacing w:after="0" w:line="157" w:lineRule="exact"/>
        <w:rPr>
          <w:sz w:val="20"/>
          <w:szCs w:val="20"/>
          <w:color w:val="auto"/>
        </w:rPr>
      </w:pPr>
    </w:p>
    <w:p>
      <w:pPr>
        <w:jc w:val="both"/>
        <w:ind w:firstLine="432"/>
        <w:spacing w:after="0" w:line="317" w:lineRule="auto"/>
        <w:rPr>
          <w:sz w:val="20"/>
          <w:szCs w:val="20"/>
          <w:color w:val="auto"/>
        </w:rPr>
      </w:pPr>
      <w:r>
        <w:rPr>
          <w:rFonts w:ascii="Times New Roman" w:cs="Times New Roman" w:eastAsia="Times New Roman" w:hAnsi="Times New Roman"/>
          <w:sz w:val="13"/>
          <w:szCs w:val="13"/>
          <w:color w:val="auto"/>
        </w:rPr>
        <w:t>Income before income taxes increased 17.7 percent to $130.5 million in the six-month period ended January 31, 2026, compared to $110.8 million in the same period last year. Adjusted Income Before Income Taxes* in the six-month period ended January 31, 2026, which was adjusted for amortization expense of $10.5 million, was $141.0 million, an increase of 7.7 percent compared to the same period last year. Adjusted Income Before Income Taxes* in the six-month period ended January 31, 2025, which was adjusted for amortization expense, facility closure and other reorganization costs and acquisition-related charges of $20.1 million, was $130.9 million.</w:t>
      </w:r>
    </w:p>
    <w:p>
      <w:pPr>
        <w:spacing w:after="0" w:line="2" w:lineRule="exact"/>
        <w:rPr>
          <w:sz w:val="20"/>
          <w:szCs w:val="20"/>
          <w:color w:val="auto"/>
        </w:rPr>
      </w:pP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Net income in the six-month period ended January 31, 2026 was $102.0 million compared to $87.1 million in the same period last year. Adjusted Net Income* in the six-month period ended January 31, 2026 was $110.0 million compared to $102.3 million in the same period last year. Earnings per diluted Class A Nonvoting Common Share was $2.14 compared to $1.81 in the same period last year. Adjusted Diluted EPS* in the six-month period ended January 31, 2026 was $2.30 compared to $2.12 in the same period last year.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5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“This quarter marks Brady’s 20th consecutive quarter of organic sales growth, alongside a significant improvement in segment profit within both our Americas &amp; Asia and Europe &amp; Australia regions,” said Brady’s President and Chief Executive Officer, Russell R. Shaller. “We continue to increase our investment in research and development for innovative new products, which most recently included the i4311 industrial label printer launched last week. This printer is equipped with exciting new features unlike any other printer offering, including our LabelSense</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3"/>
          <w:szCs w:val="13"/>
          <w:color w:val="auto"/>
        </w:rPr>
        <w:t xml:space="preserve"> technology, which simplifies adhesive material changeover while resulting in zero waste. We have more innovative new products in our roadmap, which we will deliver while continuing to improve our operational efficiency.”</w:t>
      </w:r>
    </w:p>
    <w:p>
      <w:pPr>
        <w:jc w:val="both"/>
        <w:ind w:firstLine="432"/>
        <w:spacing w:after="0" w:line="335" w:lineRule="auto"/>
        <w:rPr>
          <w:sz w:val="20"/>
          <w:szCs w:val="20"/>
          <w:color w:val="auto"/>
        </w:rPr>
      </w:pPr>
      <w:r>
        <w:rPr>
          <w:rFonts w:ascii="Times New Roman" w:cs="Times New Roman" w:eastAsia="Times New Roman" w:hAnsi="Times New Roman"/>
          <w:sz w:val="13"/>
          <w:szCs w:val="13"/>
          <w:color w:val="auto"/>
        </w:rPr>
        <w:t>“In addition to our improved profitability, we increased our cash flow from operating activities by nearly 38 percent through the first half of this fiscal year, and we were in a net cash position of $97.8 million at January 31, 2026,” said Brady’s Chief Financial Officer, Ann Thornton. “Our strong balance sheet provides us with opportunities to continue to invest in both organic growth and strategic acquisitions to increase shareholder value over the long-term.”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2026 Guidance:</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Company raised the low end of its GAAP earnings per diluted Class A Nonvoting Common Share guidance for the year ending July 31, 2026 from $4.57 to $4.82 per share, to $4.62 to $4.82 per share.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raised the low end of its Adjusted Diluted EPS* guidance for the year ending July 31, 2026 from $4.90 to $5.15 per share to $4.95 to $5.15 per share.</w:t>
      </w:r>
    </w:p>
    <w:p>
      <w:pPr>
        <w:sectPr>
          <w:pgSz w:w="11900" w:h="16838" w:orient="portrait"/>
          <w:cols w:equalWidth="0" w:num="1">
            <w:col w:w="11300"/>
          </w:cols>
          <w:pgMar w:left="300" w:top="665" w:right="299" w:bottom="1440" w:gutter="0" w:footer="0" w:header="0"/>
        </w:sectPr>
      </w:pPr>
    </w:p>
    <w:bookmarkStart w:id="4" w:name="page5"/>
    <w:bookmarkEnd w:id="4"/>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The assumptions included in fiscal 2026 guidance include a full-year income tax rate of approximately 21 percent, depreciation and amortization expense of approximately $44 million, and capital expenditures of approximately $45 million. Fiscal 2026 guidance is based on foreign currency exchange rates as of January 31, 2026 and assumes continued economic growth.</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2026 second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11" w:lineRule="exact"/>
        <w:rPr>
          <w:sz w:val="20"/>
          <w:szCs w:val="20"/>
          <w:color w:val="auto"/>
        </w:rPr>
      </w:pPr>
    </w:p>
    <w:p>
      <w:pPr>
        <w:jc w:val="both"/>
        <w:ind w:firstLine="432"/>
        <w:spacing w:after="0" w:line="326"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2025, employed approximately 6,400 people in its worldwide businesses. Brady’s fiscal 2025 sales were approximately $1.51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firstLine="424"/>
        <w:spacing w:after="0" w:line="353" w:lineRule="auto"/>
        <w:tabs>
          <w:tab w:leader="none" w:pos="53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Income Before Income Taxes, Adjusted Net Income, and Adjusted Diluted EPS are non-GAAP measures. See appendix for more information on these measures, including reconciliations to the most directly comparable GAAP measures.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materials, labor, material shortages and supply chain disruptions, including as a result of tariffs or other impacts of the global trade environment;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6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2025</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384,137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356,675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789,424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733,740</w:t>
            </w:r>
          </w:p>
        </w:tc>
      </w:tr>
      <w:tr>
        <w:trPr>
          <w:trHeight w:val="142"/>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189,743</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180,832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386,198</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368,208</w:t>
            </w:r>
          </w:p>
        </w:tc>
      </w:tr>
      <w:tr>
        <w:trPr>
          <w:trHeight w:val="135"/>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194,394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175,843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403,226</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365,532</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24,309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18,723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47,601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37,644</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107,895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105,886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225,463</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217,732</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132,204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124,609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273,064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255,376</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51,234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130,162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110,156</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3,359</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(2,668)</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52,047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110,847</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13,954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11,713</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28,494</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23,730</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48,051</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40,334</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101,987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87,117</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0.84</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47,310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47,851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47,291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47,792</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47,738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48,306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47,734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48,261</w:t>
            </w:r>
          </w:p>
        </w:tc>
      </w:tr>
    </w:tbl>
    <w:p>
      <w:pPr>
        <w:sectPr>
          <w:pgSz w:w="11900" w:h="16838" w:orient="portrait"/>
          <w:cols w:equalWidth="0" w:num="1">
            <w:col w:w="11300"/>
          </w:cols>
          <w:pgMar w:left="300" w:top="56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January 31, 2026</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2025</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176,492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174,349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$7,446 and $7,876,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242,905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231,944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225,821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200,881</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17,105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14,661</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662,323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621,835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244,048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225,572</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696,996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676,945</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109,702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105,374</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19,396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65,703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58,422</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27,032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25,243</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1,825,200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1,734,253</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105,028</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72,842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92,657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20,517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21,537</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5,547</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17,451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15,234</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94,386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90,329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310,829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330,332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78,706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99,766</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48,741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43,565</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73,904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68,379</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512,180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542,042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43,679,050 and 43,530,012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361,567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359,269</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1,396,642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1,317,739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stock—7,582,437 and 7,731,475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(389,988)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(393,186)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(55,749)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(92,159)</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1,313,020</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1,192,211</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1,825,200</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1,734,253</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52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2025</w:t>
            </w:r>
          </w:p>
        </w:tc>
        <w:tc>
          <w:tcPr>
            <w:tcW w:w="52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101,987</w:t>
            </w:r>
          </w:p>
        </w:tc>
        <w:tc>
          <w:tcPr>
            <w:tcW w:w="100" w:type="dxa"/>
            <w:vAlign w:val="bottom"/>
          </w:tcPr>
          <w:p>
            <w:pPr>
              <w:spacing w:after="0"/>
              <w:rPr>
                <w:sz w:val="12"/>
                <w:szCs w:val="12"/>
                <w:color w:val="auto"/>
              </w:rPr>
            </w:pPr>
          </w:p>
        </w:tc>
        <w:tc>
          <w:tcPr>
            <w:tcW w:w="840" w:type="dxa"/>
            <w:vAlign w:val="bottom"/>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87,117</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22,205</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20,096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9,259</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7,571</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6,605</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(8,384)</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(2,571)</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(34,710)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(41,650)</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(3,361)</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86,670</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63,000</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(21,947)</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(14,423)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(17,416)</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(137,348)</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(1,958)</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(41,321)</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(151,718)</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(23,084)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(22,867)</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8,255</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5,712</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(3,318)</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72,500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159,373</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(93,560)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(162,621)</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(47,905)</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(22,343)</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4,699</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300"/>
          </w:cols>
          <w:pgMar w:left="300" w:top="560" w:right="299" w:bottom="1440" w:gutter="0" w:footer="0" w:header="0"/>
        </w:sectPr>
      </w:pPr>
    </w:p>
    <w:p>
      <w:pPr>
        <w:spacing w:after="0"/>
        <w:rPr>
          <w:sz w:val="20"/>
          <w:szCs w:val="20"/>
          <w:color w:val="auto"/>
        </w:rPr>
      </w:pPr>
      <w:r>
        <w:rPr>
          <w:rFonts w:ascii="Times New Roman" w:cs="Times New Roman" w:eastAsia="Times New Roman" w:hAnsi="Times New Roman"/>
          <w:sz w:val="10"/>
          <w:szCs w:val="10"/>
          <w:color w:val="auto"/>
        </w:rPr>
        <w:t>Net increase (decrease) in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2,143</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center"/>
              <w:ind w:left="346"/>
              <w:spacing w:after="0"/>
              <w:rPr>
                <w:sz w:val="20"/>
                <w:szCs w:val="20"/>
                <w:color w:val="auto"/>
              </w:rPr>
            </w:pPr>
            <w:r>
              <w:rPr>
                <w:rFonts w:ascii="Times New Roman" w:cs="Times New Roman" w:eastAsia="Times New Roman" w:hAnsi="Times New Roman"/>
                <w:sz w:val="11"/>
                <w:szCs w:val="11"/>
                <w:color w:val="auto"/>
                <w:w w:val="97"/>
              </w:rPr>
              <w:t>(111,666)</w:t>
            </w:r>
          </w:p>
        </w:tc>
      </w:tr>
      <w:tr>
        <w:trPr>
          <w:trHeight w:val="146"/>
        </w:trPr>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174,349</w:t>
            </w: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1"/>
                <w:szCs w:val="11"/>
                <w:color w:val="auto"/>
              </w:rPr>
              <w:t>250,118</w:t>
            </w:r>
          </w:p>
        </w:tc>
      </w:tr>
      <w:tr>
        <w:trPr>
          <w:trHeight w:val="295"/>
        </w:trPr>
        <w:tc>
          <w:tcPr>
            <w:tcW w:w="5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176,492</w:t>
            </w:r>
          </w:p>
        </w:tc>
        <w:tc>
          <w:tcPr>
            <w:tcW w:w="100" w:type="dxa"/>
            <w:vAlign w:val="bottom"/>
          </w:tcPr>
          <w:p>
            <w:pPr>
              <w:spacing w:after="0"/>
              <w:rPr>
                <w:sz w:val="24"/>
                <w:szCs w:val="24"/>
                <w:color w:val="auto"/>
              </w:rPr>
            </w:pPr>
          </w:p>
        </w:tc>
        <w:tc>
          <w:tcPr>
            <w:tcW w:w="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center"/>
              <w:ind w:left="366"/>
              <w:spacing w:after="0"/>
              <w:rPr>
                <w:sz w:val="20"/>
                <w:szCs w:val="20"/>
                <w:color w:val="auto"/>
              </w:rPr>
            </w:pPr>
            <w:r>
              <w:rPr>
                <w:rFonts w:ascii="Times New Roman" w:cs="Times New Roman" w:eastAsia="Times New Roman" w:hAnsi="Times New Roman"/>
                <w:sz w:val="11"/>
                <w:szCs w:val="11"/>
                <w:color w:val="auto"/>
              </w:rPr>
              <w:t>138,452</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-313690</wp:posOffset>
            </wp:positionV>
            <wp:extent cx="7178040" cy="91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-113665</wp:posOffset>
            </wp:positionV>
            <wp:extent cx="717804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2">
            <w:col w:w="7760" w:space="720"/>
            <w:col w:w="2820"/>
          </w:cols>
          <w:pgMar w:left="300" w:top="560" w:right="2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2026</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251,604</w:t>
            </w:r>
          </w:p>
        </w:tc>
        <w:tc>
          <w:tcPr>
            <w:tcW w:w="100" w:type="dxa"/>
            <w:vAlign w:val="bottom"/>
          </w:tcPr>
          <w:p>
            <w:pPr>
              <w:spacing w:after="0"/>
              <w:rPr>
                <w:sz w:val="12"/>
                <w:szCs w:val="12"/>
                <w:color w:val="auto"/>
              </w:rPr>
            </w:pP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233,846</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520,497</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479,274</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132,533</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122,829</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268,927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254,466</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384,137</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356,675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789,424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733,740</w:t>
            </w:r>
          </w:p>
        </w:tc>
      </w:tr>
      <w:tr>
        <w:trPr>
          <w:trHeight w:val="153"/>
        </w:trPr>
        <w:tc>
          <w:tcPr>
            <w:tcW w:w="5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Americas &amp; Asia</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7.5 %</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10.5 %</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8.6 %</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10.6 %</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i w:val="1"/>
                <w:iCs w:val="1"/>
                <w:color w:val="auto"/>
              </w:rPr>
              <w:t>Europe &amp; Australia</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21"/>
        </w:trPr>
        <w:tc>
          <w:tcPr>
            <w:tcW w:w="538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Acquisitions</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Divestiture</w:t>
            </w: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1"/>
        </w:trPr>
        <w:tc>
          <w:tcPr>
            <w:tcW w:w="5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7.6 %</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12.1 %</w:t>
            </w:r>
          </w:p>
        </w:tc>
      </w:tr>
      <w:tr>
        <w:trPr>
          <w:trHeight w:val="153"/>
        </w:trPr>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4"/>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53,751</w:t>
            </w:r>
          </w:p>
        </w:tc>
        <w:tc>
          <w:tcPr>
            <w:tcW w:w="100" w:type="dxa"/>
            <w:vAlign w:val="bottom"/>
          </w:tcPr>
          <w:p>
            <w:pPr>
              <w:spacing w:after="0"/>
              <w:rPr>
                <w:sz w:val="12"/>
                <w:szCs w:val="12"/>
                <w:color w:val="auto"/>
              </w:rPr>
            </w:pPr>
          </w:p>
        </w:tc>
        <w:tc>
          <w:tcPr>
            <w:tcW w:w="9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45,986</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113,614</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100,886</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15,422</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11,378</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34,154</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24,492</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69,173</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57,364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147,768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125,378</w:t>
            </w:r>
          </w:p>
        </w:tc>
      </w:tr>
      <w:tr>
        <w:trPr>
          <w:trHeight w:val="126"/>
        </w:trPr>
        <w:tc>
          <w:tcPr>
            <w:tcW w:w="53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Americas &amp; Asia</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19.7 %</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21.0 %</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Europe &amp; Australia</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11.6 %</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9.3 %</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9.6 %</w:t>
            </w:r>
          </w:p>
        </w:tc>
      </w:tr>
      <w:tr>
        <w:trPr>
          <w:trHeight w:val="135"/>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18.0 %</w:t>
            </w:r>
          </w:p>
        </w:tc>
        <w:tc>
          <w:tcPr>
            <w:tcW w:w="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16.1 %</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17.1 %</w:t>
            </w:r>
          </w:p>
        </w:tc>
      </w:tr>
      <w:tr>
        <w:trPr>
          <w:trHeight w:val="20"/>
        </w:trPr>
        <w:tc>
          <w:tcPr>
            <w:tcW w:w="53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469"/>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2026</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2025</w:t>
            </w:r>
          </w:p>
        </w:tc>
      </w:tr>
      <w:tr>
        <w:trPr>
          <w:trHeight w:val="13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69,173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57,364</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147,768</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125,378</w:t>
            </w:r>
          </w:p>
        </w:tc>
      </w:tr>
      <w:tr>
        <w:trPr>
          <w:trHeight w:val="142"/>
        </w:trPr>
        <w:tc>
          <w:tcPr>
            <w:tcW w:w="538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(6,983)</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(6,130)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(17,606)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(15,222)</w:t>
            </w:r>
          </w:p>
        </w:tc>
      </w:tr>
      <w:tr>
        <w:trPr>
          <w:trHeight w:val="142"/>
        </w:trPr>
        <w:tc>
          <w:tcPr>
            <w:tcW w:w="53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(expense) income</w:t>
            </w: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805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2,517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3,359</w:t>
            </w:r>
          </w:p>
        </w:tc>
      </w:tr>
      <w:tr>
        <w:trPr>
          <w:trHeight w:val="14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(990)</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(1,312)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(2,198)</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(2,668)</w:t>
            </w:r>
          </w:p>
        </w:tc>
      </w:tr>
      <w:tr>
        <w:trPr>
          <w:trHeight w:val="135"/>
        </w:trPr>
        <w:tc>
          <w:tcPr>
            <w:tcW w:w="538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62,005</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52,047</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130,481</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110,847</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Before Income Taxes:</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Income Before Income Taxes.</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4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2026</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2025</w:t>
            </w:r>
          </w:p>
        </w:tc>
        <w:tc>
          <w:tcPr>
            <w:tcW w:w="480" w:type="dxa"/>
            <w:vAlign w:val="bottom"/>
            <w:tcBorders>
              <w:bottom w:val="single" w:sz="8" w:color="auto"/>
            </w:tcBorders>
          </w:tcPr>
          <w:p>
            <w:pPr>
              <w:spacing w:after="0"/>
              <w:rPr>
                <w:sz w:val="11"/>
                <w:szCs w:val="11"/>
                <w:color w:val="auto"/>
              </w:rPr>
            </w:pP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62,005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52,047</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130,481</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110,847</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10,513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9,384</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5,654</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5,059</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Before Income Taxes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67,177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62,372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140,994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130,944</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Income Tax Expense:</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Income Tax Expense.</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2025</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13,954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28,494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23,730</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1,247</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2,258</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1,413</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Income Tax Expense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15,201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14,251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31,030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28,666</w:t>
            </w:r>
          </w:p>
        </w:tc>
      </w:tr>
    </w:tbl>
    <w:p>
      <w:pPr>
        <w:sectPr>
          <w:pgSz w:w="11900" w:h="16838" w:orient="portrait"/>
          <w:cols w:equalWidth="0" w:num="1">
            <w:col w:w="11300"/>
          </w:cols>
          <w:pgMar w:left="300" w:top="55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Adjusted Net Income:</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Net Income.</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2026</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2025</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2025</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48,051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40,334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101,987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87,117</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7,126</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4,241</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3,794</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Net Income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51,976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48,121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109,964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102,278</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w:t>
      </w:r>
    </w:p>
    <w:p>
      <w:pPr>
        <w:spacing w:after="0" w:line="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Brady is presenting the non-GAAP measure,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Adjusted Diluted EPS.</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2026</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2025</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2025</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0.83</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Facility closure and other reorganization costs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acquisition-related costs and other expenses</w:t>
            </w:r>
          </w:p>
        </w:tc>
        <w:tc>
          <w:tcPr>
            <w:tcW w:w="9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96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2.12</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Diluted EPS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2026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0.33</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Adjusted Diluted EPS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4.95</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5.15</w:t>
            </w:r>
          </w:p>
        </w:tc>
      </w:tr>
    </w:tbl>
    <w:p>
      <w:pPr>
        <w:sectPr>
          <w:pgSz w:w="11900" w:h="16838" w:orient="portrait"/>
          <w:cols w:equalWidth="0" w:num="1">
            <w:col w:w="11300"/>
          </w:cols>
          <w:pgMar w:left="300" w:top="665" w:right="299" w:bottom="1440"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2026-02-19T06:08:28Z</dcterms:created>
  <dcterms:modified xsi:type="dcterms:W3CDTF">2026-02-19T06:08:28Z</dcterms:modified>
</cp:coreProperties>
</file>