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Date of Report (Date of earliest event reported): July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7"/>
          <w:szCs w:val="17"/>
          <w:color w:val="auto"/>
        </w:rPr>
        <w:t>DEPARTURE OF DIRECTORS OR CERTAIN OFFICERS; ELECTION OF DIRECTORS; APPOINTMENT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CERTAIN OFFICERS; COMPENSATORY ARRANGEMENTS OF CERTAIN OFFICERS.</w:t>
      </w:r>
    </w:p>
    <w:p>
      <w:pPr>
        <w:spacing w:after="0" w:line="23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July 12, 2016, the Management Development and Compensation Committee of Brady Corporation (the “Company”) approved the form of award agreements for grants of nonqualified stock options, restricted stock units and performance-based restricted stock units under the Brady Corporation 2017 Omnibus Incentive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form of award agreements are included as exhibits to this Form 8-K and are incorporated herein by reference.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Item 9.01</w:t>
            </w:r>
          </w:p>
        </w:tc>
        <w:tc>
          <w:tcPr>
            <w:tcW w:w="8760" w:type="dxa"/>
            <w:vAlign w:val="bottom"/>
          </w:tcPr>
          <w:p>
            <w:pPr>
              <w:ind w:left="100"/>
              <w:spacing w:after="0"/>
              <w:rPr>
                <w:sz w:val="20"/>
                <w:szCs w:val="20"/>
                <w:color w:val="auto"/>
              </w:rPr>
            </w:pPr>
            <w:r>
              <w:rPr>
                <w:rFonts w:ascii="Arial" w:cs="Arial" w:eastAsia="Arial" w:hAnsi="Arial"/>
                <w:sz w:val="18"/>
                <w:szCs w:val="18"/>
                <w:color w:val="auto"/>
              </w:rPr>
              <w:t>FINANCIAL STATEMENTS AND EXHIBITS</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0" w:type="dxa"/>
            <w:vAlign w:val="bottom"/>
          </w:tcPr>
          <w:p>
            <w:pPr>
              <w:ind w:left="40"/>
              <w:spacing w:after="0"/>
              <w:rPr>
                <w:sz w:val="20"/>
                <w:szCs w:val="20"/>
                <w:color w:val="auto"/>
              </w:rPr>
            </w:pPr>
            <w:r>
              <w:rPr>
                <w:rFonts w:ascii="Arial" w:cs="Arial" w:eastAsia="Arial" w:hAnsi="Arial"/>
                <w:sz w:val="16"/>
                <w:szCs w:val="16"/>
                <w:color w:val="auto"/>
              </w:rPr>
              <w:t>EXHIBIT</w:t>
            </w:r>
          </w:p>
        </w:tc>
        <w:tc>
          <w:tcPr>
            <w:tcW w:w="8760" w:type="dxa"/>
            <w:vAlign w:val="bottom"/>
            <w:vMerge w:val="restart"/>
          </w:tcPr>
          <w:p>
            <w:pPr>
              <w:ind w:left="4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980" w:type="dxa"/>
            <w:vAlign w:val="bottom"/>
          </w:tcPr>
          <w:p>
            <w:pPr>
              <w:ind w:left="40"/>
              <w:spacing w:after="0"/>
              <w:rPr>
                <w:sz w:val="20"/>
                <w:szCs w:val="20"/>
                <w:color w:val="auto"/>
              </w:rPr>
            </w:pPr>
            <w:r>
              <w:rPr>
                <w:rFonts w:ascii="Arial" w:cs="Arial" w:eastAsia="Arial" w:hAnsi="Arial"/>
                <w:sz w:val="16"/>
                <w:szCs w:val="16"/>
                <w:color w:val="auto"/>
              </w:rPr>
              <w:t>NUMBER</w:t>
            </w: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8760" w:type="dxa"/>
            <w:vAlign w:val="bottom"/>
          </w:tcPr>
          <w:p>
            <w:pPr>
              <w:ind w:left="400"/>
              <w:spacing w:after="0"/>
              <w:rPr>
                <w:sz w:val="20"/>
                <w:szCs w:val="20"/>
                <w:color w:val="auto"/>
              </w:rPr>
            </w:pPr>
            <w:r>
              <w:rPr>
                <w:rFonts w:ascii="Arial" w:cs="Arial" w:eastAsia="Arial" w:hAnsi="Arial"/>
                <w:sz w:val="18"/>
                <w:szCs w:val="18"/>
                <w:color w:val="auto"/>
                <w:w w:val="98"/>
              </w:rPr>
              <w:t>Form of Nonqualified Stock Option Agreement under the Brady Corporation 2017 Omnibus Incentive Plan.</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Arial" w:cs="Arial" w:eastAsia="Arial" w:hAnsi="Arial"/>
                <w:sz w:val="18"/>
                <w:szCs w:val="18"/>
                <w:color w:val="auto"/>
              </w:rPr>
              <w:t>10.2</w:t>
            </w:r>
          </w:p>
        </w:tc>
        <w:tc>
          <w:tcPr>
            <w:tcW w:w="8760" w:type="dxa"/>
            <w:vAlign w:val="bottom"/>
          </w:tcPr>
          <w:p>
            <w:pPr>
              <w:ind w:left="400"/>
              <w:spacing w:after="0"/>
              <w:rPr>
                <w:sz w:val="20"/>
                <w:szCs w:val="20"/>
                <w:color w:val="auto"/>
              </w:rPr>
            </w:pPr>
            <w:r>
              <w:rPr>
                <w:rFonts w:ascii="Arial" w:cs="Arial" w:eastAsia="Arial" w:hAnsi="Arial"/>
                <w:sz w:val="18"/>
                <w:szCs w:val="18"/>
                <w:color w:val="auto"/>
              </w:rPr>
              <w:t>Form of Restricted Stock Unit Agreement under the Brady Corporation 2017 Omnibus Incentive Plan.</w:t>
            </w:r>
          </w:p>
        </w:tc>
        <w:tc>
          <w:tcPr>
            <w:tcW w:w="0" w:type="dxa"/>
            <w:vAlign w:val="bottom"/>
          </w:tcPr>
          <w:p>
            <w:pPr>
              <w:spacing w:after="0"/>
              <w:rPr>
                <w:sz w:val="1"/>
                <w:szCs w:val="1"/>
                <w:color w:val="auto"/>
              </w:rPr>
            </w:pPr>
          </w:p>
        </w:tc>
      </w:tr>
      <w:tr>
        <w:trPr>
          <w:trHeight w:val="256"/>
        </w:trPr>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8760" w:type="dxa"/>
            <w:vAlign w:val="bottom"/>
          </w:tcPr>
          <w:p>
            <w:pPr>
              <w:ind w:left="400"/>
              <w:spacing w:after="0"/>
              <w:rPr>
                <w:sz w:val="20"/>
                <w:szCs w:val="20"/>
                <w:color w:val="auto"/>
              </w:rPr>
            </w:pPr>
            <w:r>
              <w:rPr>
                <w:rFonts w:ascii="Arial" w:cs="Arial" w:eastAsia="Arial" w:hAnsi="Arial"/>
                <w:sz w:val="18"/>
                <w:szCs w:val="18"/>
                <w:color w:val="auto"/>
                <w:w w:val="98"/>
              </w:rPr>
              <w:t>Form of Performance-Based Restricted Stock Unit Agreement under the Brady Corporation 2017 Omnibus</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8760" w:type="dxa"/>
            <w:vAlign w:val="bottom"/>
            <w:vMerge w:val="restart"/>
          </w:tcPr>
          <w:p>
            <w:pPr>
              <w:ind w:left="40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July 14, 2016</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Chief Financial Officer and Chief Accounting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74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680" w:type="dxa"/>
            <w:vAlign w:val="bottom"/>
          </w:tcPr>
          <w:p>
            <w:pPr>
              <w:ind w:left="400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571"/>
        </w:trPr>
        <w:tc>
          <w:tcPr>
            <w:tcW w:w="1060" w:type="dxa"/>
            <w:vAlign w:val="bottom"/>
          </w:tcPr>
          <w:p>
            <w:pPr>
              <w:ind w:left="40"/>
              <w:spacing w:after="0"/>
              <w:rPr>
                <w:sz w:val="20"/>
                <w:szCs w:val="20"/>
                <w:color w:val="auto"/>
              </w:rPr>
            </w:pPr>
            <w:r>
              <w:rPr>
                <w:rFonts w:ascii="Arial" w:cs="Arial" w:eastAsia="Arial" w:hAnsi="Arial"/>
                <w:sz w:val="16"/>
                <w:szCs w:val="16"/>
                <w:color w:val="auto"/>
              </w:rPr>
              <w:t>EXHIBIT</w:t>
            </w:r>
          </w:p>
        </w:tc>
        <w:tc>
          <w:tcPr>
            <w:tcW w:w="8680" w:type="dxa"/>
            <w:vAlign w:val="bottom"/>
            <w:vMerge w:val="restart"/>
          </w:tcPr>
          <w:p>
            <w:pPr>
              <w:ind w:left="3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1060" w:type="dxa"/>
            <w:vAlign w:val="bottom"/>
          </w:tcPr>
          <w:p>
            <w:pPr>
              <w:ind w:left="40"/>
              <w:spacing w:after="0"/>
              <w:rPr>
                <w:sz w:val="20"/>
                <w:szCs w:val="20"/>
                <w:color w:val="auto"/>
              </w:rPr>
            </w:pPr>
            <w:r>
              <w:rPr>
                <w:rFonts w:ascii="Arial" w:cs="Arial" w:eastAsia="Arial" w:hAnsi="Arial"/>
                <w:sz w:val="16"/>
                <w:szCs w:val="16"/>
                <w:color w:val="auto"/>
              </w:rPr>
              <w:t>NUMBER</w:t>
            </w: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40"/>
              <w:spacing w:after="0"/>
              <w:rPr>
                <w:sz w:val="20"/>
                <w:szCs w:val="20"/>
                <w:color w:val="auto"/>
              </w:rPr>
            </w:pPr>
            <w:r>
              <w:rPr>
                <w:rFonts w:ascii="Arial" w:cs="Arial" w:eastAsia="Arial" w:hAnsi="Arial"/>
                <w:sz w:val="18"/>
                <w:szCs w:val="18"/>
                <w:color w:val="auto"/>
              </w:rPr>
              <w:t>10.1</w:t>
            </w:r>
          </w:p>
        </w:tc>
        <w:tc>
          <w:tcPr>
            <w:tcW w:w="8680" w:type="dxa"/>
            <w:vAlign w:val="bottom"/>
          </w:tcPr>
          <w:p>
            <w:pPr>
              <w:ind w:left="320"/>
              <w:spacing w:after="0"/>
              <w:rPr>
                <w:sz w:val="20"/>
                <w:szCs w:val="20"/>
                <w:color w:val="auto"/>
              </w:rPr>
            </w:pPr>
            <w:r>
              <w:rPr>
                <w:rFonts w:ascii="Arial" w:cs="Arial" w:eastAsia="Arial" w:hAnsi="Arial"/>
                <w:sz w:val="18"/>
                <w:szCs w:val="18"/>
                <w:color w:val="auto"/>
                <w:w w:val="98"/>
              </w:rPr>
              <w:t>Form of Nonqualified Stock Option Agreement under the Brady Corporation 2017 Omnibus Incentive Plan.</w:t>
            </w:r>
          </w:p>
        </w:tc>
        <w:tc>
          <w:tcPr>
            <w:tcW w:w="0" w:type="dxa"/>
            <w:vAlign w:val="bottom"/>
          </w:tcPr>
          <w:p>
            <w:pPr>
              <w:spacing w:after="0"/>
              <w:rPr>
                <w:sz w:val="1"/>
                <w:szCs w:val="1"/>
                <w:color w:val="auto"/>
              </w:rPr>
            </w:pPr>
          </w:p>
        </w:tc>
      </w:tr>
      <w:tr>
        <w:trPr>
          <w:trHeight w:val="432"/>
        </w:trPr>
        <w:tc>
          <w:tcPr>
            <w:tcW w:w="1060" w:type="dxa"/>
            <w:vAlign w:val="bottom"/>
          </w:tcPr>
          <w:p>
            <w:pPr>
              <w:ind w:left="40"/>
              <w:spacing w:after="0"/>
              <w:rPr>
                <w:sz w:val="20"/>
                <w:szCs w:val="20"/>
                <w:color w:val="auto"/>
              </w:rPr>
            </w:pPr>
            <w:r>
              <w:rPr>
                <w:rFonts w:ascii="Arial" w:cs="Arial" w:eastAsia="Arial" w:hAnsi="Arial"/>
                <w:sz w:val="18"/>
                <w:szCs w:val="18"/>
                <w:color w:val="auto"/>
              </w:rPr>
              <w:t>10.2</w:t>
            </w:r>
          </w:p>
        </w:tc>
        <w:tc>
          <w:tcPr>
            <w:tcW w:w="8680" w:type="dxa"/>
            <w:vAlign w:val="bottom"/>
          </w:tcPr>
          <w:p>
            <w:pPr>
              <w:ind w:left="320"/>
              <w:spacing w:after="0"/>
              <w:rPr>
                <w:sz w:val="20"/>
                <w:szCs w:val="20"/>
                <w:color w:val="auto"/>
              </w:rPr>
            </w:pPr>
            <w:r>
              <w:rPr>
                <w:rFonts w:ascii="Arial" w:cs="Arial" w:eastAsia="Arial" w:hAnsi="Arial"/>
                <w:sz w:val="18"/>
                <w:szCs w:val="18"/>
                <w:color w:val="auto"/>
              </w:rPr>
              <w:t>Form of Restricted Stock Unit Agreement under the Brady Corporation 2017 Omnibus Incentive Plan.</w:t>
            </w:r>
          </w:p>
        </w:tc>
        <w:tc>
          <w:tcPr>
            <w:tcW w:w="0" w:type="dxa"/>
            <w:vAlign w:val="bottom"/>
          </w:tcPr>
          <w:p>
            <w:pPr>
              <w:spacing w:after="0"/>
              <w:rPr>
                <w:sz w:val="1"/>
                <w:szCs w:val="1"/>
                <w:color w:val="auto"/>
              </w:rPr>
            </w:pPr>
          </w:p>
        </w:tc>
      </w:tr>
      <w:tr>
        <w:trPr>
          <w:trHeight w:val="418"/>
        </w:trPr>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8680" w:type="dxa"/>
            <w:vAlign w:val="bottom"/>
          </w:tcPr>
          <w:p>
            <w:pPr>
              <w:ind w:left="320"/>
              <w:spacing w:after="0"/>
              <w:rPr>
                <w:sz w:val="20"/>
                <w:szCs w:val="20"/>
                <w:color w:val="auto"/>
              </w:rPr>
            </w:pPr>
            <w:r>
              <w:rPr>
                <w:rFonts w:ascii="Arial" w:cs="Arial" w:eastAsia="Arial" w:hAnsi="Arial"/>
                <w:sz w:val="18"/>
                <w:szCs w:val="18"/>
                <w:color w:val="auto"/>
                <w:w w:val="98"/>
              </w:rPr>
              <w:t>Form of Performance-Based Restricted Stock Unit Agreement under the Brady Corporation 2017 Omnibus</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8680" w:type="dxa"/>
            <w:vAlign w:val="bottom"/>
            <w:vMerge w:val="restart"/>
          </w:tcPr>
          <w:p>
            <w:pPr>
              <w:ind w:left="3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8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200" w:lineRule="exact"/>
        <w:rPr>
          <w:sz w:val="20"/>
          <w:szCs w:val="20"/>
          <w:color w:val="auto"/>
        </w:rPr>
      </w:pPr>
    </w:p>
    <w:p>
      <w:pPr>
        <w:spacing w:after="0" w:line="22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_______________ (“Employee”) a non-qualified stock option (the “Option”) effective __________, 20__, pursuant to the</w:t>
      </w:r>
    </w:p>
    <w:p>
      <w:pPr>
        <w:spacing w:after="0" w:line="290" w:lineRule="auto"/>
        <w:rPr>
          <w:sz w:val="20"/>
          <w:szCs w:val="20"/>
          <w:color w:val="auto"/>
        </w:rPr>
      </w:pPr>
      <w:r>
        <w:rPr>
          <w:rFonts w:ascii="Arial" w:cs="Arial" w:eastAsia="Arial" w:hAnsi="Arial"/>
          <w:sz w:val="17"/>
          <w:szCs w:val="17"/>
          <w:color w:val="auto"/>
        </w:rPr>
        <w:t>terms of the Brady Corporation 2017 Omnibus Incentive Plan (the “Plan”). The Corporation’s records shall be the official record of the Option grant described herein and, in the event of any conflict between this description and the Corporation’s records, the Corporation’s records shall control.</w:t>
      </w:r>
    </w:p>
    <w:p>
      <w:pPr>
        <w:spacing w:after="0" w:line="15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Grant Price</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“Grant Price”).</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pacing w:after="0" w:line="350"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Number of Completed Years</w:t>
            </w:r>
          </w:p>
        </w:tc>
        <w:tc>
          <w:tcPr>
            <w:tcW w:w="3200" w:type="dxa"/>
            <w:vAlign w:val="bottom"/>
            <w:gridSpan w:val="3"/>
          </w:tcPr>
          <w:p>
            <w:pPr>
              <w:ind w:left="1620"/>
              <w:spacing w:after="0"/>
              <w:rPr>
                <w:sz w:val="20"/>
                <w:szCs w:val="20"/>
                <w:color w:val="auto"/>
              </w:rPr>
            </w:pPr>
            <w:r>
              <w:rPr>
                <w:rFonts w:ascii="Arial" w:cs="Arial" w:eastAsia="Arial" w:hAnsi="Arial"/>
                <w:sz w:val="18"/>
                <w:szCs w:val="18"/>
                <w:color w:val="auto"/>
                <w:w w:val="89"/>
              </w:rPr>
              <w:t>Maximum Percentage</w:t>
            </w:r>
          </w:p>
        </w:tc>
        <w:tc>
          <w:tcPr>
            <w:tcW w:w="0" w:type="dxa"/>
            <w:vAlign w:val="bottom"/>
          </w:tcPr>
          <w:p>
            <w:pPr>
              <w:spacing w:after="0"/>
              <w:rPr>
                <w:sz w:val="1"/>
                <w:szCs w:val="1"/>
                <w:color w:val="auto"/>
              </w:rPr>
            </w:pPr>
          </w:p>
        </w:tc>
      </w:tr>
      <w:tr>
        <w:trPr>
          <w:trHeight w:val="108"/>
        </w:trPr>
        <w:tc>
          <w:tcPr>
            <w:tcW w:w="3680" w:type="dxa"/>
            <w:vAlign w:val="bottom"/>
            <w:gridSpan w:val="2"/>
            <w:vMerge w:val="continue"/>
          </w:tcPr>
          <w:p>
            <w:pPr>
              <w:spacing w:after="0"/>
              <w:rPr>
                <w:sz w:val="9"/>
                <w:szCs w:val="9"/>
                <w:color w:val="auto"/>
              </w:rPr>
            </w:pPr>
          </w:p>
        </w:tc>
        <w:tc>
          <w:tcPr>
            <w:tcW w:w="3200" w:type="dxa"/>
            <w:vAlign w:val="bottom"/>
            <w:gridSpan w:val="3"/>
            <w:vMerge w:val="restart"/>
          </w:tcPr>
          <w:p>
            <w:pPr>
              <w:ind w:left="1620"/>
              <w:spacing w:after="0"/>
              <w:rPr>
                <w:sz w:val="20"/>
                <w:szCs w:val="20"/>
                <w:color w:val="auto"/>
              </w:rPr>
            </w:pPr>
            <w:r>
              <w:rPr>
                <w:rFonts w:ascii="Arial" w:cs="Arial" w:eastAsia="Arial" w:hAnsi="Arial"/>
                <w:sz w:val="18"/>
                <w:szCs w:val="18"/>
                <w:color w:val="auto"/>
                <w:w w:val="95"/>
              </w:rPr>
              <w:t>of Shares For Which</w:t>
            </w:r>
          </w:p>
        </w:tc>
        <w:tc>
          <w:tcPr>
            <w:tcW w:w="0" w:type="dxa"/>
            <w:vAlign w:val="bottom"/>
          </w:tcPr>
          <w:p>
            <w:pPr>
              <w:spacing w:after="0"/>
              <w:rPr>
                <w:sz w:val="1"/>
                <w:szCs w:val="1"/>
                <w:color w:val="auto"/>
              </w:rPr>
            </w:pPr>
          </w:p>
        </w:tc>
      </w:tr>
      <w:tr>
        <w:trPr>
          <w:trHeight w:val="108"/>
        </w:trPr>
        <w:tc>
          <w:tcPr>
            <w:tcW w:w="368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rPr>
              <w:t>After Grant Date</w:t>
            </w:r>
          </w:p>
        </w:tc>
        <w:tc>
          <w:tcPr>
            <w:tcW w:w="3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680" w:type="dxa"/>
            <w:vAlign w:val="bottom"/>
            <w:gridSpan w:val="2"/>
            <w:vMerge w:val="continue"/>
          </w:tcPr>
          <w:p>
            <w:pPr>
              <w:spacing w:after="0"/>
              <w:rPr>
                <w:sz w:val="7"/>
                <w:szCs w:val="7"/>
                <w:color w:val="auto"/>
              </w:rPr>
            </w:pPr>
          </w:p>
        </w:tc>
        <w:tc>
          <w:tcPr>
            <w:tcW w:w="3200" w:type="dxa"/>
            <w:vAlign w:val="bottom"/>
            <w:gridSpan w:val="3"/>
            <w:vMerge w:val="restart"/>
          </w:tcPr>
          <w:p>
            <w:pPr>
              <w:ind w:left="1620"/>
              <w:spacing w:after="0" w:line="190" w:lineRule="exact"/>
              <w:rPr>
                <w:sz w:val="20"/>
                <w:szCs w:val="20"/>
                <w:color w:val="auto"/>
              </w:rPr>
            </w:pPr>
            <w:r>
              <w:rPr>
                <w:rFonts w:ascii="Arial" w:cs="Arial" w:eastAsia="Arial" w:hAnsi="Arial"/>
                <w:sz w:val="18"/>
                <w:szCs w:val="18"/>
                <w:color w:val="auto"/>
                <w:w w:val="92"/>
              </w:rPr>
              <w:t>Option is Exercisable</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Notwithstanding the foregoing, this Option shall immediately expire if Employee is terminated for Cause; provided that for purposes of this Agreement a termination for poor performance shall not be considered a termination for Cause. This Agreement does not confer upon Employee any right of continuation of employment by the Corporation or an Affiliate, nor does it impair any right the Corporation or any Affiliate may have to terminate the Employee’s employment at any time.</w:t>
      </w:r>
    </w:p>
    <w:p>
      <w:pPr>
        <w:spacing w:after="0" w:line="200" w:lineRule="exact"/>
        <w:rPr>
          <w:sz w:val="20"/>
          <w:szCs w:val="20"/>
          <w:color w:val="auto"/>
        </w:rPr>
      </w:pPr>
    </w:p>
    <w:p>
      <w:pPr>
        <w:spacing w:after="0" w:line="23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8" w:right="239" w:bottom="1440" w:gutter="0" w:footer="0" w:header="0"/>
        </w:sectPr>
      </w:pPr>
    </w:p>
    <w:bookmarkStart w:id="4" w:name="page5"/>
    <w:bookmarkEnd w:id="4"/>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 hereof, if the Employee:</w:t>
      </w:r>
    </w:p>
    <w:p>
      <w:pPr>
        <w:spacing w:after="0" w:line="225" w:lineRule="exact"/>
        <w:rPr>
          <w:rFonts w:ascii="Arial" w:cs="Arial" w:eastAsia="Arial" w:hAnsi="Arial"/>
          <w:sz w:val="18"/>
          <w:szCs w:val="18"/>
          <w:b w:val="1"/>
          <w:bCs w:val="1"/>
          <w:color w:val="auto"/>
        </w:rPr>
      </w:pPr>
    </w:p>
    <w:p>
      <w:pPr>
        <w:ind w:left="1292" w:right="240" w:hanging="644"/>
        <w:spacing w:after="0" w:line="259" w:lineRule="auto"/>
        <w:tabs>
          <w:tab w:leader="none" w:pos="1292" w:val="left"/>
        </w:tabs>
        <w:numPr>
          <w:ilvl w:val="1"/>
          <w:numId w:val="3"/>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86" w:lineRule="exact"/>
        <w:rPr>
          <w:rFonts w:ascii="Arial" w:cs="Arial" w:eastAsia="Arial" w:hAnsi="Arial"/>
          <w:sz w:val="18"/>
          <w:szCs w:val="18"/>
          <w:color w:val="auto"/>
        </w:rPr>
      </w:pPr>
    </w:p>
    <w:p>
      <w:pPr>
        <w:ind w:left="1292" w:right="260" w:hanging="644"/>
        <w:spacing w:after="0" w:line="342" w:lineRule="auto"/>
        <w:tabs>
          <w:tab w:leader="none" w:pos="1292" w:val="left"/>
        </w:tabs>
        <w:numPr>
          <w:ilvl w:val="1"/>
          <w:numId w:val="3"/>
        </w:numPr>
        <w:rPr>
          <w:rFonts w:ascii="Arial" w:cs="Arial" w:eastAsia="Arial" w:hAnsi="Arial"/>
          <w:sz w:val="16"/>
          <w:szCs w:val="16"/>
          <w:color w:val="auto"/>
        </w:rPr>
      </w:pPr>
      <w:r>
        <w:rPr>
          <w:rFonts w:ascii="Arial" w:cs="Arial" w:eastAsia="Arial" w:hAnsi="Arial"/>
          <w:sz w:val="16"/>
          <w:szCs w:val="16"/>
          <w:color w:val="auto"/>
        </w:rPr>
        <w:t>is terminated as a result of the Disability of the Employee, any unexercised, unexpired Stock Options granted hereunder to the Employee shall become 100% vested and fully exercisable, in whole or in part, at any time within one year after the date of Disability; or</w:t>
      </w:r>
    </w:p>
    <w:p>
      <w:pPr>
        <w:spacing w:after="0" w:line="123" w:lineRule="exact"/>
        <w:rPr>
          <w:rFonts w:ascii="Arial" w:cs="Arial" w:eastAsia="Arial" w:hAnsi="Arial"/>
          <w:sz w:val="16"/>
          <w:szCs w:val="16"/>
          <w:color w:val="auto"/>
        </w:rPr>
      </w:pPr>
    </w:p>
    <w:p>
      <w:pPr>
        <w:ind w:left="1292" w:right="60" w:hanging="644"/>
        <w:spacing w:after="0" w:line="264" w:lineRule="auto"/>
        <w:tabs>
          <w:tab w:leader="none" w:pos="1292" w:val="left"/>
        </w:tabs>
        <w:numPr>
          <w:ilvl w:val="1"/>
          <w:numId w:val="3"/>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60 with five years of employment with the Corporation or an Affiliate), any unexercised, unexpired Stock Options granted hereunder to the Employee shall become 100% vested and full exercisable, in whole or in part, at any time prior to the expiration date of such option.</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29"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29" w:lineRule="exact"/>
        <w:rPr>
          <w:rFonts w:ascii="Arial" w:cs="Arial" w:eastAsia="Arial" w:hAnsi="Arial"/>
          <w:sz w:val="18"/>
          <w:szCs w:val="18"/>
          <w:b w:val="1"/>
          <w:bCs w:val="1"/>
          <w:color w:val="auto"/>
        </w:rPr>
      </w:pPr>
    </w:p>
    <w:p>
      <w:pPr>
        <w:ind w:left="6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Grant Price of the Shares being acquired at the time.</w:t>
      </w:r>
    </w:p>
    <w:p>
      <w:pPr>
        <w:spacing w:after="0" w:line="119" w:lineRule="exact"/>
        <w:rPr>
          <w:rFonts w:ascii="Arial" w:cs="Arial" w:eastAsia="Arial" w:hAnsi="Arial"/>
          <w:sz w:val="18"/>
          <w:szCs w:val="18"/>
          <w:b w:val="1"/>
          <w:bCs w:val="1"/>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229"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(a) in cash, (b) by check, (c) by tendering (either by actual delivery or by attestation) previously acquired Shares (“Delivered Stock”), (d) by surrendering to the Corporation Shares otherwise receivable upon exercise of the Stock Option (a "Net Exercise"), (e) by a cashless (broker-assisted) exercise, (f) any combination of the foregoing or (g) by any other method approved or accepted by the Administrator. Payment in the form of Delivered Stock shall be in the amount of the Fair Market Value of the Shares at the date of exercise and Shares used in a Net Exercise shall be valued at their Fair Market Value determined as of the date of exercise of the Stock Option, with Fair Market Value determined in accordance with Section 9.</w:t>
      </w:r>
    </w:p>
    <w:p>
      <w:pPr>
        <w:spacing w:after="0" w:line="189" w:lineRule="exact"/>
        <w:rPr>
          <w:rFonts w:ascii="Arial" w:cs="Arial" w:eastAsia="Arial" w:hAnsi="Arial"/>
          <w:sz w:val="18"/>
          <w:szCs w:val="18"/>
          <w:b w:val="1"/>
          <w:bCs w:val="1"/>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b w:val="1"/>
          <w:bCs w:val="1"/>
          <w:color w:val="auto"/>
        </w:rPr>
      </w:pPr>
    </w:p>
    <w:p>
      <w:pPr>
        <w:jc w:val="both"/>
        <w:ind w:left="65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(either in cash or, at the request of Employee, but subject to such rules and regulations as the Administrator may adopt from time to time, in Shares of Delivered Stock) the entire amount or a portion</w:t>
      </w:r>
    </w:p>
    <w:p>
      <w:pPr>
        <w:spacing w:after="0" w:line="200" w:lineRule="exact"/>
        <w:rPr>
          <w:sz w:val="20"/>
          <w:szCs w:val="20"/>
          <w:color w:val="auto"/>
        </w:rPr>
      </w:pPr>
    </w:p>
    <w:p>
      <w:pPr>
        <w:spacing w:after="0" w:line="231"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364" w:right="239" w:bottom="1440" w:gutter="0" w:footer="0" w:header="0"/>
        </w:sectPr>
      </w:pPr>
    </w:p>
    <w:bookmarkStart w:id="5" w:name="page6"/>
    <w:bookmarkEnd w:id="5"/>
    <w:p>
      <w:pPr>
        <w:jc w:val="both"/>
        <w:ind w:left="652"/>
        <w:spacing w:after="0" w:line="257" w:lineRule="auto"/>
        <w:rPr>
          <w:sz w:val="20"/>
          <w:szCs w:val="20"/>
          <w:color w:val="auto"/>
        </w:rPr>
      </w:pPr>
      <w:r>
        <w:rPr>
          <w:rFonts w:ascii="Arial" w:cs="Arial" w:eastAsia="Arial" w:hAnsi="Arial"/>
          <w:sz w:val="18"/>
          <w:szCs w:val="18"/>
          <w:color w:val="auto"/>
        </w:rPr>
        <w:t>of any taxes which the Corporation is required to withhold by reason of such exercise, in such amount as the Administrator or the Corporation in its discretion may determine. The Employee may, subject to such rules and regulations as the Corporation may adopt from time to time, elect to have the Corporation hold back from the Shares to be issued upon the exercise of the Option,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84" w:lineRule="exact"/>
        <w:rPr>
          <w:sz w:val="20"/>
          <w:szCs w:val="20"/>
          <w:color w:val="auto"/>
        </w:rPr>
      </w:pPr>
    </w:p>
    <w:p>
      <w:pPr>
        <w:ind w:left="652" w:hanging="652"/>
        <w:spacing w:after="0"/>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229" w:lineRule="exact"/>
        <w:rPr>
          <w:rFonts w:ascii="Arial" w:cs="Arial" w:eastAsia="Arial" w:hAnsi="Arial"/>
          <w:sz w:val="18"/>
          <w:szCs w:val="18"/>
          <w:b w:val="1"/>
          <w:bCs w:val="1"/>
          <w:color w:val="auto"/>
        </w:rPr>
      </w:pPr>
    </w:p>
    <w:p>
      <w:pPr>
        <w:jc w:val="both"/>
        <w:ind w:left="6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a Share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54" w:lineRule="exact"/>
        <w:rPr>
          <w:rFonts w:ascii="Arial" w:cs="Arial" w:eastAsia="Arial" w:hAnsi="Arial"/>
          <w:sz w:val="18"/>
          <w:szCs w:val="18"/>
          <w:b w:val="1"/>
          <w:bCs w:val="1"/>
          <w:color w:val="auto"/>
        </w:rPr>
      </w:pPr>
    </w:p>
    <w:p>
      <w:pPr>
        <w:ind w:left="652" w:hanging="652"/>
        <w:spacing w:after="0"/>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225" w:lineRule="exact"/>
        <w:rPr>
          <w:rFonts w:ascii="Arial" w:cs="Arial" w:eastAsia="Arial" w:hAnsi="Arial"/>
          <w:sz w:val="18"/>
          <w:szCs w:val="18"/>
          <w:b w:val="1"/>
          <w:bCs w:val="1"/>
          <w:color w:val="auto"/>
        </w:rPr>
      </w:pPr>
    </w:p>
    <w:p>
      <w:pPr>
        <w:ind w:left="1292" w:hanging="644"/>
        <w:spacing w:after="0" w:line="268" w:lineRule="auto"/>
        <w:tabs>
          <w:tab w:leader="none" w:pos="1292" w:val="left"/>
        </w:tabs>
        <w:numPr>
          <w:ilvl w:val="1"/>
          <w:numId w:val="4"/>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jc w:val="both"/>
        <w:ind w:left="1952" w:hanging="655"/>
        <w:spacing w:after="0" w:line="312" w:lineRule="auto"/>
        <w:tabs>
          <w:tab w:leader="none" w:pos="1952"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396"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68" w:right="239" w:bottom="1440" w:gutter="0" w:footer="0" w:header="0"/>
        </w:sectPr>
      </w:pPr>
    </w:p>
    <w:bookmarkStart w:id="6" w:name="page7"/>
    <w:bookmarkEnd w:id="6"/>
    <w:p>
      <w:pPr>
        <w:jc w:val="both"/>
        <w:ind w:left="1304" w:hanging="655"/>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304" w:right="80" w:hanging="655"/>
        <w:spacing w:after="0" w:line="286" w:lineRule="auto"/>
        <w:tabs>
          <w:tab w:leader="none" w:pos="1304" w:val="left"/>
        </w:tabs>
        <w:numPr>
          <w:ilvl w:val="1"/>
          <w:numId w:val="6"/>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5" w:lineRule="exact"/>
        <w:rPr>
          <w:rFonts w:ascii="Arial" w:cs="Arial" w:eastAsia="Arial" w:hAnsi="Arial"/>
          <w:sz w:val="17"/>
          <w:szCs w:val="17"/>
          <w:color w:val="auto"/>
        </w:rPr>
      </w:pPr>
    </w:p>
    <w:p>
      <w:pPr>
        <w:ind w:left="1304" w:right="140" w:hanging="655"/>
        <w:spacing w:after="0" w:line="273" w:lineRule="auto"/>
        <w:tabs>
          <w:tab w:leader="none" w:pos="1304" w:val="left"/>
        </w:tabs>
        <w:numPr>
          <w:ilvl w:val="1"/>
          <w:numId w:val="6"/>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78"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644" w:hanging="644"/>
        <w:spacing w:after="0" w:line="254"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10,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00" w:lineRule="exact"/>
        <w:rPr>
          <w:sz w:val="20"/>
          <w:szCs w:val="20"/>
          <w:color w:val="auto"/>
        </w:rPr>
      </w:pPr>
    </w:p>
    <w:p>
      <w:pPr>
        <w:spacing w:after="0" w:line="23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368" w:right="239" w:bottom="1440" w:gutter="0" w:footer="0" w:header="0"/>
        </w:sectPr>
      </w:pPr>
    </w:p>
    <w:bookmarkStart w:id="7" w:name="page8"/>
    <w:bookmarkEnd w:id="7"/>
    <w:p>
      <w:pPr>
        <w:ind w:left="1292" w:hanging="644"/>
        <w:spacing w:after="0"/>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 agrees that the terms of this Section 10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b w:val="1"/>
          <w:bCs w:val="1"/>
          <w:color w:val="auto"/>
        </w:rPr>
      </w:pPr>
    </w:p>
    <w:p>
      <w:pPr>
        <w:ind w:left="652" w:hanging="652"/>
        <w:spacing w:after="0"/>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29" w:lineRule="exact"/>
        <w:rPr>
          <w:rFonts w:ascii="Arial" w:cs="Arial" w:eastAsia="Arial" w:hAnsi="Arial"/>
          <w:sz w:val="18"/>
          <w:szCs w:val="18"/>
          <w:b w:val="1"/>
          <w:bCs w:val="1"/>
          <w:color w:val="auto"/>
        </w:rPr>
      </w:pPr>
    </w:p>
    <w:p>
      <w:pPr>
        <w:jc w:val="both"/>
        <w:ind w:left="6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61" w:lineRule="exact"/>
        <w:rPr>
          <w:rFonts w:ascii="Arial" w:cs="Arial" w:eastAsia="Arial" w:hAnsi="Arial"/>
          <w:sz w:val="18"/>
          <w:szCs w:val="18"/>
          <w:b w:val="1"/>
          <w:bCs w:val="1"/>
          <w:color w:val="auto"/>
        </w:rPr>
      </w:pPr>
    </w:p>
    <w:p>
      <w:pPr>
        <w:ind w:left="652" w:hanging="652"/>
        <w:spacing w:after="0"/>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229" w:lineRule="exact"/>
        <w:rPr>
          <w:rFonts w:ascii="Arial" w:cs="Arial" w:eastAsia="Arial" w:hAnsi="Arial"/>
          <w:sz w:val="18"/>
          <w:szCs w:val="18"/>
          <w:b w:val="1"/>
          <w:bCs w:val="1"/>
          <w:color w:val="auto"/>
        </w:rPr>
      </w:pPr>
    </w:p>
    <w:p>
      <w:pPr>
        <w:jc w:val="both"/>
        <w:ind w:left="6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60" w:lineRule="exact"/>
        <w:rPr>
          <w:rFonts w:ascii="Arial" w:cs="Arial" w:eastAsia="Arial" w:hAnsi="Arial"/>
          <w:sz w:val="18"/>
          <w:szCs w:val="18"/>
          <w:b w:val="1"/>
          <w:bCs w:val="1"/>
          <w:color w:val="auto"/>
        </w:rPr>
      </w:pPr>
    </w:p>
    <w:p>
      <w:pPr>
        <w:ind w:left="412" w:hanging="412"/>
        <w:spacing w:after="0"/>
        <w:tabs>
          <w:tab w:leader="none" w:pos="4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229" w:lineRule="exact"/>
        <w:rPr>
          <w:sz w:val="20"/>
          <w:szCs w:val="20"/>
          <w:color w:val="auto"/>
        </w:rPr>
      </w:pPr>
    </w:p>
    <w:p>
      <w:pPr>
        <w:ind w:left="652"/>
        <w:spacing w:after="0" w:line="342" w:lineRule="auto"/>
        <w:rPr>
          <w:sz w:val="20"/>
          <w:szCs w:val="20"/>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20" w:lineRule="exact"/>
        <w:rPr>
          <w:sz w:val="20"/>
          <w:szCs w:val="20"/>
          <w:color w:val="auto"/>
        </w:rPr>
      </w:pPr>
    </w:p>
    <w:p>
      <w:pPr>
        <w:ind w:left="652" w:hanging="652"/>
        <w:spacing w:after="0"/>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p>
    <w:p>
      <w:pPr>
        <w:spacing w:after="0" w:line="229" w:lineRule="exact"/>
        <w:rPr>
          <w:rFonts w:ascii="Arial" w:cs="Arial" w:eastAsia="Arial" w:hAnsi="Arial"/>
          <w:sz w:val="18"/>
          <w:szCs w:val="18"/>
          <w:b w:val="1"/>
          <w:bCs w:val="1"/>
          <w:color w:val="auto"/>
        </w:rPr>
      </w:pPr>
    </w:p>
    <w:p>
      <w:pPr>
        <w:jc w:val="both"/>
        <w:ind w:left="6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in the event of a Change in Control (as defined in Exhibit A), this Option shall become fully vested and exercisable. The Administrator may elect to cancel the Option. If the Option is canceled, the Corporation, or the corporation assuming the obligations of the Corporation hereunder, shall pay the Employee an amount of cash or stock, as determined by the Administrator, equal to the number of Shares subject to the canceled Option multiplied by the difference between the Grant Price per Share, as described in Section 1 hereof, and the Fair Market Value per share, determined in accordance with Section 9 hereof, as of the time of surrender. No event described in Section 13.05 of the Plan shall cause the Option to become fully vested and exercisable such event is a Change in Control (as defined in Exhibit A).</w:t>
      </w:r>
    </w:p>
    <w:p>
      <w:pPr>
        <w:spacing w:after="0" w:line="200" w:lineRule="exact"/>
        <w:rPr>
          <w:sz w:val="20"/>
          <w:szCs w:val="20"/>
          <w:color w:val="auto"/>
        </w:rPr>
      </w:pPr>
    </w:p>
    <w:p>
      <w:pPr>
        <w:spacing w:after="0" w:line="214"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368" w:right="239" w:bottom="1440" w:gutter="0" w:footer="0" w:header="0"/>
        </w:sectPr>
      </w:pPr>
    </w:p>
    <w:bookmarkStart w:id="8" w:name="page9"/>
    <w:bookmarkEnd w:id="8"/>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221" w:lineRule="exact"/>
        <w:rPr>
          <w:rFonts w:ascii="Arial" w:cs="Arial" w:eastAsia="Arial" w:hAnsi="Arial"/>
          <w:sz w:val="18"/>
          <w:szCs w:val="18"/>
          <w:b w:val="1"/>
          <w:bCs w:val="1"/>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Wherever possible, each provision of this Option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Option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14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114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___________________________, hereby accept the foregoing Option Award and agree to the terms and conditions thereof,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restrictions contained in Section 10 of this Agreement.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-10160</wp:posOffset>
            </wp:positionV>
            <wp:extent cx="571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-19050</wp:posOffset>
            </wp:positionV>
            <wp:extent cx="571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9" w:name="page10"/>
    <w:bookmarkEnd w:id="9"/>
    <w:p>
      <w:pPr>
        <w:ind w:left="9824"/>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Change in Control Definition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56" w:firstLine="656"/>
        <w:spacing w:after="0" w:line="270" w:lineRule="auto"/>
        <w:tabs>
          <w:tab w:leader="none" w:pos="2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77" w:lineRule="exact"/>
        <w:rPr>
          <w:rFonts w:ascii="Arial" w:cs="Arial" w:eastAsia="Arial" w:hAnsi="Arial"/>
          <w:sz w:val="17"/>
          <w:szCs w:val="17"/>
          <w:color w:val="auto"/>
        </w:rPr>
      </w:pPr>
    </w:p>
    <w:p>
      <w:pPr>
        <w:jc w:val="both"/>
        <w:ind w:left="-656" w:firstLine="980"/>
        <w:spacing w:after="0" w:line="270" w:lineRule="auto"/>
        <w:tabs>
          <w:tab w:leader="none" w:pos="57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1" w:lineRule="exact"/>
        <w:rPr>
          <w:sz w:val="20"/>
          <w:szCs w:val="20"/>
          <w:color w:val="auto"/>
        </w:rPr>
      </w:pPr>
    </w:p>
    <w:p>
      <w:pPr>
        <w:jc w:val="both"/>
        <w:ind w:left="-656" w:firstLine="656"/>
        <w:spacing w:after="0" w:line="268" w:lineRule="auto"/>
        <w:tabs>
          <w:tab w:leader="none" w:pos="2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21" w:lineRule="exact"/>
        <w:rPr>
          <w:sz w:val="20"/>
          <w:szCs w:val="20"/>
          <w:color w:val="auto"/>
        </w:rPr>
      </w:pPr>
    </w:p>
    <w:p>
      <w:pPr>
        <w:ind w:left="53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796" w:right="239" w:bottom="1440" w:gutter="0" w:footer="0" w:header="0"/>
        </w:sectPr>
      </w:pPr>
    </w:p>
    <w:bookmarkStart w:id="10" w:name="page11"/>
    <w:bookmarkEnd w:id="10"/>
    <w:p>
      <w:pPr>
        <w:ind w:left="920" w:hanging="264"/>
        <w:spacing w:after="0"/>
        <w:tabs>
          <w:tab w:leader="none" w:pos="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Approval by the shareholders of the Company and the subsequent consummation of (i) a complete liquidation or dissolution of the Company or</w:t>
      </w:r>
    </w:p>
    <w:p>
      <w:pPr>
        <w:spacing w:after="0" w:line="46" w:lineRule="exact"/>
        <w:rPr>
          <w:rFonts w:ascii="Arial" w:cs="Arial" w:eastAsia="Arial" w:hAnsi="Arial"/>
          <w:sz w:val="16"/>
          <w:szCs w:val="16"/>
          <w:color w:val="auto"/>
        </w:rPr>
      </w:pPr>
    </w:p>
    <w:p>
      <w:pPr>
        <w:jc w:val="both"/>
        <w:ind w:firstLine="8"/>
        <w:spacing w:after="0" w:line="286" w:lineRule="auto"/>
        <w:tabs>
          <w:tab w:leader="none" w:pos="2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8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______________________________ (“Employee”) a restricted stock unit award effective _____________, 20___</w:t>
      </w:r>
    </w:p>
    <w:p>
      <w:pPr>
        <w:spacing w:after="0" w:line="290" w:lineRule="auto"/>
        <w:rPr>
          <w:sz w:val="20"/>
          <w:szCs w:val="20"/>
          <w:color w:val="auto"/>
        </w:rPr>
      </w:pPr>
      <w:r>
        <w:rPr>
          <w:rFonts w:ascii="Arial" w:cs="Arial" w:eastAsia="Arial" w:hAnsi="Arial"/>
          <w:sz w:val="17"/>
          <w:szCs w:val="17"/>
          <w:color w:val="auto"/>
        </w:rPr>
        <w:t>pursuant to the terms of the Brady Corporation 2017 Omnibus Incentive Plan (the “Plan”). The Corporation’s records shall be the official record of the grant described herein and, in the event of any conflict between this description and the Corporation’s records, the Corporation’s records shall control.</w:t>
      </w:r>
    </w:p>
    <w:p>
      <w:pPr>
        <w:spacing w:after="0" w:line="15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This Restricted Stock Unit Award applies to X,XXX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b w:val="1"/>
          <w:bCs w:val="1"/>
          <w:color w:val="auto"/>
        </w:rPr>
      </w:pPr>
    </w:p>
    <w:p>
      <w:pPr>
        <w:ind w:left="1300" w:right="3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333"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580" w:type="dxa"/>
            <w:vAlign w:val="bottom"/>
            <w:gridSpan w:val="2"/>
          </w:tcPr>
          <w:p>
            <w:pPr>
              <w:ind w:left="3440"/>
              <w:spacing w:after="0"/>
              <w:rPr>
                <w:sz w:val="20"/>
                <w:szCs w:val="20"/>
                <w:color w:val="auto"/>
              </w:rPr>
            </w:pPr>
            <w:r>
              <w:rPr>
                <w:rFonts w:ascii="Arial" w:cs="Arial" w:eastAsia="Arial" w:hAnsi="Arial"/>
                <w:sz w:val="18"/>
                <w:szCs w:val="18"/>
                <w:color w:val="auto"/>
              </w:rPr>
              <w:t>Cumulative Percentage of</w:t>
            </w:r>
          </w:p>
        </w:tc>
      </w:tr>
      <w:tr>
        <w:trPr>
          <w:trHeight w:val="190"/>
        </w:trPr>
        <w:tc>
          <w:tcPr>
            <w:tcW w:w="920" w:type="dxa"/>
            <w:vAlign w:val="bottom"/>
          </w:tcPr>
          <w:p>
            <w:pPr>
              <w:spacing w:after="0" w:line="190" w:lineRule="exact"/>
              <w:rPr>
                <w:sz w:val="20"/>
                <w:szCs w:val="20"/>
                <w:color w:val="auto"/>
              </w:rPr>
            </w:pPr>
            <w:r>
              <w:rPr>
                <w:rFonts w:ascii="Arial" w:cs="Arial" w:eastAsia="Arial" w:hAnsi="Arial"/>
                <w:sz w:val="18"/>
                <w:szCs w:val="18"/>
                <w:color w:val="auto"/>
                <w:w w:val="87"/>
              </w:rPr>
              <w:t>Vesting Date</w:t>
            </w:r>
          </w:p>
        </w:tc>
        <w:tc>
          <w:tcPr>
            <w:tcW w:w="5580" w:type="dxa"/>
            <w:vAlign w:val="bottom"/>
            <w:gridSpan w:val="2"/>
          </w:tcPr>
          <w:p>
            <w:pPr>
              <w:ind w:left="3440"/>
              <w:spacing w:after="0" w:line="190" w:lineRule="exact"/>
              <w:rPr>
                <w:sz w:val="20"/>
                <w:szCs w:val="20"/>
                <w:color w:val="auto"/>
              </w:rPr>
            </w:pPr>
            <w:r>
              <w:rPr>
                <w:rFonts w:ascii="Arial" w:cs="Arial" w:eastAsia="Arial" w:hAnsi="Arial"/>
                <w:sz w:val="18"/>
                <w:szCs w:val="18"/>
                <w:color w:val="auto"/>
                <w:w w:val="89"/>
              </w:rPr>
              <w:t>Vested Restricted Stock Units</w:t>
            </w:r>
          </w:p>
        </w:tc>
      </w:tr>
      <w:tr>
        <w:trPr>
          <w:trHeight w:val="20"/>
        </w:trPr>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right="2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b w:val="1"/>
          <w:bCs w:val="1"/>
          <w:color w:val="auto"/>
        </w:rPr>
      </w:pPr>
    </w:p>
    <w:p>
      <w:pPr>
        <w:ind w:left="1300" w:right="200" w:hanging="644"/>
        <w:spacing w:after="0" w:line="286"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Notwithstanding the terms and conditions of Section 2 hereof, in the event of the termination of the Employee’s employment with the Corporation (and any Affiliate) prior to the end of the Restricted Period due to death, Disability or retirement (after age 60 with five years of employment with the Corporation or an Affiliate), the Restricted Stock Units shall become fully vested.</w:t>
      </w:r>
    </w:p>
    <w:p>
      <w:pPr>
        <w:spacing w:after="0" w:line="165" w:lineRule="exact"/>
        <w:rPr>
          <w:rFonts w:ascii="Arial" w:cs="Arial" w:eastAsia="Arial" w:hAnsi="Arial"/>
          <w:sz w:val="17"/>
          <w:szCs w:val="17"/>
          <w:color w:val="auto"/>
        </w:rPr>
      </w:pPr>
    </w:p>
    <w:p>
      <w:pPr>
        <w:ind w:left="1300" w:right="140" w:hanging="644"/>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 13.05 of the Plan shall cause the Restricted Stock Units to become unrestricted and fully vested unless such event is a Change in Control (as defined in Exhibit A).</w:t>
      </w:r>
    </w:p>
    <w:p>
      <w:pPr>
        <w:spacing w:after="0" w:line="200" w:lineRule="exact"/>
        <w:rPr>
          <w:sz w:val="20"/>
          <w:szCs w:val="20"/>
          <w:color w:val="auto"/>
        </w:rPr>
      </w:pPr>
    </w:p>
    <w:p>
      <w:pPr>
        <w:spacing w:after="0" w:line="23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4" w:right="239" w:bottom="1440" w:gutter="0" w:footer="0" w:header="0"/>
        </w:sectPr>
      </w:pPr>
    </w:p>
    <w:bookmarkStart w:id="12" w:name="page13"/>
    <w:bookmarkEnd w:id="12"/>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No dividends will be paid or accrued on any Restricted Stock Units prior to the issuance of the Shares.</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soon as practicable after Restricted Stock Units become vested, the Company shall deliver to the Employee one Share for each Restricted Stock Unit which becomes vested.</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b w:val="1"/>
          <w:bCs w:val="1"/>
          <w:color w:val="auto"/>
        </w:rPr>
      </w:pPr>
    </w:p>
    <w:p>
      <w:pPr>
        <w:jc w:val="both"/>
        <w:ind w:left="6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b w:val="1"/>
          <w:bCs w:val="1"/>
          <w:color w:val="auto"/>
        </w:rPr>
      </w:pPr>
    </w:p>
    <w:p>
      <w:pPr>
        <w:ind w:left="1292" w:hanging="644"/>
        <w:spacing w:after="0" w:line="268" w:lineRule="auto"/>
        <w:tabs>
          <w:tab w:leader="none" w:pos="1292" w:val="left"/>
        </w:tabs>
        <w:numPr>
          <w:ilvl w:val="1"/>
          <w:numId w:val="19"/>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00" w:lineRule="exact"/>
        <w:rPr>
          <w:sz w:val="20"/>
          <w:szCs w:val="20"/>
          <w:color w:val="auto"/>
        </w:rPr>
      </w:pPr>
    </w:p>
    <w:p>
      <w:pPr>
        <w:spacing w:after="0" w:line="237"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580" w:right="239" w:bottom="1440" w:gutter="0" w:footer="0" w:header="0"/>
        </w:sectPr>
      </w:pPr>
    </w:p>
    <w:bookmarkStart w:id="13" w:name="page14"/>
    <w:bookmarkEnd w:id="13"/>
    <w:p>
      <w:pPr>
        <w:jc w:val="both"/>
        <w:ind w:left="1304" w:hanging="655"/>
        <w:spacing w:after="0" w:line="264"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jc w:val="both"/>
        <w:ind w:left="1304" w:hanging="655"/>
        <w:spacing w:after="0" w:line="312" w:lineRule="auto"/>
        <w:tabs>
          <w:tab w:leader="none" w:pos="1304"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jc w:val="both"/>
        <w:ind w:left="1304" w:hanging="655"/>
        <w:spacing w:after="0" w:line="264"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304" w:right="80" w:hanging="655"/>
        <w:spacing w:after="0" w:line="286" w:lineRule="auto"/>
        <w:tabs>
          <w:tab w:leader="none" w:pos="13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5" w:lineRule="exact"/>
        <w:rPr>
          <w:rFonts w:ascii="Arial" w:cs="Arial" w:eastAsia="Arial" w:hAnsi="Arial"/>
          <w:sz w:val="17"/>
          <w:szCs w:val="17"/>
          <w:color w:val="auto"/>
        </w:rPr>
      </w:pPr>
    </w:p>
    <w:p>
      <w:pPr>
        <w:ind w:left="1304" w:right="140" w:hanging="655"/>
        <w:spacing w:after="0" w:line="273" w:lineRule="auto"/>
        <w:tabs>
          <w:tab w:leader="none" w:pos="13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78"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644" w:hanging="644"/>
        <w:spacing w:after="0" w:line="254" w:lineRule="auto"/>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200" w:lineRule="exact"/>
        <w:rPr>
          <w:sz w:val="20"/>
          <w:szCs w:val="20"/>
          <w:color w:val="auto"/>
        </w:rPr>
      </w:pPr>
    </w:p>
    <w:p>
      <w:pPr>
        <w:spacing w:after="0" w:line="24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584" w:right="239" w:bottom="1440" w:gutter="0" w:footer="0" w:header="0"/>
        </w:sectPr>
      </w:pPr>
    </w:p>
    <w:bookmarkStart w:id="14" w:name="page15"/>
    <w:bookmarkEnd w:id="14"/>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4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14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114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 thereof, including the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contained in Section 8 of this Agreement.</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-10160</wp:posOffset>
            </wp:positionV>
            <wp:extent cx="57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-19050</wp:posOffset>
            </wp:positionV>
            <wp:extent cx="57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84" w:right="239" w:bottom="1440" w:gutter="0" w:footer="0" w:header="0"/>
        </w:sectPr>
      </w:pPr>
    </w:p>
    <w:bookmarkStart w:id="15" w:name="page16"/>
    <w:bookmarkEnd w:id="15"/>
    <w:p>
      <w:pPr>
        <w:ind w:left="10472"/>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ind w:left="4592"/>
        <w:spacing w:after="0"/>
        <w:rPr>
          <w:sz w:val="20"/>
          <w:szCs w:val="20"/>
          <w:color w:val="auto"/>
        </w:rPr>
      </w:pPr>
      <w:r>
        <w:rPr>
          <w:rFonts w:ascii="Arial" w:cs="Arial" w:eastAsia="Arial" w:hAnsi="Arial"/>
          <w:sz w:val="18"/>
          <w:szCs w:val="18"/>
          <w:b w:val="1"/>
          <w:bCs w:val="1"/>
          <w:color w:val="auto"/>
        </w:rPr>
        <w:t>Change in Control Definition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29" w:lineRule="exact"/>
        <w:rPr>
          <w:sz w:val="20"/>
          <w:szCs w:val="20"/>
          <w:color w:val="auto"/>
        </w:rPr>
      </w:pPr>
    </w:p>
    <w:p>
      <w:pPr>
        <w:jc w:val="both"/>
        <w:ind w:left="-8" w:firstLine="656"/>
        <w:spacing w:after="0" w:line="270" w:lineRule="auto"/>
        <w:tabs>
          <w:tab w:leader="none" w:pos="8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77" w:lineRule="exact"/>
        <w:rPr>
          <w:rFonts w:ascii="Arial" w:cs="Arial" w:eastAsia="Arial" w:hAnsi="Arial"/>
          <w:sz w:val="17"/>
          <w:szCs w:val="17"/>
          <w:color w:val="auto"/>
        </w:rPr>
      </w:pPr>
    </w:p>
    <w:p>
      <w:pPr>
        <w:jc w:val="both"/>
        <w:ind w:left="-8" w:firstLine="980"/>
        <w:spacing w:after="0" w:line="270" w:lineRule="auto"/>
        <w:tabs>
          <w:tab w:leader="none" w:pos="1221" w:val="left"/>
        </w:tabs>
        <w:numPr>
          <w:ilvl w:val="1"/>
          <w:numId w:val="25"/>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1" w:lineRule="exact"/>
        <w:rPr>
          <w:sz w:val="20"/>
          <w:szCs w:val="20"/>
          <w:color w:val="auto"/>
        </w:rPr>
      </w:pPr>
    </w:p>
    <w:p>
      <w:pPr>
        <w:jc w:val="both"/>
        <w:ind w:left="-8" w:firstLine="656"/>
        <w:spacing w:after="0" w:line="268" w:lineRule="auto"/>
        <w:tabs>
          <w:tab w:leader="none" w:pos="912" w:val="left"/>
        </w:tabs>
        <w:numPr>
          <w:ilvl w:val="1"/>
          <w:numId w:val="26"/>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7" w:lineRule="exact"/>
        <w:rPr>
          <w:rFonts w:ascii="Arial" w:cs="Arial" w:eastAsia="Arial" w:hAnsi="Arial"/>
          <w:sz w:val="17"/>
          <w:szCs w:val="17"/>
          <w:color w:val="auto"/>
        </w:rPr>
      </w:pPr>
    </w:p>
    <w:p>
      <w:pPr>
        <w:ind w:left="912" w:hanging="264"/>
        <w:spacing w:after="0"/>
        <w:tabs>
          <w:tab w:leader="none" w:pos="912" w:val="left"/>
        </w:tabs>
        <w:numPr>
          <w:ilvl w:val="1"/>
          <w:numId w:val="26"/>
        </w:numPr>
        <w:rPr>
          <w:rFonts w:ascii="Arial" w:cs="Arial" w:eastAsia="Arial" w:hAnsi="Arial"/>
          <w:sz w:val="16"/>
          <w:szCs w:val="16"/>
          <w:color w:val="auto"/>
        </w:rPr>
      </w:pPr>
      <w:r>
        <w:rPr>
          <w:rFonts w:ascii="Arial" w:cs="Arial" w:eastAsia="Arial" w:hAnsi="Arial"/>
          <w:sz w:val="16"/>
          <w:szCs w:val="16"/>
          <w:color w:val="auto"/>
        </w:rPr>
        <w:t>Approval by the shareholders of the Company and the subsequent consummation of (i) a complete liquidation or dissolution of the Company or</w:t>
      </w:r>
    </w:p>
    <w:p>
      <w:pPr>
        <w:spacing w:after="0" w:line="46" w:lineRule="exact"/>
        <w:rPr>
          <w:rFonts w:ascii="Arial" w:cs="Arial" w:eastAsia="Arial" w:hAnsi="Arial"/>
          <w:sz w:val="16"/>
          <w:szCs w:val="16"/>
          <w:color w:val="auto"/>
        </w:rPr>
      </w:pPr>
    </w:p>
    <w:p>
      <w:pPr>
        <w:jc w:val="both"/>
        <w:ind w:left="-8" w:firstLine="8"/>
        <w:spacing w:after="0" w:line="252"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w:t>
      </w:r>
    </w:p>
    <w:p>
      <w:pPr>
        <w:spacing w:after="0" w:line="225"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796"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3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84" w:right="239" w:bottom="1440" w:gutter="0" w:footer="0" w:header="0"/>
        </w:sectPr>
      </w:pPr>
    </w:p>
    <w:bookmarkStart w:id="17" w:name="page18"/>
    <w:bookmarkEnd w:id="17"/>
    <w:p>
      <w:pPr>
        <w:ind w:left="10480"/>
        <w:spacing w:after="0"/>
        <w:rPr>
          <w:sz w:val="20"/>
          <w:szCs w:val="20"/>
          <w:color w:val="auto"/>
        </w:rPr>
      </w:pPr>
      <w:r>
        <w:rPr>
          <w:rFonts w:ascii="Arial" w:cs="Arial" w:eastAsia="Arial" w:hAnsi="Arial"/>
          <w:sz w:val="16"/>
          <w:szCs w:val="16"/>
          <w:b w:val="1"/>
          <w:bCs w:val="1"/>
          <w:u w:val="single" w:color="auto"/>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PERFORMANCE-BASED RESTRICTED STOCK UNITS</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 accordance with the terms of the Brady Corporation 2017 Omnibus Incentive Plan (the "Plan"), the Management Development and Compensation Committee (the “Committee”) of the Brady Corporation Board of Directors hereby grants to you, ______________ (“Employee”), an award of Performance-</w:t>
      </w:r>
    </w:p>
    <w:p>
      <w:pPr>
        <w:jc w:val="both"/>
        <w:spacing w:after="0" w:line="255" w:lineRule="auto"/>
        <w:rPr>
          <w:sz w:val="20"/>
          <w:szCs w:val="20"/>
          <w:color w:val="auto"/>
        </w:rPr>
      </w:pPr>
      <w:r>
        <w:rPr>
          <w:rFonts w:ascii="Arial" w:cs="Arial" w:eastAsia="Arial" w:hAnsi="Arial"/>
          <w:sz w:val="18"/>
          <w:szCs w:val="18"/>
          <w:color w:val="auto"/>
        </w:rPr>
        <w:t>Based Restricted Stock Units involving the number of such 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and conditions of this Award are set forth in this Agreement, the attached Exhibit A, Exhibit B and in the Plan document, a copy of which has been provided to you.</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1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8"/>
              </w:rPr>
              <w:t>Number of Performance-based Restricted Stock Units Granted at Target (the</w:t>
            </w:r>
          </w:p>
        </w:tc>
        <w:tc>
          <w:tcPr>
            <w:tcW w:w="4580" w:type="dxa"/>
            <w:vAlign w:val="bottom"/>
            <w:tcBorders>
              <w:top w:val="single" w:sz="8" w:color="00000A"/>
              <w:right w:val="single" w:sz="8" w:color="00000A"/>
            </w:tcBorders>
          </w:tcPr>
          <w:p>
            <w:pPr>
              <w:spacing w:after="0"/>
              <w:rPr>
                <w:sz w:val="21"/>
                <w:szCs w:val="21"/>
                <w:color w:val="auto"/>
              </w:rPr>
            </w:pPr>
          </w:p>
        </w:tc>
      </w:tr>
      <w:tr>
        <w:trPr>
          <w:trHeight w:val="230"/>
        </w:trPr>
        <w:tc>
          <w:tcPr>
            <w:tcW w:w="6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“Units”):</w:t>
            </w:r>
          </w:p>
        </w:tc>
        <w:tc>
          <w:tcPr>
            <w:tcW w:w="4580" w:type="dxa"/>
            <w:vAlign w:val="bottom"/>
            <w:tcBorders>
              <w:right w:val="single" w:sz="8" w:color="00000A"/>
            </w:tcBorders>
          </w:tcPr>
          <w:p>
            <w:pPr>
              <w:spacing w:after="0"/>
              <w:rPr>
                <w:sz w:val="20"/>
                <w:szCs w:val="20"/>
                <w:color w:val="auto"/>
              </w:rPr>
            </w:pPr>
          </w:p>
        </w:tc>
      </w:tr>
      <w:tr>
        <w:trPr>
          <w:trHeight w:val="27"/>
        </w:trPr>
        <w:tc>
          <w:tcPr>
            <w:tcW w:w="6120" w:type="dxa"/>
            <w:vAlign w:val="bottom"/>
            <w:tcBorders>
              <w:left w:val="single" w:sz="8" w:color="00000A"/>
              <w:bottom w:val="single" w:sz="8" w:color="00000A"/>
              <w:right w:val="single" w:sz="8" w:color="00000A"/>
            </w:tcBorders>
          </w:tcPr>
          <w:p>
            <w:pPr>
              <w:spacing w:after="0"/>
              <w:rPr>
                <w:sz w:val="2"/>
                <w:szCs w:val="2"/>
                <w:color w:val="auto"/>
              </w:rPr>
            </w:pPr>
          </w:p>
        </w:tc>
        <w:tc>
          <w:tcPr>
            <w:tcW w:w="4580" w:type="dxa"/>
            <w:vAlign w:val="bottom"/>
            <w:tcBorders>
              <w:bottom w:val="single" w:sz="8" w:color="00000A"/>
              <w:right w:val="single" w:sz="8" w:color="00000A"/>
            </w:tcBorders>
          </w:tcPr>
          <w:p>
            <w:pPr>
              <w:spacing w:after="0"/>
              <w:rPr>
                <w:sz w:val="2"/>
                <w:szCs w:val="2"/>
                <w:color w:val="auto"/>
              </w:rPr>
            </w:pPr>
          </w:p>
        </w:tc>
      </w:tr>
      <w:tr>
        <w:trPr>
          <w:trHeight w:val="237"/>
        </w:trPr>
        <w:tc>
          <w:tcPr>
            <w:tcW w:w="6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Grant Date:</w:t>
            </w:r>
          </w:p>
        </w:tc>
        <w:tc>
          <w:tcPr>
            <w:tcW w:w="4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______________, 20___</w:t>
            </w:r>
          </w:p>
        </w:tc>
      </w:tr>
      <w:tr>
        <w:trPr>
          <w:trHeight w:val="27"/>
        </w:trPr>
        <w:tc>
          <w:tcPr>
            <w:tcW w:w="6120" w:type="dxa"/>
            <w:vAlign w:val="bottom"/>
            <w:tcBorders>
              <w:left w:val="single" w:sz="8" w:color="00000A"/>
              <w:bottom w:val="single" w:sz="8" w:color="00000A"/>
              <w:right w:val="single" w:sz="8" w:color="00000A"/>
            </w:tcBorders>
          </w:tcPr>
          <w:p>
            <w:pPr>
              <w:spacing w:after="0"/>
              <w:rPr>
                <w:sz w:val="2"/>
                <w:szCs w:val="2"/>
                <w:color w:val="auto"/>
              </w:rPr>
            </w:pPr>
          </w:p>
        </w:tc>
        <w:tc>
          <w:tcPr>
            <w:tcW w:w="4580" w:type="dxa"/>
            <w:vAlign w:val="bottom"/>
            <w:tcBorders>
              <w:bottom w:val="single" w:sz="8" w:color="00000A"/>
              <w:right w:val="single" w:sz="8" w:color="00000A"/>
            </w:tcBorders>
          </w:tcPr>
          <w:p>
            <w:pPr>
              <w:spacing w:after="0"/>
              <w:rPr>
                <w:sz w:val="2"/>
                <w:szCs w:val="2"/>
                <w:color w:val="auto"/>
              </w:rPr>
            </w:pPr>
          </w:p>
        </w:tc>
      </w:tr>
      <w:tr>
        <w:trPr>
          <w:trHeight w:val="237"/>
        </w:trPr>
        <w:tc>
          <w:tcPr>
            <w:tcW w:w="6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Scheduled Vesting Date:</w:t>
            </w:r>
          </w:p>
        </w:tc>
        <w:tc>
          <w:tcPr>
            <w:tcW w:w="4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date described in Section 2(a) of the Agreement</w:t>
            </w:r>
          </w:p>
        </w:tc>
      </w:tr>
      <w:tr>
        <w:trPr>
          <w:trHeight w:val="27"/>
        </w:trPr>
        <w:tc>
          <w:tcPr>
            <w:tcW w:w="6120" w:type="dxa"/>
            <w:vAlign w:val="bottom"/>
            <w:tcBorders>
              <w:left w:val="single" w:sz="8" w:color="00000A"/>
              <w:bottom w:val="single" w:sz="8" w:color="00000A"/>
              <w:right w:val="single" w:sz="8" w:color="00000A"/>
            </w:tcBorders>
          </w:tcPr>
          <w:p>
            <w:pPr>
              <w:spacing w:after="0"/>
              <w:rPr>
                <w:sz w:val="2"/>
                <w:szCs w:val="2"/>
                <w:color w:val="auto"/>
              </w:rPr>
            </w:pPr>
          </w:p>
        </w:tc>
        <w:tc>
          <w:tcPr>
            <w:tcW w:w="4580" w:type="dxa"/>
            <w:vAlign w:val="bottom"/>
            <w:tcBorders>
              <w:bottom w:val="single" w:sz="8" w:color="00000A"/>
              <w:right w:val="single" w:sz="8" w:color="00000A"/>
            </w:tcBorders>
          </w:tcPr>
          <w:p>
            <w:pPr>
              <w:spacing w:after="0"/>
              <w:rPr>
                <w:sz w:val="2"/>
                <w:szCs w:val="2"/>
                <w:color w:val="auto"/>
              </w:rPr>
            </w:pPr>
          </w:p>
        </w:tc>
      </w:tr>
      <w:tr>
        <w:trPr>
          <w:trHeight w:val="237"/>
        </w:trPr>
        <w:tc>
          <w:tcPr>
            <w:tcW w:w="6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Performance Period:</w:t>
            </w:r>
          </w:p>
        </w:tc>
        <w:tc>
          <w:tcPr>
            <w:tcW w:w="4580" w:type="dxa"/>
            <w:vAlign w:val="bottom"/>
            <w:tcBorders>
              <w:right w:val="single" w:sz="8" w:color="00000A"/>
            </w:tcBorders>
          </w:tcPr>
          <w:p>
            <w:pPr>
              <w:spacing w:after="0"/>
              <w:rPr>
                <w:sz w:val="20"/>
                <w:szCs w:val="20"/>
                <w:color w:val="auto"/>
              </w:rPr>
            </w:pPr>
          </w:p>
        </w:tc>
      </w:tr>
      <w:tr>
        <w:trPr>
          <w:trHeight w:val="27"/>
        </w:trPr>
        <w:tc>
          <w:tcPr>
            <w:tcW w:w="6120" w:type="dxa"/>
            <w:vAlign w:val="bottom"/>
            <w:tcBorders>
              <w:left w:val="single" w:sz="8" w:color="00000A"/>
              <w:bottom w:val="single" w:sz="8" w:color="00000A"/>
              <w:right w:val="single" w:sz="8" w:color="00000A"/>
            </w:tcBorders>
          </w:tcPr>
          <w:p>
            <w:pPr>
              <w:spacing w:after="0"/>
              <w:rPr>
                <w:sz w:val="2"/>
                <w:szCs w:val="2"/>
                <w:color w:val="auto"/>
              </w:rPr>
            </w:pPr>
          </w:p>
        </w:tc>
        <w:tc>
          <w:tcPr>
            <w:tcW w:w="4580" w:type="dxa"/>
            <w:vAlign w:val="bottom"/>
            <w:tcBorders>
              <w:bottom w:val="single" w:sz="8" w:color="00000A"/>
              <w:right w:val="single" w:sz="8" w:color="00000A"/>
            </w:tcBorders>
          </w:tcPr>
          <w:p>
            <w:pPr>
              <w:spacing w:after="0"/>
              <w:rPr>
                <w:sz w:val="2"/>
                <w:szCs w:val="2"/>
                <w:color w:val="auto"/>
              </w:rPr>
            </w:pPr>
          </w:p>
        </w:tc>
      </w:tr>
      <w:tr>
        <w:trPr>
          <w:trHeight w:val="237"/>
        </w:trPr>
        <w:tc>
          <w:tcPr>
            <w:tcW w:w="6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Performance Goals:</w:t>
            </w:r>
          </w:p>
        </w:tc>
        <w:tc>
          <w:tcPr>
            <w:tcW w:w="4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See Exhibit A</w:t>
            </w:r>
          </w:p>
        </w:tc>
      </w:tr>
      <w:tr>
        <w:trPr>
          <w:trHeight w:val="27"/>
        </w:trPr>
        <w:tc>
          <w:tcPr>
            <w:tcW w:w="6120" w:type="dxa"/>
            <w:vAlign w:val="bottom"/>
            <w:tcBorders>
              <w:left w:val="single" w:sz="8" w:color="00000A"/>
              <w:bottom w:val="single" w:sz="8" w:color="00000A"/>
              <w:right w:val="single" w:sz="8" w:color="00000A"/>
            </w:tcBorders>
          </w:tcPr>
          <w:p>
            <w:pPr>
              <w:spacing w:after="0"/>
              <w:rPr>
                <w:sz w:val="2"/>
                <w:szCs w:val="2"/>
                <w:color w:val="auto"/>
              </w:rPr>
            </w:pPr>
          </w:p>
        </w:tc>
        <w:tc>
          <w:tcPr>
            <w:tcW w:w="4580" w:type="dxa"/>
            <w:vAlign w:val="bottom"/>
            <w:tcBorders>
              <w:bottom w:val="single" w:sz="8" w:color="00000A"/>
              <w:right w:val="single" w:sz="8" w:color="00000A"/>
            </w:tcBorders>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terms, provisions and conditions applicable to Performance-based Restricted Stock Unit Awards set forth in the Plan and not set forth in this Agreement are incorporated by reference into this Agreement.</w:t>
      </w:r>
    </w:p>
    <w:p>
      <w:pPr>
        <w:spacing w:after="0" w:line="193"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Performance Restricted Stock Units</w:t>
      </w:r>
    </w:p>
    <w:p>
      <w:pPr>
        <w:spacing w:after="0" w:line="243"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Corporation hereby confirms the grant to you, as of the Grant Date and subject to the terms and conditions of this Agreement and the Plan, of the number of Performance Restricted Stock Units identified in the table above (the "Units"). Each Unit represents the right to receive one Share of the Corporation’s Class A Nonvoting Common Stock of the Corporation,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196" w:lineRule="exact"/>
        <w:rPr>
          <w:sz w:val="20"/>
          <w:szCs w:val="20"/>
          <w:color w:val="auto"/>
        </w:rPr>
      </w:pPr>
    </w:p>
    <w:p>
      <w:pPr>
        <w:ind w:left="800" w:hanging="792"/>
        <w:spacing w:after="0"/>
        <w:tabs>
          <w:tab w:leader="none" w:pos="8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Forfeiture of Units</w:t>
      </w:r>
    </w:p>
    <w:p>
      <w:pPr>
        <w:spacing w:after="0" w:line="24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pacing w:after="0" w:line="170" w:lineRule="exact"/>
        <w:rPr>
          <w:sz w:val="20"/>
          <w:szCs w:val="20"/>
          <w:color w:val="auto"/>
        </w:rPr>
      </w:pPr>
    </w:p>
    <w:p>
      <w:pPr>
        <w:jc w:val="both"/>
        <w:ind w:left="1300" w:hanging="644"/>
        <w:spacing w:after="0" w:line="25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Scheduled Vesting. </w:t>
      </w:r>
      <w:r>
        <w:rPr>
          <w:rFonts w:ascii="Arial" w:cs="Arial" w:eastAsia="Arial" w:hAnsi="Arial"/>
          <w:sz w:val="18"/>
          <w:szCs w:val="18"/>
          <w:color w:val="auto"/>
        </w:rPr>
        <w:t>The number of Units that have been earned during the Performance Period shall be eligible to vest on the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189"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If employment is terminated as a result of the Employee’s retirement (after age 60 with five years of employment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or a Subsidiary) and after the Employee has been employed for at least one year after the Grant Date, the Employee will receive a pro rata portion of the Units that would otherwise have been determined to vest on the Scheduled Vesting Date in accordance with Exhibit A if the Employee had remained continuously employed until the Scheduled Vesting Date. The pro rata portion shall be determined as follows: (a) if Employee is employed for at least one year, but less than two years after the Grant Date, the</w:t>
      </w:r>
    </w:p>
    <w:p>
      <w:pPr>
        <w:spacing w:after="0" w:line="19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0" w:right="239" w:bottom="1440" w:gutter="0" w:footer="0" w:header="0"/>
        </w:sectPr>
      </w:pPr>
    </w:p>
    <w:bookmarkStart w:id="18" w:name="page19"/>
    <w:bookmarkEnd w:id="18"/>
    <w:p>
      <w:pPr>
        <w:ind w:left="1292" w:right="20"/>
        <w:spacing w:after="0" w:line="395" w:lineRule="auto"/>
        <w:rPr>
          <w:sz w:val="20"/>
          <w:szCs w:val="20"/>
          <w:color w:val="auto"/>
        </w:rPr>
      </w:pPr>
      <w:r>
        <w:rPr>
          <w:rFonts w:ascii="Arial" w:cs="Arial" w:eastAsia="Arial" w:hAnsi="Arial"/>
          <w:sz w:val="16"/>
          <w:szCs w:val="16"/>
          <w:color w:val="auto"/>
        </w:rPr>
        <w:t>Employee shall earn 2/3 of the number of Units that would otherwise have been determined to vest and (b) if Employee is employed for at least two years after the Grant Date, the Employee shall earn 100% of the Units that would otherwise have been determined to vest.</w:t>
      </w:r>
    </w:p>
    <w:p>
      <w:pPr>
        <w:spacing w:after="0" w:line="97" w:lineRule="exact"/>
        <w:rPr>
          <w:sz w:val="20"/>
          <w:szCs w:val="20"/>
          <w:color w:val="auto"/>
        </w:rPr>
      </w:pPr>
    </w:p>
    <w:p>
      <w:pPr>
        <w:jc w:val="both"/>
        <w:ind w:left="1292" w:hanging="644"/>
        <w:spacing w:after="0" w:line="297" w:lineRule="auto"/>
        <w:tabs>
          <w:tab w:leader="none" w:pos="129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Death. </w:t>
      </w:r>
      <w:r>
        <w:rPr>
          <w:rFonts w:ascii="Arial" w:cs="Arial" w:eastAsia="Arial" w:hAnsi="Arial"/>
          <w:sz w:val="16"/>
          <w:szCs w:val="16"/>
          <w:color w:val="auto"/>
        </w:rPr>
        <w:t>If employment is terminated by the death of the Employee prior to the last day of the Performance Period, the Units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to the Employee shall be 100% vested at target. If employment is terminated by death on or after the last day of the Performance Period, the number of Units determined to have been earned as of the end of the Performance Period in accordance with Exhibit A shall vest. Vested Units shall be payable to the Employee’s personal representative or to the person to whom the Units are transferred under the Employee’s last will and testament or the applicable laws of descent and distribution within 60 days of the Employee's death.</w:t>
      </w:r>
    </w:p>
    <w:p>
      <w:pPr>
        <w:spacing w:after="0" w:line="158" w:lineRule="exact"/>
        <w:rPr>
          <w:rFonts w:ascii="Arial" w:cs="Arial" w:eastAsia="Arial" w:hAnsi="Arial"/>
          <w:sz w:val="16"/>
          <w:szCs w:val="16"/>
          <w:color w:val="auto"/>
        </w:rPr>
      </w:pPr>
    </w:p>
    <w:p>
      <w:pPr>
        <w:jc w:val="both"/>
        <w:ind w:left="1292" w:hanging="644"/>
        <w:spacing w:after="0" w:line="259" w:lineRule="auto"/>
        <w:tabs>
          <w:tab w:leader="none" w:pos="129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If employment is terminated as a result of the Disability of the Employee prior to the last day of the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Units granted hereunder to the Employee shall be 100% vested at target and payable within 60 days of the Employee's Disability. If employment is terminated by Disability on or after the last day of the Performance Period, the number of Units determined to have been earned as of the end of the Performance Period in accordance with Exhibit A shall vest.</w:t>
      </w:r>
    </w:p>
    <w:p>
      <w:pPr>
        <w:spacing w:after="0" w:line="187" w:lineRule="exact"/>
        <w:rPr>
          <w:sz w:val="20"/>
          <w:szCs w:val="20"/>
          <w:color w:val="auto"/>
        </w:rPr>
      </w:pPr>
    </w:p>
    <w:p>
      <w:pPr>
        <w:ind w:left="1292" w:right="120" w:hanging="644"/>
        <w:spacing w:after="0" w:line="277" w:lineRule="auto"/>
        <w:tabs>
          <w:tab w:leader="none" w:pos="12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If a Change in Control occurs while the Employee continues to be employed, then the Units shall vest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Control to the extent provided below:</w:t>
      </w:r>
    </w:p>
    <w:p>
      <w:pPr>
        <w:spacing w:after="0" w:line="170"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Change in Control occurs on or after the last day of the Performance Period, the number of Units determined to have been earned as of the end of the Performance Period in accordance with Exhibit A shall vest.</w:t>
      </w:r>
    </w:p>
    <w:p>
      <w:pPr>
        <w:spacing w:after="0" w:line="170"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of a Change in Control prior to the end of the Performance Period, the Units shall become 100% vested at target and the performance conditions described under Section 2 and Exhibit A shall cease to apply.</w:t>
      </w:r>
    </w:p>
    <w:p>
      <w:pPr>
        <w:spacing w:after="0" w:line="170" w:lineRule="exact"/>
        <w:rPr>
          <w:rFonts w:ascii="Arial" w:cs="Arial" w:eastAsia="Arial" w:hAnsi="Arial"/>
          <w:sz w:val="18"/>
          <w:szCs w:val="18"/>
          <w:color w:val="auto"/>
        </w:rPr>
      </w:pPr>
    </w:p>
    <w:p>
      <w:pPr>
        <w:ind w:left="1952" w:hanging="655"/>
        <w:spacing w:after="0" w:line="308" w:lineRule="auto"/>
        <w:tabs>
          <w:tab w:leader="none" w:pos="1952" w:val="left"/>
        </w:tabs>
        <w:numPr>
          <w:ilvl w:val="1"/>
          <w:numId w:val="32"/>
        </w:numPr>
        <w:rPr>
          <w:rFonts w:ascii="Arial" w:cs="Arial" w:eastAsia="Arial" w:hAnsi="Arial"/>
          <w:sz w:val="17"/>
          <w:szCs w:val="17"/>
          <w:color w:val="auto"/>
        </w:rPr>
      </w:pPr>
      <w:r>
        <w:rPr>
          <w:rFonts w:ascii="Arial" w:cs="Arial" w:eastAsia="Arial" w:hAnsi="Arial"/>
          <w:sz w:val="17"/>
          <w:szCs w:val="17"/>
          <w:color w:val="auto"/>
        </w:rPr>
        <w:t>For purposes of this Award, the term "Change in Control" shall have the meaning set forth in Exhibit B. No event described in Section 13.05 of the Plan shall cause the Units to become vested unless such event is a Change in Control.</w:t>
      </w:r>
    </w:p>
    <w:p>
      <w:pPr>
        <w:spacing w:after="0" w:line="146" w:lineRule="exact"/>
        <w:rPr>
          <w:rFonts w:ascii="Arial" w:cs="Arial" w:eastAsia="Arial" w:hAnsi="Arial"/>
          <w:sz w:val="17"/>
          <w:szCs w:val="17"/>
          <w:color w:val="auto"/>
        </w:rPr>
      </w:pPr>
    </w:p>
    <w:p>
      <w:pPr>
        <w:ind w:left="1292" w:right="180" w:hanging="644"/>
        <w:spacing w:after="0" w:line="277" w:lineRule="auto"/>
        <w:tabs>
          <w:tab w:leader="none" w:pos="129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Forfeiture of Unvested Units. </w:t>
      </w:r>
      <w:r>
        <w:rPr>
          <w:rFonts w:ascii="Arial" w:cs="Arial" w:eastAsia="Arial" w:hAnsi="Arial"/>
          <w:sz w:val="18"/>
          <w:szCs w:val="18"/>
          <w:color w:val="auto"/>
        </w:rPr>
        <w:t>If employment is terminated prior to the Scheduled Vesting Date under circumstances other than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Sections 2(a) through (e), all unvested Units shall immediately be forfeited.</w:t>
      </w:r>
    </w:p>
    <w:p>
      <w:pPr>
        <w:spacing w:after="0" w:line="166" w:lineRule="exact"/>
        <w:rPr>
          <w:sz w:val="20"/>
          <w:szCs w:val="20"/>
          <w:color w:val="auto"/>
        </w:rPr>
      </w:pPr>
    </w:p>
    <w:p>
      <w:pPr>
        <w:ind w:left="312" w:hanging="312"/>
        <w:spacing w:after="0"/>
        <w:tabs>
          <w:tab w:leader="none" w:pos="31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229" w:lineRule="exact"/>
        <w:rPr>
          <w:sz w:val="20"/>
          <w:szCs w:val="20"/>
          <w:color w:val="auto"/>
        </w:rPr>
      </w:pPr>
    </w:p>
    <w:p>
      <w:pPr>
        <w:jc w:val="both"/>
        <w:ind w:left="652"/>
        <w:spacing w:after="0" w:line="272" w:lineRule="auto"/>
        <w:rPr>
          <w:sz w:val="20"/>
          <w:szCs w:val="20"/>
          <w:color w:val="auto"/>
        </w:rPr>
      </w:pPr>
      <w:r>
        <w:rPr>
          <w:rFonts w:ascii="Arial" w:cs="Arial" w:eastAsia="Arial" w:hAnsi="Arial"/>
          <w:sz w:val="17"/>
          <w:szCs w:val="17"/>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 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174" w:lineRule="exact"/>
        <w:rPr>
          <w:sz w:val="20"/>
          <w:szCs w:val="20"/>
          <w:color w:val="auto"/>
        </w:rPr>
      </w:pPr>
    </w:p>
    <w:p>
      <w:pPr>
        <w:ind w:left="312" w:hanging="312"/>
        <w:spacing w:after="0"/>
        <w:tabs>
          <w:tab w:leader="none" w:pos="31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29" w:lineRule="exact"/>
        <w:rPr>
          <w:sz w:val="20"/>
          <w:szCs w:val="20"/>
          <w:color w:val="auto"/>
        </w:rPr>
      </w:pPr>
    </w:p>
    <w:p>
      <w:pPr>
        <w:jc w:val="both"/>
        <w:ind w:left="652"/>
        <w:spacing w:after="0" w:line="272" w:lineRule="auto"/>
        <w:rPr>
          <w:sz w:val="20"/>
          <w:szCs w:val="20"/>
          <w:color w:val="auto"/>
        </w:rPr>
      </w:pPr>
      <w:r>
        <w:rPr>
          <w:rFonts w:ascii="Arial" w:cs="Arial" w:eastAsia="Arial" w:hAnsi="Arial"/>
          <w:sz w:val="17"/>
          <w:szCs w:val="17"/>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w:t>
      </w:r>
    </w:p>
    <w:p>
      <w:pPr>
        <w:spacing w:after="0" w:line="200" w:lineRule="exact"/>
        <w:rPr>
          <w:sz w:val="20"/>
          <w:szCs w:val="20"/>
          <w:color w:val="auto"/>
        </w:rPr>
      </w:pPr>
    </w:p>
    <w:p>
      <w:pPr>
        <w:spacing w:after="0" w:line="227"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611" w:right="239" w:bottom="1440" w:gutter="0" w:footer="0" w:header="0"/>
        </w:sectPr>
      </w:pPr>
    </w:p>
    <w:bookmarkStart w:id="19" w:name="page20"/>
    <w:bookmarkEnd w:id="19"/>
    <w:p>
      <w:pPr>
        <w:ind w:left="652"/>
        <w:spacing w:after="0" w:line="277" w:lineRule="auto"/>
        <w:rPr>
          <w:sz w:val="20"/>
          <w:szCs w:val="20"/>
          <w:color w:val="auto"/>
        </w:rPr>
      </w:pPr>
      <w:r>
        <w:rPr>
          <w:rFonts w:ascii="Arial" w:cs="Arial" w:eastAsia="Arial" w:hAnsi="Arial"/>
          <w:sz w:val="18"/>
          <w:szCs w:val="18"/>
          <w:color w:val="auto"/>
        </w:rPr>
        <w:t>withholding obligations; provided that the Shares withheld may not have a Fair Market Value exceeding the maximum statutory tax rates in the Employee’s applicable jurisdictions.</w:t>
      </w:r>
    </w:p>
    <w:p>
      <w:pPr>
        <w:spacing w:after="0" w:line="166" w:lineRule="exact"/>
        <w:rPr>
          <w:sz w:val="20"/>
          <w:szCs w:val="20"/>
          <w:color w:val="auto"/>
        </w:rPr>
      </w:pPr>
    </w:p>
    <w:p>
      <w:pPr>
        <w:ind w:left="312" w:hanging="312"/>
        <w:spacing w:after="0"/>
        <w:tabs>
          <w:tab w:leader="none" w:pos="31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Dividends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 dividends will be paid or accrued on any Performance-based Restricted Stock Units prior to the issuance of Shares.</w:t>
      </w:r>
    </w:p>
    <w:p>
      <w:pPr>
        <w:spacing w:after="0" w:line="221" w:lineRule="exact"/>
        <w:rPr>
          <w:sz w:val="20"/>
          <w:szCs w:val="20"/>
          <w:color w:val="auto"/>
        </w:rPr>
      </w:pPr>
    </w:p>
    <w:p>
      <w:pPr>
        <w:ind w:left="312" w:hanging="312"/>
        <w:spacing w:after="0"/>
        <w:tabs>
          <w:tab w:leader="none" w:pos="31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Shareholder Rights</w:t>
      </w:r>
    </w:p>
    <w:p>
      <w:pPr>
        <w:spacing w:after="0" w:line="229"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177" w:lineRule="exact"/>
        <w:rPr>
          <w:sz w:val="20"/>
          <w:szCs w:val="20"/>
          <w:color w:val="auto"/>
        </w:rPr>
      </w:pPr>
    </w:p>
    <w:p>
      <w:pPr>
        <w:ind w:left="312" w:hanging="312"/>
        <w:spacing w:after="0"/>
        <w:tabs>
          <w:tab w:leader="none" w:pos="31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Restrictions</w:t>
      </w:r>
    </w:p>
    <w:p>
      <w:pPr>
        <w:spacing w:after="0" w:line="229"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177" w:lineRule="exact"/>
        <w:rPr>
          <w:sz w:val="20"/>
          <w:szCs w:val="20"/>
          <w:color w:val="auto"/>
        </w:rPr>
      </w:pPr>
    </w:p>
    <w:p>
      <w:pPr>
        <w:ind w:left="312" w:hanging="312"/>
        <w:spacing w:after="0"/>
        <w:tabs>
          <w:tab w:leader="none" w:pos="31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sz w:val="20"/>
          <w:szCs w:val="20"/>
          <w:color w:val="auto"/>
        </w:rPr>
      </w:pPr>
    </w:p>
    <w:p>
      <w:pPr>
        <w:jc w:val="both"/>
        <w:ind w:left="1292" w:hanging="644"/>
        <w:spacing w:after="0" w:line="268" w:lineRule="auto"/>
        <w:tabs>
          <w:tab w:leader="none" w:pos="12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b w:val="1"/>
          <w:bCs w:val="1"/>
          <w:color w:val="auto"/>
        </w:rPr>
      </w:pPr>
    </w:p>
    <w:p>
      <w:pPr>
        <w:ind w:left="1952" w:hanging="655"/>
        <w:spacing w:after="0" w:line="277" w:lineRule="auto"/>
        <w:tabs>
          <w:tab w:leader="none" w:pos="195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b w:val="1"/>
          <w:bCs w:val="1"/>
          <w:color w:val="auto"/>
        </w:rPr>
      </w:pPr>
    </w:p>
    <w:p>
      <w:pPr>
        <w:jc w:val="both"/>
        <w:ind w:left="1952" w:hanging="655"/>
        <w:spacing w:after="0" w:line="312" w:lineRule="auto"/>
        <w:tabs>
          <w:tab w:leader="none" w:pos="1952"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b w:val="1"/>
          <w:bCs w:val="1"/>
          <w:color w:val="auto"/>
        </w:rPr>
      </w:pPr>
    </w:p>
    <w:p>
      <w:pPr>
        <w:jc w:val="both"/>
        <w:ind w:left="1952" w:hanging="655"/>
        <w:spacing w:after="0" w:line="264" w:lineRule="auto"/>
        <w:tabs>
          <w:tab w:leader="none" w:pos="195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00" w:lineRule="exact"/>
        <w:rPr>
          <w:sz w:val="20"/>
          <w:szCs w:val="20"/>
          <w:color w:val="auto"/>
        </w:rPr>
      </w:pPr>
    </w:p>
    <w:p>
      <w:pPr>
        <w:spacing w:after="0" w:line="231"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584" w:right="239" w:bottom="1440" w:gutter="0" w:footer="0" w:header="0"/>
        </w:sectPr>
      </w:pPr>
    </w:p>
    <w:bookmarkStart w:id="20" w:name="page21"/>
    <w:bookmarkEnd w:id="20"/>
    <w:p>
      <w:pPr>
        <w:jc w:val="both"/>
        <w:ind w:left="1952" w:hanging="655"/>
        <w:spacing w:after="0" w:line="264" w:lineRule="auto"/>
        <w:tabs>
          <w:tab w:leader="none" w:pos="1952"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b w:val="1"/>
          <w:bCs w:val="1"/>
          <w:color w:val="auto"/>
        </w:rPr>
      </w:pPr>
    </w:p>
    <w:p>
      <w:pPr>
        <w:jc w:val="both"/>
        <w:ind w:left="1292" w:hanging="644"/>
        <w:spacing w:after="0" w:line="25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952" w:right="80" w:hanging="655"/>
        <w:spacing w:after="0" w:line="286" w:lineRule="auto"/>
        <w:tabs>
          <w:tab w:leader="none" w:pos="1952" w:val="left"/>
        </w:tabs>
        <w:numPr>
          <w:ilvl w:val="1"/>
          <w:numId w:val="41"/>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6" w:lineRule="exact"/>
        <w:rPr>
          <w:sz w:val="20"/>
          <w:szCs w:val="20"/>
          <w:color w:val="auto"/>
        </w:rPr>
      </w:pPr>
    </w:p>
    <w:p>
      <w:pPr>
        <w:ind w:left="1952" w:right="140" w:hanging="655"/>
        <w:spacing w:after="0" w:line="273" w:lineRule="auto"/>
        <w:tabs>
          <w:tab w:leader="none" w:pos="19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78"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agrees that the terms of this Section 8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312" w:hanging="312"/>
        <w:spacing w:after="0"/>
        <w:tabs>
          <w:tab w:leader="none" w:pos="31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229"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w:t>
      </w:r>
    </w:p>
    <w:p>
      <w:pPr>
        <w:spacing w:after="0" w:line="200" w:lineRule="exact"/>
        <w:rPr>
          <w:sz w:val="20"/>
          <w:szCs w:val="20"/>
          <w:color w:val="auto"/>
        </w:rPr>
      </w:pPr>
    </w:p>
    <w:p>
      <w:pPr>
        <w:spacing w:after="0" w:line="220"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584" w:right="239" w:bottom="1440" w:gutter="0" w:footer="0" w:header="0"/>
        </w:sectPr>
      </w:pPr>
    </w:p>
    <w:bookmarkStart w:id="21" w:name="page22"/>
    <w:bookmarkEnd w:id="21"/>
    <w:p>
      <w:pPr>
        <w:ind w:left="660"/>
        <w:spacing w:after="0" w:line="277" w:lineRule="auto"/>
        <w:rPr>
          <w:sz w:val="20"/>
          <w:szCs w:val="20"/>
          <w:color w:val="auto"/>
        </w:rPr>
      </w:pPr>
      <w:r>
        <w:rPr>
          <w:rFonts w:ascii="Arial" w:cs="Arial" w:eastAsia="Arial" w:hAnsi="Arial"/>
          <w:sz w:val="18"/>
          <w:szCs w:val="18"/>
          <w:color w:val="auto"/>
        </w:rPr>
        <w:t>repayment or forfeiture of Awards or any Shares or other cash or property received with respect to the Awards (including any value received from a disposition of the Shares acquired upon payment of the Awards).</w:t>
      </w:r>
    </w:p>
    <w:p>
      <w:pPr>
        <w:spacing w:after="0" w:line="166"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Agreement will be binding in all respects on heirs, representatives, successors and assigns of the Employee, and on the successors and assigns of the Corporation.</w:t>
      </w:r>
    </w:p>
    <w:p>
      <w:pPr>
        <w:spacing w:after="0" w:line="166"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4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14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114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___________________________, hereby accept the foregoing Award and agree to the terms and conditions thereof, including the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contained in Section 9 of this Agreement.</w:t>
      </w:r>
    </w:p>
    <w:p>
      <w:pPr>
        <w:spacing w:after="0" w:line="31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-10160</wp:posOffset>
            </wp:positionV>
            <wp:extent cx="571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571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8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Performance Goals</w:t>
      </w:r>
    </w:p>
    <w:p>
      <w:pPr>
        <w:spacing w:after="0" w:line="200" w:lineRule="exact"/>
        <w:rPr>
          <w:sz w:val="20"/>
          <w:szCs w:val="20"/>
          <w:color w:val="auto"/>
        </w:rPr>
      </w:pPr>
    </w:p>
    <w:p>
      <w:pPr>
        <w:spacing w:after="0" w:line="27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1440" w:top="580" w:right="239" w:bottom="1440" w:gutter="0" w:footer="0" w:header="0"/>
        </w:sectPr>
      </w:pPr>
    </w:p>
    <w:bookmarkStart w:id="23" w:name="page24"/>
    <w:bookmarkEnd w:id="23"/>
    <w:p>
      <w:pPr>
        <w:ind w:left="10472"/>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592"/>
        <w:spacing w:after="0"/>
        <w:rPr>
          <w:sz w:val="20"/>
          <w:szCs w:val="20"/>
          <w:color w:val="auto"/>
        </w:rPr>
      </w:pPr>
      <w:r>
        <w:rPr>
          <w:rFonts w:ascii="Arial" w:cs="Arial" w:eastAsia="Arial" w:hAnsi="Arial"/>
          <w:sz w:val="18"/>
          <w:szCs w:val="18"/>
          <w:b w:val="1"/>
          <w:bCs w:val="1"/>
          <w:color w:val="auto"/>
        </w:rPr>
        <w:t>Change in Control Definition</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00" w:lineRule="exact"/>
        <w:rPr>
          <w:sz w:val="20"/>
          <w:szCs w:val="20"/>
          <w:color w:val="auto"/>
        </w:rPr>
      </w:pPr>
    </w:p>
    <w:p>
      <w:pPr>
        <w:spacing w:after="0" w:line="245" w:lineRule="exact"/>
        <w:rPr>
          <w:sz w:val="20"/>
          <w:szCs w:val="20"/>
          <w:color w:val="auto"/>
        </w:rPr>
      </w:pPr>
    </w:p>
    <w:p>
      <w:pPr>
        <w:jc w:val="both"/>
        <w:ind w:left="-8" w:firstLine="656"/>
        <w:spacing w:after="0" w:line="270" w:lineRule="auto"/>
        <w:tabs>
          <w:tab w:leader="none" w:pos="894"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77" w:lineRule="exact"/>
        <w:rPr>
          <w:rFonts w:ascii="Arial" w:cs="Arial" w:eastAsia="Arial" w:hAnsi="Arial"/>
          <w:sz w:val="17"/>
          <w:szCs w:val="17"/>
          <w:color w:val="auto"/>
        </w:rPr>
      </w:pPr>
    </w:p>
    <w:p>
      <w:pPr>
        <w:jc w:val="both"/>
        <w:ind w:left="-8" w:firstLine="980"/>
        <w:spacing w:after="0" w:line="270" w:lineRule="auto"/>
        <w:tabs>
          <w:tab w:leader="none" w:pos="122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1" w:lineRule="exact"/>
        <w:rPr>
          <w:sz w:val="20"/>
          <w:szCs w:val="20"/>
          <w:color w:val="auto"/>
        </w:rPr>
      </w:pPr>
    </w:p>
    <w:p>
      <w:pPr>
        <w:jc w:val="both"/>
        <w:ind w:left="-8" w:firstLine="656"/>
        <w:spacing w:after="0" w:line="268" w:lineRule="auto"/>
        <w:tabs>
          <w:tab w:leader="none" w:pos="912" w:val="left"/>
        </w:tabs>
        <w:numPr>
          <w:ilvl w:val="1"/>
          <w:numId w:val="50"/>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7" w:lineRule="exact"/>
        <w:rPr>
          <w:rFonts w:ascii="Arial" w:cs="Arial" w:eastAsia="Arial" w:hAnsi="Arial"/>
          <w:sz w:val="17"/>
          <w:szCs w:val="17"/>
          <w:color w:val="auto"/>
        </w:rPr>
      </w:pPr>
    </w:p>
    <w:p>
      <w:pPr>
        <w:ind w:left="912" w:hanging="264"/>
        <w:spacing w:after="0"/>
        <w:tabs>
          <w:tab w:leader="none" w:pos="912" w:val="left"/>
        </w:tabs>
        <w:numPr>
          <w:ilvl w:val="1"/>
          <w:numId w:val="50"/>
        </w:numPr>
        <w:rPr>
          <w:rFonts w:ascii="Arial" w:cs="Arial" w:eastAsia="Arial" w:hAnsi="Arial"/>
          <w:sz w:val="16"/>
          <w:szCs w:val="16"/>
          <w:color w:val="auto"/>
        </w:rPr>
      </w:pPr>
      <w:r>
        <w:rPr>
          <w:rFonts w:ascii="Arial" w:cs="Arial" w:eastAsia="Arial" w:hAnsi="Arial"/>
          <w:sz w:val="16"/>
          <w:szCs w:val="16"/>
          <w:color w:val="auto"/>
        </w:rPr>
        <w:t>Approval by the shareholders of the Company and the subsequent consummation of (i) a complete liquidation or dissolution of the Company or</w:t>
      </w:r>
    </w:p>
    <w:p>
      <w:pPr>
        <w:spacing w:after="0" w:line="46" w:lineRule="exact"/>
        <w:rPr>
          <w:rFonts w:ascii="Arial" w:cs="Arial" w:eastAsia="Arial" w:hAnsi="Arial"/>
          <w:sz w:val="16"/>
          <w:szCs w:val="16"/>
          <w:color w:val="auto"/>
        </w:rPr>
      </w:pPr>
    </w:p>
    <w:p>
      <w:pPr>
        <w:jc w:val="both"/>
        <w:ind w:left="-8" w:firstLine="8"/>
        <w:spacing w:after="0" w:line="252"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w:t>
      </w:r>
    </w:p>
    <w:p>
      <w:pPr>
        <w:spacing w:after="0" w:line="225"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796"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0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8</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3"/>
    </w:lvl>
    <w:lvl w:ilvl="1">
      <w:lvlJc w:val="left"/>
      <w:lvlText w:val="(%2)"/>
      <w:numFmt w:val="lowerLetter"/>
      <w:start w:val="1"/>
    </w:lvl>
  </w:abstractNum>
  <w:abstractNum w:abstractNumId="3">
    <w:nsid w:val="71F3245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
    <w:nsid w:val="2CA88611"/>
    <w:multiLevelType w:val="hybridMultilevel"/>
    <w:lvl w:ilvl="0">
      <w:lvlJc w:val="left"/>
      <w:lvlText w:val="%1"/>
      <w:numFmt w:val="lowerLetter"/>
      <w:start w:val="1"/>
    </w:lvl>
    <w:lvl w:ilvl="1">
      <w:lvlJc w:val="left"/>
      <w:lvlText w:val="(%2)"/>
      <w:numFmt w:val="lowerRoman"/>
      <w:start w:val="4"/>
    </w:lvl>
  </w:abstractNum>
  <w:abstractNum w:abstractNumId="5">
    <w:nsid w:val="836C40E"/>
    <w:multiLevelType w:val="hybridMultilevel"/>
    <w:lvl w:ilvl="0">
      <w:lvlJc w:val="left"/>
      <w:lvlText w:val="(%1)"/>
      <w:numFmt w:val="lowerLetter"/>
      <w:start w:val="1"/>
    </w:lvl>
    <w:lvl w:ilvl="1">
      <w:lvlJc w:val="left"/>
      <w:lvlText w:val="(%2)"/>
      <w:numFmt w:val="lowerRoman"/>
      <w:start w:val="1"/>
    </w:lvl>
  </w:abstractNum>
  <w:abstractNum w:abstractNumId="6">
    <w:nsid w:val="2901D82"/>
    <w:multiLevelType w:val="hybridMultilevel"/>
    <w:lvl w:ilvl="0">
      <w:lvlJc w:val="left"/>
      <w:lvlText w:val="(%1)"/>
      <w:numFmt w:val="lowerLetter"/>
      <w:start w:val="2"/>
    </w:lvl>
  </w:abstractNum>
  <w:abstractNum w:abstractNumId="7">
    <w:nsid w:val="3A95F874"/>
    <w:multiLevelType w:val="hybridMultilevel"/>
    <w:lvl w:ilvl="0">
      <w:lvlJc w:val="left"/>
      <w:lvlText w:val="%1"/>
      <w:numFmt w:val="decimal"/>
      <w:start w:val="1"/>
    </w:lvl>
    <w:lvl w:ilvl="1">
      <w:lvlJc w:val="left"/>
      <w:lvlText w:val="(%2)"/>
      <w:numFmt w:val="lowerLetter"/>
      <w:start w:val="4"/>
    </w:lvl>
  </w:abstractNum>
  <w:abstractNum w:abstractNumId="8">
    <w:nsid w:val="8138641"/>
    <w:multiLevelType w:val="hybridMultilevel"/>
    <w:lvl w:ilvl="0">
      <w:lvlJc w:val="left"/>
      <w:lvlText w:val="%1."/>
      <w:numFmt w:val="decimal"/>
      <w:start w:val="11"/>
    </w:lvl>
    <w:lvl w:ilvl="1">
      <w:lvlJc w:val="left"/>
      <w:lvlText w:val="%2"/>
      <w:numFmt w:val="lowerLetter"/>
      <w:start w:val="1"/>
    </w:lvl>
  </w:abstractNum>
  <w:abstractNum w:abstractNumId="9">
    <w:nsid w:val="1E7FF521"/>
    <w:multiLevelType w:val="hybridMultilevel"/>
    <w:lvl w:ilvl="0">
      <w:lvlJc w:val="left"/>
      <w:lvlText w:val="%1."/>
      <w:numFmt w:val="decimal"/>
      <w:start w:val="15"/>
    </w:lvl>
  </w:abstractNum>
  <w:abstractNum w:abstractNumId="10">
    <w:nsid w:val="7C3DBD3D"/>
    <w:multiLevelType w:val="hybridMultilevel"/>
    <w:lvl w:ilvl="0">
      <w:lvlJc w:val="left"/>
      <w:lvlText w:val="%1."/>
      <w:numFmt w:val="decimal"/>
      <w:start w:val="16"/>
    </w:lvl>
  </w:abstractNum>
  <w:abstractNum w:abstractNumId="11">
    <w:nsid w:val="737B8DDC"/>
    <w:multiLevelType w:val="hybridMultilevel"/>
    <w:lvl w:ilvl="0">
      <w:lvlJc w:val="left"/>
      <w:lvlText w:val="(%1)"/>
      <w:numFmt w:val="lowerLetter"/>
      <w:start w:val="1"/>
    </w:lvl>
    <w:lvl w:ilvl="1">
      <w:lvlJc w:val="left"/>
      <w:lvlText w:val="(%2)"/>
      <w:numFmt w:val="lowerLetter"/>
      <w:start w:val="2"/>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1"/>
      <w:numFmt w:val="lowerLetter"/>
      <w:start w:val="1"/>
    </w:lvl>
    <w:lvl w:ilvl="1">
      <w:lvlJc w:val="left"/>
      <w:lvlText w:val="(%2)"/>
      <w:numFmt w:val="lowerLetter"/>
      <w:start w:val="4"/>
    </w:lvl>
  </w:abstractNum>
  <w:abstractNum w:abstractNumId="14">
    <w:nsid w:val="4516DDE9"/>
    <w:multiLevelType w:val="hybridMultilevel"/>
    <w:lvl w:ilvl="0">
      <w:lvlJc w:val="left"/>
      <w:lvlText w:val="(%1)"/>
      <w:numFmt w:val="lowerLetter"/>
      <w:start w:val="35"/>
    </w:lvl>
    <w:lvl w:ilvl="1">
      <w:lvlJc w:val="left"/>
      <w:lvlText w:val="%2"/>
      <w:numFmt w:val="lowerLetter"/>
      <w:start w:val="1"/>
    </w:lvl>
  </w:abstractNum>
  <w:abstractNum w:abstractNumId="15">
    <w:nsid w:val="3006C83E"/>
    <w:multiLevelType w:val="hybridMultilevel"/>
    <w:lvl w:ilvl="0">
      <w:lvlJc w:val="left"/>
      <w:lvlText w:val="%1."/>
      <w:numFmt w:val="decimal"/>
      <w:start w:val="1"/>
    </w:lvl>
    <w:lvl w:ilvl="1">
      <w:lvlJc w:val="left"/>
      <w:lvlText w:val="(%2)"/>
      <w:numFmt w:val="lowerLetter"/>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3"/>
      <w:numFmt w:val="bullet"/>
      <w:start w:val="1"/>
    </w:lvl>
    <w:lvl w:ilvl="1">
      <w:lvlJc w:val="left"/>
      <w:lvlText w:val="(%2)"/>
      <w:numFmt w:val="lowerLetter"/>
      <w:start w:val="1"/>
    </w:lvl>
  </w:abstractNum>
  <w:abstractNum w:abstractNumId="18">
    <w:nsid w:val="5577F8E1"/>
    <w:multiLevelType w:val="hybridMultilevel"/>
    <w:lvl w:ilvl="0">
      <w:lvlJc w:val="left"/>
      <w:lvlText w:val="%1."/>
      <w:numFmt w:val="decimal"/>
      <w:start w:val="4"/>
    </w:lvl>
    <w:lvl w:ilvl="1">
      <w:lvlJc w:val="left"/>
      <w:lvlText w:val="(%2)"/>
      <w:numFmt w:val="lowerLetter"/>
      <w:start w:val="1"/>
    </w:lvl>
  </w:abstractNum>
  <w:abstractNum w:abstractNumId="19">
    <w:nsid w:val="440BADFC"/>
    <w:multiLevelType w:val="hybridMultilevel"/>
    <w:lvl w:ilvl="0">
      <w:lvlJc w:val="left"/>
      <w:lvlText w:val="%1"/>
      <w:numFmt w:val="lowerLetter"/>
      <w:start w:val="1"/>
    </w:lvl>
    <w:lvl w:ilvl="1">
      <w:lvlJc w:val="left"/>
      <w:lvlText w:val="(%2)"/>
      <w:numFmt w:val="lowerRoman"/>
      <w:start w:val="1"/>
    </w:lvl>
  </w:abstractNum>
  <w:abstractNum w:abstractNumId="20">
    <w:nsid w:val="5072367"/>
    <w:multiLevelType w:val="hybridMultilevel"/>
    <w:lvl w:ilvl="0">
      <w:lvlJc w:val="left"/>
      <w:lvlText w:val="(%1)"/>
      <w:numFmt w:val="lowerLetter"/>
      <w:start w:val="1"/>
    </w:lvl>
    <w:lvl w:ilvl="1">
      <w:lvlJc w:val="left"/>
      <w:lvlText w:val="(%2)"/>
      <w:numFmt w:val="lowerRoman"/>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decimal"/>
      <w:start w:val="1"/>
    </w:lvl>
    <w:lvl w:ilvl="1">
      <w:lvlJc w:val="left"/>
      <w:lvlText w:val="(%2)"/>
      <w:numFmt w:val="lowerLetter"/>
      <w:start w:val="3"/>
    </w:lvl>
  </w:abstractNum>
  <w:abstractNum w:abstractNumId="23">
    <w:nsid w:val="7724C67E"/>
    <w:multiLevelType w:val="hybridMultilevel"/>
    <w:lvl w:ilvl="0">
      <w:lvlJc w:val="left"/>
      <w:lvlText w:val="%1."/>
      <w:numFmt w:val="decimal"/>
      <w:start w:val="10"/>
    </w:lvl>
    <w:lvl w:ilvl="1">
      <w:lvlJc w:val="left"/>
      <w:lvlText w:val="%2"/>
      <w:numFmt w:val="lowerLetter"/>
      <w:start w:val="1"/>
    </w:lvl>
  </w:abstractNum>
  <w:abstractNum w:abstractNumId="24">
    <w:nsid w:val="5C482A97"/>
    <w:multiLevelType w:val="hybridMultilevel"/>
    <w:lvl w:ilvl="0">
      <w:lvlJc w:val="left"/>
      <w:lvlText w:val="(%1)"/>
      <w:numFmt w:val="lowerLetter"/>
      <w:start w:val="1"/>
    </w:lvl>
    <w:lvl w:ilvl="1">
      <w:lvlJc w:val="left"/>
      <w:lvlText w:val="(%2)"/>
      <w:numFmt w:val="lowerLetter"/>
      <w:start w:val="2"/>
    </w:lvl>
  </w:abstractNum>
  <w:abstractNum w:abstractNumId="25">
    <w:nsid w:val="2463B9EA"/>
    <w:multiLevelType w:val="hybridMultilevel"/>
    <w:lvl w:ilvl="0">
      <w:lvlJc w:val="left"/>
      <w:lvlText w:val="%1"/>
      <w:numFmt w:val="lowerLetter"/>
      <w:start w:val="1"/>
    </w:lvl>
    <w:lvl w:ilvl="1">
      <w:lvlJc w:val="left"/>
      <w:lvlText w:val="(%2)"/>
      <w:numFmt w:val="lowerLetter"/>
      <w:start w:val="3"/>
    </w:lvl>
  </w:abstractNum>
  <w:abstractNum w:abstractNumId="26">
    <w:nsid w:val="5E884ADC"/>
    <w:multiLevelType w:val="hybridMultilevel"/>
    <w:lvl w:ilvl="0">
      <w:lvlJc w:val="left"/>
      <w:lvlText w:val="(%1)"/>
      <w:numFmt w:val="lowerLetter"/>
      <w:start w:val="35"/>
    </w:lvl>
    <w:lvl w:ilvl="1">
      <w:lvlJc w:val="left"/>
      <w:lvlText w:val="%2"/>
      <w:numFmt w:val="lowerLetter"/>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2"/>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Letter"/>
      <w:start w:val="1"/>
    </w:lvl>
    <w:lvl w:ilvl="1">
      <w:lvlJc w:val="left"/>
      <w:lvlText w:val="(%2)"/>
      <w:numFmt w:val="lowerRoman"/>
      <w:start w:val="1"/>
    </w:lvl>
  </w:abstractNum>
  <w:abstractNum w:abstractNumId="32">
    <w:nsid w:val="70A64E2A"/>
    <w:multiLevelType w:val="hybridMultilevel"/>
    <w:lvl w:ilvl="0">
      <w:lvlJc w:val="left"/>
      <w:lvlText w:val="%1."/>
      <w:numFmt w:val="decimal"/>
      <w:start w:val="3"/>
    </w:lvl>
  </w:abstractNum>
  <w:abstractNum w:abstractNumId="33">
    <w:nsid w:val="6A2342EC"/>
    <w:multiLevelType w:val="hybridMultilevel"/>
    <w:lvl w:ilvl="0">
      <w:lvlJc w:val="left"/>
      <w:lvlText w:val="%1."/>
      <w:numFmt w:val="decimal"/>
      <w:start w:val="4"/>
    </w:lvl>
  </w:abstractNum>
  <w:abstractNum w:abstractNumId="34">
    <w:nsid w:val="2A487CB0"/>
    <w:multiLevelType w:val="hybridMultilevel"/>
    <w:lvl w:ilvl="0">
      <w:lvlJc w:val="left"/>
      <w:lvlText w:val="%1."/>
      <w:numFmt w:val="decimal"/>
      <w:start w:val="5"/>
    </w:lvl>
  </w:abstractNum>
  <w:abstractNum w:abstractNumId="35">
    <w:nsid w:val="1D4ED43B"/>
    <w:multiLevelType w:val="hybridMultilevel"/>
    <w:lvl w:ilvl="0">
      <w:lvlJc w:val="left"/>
      <w:lvlText w:val="%1."/>
      <w:numFmt w:val="decimal"/>
      <w:start w:val="6"/>
    </w:lvl>
  </w:abstractNum>
  <w:abstractNum w:abstractNumId="36">
    <w:nsid w:val="725A06FB"/>
    <w:multiLevelType w:val="hybridMultilevel"/>
    <w:lvl w:ilvl="0">
      <w:lvlJc w:val="left"/>
      <w:lvlText w:val="%1."/>
      <w:numFmt w:val="decimal"/>
      <w:start w:val="7"/>
    </w:lvl>
  </w:abstractNum>
  <w:abstractNum w:abstractNumId="37">
    <w:nsid w:val="2CD89A32"/>
    <w:multiLevelType w:val="hybridMultilevel"/>
    <w:lvl w:ilvl="0">
      <w:lvlJc w:val="left"/>
      <w:lvlText w:val="%1."/>
      <w:numFmt w:val="decimal"/>
      <w:start w:val="8"/>
    </w:lvl>
  </w:abstractNum>
  <w:abstractNum w:abstractNumId="38">
    <w:nsid w:val="57E4CCAF"/>
    <w:multiLevelType w:val="hybridMultilevel"/>
    <w:lvl w:ilvl="0">
      <w:lvlJc w:val="left"/>
      <w:lvlText w:val="(%1)"/>
      <w:numFmt w:val="lowerLetter"/>
      <w:start w:val="1"/>
    </w:lvl>
    <w:lvl w:ilvl="1">
      <w:lvlJc w:val="left"/>
      <w:lvlText w:val="(%2)"/>
      <w:numFmt w:val="lowerRoman"/>
      <w:start w:val="1"/>
    </w:lvl>
  </w:abstractNum>
  <w:abstractNum w:abstractNumId="39">
    <w:nsid w:val="7A6D8D3C"/>
    <w:multiLevelType w:val="hybridMultilevel"/>
    <w:lvl w:ilvl="0">
      <w:lvlJc w:val="left"/>
      <w:lvlText w:val="%1"/>
      <w:numFmt w:val="lowerLetter"/>
      <w:start w:val="1"/>
    </w:lvl>
    <w:lvl w:ilvl="1">
      <w:lvlJc w:val="left"/>
      <w:lvlText w:val="(%2)"/>
      <w:numFmt w:val="lowerLetter"/>
      <w:start w:val="22"/>
    </w:lvl>
  </w:abstractNum>
  <w:abstractNum w:abstractNumId="40">
    <w:nsid w:val="4B588F54"/>
    <w:multiLevelType w:val="hybridMultilevel"/>
    <w:lvl w:ilvl="0">
      <w:lvlJc w:val="left"/>
      <w:lvlText w:val="(%1)"/>
      <w:numFmt w:val="lowerLetter"/>
      <w:start w:val="1"/>
    </w:lvl>
    <w:lvl w:ilvl="1">
      <w:lvlJc w:val="left"/>
      <w:lvlText w:val="(%2)"/>
      <w:numFmt w:val="lowerLetter"/>
      <w:start w:val="9"/>
    </w:lvl>
  </w:abstractNum>
  <w:abstractNum w:abstractNumId="41">
    <w:nsid w:val="542289EC"/>
    <w:multiLevelType w:val="hybridMultilevel"/>
    <w:lvl w:ilvl="0">
      <w:lvlJc w:val="left"/>
      <w:lvlText w:val="(%1)"/>
      <w:numFmt w:val="lowerRoman"/>
      <w:start w:val="2"/>
    </w:lvl>
  </w:abstractNum>
  <w:abstractNum w:abstractNumId="42">
    <w:nsid w:val="6DE91B18"/>
    <w:multiLevelType w:val="hybridMultilevel"/>
    <w:lvl w:ilvl="0">
      <w:lvlJc w:val="left"/>
      <w:lvlText w:val="%1"/>
      <w:numFmt w:val="decimal"/>
      <w:start w:val="1"/>
    </w:lvl>
    <w:lvl w:ilvl="1">
      <w:lvlJc w:val="left"/>
      <w:lvlText w:val="(%2)"/>
      <w:numFmt w:val="lowerLetter"/>
      <w:start w:val="2"/>
    </w:lvl>
  </w:abstractNum>
  <w:abstractNum w:abstractNumId="43">
    <w:nsid w:val="38437FDB"/>
    <w:multiLevelType w:val="hybridMultilevel"/>
    <w:lvl w:ilvl="0">
      <w:lvlJc w:val="left"/>
      <w:lvlText w:val="%1."/>
      <w:numFmt w:val="decimal"/>
      <w:start w:val="9"/>
    </w:lvl>
    <w:lvl w:ilvl="1">
      <w:lvlJc w:val="left"/>
      <w:lvlText w:val="%2"/>
      <w:numFmt w:val="lowerLetter"/>
      <w:start w:val="1"/>
    </w:lvl>
  </w:abstractNum>
  <w:abstractNum w:abstractNumId="44">
    <w:nsid w:val="7644A45C"/>
    <w:multiLevelType w:val="hybridMultilevel"/>
    <w:lvl w:ilvl="0">
      <w:lvlJc w:val="left"/>
      <w:lvlText w:val="%1."/>
      <w:numFmt w:val="decimal"/>
      <w:start w:val="10"/>
    </w:lvl>
  </w:abstractNum>
  <w:abstractNum w:abstractNumId="45">
    <w:nsid w:val="32FFF902"/>
    <w:multiLevelType w:val="hybridMultilevel"/>
    <w:lvl w:ilvl="0">
      <w:lvlJc w:val="left"/>
      <w:lvlText w:val="%1."/>
      <w:numFmt w:val="decimal"/>
      <w:start w:val="11"/>
    </w:lvl>
  </w:abstractNum>
  <w:abstractNum w:abstractNumId="46">
    <w:nsid w:val="684A481A"/>
    <w:multiLevelType w:val="hybridMultilevel"/>
    <w:lvl w:ilvl="0">
      <w:lvlJc w:val="left"/>
      <w:lvlText w:val="%1."/>
      <w:numFmt w:val="decimal"/>
      <w:start w:val="12"/>
    </w:lvl>
  </w:abstractNum>
  <w:abstractNum w:abstractNumId="47">
    <w:nsid w:val="579478FE"/>
    <w:multiLevelType w:val="hybridMultilevel"/>
    <w:lvl w:ilvl="0">
      <w:lvlJc w:val="left"/>
      <w:lvlText w:val="%1."/>
      <w:numFmt w:val="decimal"/>
      <w:start w:val="13"/>
    </w:lvl>
  </w:abstractNum>
  <w:abstractNum w:abstractNumId="48">
    <w:nsid w:val="749ABB43"/>
    <w:multiLevelType w:val="hybridMultilevel"/>
    <w:lvl w:ilvl="0">
      <w:lvlJc w:val="left"/>
      <w:lvlText w:val="(%1)"/>
      <w:numFmt w:val="lowerLetter"/>
      <w:start w:val="1"/>
    </w:lvl>
    <w:lvl w:ilvl="1">
      <w:lvlJc w:val="left"/>
      <w:lvlText w:val="(%2)"/>
      <w:numFmt w:val="lowerLetter"/>
      <w:start w:val="2"/>
    </w:lvl>
  </w:abstractNum>
  <w:abstractNum w:abstractNumId="49">
    <w:nsid w:val="3DC240FB"/>
    <w:multiLevelType w:val="hybridMultilevel"/>
    <w:lvl w:ilvl="0">
      <w:lvlJc w:val="left"/>
      <w:lvlText w:val="%1"/>
      <w:numFmt w:val="lowerLetter"/>
      <w:start w:val="1"/>
    </w:lvl>
    <w:lvl w:ilvl="1">
      <w:lvlJc w:val="left"/>
      <w:lvlText w:val="(%2)"/>
      <w:numFmt w:val="lowerLetter"/>
      <w:start w:val="3"/>
    </w:lvl>
  </w:abstractNum>
  <w:abstractNum w:abstractNumId="50">
    <w:nsid w:val="1BA026FA"/>
    <w:multiLevelType w:val="hybridMultilevel"/>
    <w:lvl w:ilvl="0">
      <w:lvlJc w:val="left"/>
      <w:lvlText w:val="(%1)"/>
      <w:numFmt w:val="lowerLetter"/>
      <w:start w:val="3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2019-12-05T17:15:00Z</dcterms:created>
  <dcterms:modified xsi:type="dcterms:W3CDTF">2019-12-05T17:15:00Z</dcterms:modified>
</cp:coreProperties>
</file>