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64770</wp:posOffset>
            </wp:positionV>
            <wp:extent cx="15944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85090</wp:posOffset>
            </wp:positionV>
            <wp:extent cx="15944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CURRENT REPORT</w:t>
      </w:r>
    </w:p>
    <w:p>
      <w:pPr>
        <w:spacing w:after="0" w:line="11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Exchange Act of 1934</w:t>
      </w:r>
    </w:p>
    <w:p>
      <w:pPr>
        <w:spacing w:after="0" w:line="10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Report (Date of earliest event reported): May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126365</wp:posOffset>
            </wp:positionV>
            <wp:extent cx="15944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BRADY CORPORATION</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83185</wp:posOffset>
            </wp:positionV>
            <wp:extent cx="15944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Commission File Number 1-14959</w:t>
      </w:r>
    </w:p>
    <w:p>
      <w:pPr>
        <w:sectPr>
          <w:pgSz w:w="11900" w:h="16838" w:orient="portrait"/>
          <w:cols w:equalWidth="0" w:num="1">
            <w:col w:w="11240"/>
          </w:cols>
          <w:pgMar w:left="300" w:top="742" w:right="359" w:bottom="1440" w:gutter="0" w:footer="0" w:header="0"/>
        </w:sectPr>
      </w:pPr>
    </w:p>
    <w:p>
      <w:pPr>
        <w:spacing w:after="0" w:line="222" w:lineRule="exact"/>
        <w:rPr>
          <w:sz w:val="24"/>
          <w:szCs w:val="24"/>
          <w:color w:val="auto"/>
        </w:rPr>
      </w:pPr>
    </w:p>
    <w:p>
      <w:pPr>
        <w:ind w:left="2500"/>
        <w:spacing w:after="0"/>
        <w:rPr>
          <w:sz w:val="20"/>
          <w:szCs w:val="20"/>
          <w:color w:val="auto"/>
        </w:rPr>
      </w:pPr>
      <w:r>
        <w:rPr>
          <w:rFonts w:ascii="Arial" w:cs="Arial" w:eastAsia="Arial" w:hAnsi="Arial"/>
          <w:sz w:val="10"/>
          <w:szCs w:val="10"/>
          <w:b w:val="1"/>
          <w:bCs w:val="1"/>
          <w:color w:val="auto"/>
        </w:rPr>
        <w:t>Wisconsin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39-0971239</w:t>
      </w:r>
    </w:p>
    <w:p>
      <w:pPr>
        <w:spacing w:after="0" w:line="63" w:lineRule="exact"/>
        <w:rPr>
          <w:sz w:val="24"/>
          <w:szCs w:val="24"/>
          <w:color w:val="auto"/>
        </w:rPr>
      </w:pPr>
    </w:p>
    <w:p>
      <w:pPr>
        <w:sectPr>
          <w:pgSz w:w="11900" w:h="16838" w:orient="portrait"/>
          <w:cols w:equalWidth="0" w:num="2">
            <w:col w:w="7580" w:space="720"/>
            <w:col w:w="2940"/>
          </w:cols>
          <w:pgMar w:left="300" w:top="742" w:right="359" w:bottom="1440" w:gutter="0" w:footer="0" w:header="0"/>
          <w:type w:val="continuous"/>
        </w:sectPr>
      </w:pPr>
    </w:p>
    <w:p>
      <w:pPr>
        <w:ind w:left="1540"/>
        <w:spacing w:after="0"/>
        <w:rPr>
          <w:sz w:val="20"/>
          <w:szCs w:val="20"/>
          <w:color w:val="auto"/>
        </w:rPr>
      </w:pPr>
      <w:r>
        <w:rPr>
          <w:rFonts w:ascii="Arial" w:cs="Arial" w:eastAsia="Arial" w:hAnsi="Arial"/>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b w:val="1"/>
          <w:bCs w:val="1"/>
          <w:color w:val="auto"/>
        </w:rPr>
        <w:t>(IRS Employer Identification No.)</w:t>
      </w:r>
    </w:p>
    <w:p>
      <w:pPr>
        <w:spacing w:after="0" w:line="99" w:lineRule="exact"/>
        <w:rPr>
          <w:sz w:val="24"/>
          <w:szCs w:val="24"/>
          <w:color w:val="auto"/>
        </w:rPr>
      </w:pPr>
    </w:p>
    <w:p>
      <w:pPr>
        <w:sectPr>
          <w:pgSz w:w="11900" w:h="16838" w:orient="portrait"/>
          <w:cols w:equalWidth="0" w:num="2">
            <w:col w:w="7160" w:space="720"/>
            <w:col w:w="3360"/>
          </w:cols>
          <w:pgMar w:left="300" w:top="742" w:right="359" w:bottom="1440" w:gutter="0" w:footer="0" w:header="0"/>
          <w:type w:val="continuous"/>
        </w:sectPr>
      </w:pPr>
    </w:p>
    <w:p>
      <w:pPr>
        <w:ind w:left="4920"/>
        <w:spacing w:after="0"/>
        <w:rPr>
          <w:sz w:val="20"/>
          <w:szCs w:val="20"/>
          <w:color w:val="auto"/>
        </w:rPr>
      </w:pPr>
      <w:r>
        <w:rPr>
          <w:rFonts w:ascii="Arial" w:cs="Arial" w:eastAsia="Arial" w:hAnsi="Arial"/>
          <w:sz w:val="12"/>
          <w:szCs w:val="12"/>
          <w:b w:val="1"/>
          <w:bCs w:val="1"/>
          <w:color w:val="auto"/>
        </w:rPr>
        <w:t>6555 West Good Hope Road</w:t>
      </w:r>
    </w:p>
    <w:p>
      <w:pPr>
        <w:spacing w:after="0" w:line="78" w:lineRule="exact"/>
        <w:rPr>
          <w:sz w:val="24"/>
          <w:szCs w:val="24"/>
          <w:color w:val="auto"/>
        </w:rPr>
      </w:pPr>
    </w:p>
    <w:p>
      <w:pPr>
        <w:ind w:left="4900"/>
        <w:spacing w:after="0"/>
        <w:rPr>
          <w:sz w:val="20"/>
          <w:szCs w:val="20"/>
          <w:color w:val="auto"/>
        </w:rPr>
      </w:pPr>
      <w:r>
        <w:rPr>
          <w:rFonts w:ascii="Arial" w:cs="Arial" w:eastAsia="Arial" w:hAnsi="Arial"/>
          <w:sz w:val="12"/>
          <w:szCs w:val="12"/>
          <w:b w:val="1"/>
          <w:bCs w:val="1"/>
          <w:color w:val="auto"/>
        </w:rPr>
        <w:t>Milwaukee, Wisconsin 53223</w:t>
      </w:r>
    </w:p>
    <w:p>
      <w:pPr>
        <w:spacing w:after="0" w:line="76" w:lineRule="exact"/>
        <w:rPr>
          <w:sz w:val="24"/>
          <w:szCs w:val="24"/>
          <w:color w:val="auto"/>
        </w:rPr>
      </w:pPr>
    </w:p>
    <w:p>
      <w:pPr>
        <w:jc w:val="center"/>
        <w:ind w:right="-39"/>
        <w:spacing w:after="0"/>
        <w:rPr>
          <w:sz w:val="20"/>
          <w:szCs w:val="20"/>
          <w:color w:val="auto"/>
        </w:rPr>
      </w:pPr>
      <w:r>
        <w:rPr>
          <w:rFonts w:ascii="Arial" w:cs="Arial" w:eastAsia="Arial" w:hAnsi="Arial"/>
          <w:sz w:val="8"/>
          <w:szCs w:val="8"/>
          <w:b w:val="1"/>
          <w:bCs w:val="1"/>
          <w:color w:val="auto"/>
        </w:rPr>
        <w:t>(Address of principal executive offices and Zip Code)</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(414) 358-6600</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10"/>
          <w:szCs w:val="10"/>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79375</wp:posOffset>
            </wp:positionV>
            <wp:extent cx="159448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4485" cy="5715"/>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p>
      <w:pPr>
        <w:spacing w:after="0" w:line="260"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3" w:lineRule="exact"/>
        <w:rPr>
          <w:sz w:val="24"/>
          <w:szCs w:val="24"/>
          <w:color w:val="auto"/>
        </w:rPr>
      </w:pPr>
    </w:p>
    <w:p>
      <w:pPr>
        <w:ind w:left="680" w:hanging="676"/>
        <w:spacing w:after="0"/>
        <w:tabs>
          <w:tab w:leader="none" w:pos="680" w:val="left"/>
        </w:tabs>
        <w:numPr>
          <w:ilvl w:val="0"/>
          <w:numId w:val="1"/>
        </w:numPr>
        <w:rPr>
          <w:rFonts w:ascii="MS PGothic" w:cs="MS PGothic" w:eastAsia="MS PGothic" w:hAnsi="MS PGothic"/>
          <w:sz w:val="29"/>
          <w:szCs w:val="29"/>
          <w:color w:val="auto"/>
          <w:vertAlign w:val="subscript"/>
        </w:rPr>
      </w:pPr>
      <w:r>
        <w:rPr>
          <w:rFonts w:ascii="Arial" w:cs="Arial" w:eastAsia="Arial" w:hAnsi="Arial"/>
          <w:sz w:val="12"/>
          <w:szCs w:val="12"/>
          <w:color w:val="auto"/>
        </w:rPr>
        <w:t>Written communications pursuant to Rule 425 under the Securities Act (17 CFR 230.425)</w:t>
      </w:r>
    </w:p>
    <w:p>
      <w:pPr>
        <w:spacing w:after="0" w:line="49" w:lineRule="exact"/>
        <w:rPr>
          <w:rFonts w:ascii="MS PGothic" w:cs="MS PGothic" w:eastAsia="MS PGothic" w:hAnsi="MS PGothic"/>
          <w:sz w:val="29"/>
          <w:szCs w:val="29"/>
          <w:color w:val="auto"/>
          <w:vertAlign w:val="subscript"/>
        </w:rPr>
      </w:pPr>
    </w:p>
    <w:p>
      <w:pPr>
        <w:ind w:left="680" w:hanging="676"/>
        <w:spacing w:after="0" w:line="186" w:lineRule="auto"/>
        <w:tabs>
          <w:tab w:leader="none" w:pos="680" w:val="left"/>
        </w:tabs>
        <w:numPr>
          <w:ilvl w:val="0"/>
          <w:numId w:val="1"/>
        </w:numPr>
        <w:rPr>
          <w:rFonts w:ascii="MS PGothic" w:cs="MS PGothic" w:eastAsia="MS PGothic" w:hAnsi="MS PGothic"/>
          <w:sz w:val="25"/>
          <w:szCs w:val="25"/>
          <w:color w:val="auto"/>
          <w:vertAlign w:val="subscript"/>
        </w:rPr>
      </w:pPr>
      <w:r>
        <w:rPr>
          <w:rFonts w:ascii="Arial" w:cs="Arial" w:eastAsia="Arial" w:hAnsi="Arial"/>
          <w:sz w:val="11"/>
          <w:szCs w:val="11"/>
          <w:color w:val="auto"/>
        </w:rPr>
        <w:t>Soliciting material pursuant to Rule 14a-12 under the Exchange Act (17 CFR 240.14a-12)</w:t>
      </w:r>
    </w:p>
    <w:p>
      <w:pPr>
        <w:spacing w:after="0" w:line="49" w:lineRule="exact"/>
        <w:rPr>
          <w:rFonts w:ascii="MS PGothic" w:cs="MS PGothic" w:eastAsia="MS PGothic" w:hAnsi="MS PGothic"/>
          <w:sz w:val="25"/>
          <w:szCs w:val="25"/>
          <w:color w:val="auto"/>
          <w:vertAlign w:val="subscript"/>
        </w:rPr>
      </w:pPr>
    </w:p>
    <w:p>
      <w:pPr>
        <w:ind w:left="680" w:hanging="676"/>
        <w:spacing w:after="0" w:line="186" w:lineRule="auto"/>
        <w:tabs>
          <w:tab w:leader="none" w:pos="680" w:val="left"/>
        </w:tabs>
        <w:numPr>
          <w:ilvl w:val="0"/>
          <w:numId w:val="1"/>
        </w:numPr>
        <w:rPr>
          <w:rFonts w:ascii="MS PGothic" w:cs="MS PGothic" w:eastAsia="MS PGothic" w:hAnsi="MS PGothic"/>
          <w:sz w:val="25"/>
          <w:szCs w:val="25"/>
          <w:color w:val="auto"/>
          <w:vertAlign w:val="subscript"/>
        </w:rPr>
      </w:pPr>
      <w:r>
        <w:rPr>
          <w:rFonts w:ascii="Arial" w:cs="Arial" w:eastAsia="Arial" w:hAnsi="Arial"/>
          <w:sz w:val="11"/>
          <w:szCs w:val="11"/>
          <w:color w:val="auto"/>
        </w:rPr>
        <w:t>Pre-commencement communications pursuant to Rule 14d-2(b) under the Exchange Act (17 CFR 240.14d-2(b))</w:t>
      </w:r>
    </w:p>
    <w:p>
      <w:pPr>
        <w:spacing w:after="0" w:line="49" w:lineRule="exact"/>
        <w:rPr>
          <w:rFonts w:ascii="MS PGothic" w:cs="MS PGothic" w:eastAsia="MS PGothic" w:hAnsi="MS PGothic"/>
          <w:sz w:val="25"/>
          <w:szCs w:val="25"/>
          <w:color w:val="auto"/>
          <w:vertAlign w:val="subscript"/>
        </w:rPr>
      </w:pPr>
    </w:p>
    <w:p>
      <w:pPr>
        <w:ind w:left="680" w:hanging="676"/>
        <w:spacing w:after="0" w:line="186" w:lineRule="auto"/>
        <w:tabs>
          <w:tab w:leader="none" w:pos="680" w:val="left"/>
        </w:tabs>
        <w:numPr>
          <w:ilvl w:val="0"/>
          <w:numId w:val="1"/>
        </w:numPr>
        <w:rPr>
          <w:rFonts w:ascii="MS PGothic" w:cs="MS PGothic" w:eastAsia="MS PGothic" w:hAnsi="MS PGothic"/>
          <w:sz w:val="25"/>
          <w:szCs w:val="25"/>
          <w:color w:val="auto"/>
          <w:vertAlign w:val="subscript"/>
        </w:rPr>
      </w:pPr>
      <w:r>
        <w:rPr>
          <w:rFonts w:ascii="Arial" w:cs="Arial" w:eastAsia="Arial" w:hAnsi="Arial"/>
          <w:sz w:val="11"/>
          <w:szCs w:val="11"/>
          <w:color w:val="auto"/>
        </w:rPr>
        <w:t>Pre-commencement communications pursuant to Rule 13e-4(c) under the Exchange Act (17 CFR 240.13e-4(c))</w:t>
      </w:r>
    </w:p>
    <w:p>
      <w:pPr>
        <w:spacing w:after="0" w:line="144" w:lineRule="exact"/>
        <w:rPr>
          <w:sz w:val="24"/>
          <w:szCs w:val="24"/>
          <w:color w:val="auto"/>
        </w:rPr>
      </w:pPr>
    </w:p>
    <w:p>
      <w:pPr>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158"/>
        </w:trPr>
        <w:tc>
          <w:tcPr>
            <w:tcW w:w="6140" w:type="dxa"/>
            <w:vAlign w:val="bottom"/>
            <w:tcBorders>
              <w:top w:val="single" w:sz="8" w:color="auto"/>
              <w:left w:val="single" w:sz="8" w:color="auto"/>
              <w:right w:val="single" w:sz="8" w:color="auto"/>
            </w:tcBorders>
          </w:tcPr>
          <w:p>
            <w:pPr>
              <w:spacing w:after="0"/>
              <w:rPr>
                <w:sz w:val="13"/>
                <w:szCs w:val="13"/>
                <w:color w:val="auto"/>
              </w:rPr>
            </w:pP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w:t>
            </w:r>
          </w:p>
        </w:tc>
        <w:tc>
          <w:tcPr>
            <w:tcW w:w="3420" w:type="dxa"/>
            <w:vAlign w:val="bottom"/>
            <w:tcBorders>
              <w:top w:val="single" w:sz="8" w:color="auto"/>
              <w:right w:val="single" w:sz="8" w:color="auto"/>
            </w:tcBorders>
          </w:tcPr>
          <w:p>
            <w:pPr>
              <w:spacing w:after="0"/>
              <w:rPr>
                <w:sz w:val="13"/>
                <w:szCs w:val="13"/>
                <w:color w:val="auto"/>
              </w:rPr>
            </w:pPr>
          </w:p>
        </w:tc>
      </w:tr>
      <w:tr>
        <w:trPr>
          <w:trHeight w:val="166"/>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Symbol</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69"/>
        </w:trPr>
        <w:tc>
          <w:tcPr>
            <w:tcW w:w="6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Class A Nonvoting Common Stock, par value $0.01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4"/>
              </w:rPr>
              <w:t>BRC</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New York Stock Exchange</w:t>
            </w:r>
          </w:p>
        </w:tc>
      </w:tr>
    </w:tbl>
    <w:p>
      <w:pPr>
        <w:spacing w:after="0" w:line="99" w:lineRule="exact"/>
        <w:rPr>
          <w:sz w:val="24"/>
          <w:szCs w:val="24"/>
          <w:color w:val="auto"/>
        </w:rPr>
      </w:pPr>
    </w:p>
    <w:p>
      <w:pPr>
        <w:ind w:right="400"/>
        <w:spacing w:after="0" w:line="227"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or the Securities Exchange Act of 1934 (17 CFR 240.12b-2). Emerging growth company </w:t>
      </w:r>
      <w:r>
        <w:rPr>
          <w:rFonts w:ascii="MS PGothic" w:cs="MS PGothic" w:eastAsia="MS PGothic" w:hAnsi="MS PGothic"/>
          <w:sz w:val="14"/>
          <w:szCs w:val="14"/>
          <w:color w:val="auto"/>
        </w:rPr>
        <w:t>☐</w:t>
      </w:r>
    </w:p>
    <w:p>
      <w:pPr>
        <w:spacing w:after="0" w:line="78" w:lineRule="exact"/>
        <w:rPr>
          <w:sz w:val="24"/>
          <w:szCs w:val="24"/>
          <w:color w:val="auto"/>
        </w:rPr>
      </w:pPr>
    </w:p>
    <w:p>
      <w:pPr>
        <w:ind w:right="40"/>
        <w:spacing w:after="0" w:line="173"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240"/>
          </w:cols>
          <w:pgMar w:left="300" w:top="742" w:right="35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2"/>
          <w:szCs w:val="12"/>
          <w:color w:val="auto"/>
        </w:rPr>
        <w:t>Item 2.02</w:t>
      </w:r>
      <w:r>
        <w:rPr>
          <w:sz w:val="20"/>
          <w:szCs w:val="20"/>
          <w:color w:val="auto"/>
        </w:rPr>
        <w:tab/>
      </w:r>
      <w:r>
        <w:rPr>
          <w:rFonts w:ascii="Arial" w:cs="Arial" w:eastAsia="Arial" w:hAnsi="Arial"/>
          <w:sz w:val="11"/>
          <w:szCs w:val="11"/>
          <w:color w:val="auto"/>
        </w:rPr>
        <w:t>RESULTS OF OPERATIONS AND FINANCIAL CONDITION</w:t>
      </w:r>
    </w:p>
    <w:p>
      <w:pPr>
        <w:spacing w:after="0" w:line="186" w:lineRule="exact"/>
        <w:rPr>
          <w:sz w:val="20"/>
          <w:szCs w:val="20"/>
          <w:color w:val="auto"/>
        </w:rPr>
      </w:pPr>
    </w:p>
    <w:p>
      <w:pPr>
        <w:ind w:firstLine="216"/>
        <w:spacing w:after="0" w:line="276" w:lineRule="auto"/>
        <w:rPr>
          <w:sz w:val="20"/>
          <w:szCs w:val="20"/>
          <w:color w:val="auto"/>
        </w:rPr>
      </w:pPr>
      <w:r>
        <w:rPr>
          <w:rFonts w:ascii="Arial" w:cs="Arial" w:eastAsia="Arial" w:hAnsi="Arial"/>
          <w:sz w:val="12"/>
          <w:szCs w:val="12"/>
          <w:color w:val="auto"/>
        </w:rPr>
        <w:t>On May 21, 2020, Brady Corporation (the “Company”) issued a press release announcing its fiscal 2020 third quarter financial results. A copy of the press release is being furnished to the Securities and Exchange Commission as Exhibit 99.1 attached hereto and is incorporated herein by reference.</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2"/>
          <w:szCs w:val="12"/>
          <w:color w:val="auto"/>
        </w:rPr>
        <w:t>Item 7.01</w:t>
      </w:r>
      <w:r>
        <w:rPr>
          <w:sz w:val="20"/>
          <w:szCs w:val="20"/>
          <w:color w:val="auto"/>
        </w:rPr>
        <w:tab/>
      </w:r>
      <w:r>
        <w:rPr>
          <w:rFonts w:ascii="Arial" w:cs="Arial" w:eastAsia="Arial" w:hAnsi="Arial"/>
          <w:sz w:val="11"/>
          <w:szCs w:val="11"/>
          <w:color w:val="auto"/>
        </w:rPr>
        <w:t>REGULATION FD DISCLOSURE</w:t>
      </w:r>
    </w:p>
    <w:p>
      <w:pPr>
        <w:spacing w:after="0" w:line="186" w:lineRule="exact"/>
        <w:rPr>
          <w:sz w:val="20"/>
          <w:szCs w:val="20"/>
          <w:color w:val="auto"/>
        </w:rPr>
      </w:pPr>
    </w:p>
    <w:p>
      <w:pPr>
        <w:ind w:right="20" w:firstLine="216"/>
        <w:spacing w:after="0" w:line="276" w:lineRule="auto"/>
        <w:rPr>
          <w:sz w:val="20"/>
          <w:szCs w:val="20"/>
          <w:color w:val="auto"/>
        </w:rPr>
      </w:pPr>
      <w:r>
        <w:rPr>
          <w:rFonts w:ascii="Arial" w:cs="Arial" w:eastAsia="Arial" w:hAnsi="Arial"/>
          <w:sz w:val="12"/>
          <w:szCs w:val="12"/>
          <w:color w:val="auto"/>
        </w:rPr>
        <w:t>On May 21, 2020, the Company hosted a conference call related to its fiscal 2020 third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169" w:lineRule="exact"/>
        <w:rPr>
          <w:sz w:val="20"/>
          <w:szCs w:val="20"/>
          <w:color w:val="auto"/>
        </w:rPr>
      </w:pPr>
    </w:p>
    <w:p>
      <w:pPr>
        <w:spacing w:after="0"/>
        <w:tabs>
          <w:tab w:leader="none" w:pos="980" w:val="left"/>
        </w:tabs>
        <w:rPr>
          <w:sz w:val="20"/>
          <w:szCs w:val="20"/>
          <w:color w:val="auto"/>
        </w:rPr>
      </w:pPr>
      <w:r>
        <w:rPr>
          <w:rFonts w:ascii="Arial" w:cs="Arial" w:eastAsia="Arial" w:hAnsi="Arial"/>
          <w:sz w:val="12"/>
          <w:szCs w:val="12"/>
          <w:color w:val="auto"/>
        </w:rPr>
        <w:t>Item 9.01</w:t>
      </w:r>
      <w:r>
        <w:rPr>
          <w:sz w:val="20"/>
          <w:szCs w:val="20"/>
          <w:color w:val="auto"/>
        </w:rPr>
        <w:tab/>
      </w:r>
      <w:r>
        <w:rPr>
          <w:rFonts w:ascii="Arial" w:cs="Arial" w:eastAsia="Arial" w:hAnsi="Arial"/>
          <w:sz w:val="11"/>
          <w:szCs w:val="11"/>
          <w:color w:val="auto"/>
        </w:rPr>
        <w:t>FINANCIAL STATEMENTS AND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80" w:type="dxa"/>
            <w:vAlign w:val="bottom"/>
          </w:tcPr>
          <w:p>
            <w:pPr>
              <w:spacing w:after="0"/>
              <w:rPr>
                <w:sz w:val="20"/>
                <w:szCs w:val="20"/>
                <w:color w:val="auto"/>
              </w:rPr>
            </w:pPr>
            <w:r>
              <w:rPr>
                <w:rFonts w:ascii="Arial" w:cs="Arial" w:eastAsia="Arial" w:hAnsi="Arial"/>
                <w:sz w:val="12"/>
                <w:szCs w:val="12"/>
                <w:color w:val="auto"/>
              </w:rPr>
              <w:t>(d) Exhibits</w:t>
            </w:r>
          </w:p>
        </w:tc>
        <w:tc>
          <w:tcPr>
            <w:tcW w:w="10220" w:type="dxa"/>
            <w:vAlign w:val="bottom"/>
          </w:tcPr>
          <w:p>
            <w:pPr>
              <w:spacing w:after="0"/>
              <w:rPr>
                <w:sz w:val="13"/>
                <w:szCs w:val="13"/>
                <w:color w:val="auto"/>
              </w:rPr>
            </w:pPr>
          </w:p>
        </w:tc>
      </w:tr>
      <w:tr>
        <w:trPr>
          <w:trHeight w:val="297"/>
        </w:trPr>
        <w:tc>
          <w:tcPr>
            <w:tcW w:w="1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EXHIBIT NUMBER</w:t>
            </w:r>
          </w:p>
        </w:tc>
        <w:tc>
          <w:tcPr>
            <w:tcW w:w="1022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DESCRIPTION</w:t>
            </w:r>
          </w:p>
        </w:tc>
      </w:tr>
      <w:tr>
        <w:trPr>
          <w:trHeight w:val="214"/>
        </w:trPr>
        <w:tc>
          <w:tcPr>
            <w:tcW w:w="1080" w:type="dxa"/>
            <w:vAlign w:val="bottom"/>
          </w:tcPr>
          <w:p>
            <w:pPr>
              <w:spacing w:after="0"/>
              <w:rPr>
                <w:sz w:val="20"/>
                <w:szCs w:val="20"/>
                <w:color w:val="auto"/>
              </w:rPr>
            </w:pPr>
            <w:r>
              <w:rPr>
                <w:rFonts w:ascii="Arial" w:cs="Arial" w:eastAsia="Arial" w:hAnsi="Arial"/>
                <w:sz w:val="12"/>
                <w:szCs w:val="12"/>
                <w:color w:val="auto"/>
              </w:rPr>
              <w:t>99.1</w:t>
            </w:r>
          </w:p>
        </w:tc>
        <w:tc>
          <w:tcPr>
            <w:tcW w:w="10220" w:type="dxa"/>
            <w:vAlign w:val="bottom"/>
          </w:tcPr>
          <w:p>
            <w:pPr>
              <w:ind w:left="40"/>
              <w:spacing w:after="0"/>
              <w:rPr>
                <w:rFonts w:ascii="Arial" w:cs="Arial" w:eastAsia="Arial" w:hAnsi="Arial"/>
                <w:sz w:val="12"/>
                <w:szCs w:val="12"/>
                <w:u w:val="single" w:color="auto"/>
                <w:color w:val="0000FF"/>
              </w:rPr>
            </w:pPr>
            <w:hyperlink w:anchor="page3">
              <w:r>
                <w:rPr>
                  <w:rFonts w:ascii="Arial" w:cs="Arial" w:eastAsia="Arial" w:hAnsi="Arial"/>
                  <w:sz w:val="12"/>
                  <w:szCs w:val="12"/>
                  <w:u w:val="single" w:color="auto"/>
                  <w:color w:val="0000FF"/>
                </w:rPr>
                <w:t>Press Release of Brady Corporation, dated May 21, 2020, relating to third quarter fiscal 2020 financial results.</w:t>
              </w:r>
            </w:hyperlink>
          </w:p>
        </w:tc>
      </w:tr>
      <w:tr>
        <w:trPr>
          <w:trHeight w:val="216"/>
        </w:trPr>
        <w:tc>
          <w:tcPr>
            <w:tcW w:w="1080" w:type="dxa"/>
            <w:vAlign w:val="bottom"/>
          </w:tcPr>
          <w:p>
            <w:pPr>
              <w:spacing w:after="0"/>
              <w:rPr>
                <w:sz w:val="20"/>
                <w:szCs w:val="20"/>
                <w:color w:val="auto"/>
              </w:rPr>
            </w:pPr>
            <w:r>
              <w:rPr>
                <w:rFonts w:ascii="Arial" w:cs="Arial" w:eastAsia="Arial" w:hAnsi="Arial"/>
                <w:sz w:val="12"/>
                <w:szCs w:val="12"/>
                <w:color w:val="auto"/>
              </w:rPr>
              <w:t>99.2</w:t>
            </w:r>
          </w:p>
        </w:tc>
        <w:tc>
          <w:tcPr>
            <w:tcW w:w="10220" w:type="dxa"/>
            <w:vAlign w:val="bottom"/>
          </w:tcPr>
          <w:p>
            <w:pPr>
              <w:ind w:left="40"/>
              <w:spacing w:after="0"/>
              <w:rPr>
                <w:rFonts w:ascii="Arial" w:cs="Arial" w:eastAsia="Arial" w:hAnsi="Arial"/>
                <w:sz w:val="12"/>
                <w:szCs w:val="12"/>
                <w:u w:val="single" w:color="auto"/>
                <w:color w:val="0000FF"/>
              </w:rPr>
            </w:pPr>
            <w:hyperlink w:anchor="page10">
              <w:r>
                <w:rPr>
                  <w:rFonts w:ascii="Arial" w:cs="Arial" w:eastAsia="Arial" w:hAnsi="Arial"/>
                  <w:sz w:val="12"/>
                  <w:szCs w:val="12"/>
                  <w:u w:val="single" w:color="auto"/>
                  <w:color w:val="0000FF"/>
                </w:rPr>
                <w:t>Informational slides provided by Brady Corporation, dated May 21, 2020, relating to third quarter fiscal 2020 financial results.</w:t>
              </w:r>
            </w:hyperlink>
          </w:p>
        </w:tc>
      </w:tr>
      <w:tr>
        <w:trPr>
          <w:trHeight w:val="180"/>
        </w:trPr>
        <w:tc>
          <w:tcPr>
            <w:tcW w:w="1080" w:type="dxa"/>
            <w:vAlign w:val="bottom"/>
          </w:tcPr>
          <w:p>
            <w:pPr>
              <w:spacing w:after="0"/>
              <w:rPr>
                <w:sz w:val="20"/>
                <w:szCs w:val="20"/>
                <w:color w:val="auto"/>
              </w:rPr>
            </w:pPr>
            <w:r>
              <w:rPr>
                <w:rFonts w:ascii="Arial" w:cs="Arial" w:eastAsia="Arial" w:hAnsi="Arial"/>
                <w:sz w:val="12"/>
                <w:szCs w:val="12"/>
                <w:color w:val="auto"/>
              </w:rPr>
              <w:t>104</w:t>
            </w:r>
          </w:p>
        </w:tc>
        <w:tc>
          <w:tcPr>
            <w:tcW w:w="10220" w:type="dxa"/>
            <w:vAlign w:val="bottom"/>
          </w:tcPr>
          <w:p>
            <w:pPr>
              <w:ind w:left="40"/>
              <w:spacing w:after="0"/>
              <w:rPr>
                <w:sz w:val="20"/>
                <w:szCs w:val="20"/>
                <w:color w:val="auto"/>
              </w:rPr>
            </w:pPr>
            <w:r>
              <w:rPr>
                <w:rFonts w:ascii="Arial" w:cs="Arial" w:eastAsia="Arial" w:hAnsi="Arial"/>
                <w:sz w:val="12"/>
                <w:szCs w:val="12"/>
                <w:color w:val="auto"/>
              </w:rPr>
              <w:t>Cover Page Interactive Data File (embedded within Inline XBRL document).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SIGNATURE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BRADY CORPORATION</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Date: May 21, 2020</w:t>
      </w:r>
    </w:p>
    <w:p>
      <w:pPr>
        <w:spacing w:after="0" w:line="22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20955</wp:posOffset>
            </wp:positionV>
            <wp:extent cx="344614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46145" cy="5715"/>
                    </a:xfrm>
                    <a:prstGeom prst="rect">
                      <a:avLst/>
                    </a:prstGeom>
                    <a:noFill/>
                  </pic:spPr>
                </pic:pic>
              </a:graphicData>
            </a:graphic>
          </wp:anchor>
        </w:drawing>
      </w:r>
    </w:p>
    <w:p>
      <w:pPr>
        <w:spacing w:after="0" w:line="31"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Aaron J. Pearce</w:t>
      </w:r>
    </w:p>
    <w:p>
      <w:pPr>
        <w:spacing w:after="0" w:line="4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Chief Financial Officer and Treasurer</w:t>
      </w:r>
    </w:p>
    <w:p>
      <w:pPr>
        <w:sectPr>
          <w:pgSz w:w="11900" w:h="16838" w:orient="portrait"/>
          <w:cols w:equalWidth="0" w:num="1">
            <w:col w:w="11300"/>
          </w:cols>
          <w:pgMar w:left="300" w:top="842" w:right="299" w:bottom="1440" w:gutter="0" w:footer="0" w:header="0"/>
        </w:sectPr>
      </w:pPr>
    </w:p>
    <w:bookmarkStart w:id="2" w:name="page3"/>
    <w:bookmarkEnd w:id="2"/>
    <w:p>
      <w:pPr>
        <w:jc w:val="right"/>
        <w:spacing w:after="0"/>
        <w:rPr>
          <w:sz w:val="20"/>
          <w:szCs w:val="20"/>
          <w:color w:val="auto"/>
        </w:rPr>
      </w:pPr>
      <w:r>
        <w:rPr>
          <w:rFonts w:ascii="Arial" w:cs="Arial" w:eastAsia="Arial" w:hAnsi="Arial"/>
          <w:sz w:val="13"/>
          <w:szCs w:val="13"/>
          <w:b w:val="1"/>
          <w:bCs w:val="1"/>
          <w:u w:val="single" w:color="auto"/>
          <w:color w:val="auto"/>
        </w:rPr>
        <w:t>EXHIBIT 99.1</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For More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Investor contact: Ann Thornton 414-438-6887</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Media contact: Kate Venne 414-358-5176</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Brady Corporation Reports Fiscal 2020 Third Quarter Results and Withdraws Fiscal 2020 Financial Guidance</w:t>
      </w:r>
    </w:p>
    <w:p>
      <w:pPr>
        <w:spacing w:after="0" w:line="197" w:lineRule="exact"/>
        <w:rPr>
          <w:sz w:val="20"/>
          <w:szCs w:val="20"/>
          <w:color w:val="auto"/>
        </w:rPr>
      </w:pPr>
    </w:p>
    <w:p>
      <w:pPr>
        <w:ind w:left="420" w:hanging="212"/>
        <w:spacing w:after="0" w:line="317"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Income before income taxes was $22.2 million in the third quarter of fiscal 2020 compared to $41.0 million in the same quarter of the prior year. Income before income taxes includes non-cash impairment charges of $13.8 million in the third quarter of fiscal 2020.</w:t>
      </w:r>
    </w:p>
    <w:p>
      <w:pPr>
        <w:spacing w:after="0" w:line="3" w:lineRule="exact"/>
        <w:rPr>
          <w:rFonts w:ascii="Arial" w:cs="Arial" w:eastAsia="Arial" w:hAnsi="Arial"/>
          <w:sz w:val="14"/>
          <w:szCs w:val="14"/>
          <w:color w:val="auto"/>
        </w:rPr>
      </w:pPr>
    </w:p>
    <w:p>
      <w:pPr>
        <w:ind w:left="420" w:right="20" w:hanging="212"/>
        <w:spacing w:after="0" w:line="331" w:lineRule="auto"/>
        <w:tabs>
          <w:tab w:leader="none" w:pos="416" w:val="left"/>
        </w:tabs>
        <w:numPr>
          <w:ilvl w:val="0"/>
          <w:numId w:val="2"/>
        </w:numPr>
        <w:rPr>
          <w:rFonts w:ascii="Arial" w:cs="Arial" w:eastAsia="Arial" w:hAnsi="Arial"/>
          <w:sz w:val="14"/>
          <w:szCs w:val="14"/>
          <w:color w:val="auto"/>
        </w:rPr>
      </w:pPr>
      <w:r>
        <w:rPr>
          <w:rFonts w:ascii="Arial" w:cs="Arial" w:eastAsia="Arial" w:hAnsi="Arial"/>
          <w:sz w:val="13"/>
          <w:szCs w:val="13"/>
          <w:color w:val="auto"/>
        </w:rPr>
        <w:t>Diluted EPS was $0.26 in the third quarter of fiscal 2020 compared to $0.65 in the same quarter of the prior year. Non-cash impairment charges reduced diluted EPS by approximately $0.21 in the third quarter of fiscal 2020. Diluted EPS in the third quarter of fiscal 2020 was also negatively impacted by an income tax rate of 38.5 percent.</w:t>
      </w:r>
    </w:p>
    <w:p>
      <w:pPr>
        <w:spacing w:after="0" w:line="3"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Sales for the quarter declined 8.2 percent. Organic sales declined 6.0 percent and the impact of foreign currency translation decreased sales by 2.2 percent.</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During the third quarter of fiscal 2020, we returned $64.1 million to shareholders through share repurchases and $11.3 million in the form of dividends.</w:t>
      </w:r>
    </w:p>
    <w:p>
      <w:pPr>
        <w:spacing w:after="0" w:line="55" w:lineRule="exact"/>
        <w:rPr>
          <w:rFonts w:ascii="Arial" w:cs="Arial" w:eastAsia="Arial" w:hAnsi="Arial"/>
          <w:sz w:val="14"/>
          <w:szCs w:val="14"/>
          <w:color w:val="auto"/>
        </w:rPr>
      </w:pPr>
    </w:p>
    <w:p>
      <w:pPr>
        <w:ind w:left="420" w:hanging="212"/>
        <w:spacing w:after="0"/>
        <w:tabs>
          <w:tab w:leader="none" w:pos="420" w:val="left"/>
        </w:tabs>
        <w:numPr>
          <w:ilvl w:val="0"/>
          <w:numId w:val="2"/>
        </w:numPr>
        <w:rPr>
          <w:rFonts w:ascii="Arial" w:cs="Arial" w:eastAsia="Arial" w:hAnsi="Arial"/>
          <w:sz w:val="14"/>
          <w:szCs w:val="14"/>
          <w:color w:val="auto"/>
        </w:rPr>
      </w:pPr>
      <w:r>
        <w:rPr>
          <w:rFonts w:ascii="Arial" w:cs="Arial" w:eastAsia="Arial" w:hAnsi="Arial"/>
          <w:sz w:val="13"/>
          <w:szCs w:val="13"/>
          <w:color w:val="auto"/>
        </w:rPr>
        <w:t>Due to the evolving and uncertain impact of the COVID-19 pandemic, the Company is withdrawing its previously communicated fiscal 2020 financial guidance.</w:t>
      </w:r>
    </w:p>
    <w:p>
      <w:pPr>
        <w:spacing w:after="0" w:line="208" w:lineRule="exact"/>
        <w:rPr>
          <w:sz w:val="20"/>
          <w:szCs w:val="20"/>
          <w:color w:val="auto"/>
        </w:rPr>
      </w:pPr>
    </w:p>
    <w:p>
      <w:pPr>
        <w:jc w:val="both"/>
        <w:ind w:right="20"/>
        <w:spacing w:after="0" w:line="343" w:lineRule="auto"/>
        <w:rPr>
          <w:sz w:val="20"/>
          <w:szCs w:val="20"/>
          <w:color w:val="auto"/>
        </w:rPr>
      </w:pPr>
      <w:r>
        <w:rPr>
          <w:rFonts w:ascii="Arial" w:cs="Arial" w:eastAsia="Arial" w:hAnsi="Arial"/>
          <w:sz w:val="13"/>
          <w:szCs w:val="13"/>
          <w:color w:val="auto"/>
        </w:rPr>
        <w:t>MILWAUKEE (May 21, 2020) -- Brady Corporation (NYSE: BRC) (“Brady” or “Company”), a world leader in identification solutions, today reported its financial results for its fiscal 2020 third quarter ended April 30, 2020.</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Quarter Ended April 30, 2020 Financial Results:</w:t>
      </w:r>
    </w:p>
    <w:p>
      <w:pPr>
        <w:spacing w:after="0" w:line="62" w:lineRule="exact"/>
        <w:rPr>
          <w:sz w:val="20"/>
          <w:szCs w:val="20"/>
          <w:color w:val="auto"/>
        </w:rPr>
      </w:pPr>
    </w:p>
    <w:p>
      <w:pPr>
        <w:jc w:val="both"/>
        <w:ind w:firstLine="432"/>
        <w:spacing w:after="0" w:line="354" w:lineRule="auto"/>
        <w:rPr>
          <w:sz w:val="20"/>
          <w:szCs w:val="20"/>
          <w:color w:val="auto"/>
        </w:rPr>
      </w:pPr>
      <w:r>
        <w:rPr>
          <w:rFonts w:ascii="Arial" w:cs="Arial" w:eastAsia="Arial" w:hAnsi="Arial"/>
          <w:sz w:val="12"/>
          <w:szCs w:val="12"/>
          <w:color w:val="auto"/>
        </w:rPr>
        <w:t>Income before income taxes declined 45.9 percent to $22.2 million for the quarter ended April 30, 2020, compared to $41.0 million in the same quarter last year. Income before income taxes for the quarter ended April 30, 2020 was reduced by non-cash impairment charges of $13.8 million primarily related to the write down of certain of the tangible and intangible assets in the Company’s Workplace Safety segment. These non-cash impairment charges were primarily driven by sales and profitability reductions and reduced forecasts for future sales and profitability growth in the WPS North American business.</w:t>
      </w:r>
    </w:p>
    <w:p>
      <w:pPr>
        <w:spacing w:after="0" w:line="1"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3"/>
          <w:szCs w:val="13"/>
          <w:color w:val="auto"/>
        </w:rPr>
        <w:t>Net income for the quarter ended April 30, 2020 declined 60.8 percent to $13.6 million compared to $34.8 million in the same quarter last year. Earnings per diluted Class A Nonvoting Common Share were $0.26 for the third quarter of fiscal 2020, compared to $0.65 in the same quarter last year. Diluted EPS for the quarter ended April 30, 2020 was reduced by non-cash impairment charges of approximately $0.21 per share.</w:t>
      </w:r>
    </w:p>
    <w:p>
      <w:pPr>
        <w:spacing w:after="0" w:line="1" w:lineRule="exact"/>
        <w:rPr>
          <w:sz w:val="20"/>
          <w:szCs w:val="20"/>
          <w:color w:val="auto"/>
        </w:rPr>
      </w:pPr>
    </w:p>
    <w:p>
      <w:pPr>
        <w:jc w:val="both"/>
        <w:ind w:firstLine="432"/>
        <w:spacing w:after="0" w:line="343" w:lineRule="auto"/>
        <w:rPr>
          <w:sz w:val="20"/>
          <w:szCs w:val="20"/>
          <w:color w:val="auto"/>
        </w:rPr>
      </w:pPr>
      <w:r>
        <w:rPr>
          <w:rFonts w:ascii="Arial" w:cs="Arial" w:eastAsia="Arial" w:hAnsi="Arial"/>
          <w:sz w:val="13"/>
          <w:szCs w:val="13"/>
          <w:color w:val="auto"/>
        </w:rPr>
        <w:t>Sales for the quarter ended April 30, 2020 declined 8.2 percent, which consisted of an organic sales decline of 6.0 percent and a decline of 2.2 percent from foreign currency translation. Sales for the quarter ended April 30, 2020 were $265.9 million compared to $289.7 million in the same quarter last year. By segment, sales declined 9.7</w:t>
      </w:r>
    </w:p>
    <w:p>
      <w:pPr>
        <w:sectPr>
          <w:pgSz w:w="11900" w:h="16838" w:orient="portrait"/>
          <w:cols w:equalWidth="0" w:num="1">
            <w:col w:w="11300"/>
          </w:cols>
          <w:pgMar w:left="300" w:top="638" w:right="299" w:bottom="1440" w:gutter="0" w:footer="0" w:header="0"/>
        </w:sectPr>
      </w:pPr>
    </w:p>
    <w:bookmarkStart w:id="3" w:name="page4"/>
    <w:bookmarkEnd w:id="3"/>
    <w:p>
      <w:pPr>
        <w:jc w:val="both"/>
        <w:spacing w:after="0" w:line="343" w:lineRule="auto"/>
        <w:rPr>
          <w:sz w:val="20"/>
          <w:szCs w:val="20"/>
          <w:color w:val="auto"/>
        </w:rPr>
      </w:pPr>
      <w:r>
        <w:rPr>
          <w:rFonts w:ascii="Arial" w:cs="Arial" w:eastAsia="Arial" w:hAnsi="Arial"/>
          <w:sz w:val="13"/>
          <w:szCs w:val="13"/>
          <w:color w:val="auto"/>
        </w:rPr>
        <w:t>percent in Identification Solutions and declined 3.9 percent in Workplace Safety, which consisted of an organic sales decline of 8.2 percent in Identification Solutions and organic sales growth of 0.2 percent in Workplace Safety.</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Nine-Month Period Ended April 30, 2020 Financial Results:</w:t>
      </w:r>
    </w:p>
    <w:p>
      <w:pPr>
        <w:spacing w:after="0" w:line="62"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3"/>
          <w:szCs w:val="13"/>
          <w:color w:val="auto"/>
        </w:rPr>
        <w:t>Income before income taxes declined 9.8 percent to $106.1 million for the nine-month period ended April 30, 2020, compared to $117.6 million for the nine-month period ended April 30, 2019. Income before income taxes was reduced by non-cash impairment charges of $13.8 million for the nine-month period ended April 30, 2020.</w:t>
      </w:r>
    </w:p>
    <w:p>
      <w:pPr>
        <w:jc w:val="both"/>
        <w:ind w:firstLine="432"/>
        <w:spacing w:after="0" w:line="337" w:lineRule="auto"/>
        <w:rPr>
          <w:sz w:val="20"/>
          <w:szCs w:val="20"/>
          <w:color w:val="auto"/>
        </w:rPr>
      </w:pPr>
      <w:r>
        <w:rPr>
          <w:rFonts w:ascii="Arial" w:cs="Arial" w:eastAsia="Arial" w:hAnsi="Arial"/>
          <w:sz w:val="13"/>
          <w:szCs w:val="13"/>
          <w:color w:val="auto"/>
        </w:rPr>
        <w:t>Net income for the nine-month period ended April 30, 2020 declined 10.5 percent to $84.7 million compared to $94.6 million in the same period last year. Earnings per diluted Class A Nonvoting Common Share were $1.58 for the nine-month period ended April 30, 2020, compared to $1.78 in the same period last year. Diluted EPS was reduced by non-cash impairment charges of approximately $0.21 per share for the nine-month period ended April 30, 2020.</w:t>
      </w:r>
    </w:p>
    <w:p>
      <w:pPr>
        <w:jc w:val="both"/>
        <w:ind w:firstLine="432"/>
        <w:spacing w:after="0" w:line="352" w:lineRule="auto"/>
        <w:rPr>
          <w:sz w:val="20"/>
          <w:szCs w:val="20"/>
          <w:color w:val="auto"/>
        </w:rPr>
      </w:pPr>
      <w:r>
        <w:rPr>
          <w:rFonts w:ascii="Arial" w:cs="Arial" w:eastAsia="Arial" w:hAnsi="Arial"/>
          <w:sz w:val="13"/>
          <w:szCs w:val="13"/>
          <w:color w:val="auto"/>
        </w:rPr>
        <w:t>Sales for the nine-month period ended April 30, 2020 declined 4.1 percent, which consisted of an organic sales decline of 2.5 percent and a decline of 1.6 percent from foreign currency translation. Sales for the nine-month period ended April 30, 2020 were $829.6 million compared to $865.4 million in the same period last year. By segment, sales declined 4.3 percent in Identification Solutions and declined 3.6 percent in Workplace Safety, which consisted of organic sales declines of 3.2 percent in Identification Solutions and 0.5 percent in Workplace Safety.</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Commentary:</w:t>
      </w:r>
    </w:p>
    <w:p>
      <w:pPr>
        <w:spacing w:after="0" w:line="71" w:lineRule="exact"/>
        <w:rPr>
          <w:sz w:val="20"/>
          <w:szCs w:val="20"/>
          <w:color w:val="auto"/>
        </w:rPr>
      </w:pPr>
    </w:p>
    <w:p>
      <w:pPr>
        <w:jc w:val="both"/>
        <w:ind w:firstLine="432"/>
        <w:spacing w:after="0" w:line="347" w:lineRule="auto"/>
        <w:rPr>
          <w:sz w:val="20"/>
          <w:szCs w:val="20"/>
          <w:color w:val="auto"/>
        </w:rPr>
      </w:pPr>
      <w:r>
        <w:rPr>
          <w:rFonts w:ascii="Arial" w:cs="Arial" w:eastAsia="Arial" w:hAnsi="Arial"/>
          <w:sz w:val="12"/>
          <w:szCs w:val="12"/>
          <w:color w:val="auto"/>
        </w:rPr>
        <w:t>“During these challenging times, as a highly-innovative essential business, Brady is more focused than ever on doing our part to serve the front-line workers and other essential companies with the products and services they need to help fight this global pandemic,” said Brady’s President and Chief Executive Officer, J. Michael Nauman. “Brady’s operations are up and running all around the globe producing products that are going to first responders, healthcare providers, food processing, transportation and many other critical industries. Our foremost focus has been on the safety of our employees as well as supporting our customers with the highest level of service that they have come to expect from Brady. This quarter, we saw strong demand for our products through the first half of March and then demand declined in late March and April as a result of the challenging macro environment. Demonstrating the strength of Brady, even in this tough environment, we posted cash flow from operating activities well in excess of net income.”</w:t>
      </w:r>
    </w:p>
    <w:p>
      <w:pPr>
        <w:spacing w:after="0" w:line="1"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3"/>
          <w:szCs w:val="13"/>
          <w:color w:val="auto"/>
        </w:rPr>
        <w:t>“Brady is financially strong. As of April 30, 2020, we had $238.9 million of cash and less than $50 million of debt, putting Brady in an enviable net cash position of $190 million. This quarter, we generated $42.8 million of cash flow from operating activities. Our strong cash generation and our strong balance sheet allows us to continue to execute our capital allocation strategy which involves continuing to invest in ROI-positive capital expenditures; to pay a strong dividend; to buyback our shares in an opportunistic manner; and to, of course, continue to invest in innovation, in sales-generating resources, in efficiency actions, and in actions that improve customer service,” said Brady’s Chief Financial Officer, Aaron Pearce.</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Fiscal 2020 Financial Guidance Withdrawn:</w:t>
      </w:r>
    </w:p>
    <w:p>
      <w:pPr>
        <w:spacing w:after="0" w:line="53" w:lineRule="exact"/>
        <w:rPr>
          <w:sz w:val="20"/>
          <w:szCs w:val="20"/>
          <w:color w:val="auto"/>
        </w:rPr>
      </w:pPr>
    </w:p>
    <w:p>
      <w:pPr>
        <w:jc w:val="both"/>
        <w:ind w:right="20" w:firstLine="432"/>
        <w:spacing w:after="0" w:line="343" w:lineRule="auto"/>
        <w:rPr>
          <w:sz w:val="20"/>
          <w:szCs w:val="20"/>
          <w:color w:val="auto"/>
        </w:rPr>
      </w:pPr>
      <w:r>
        <w:rPr>
          <w:rFonts w:ascii="Arial" w:cs="Arial" w:eastAsia="Arial" w:hAnsi="Arial"/>
          <w:sz w:val="13"/>
          <w:szCs w:val="13"/>
          <w:color w:val="auto"/>
        </w:rPr>
        <w:t>Due to the uncertainty around the duration and depth of the economic contraction caused by the COVID-19 pandemic, the Company is withdrawing its previously communicated full-year fiscal 2020 financial guidance, which was provided on February 20, 2020.</w:t>
      </w:r>
    </w:p>
    <w:p>
      <w:pPr>
        <w:sectPr>
          <w:pgSz w:w="11900" w:h="16838" w:orient="portrait"/>
          <w:cols w:equalWidth="0" w:num="1">
            <w:col w:w="11300"/>
          </w:cols>
          <w:pgMar w:left="300" w:top="669" w:right="299" w:bottom="1440" w:gutter="0" w:footer="0" w:header="0"/>
        </w:sectPr>
      </w:pPr>
    </w:p>
    <w:bookmarkStart w:id="4" w:name="page5"/>
    <w:bookmarkEnd w:id="4"/>
    <w:p>
      <w:pPr>
        <w:ind w:left="420"/>
        <w:spacing w:after="0"/>
        <w:rPr>
          <w:sz w:val="20"/>
          <w:szCs w:val="20"/>
          <w:color w:val="auto"/>
        </w:rPr>
      </w:pPr>
      <w:r>
        <w:rPr>
          <w:rFonts w:ascii="Arial" w:cs="Arial" w:eastAsia="Arial" w:hAnsi="Arial"/>
          <w:sz w:val="13"/>
          <w:szCs w:val="13"/>
          <w:color w:val="auto"/>
        </w:rPr>
        <w:t xml:space="preserve">A webcast regarding Brady’s fiscal 2020 third quarter financial results will be available at </w:t>
      </w:r>
      <w:r>
        <w:rPr>
          <w:rFonts w:ascii="Arial" w:cs="Arial" w:eastAsia="Arial" w:hAnsi="Arial"/>
          <w:sz w:val="13"/>
          <w:szCs w:val="13"/>
          <w:u w:val="single" w:color="auto"/>
          <w:color w:val="0000FF"/>
        </w:rPr>
        <w:t>www.bradycorp.com/investors</w:t>
      </w:r>
      <w:r>
        <w:rPr>
          <w:rFonts w:ascii="Arial" w:cs="Arial" w:eastAsia="Arial" w:hAnsi="Arial"/>
          <w:sz w:val="13"/>
          <w:szCs w:val="13"/>
          <w:color w:val="auto"/>
        </w:rPr>
        <w:t xml:space="preserve"> beginning at 9:30 a.m. central time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-7620</wp:posOffset>
            </wp:positionV>
            <wp:extent cx="209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09" w:lineRule="exact"/>
        <w:rPr>
          <w:sz w:val="20"/>
          <w:szCs w:val="20"/>
          <w:color w:val="auto"/>
        </w:rPr>
      </w:pPr>
    </w:p>
    <w:p>
      <w:pPr>
        <w:jc w:val="both"/>
        <w:ind w:firstLine="432"/>
        <w:spacing w:after="0" w:line="324" w:lineRule="auto"/>
        <w:rPr>
          <w:sz w:val="20"/>
          <w:szCs w:val="20"/>
          <w:color w:val="auto"/>
        </w:rPr>
      </w:pPr>
      <w:r>
        <w:rPr>
          <w:rFonts w:ascii="Arial" w:cs="Arial" w:eastAsia="Arial" w:hAnsi="Arial"/>
          <w:sz w:val="13"/>
          <w:szCs w:val="13"/>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2019, employed approximately 6,100 people in its worldwide businesses. Brady’s fiscal 2019 sales were approximately $1.16 billion. Brady stock trades on the New York Stock Exchange under the symbol BRC. More information is available on the Internet at </w:t>
      </w:r>
      <w:r>
        <w:rPr>
          <w:rFonts w:ascii="Arial" w:cs="Arial" w:eastAsia="Arial" w:hAnsi="Arial"/>
          <w:sz w:val="13"/>
          <w:szCs w:val="13"/>
          <w:u w:val="single" w:color="auto"/>
          <w:color w:val="0000FF"/>
        </w:rPr>
        <w:t>www.bradycorp.com</w:t>
      </w:r>
      <w:r>
        <w:rPr>
          <w:rFonts w:ascii="Arial" w:cs="Arial" w:eastAsia="Arial" w:hAnsi="Arial"/>
          <w:sz w:val="13"/>
          <w:szCs w:val="13"/>
          <w:color w:val="0000FF"/>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adverse impacts of the COVID-19 pandemic or other pandemics;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raw material and other cost increases;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foreign currency fluctuations; the impact of the Tax Reform Act and any other changes in tax legislation and tax rates; potential write-offs of Brady’s substantial intangible assets; differing interests of voting and non-voting shareholders; numerous other matters of national, regional and global scale, including major public health issues and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2019.</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300"/>
          </w:cols>
          <w:pgMar w:left="300" w:top="840" w:right="299" w:bottom="1440" w:gutter="0" w:footer="0" w:header="0"/>
        </w:sectPr>
      </w:pPr>
    </w:p>
    <w:bookmarkStart w:id="5" w:name="page6"/>
    <w:bookmarkEnd w:id="5"/>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INCOME</w:t>
      </w:r>
    </w:p>
    <w:p>
      <w:pPr>
        <w:spacing w:after="0"/>
        <w:rPr>
          <w:sz w:val="20"/>
          <w:szCs w:val="20"/>
          <w:color w:val="auto"/>
        </w:rPr>
      </w:pPr>
      <w:r>
        <w:rPr>
          <w:rFonts w:ascii="Arial" w:cs="Arial" w:eastAsia="Arial" w:hAnsi="Arial"/>
          <w:sz w:val="11"/>
          <w:szCs w:val="11"/>
          <w:b w:val="1"/>
          <w:bCs w:val="1"/>
          <w:color w:val="auto"/>
        </w:rPr>
        <w:t>(Unaudited; Dollars 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600" w:type="dxa"/>
            <w:vAlign w:val="bottom"/>
          </w:tcPr>
          <w:p>
            <w:pPr>
              <w:spacing w:after="0"/>
              <w:rPr>
                <w:sz w:val="11"/>
                <w:szCs w:val="11"/>
                <w:color w:val="auto"/>
              </w:rPr>
            </w:pPr>
          </w:p>
        </w:tc>
        <w:tc>
          <w:tcPr>
            <w:tcW w:w="2260" w:type="dxa"/>
            <w:vAlign w:val="bottom"/>
            <w:gridSpan w:val="4"/>
          </w:tcPr>
          <w:p>
            <w:pPr>
              <w:jc w:val="right"/>
              <w:ind w:right="171"/>
              <w:spacing w:after="0"/>
              <w:rPr>
                <w:sz w:val="20"/>
                <w:szCs w:val="20"/>
                <w:color w:val="auto"/>
              </w:rPr>
            </w:pPr>
            <w:r>
              <w:rPr>
                <w:rFonts w:ascii="Arial" w:cs="Arial" w:eastAsia="Arial" w:hAnsi="Arial"/>
                <w:sz w:val="11"/>
                <w:szCs w:val="11"/>
                <w:color w:val="auto"/>
              </w:rPr>
              <w:t>Three months ended April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00" w:type="dxa"/>
            <w:vAlign w:val="bottom"/>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22"/>
        </w:trPr>
        <w:tc>
          <w:tcPr>
            <w:tcW w:w="5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8"/>
        </w:trPr>
        <w:tc>
          <w:tcPr>
            <w:tcW w:w="56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2020</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26"/>
              <w:spacing w:after="0"/>
              <w:rPr>
                <w:sz w:val="20"/>
                <w:szCs w:val="20"/>
                <w:color w:val="auto"/>
              </w:rPr>
            </w:pPr>
            <w:r>
              <w:rPr>
                <w:rFonts w:ascii="Arial" w:cs="Arial" w:eastAsia="Arial" w:hAnsi="Arial"/>
                <w:sz w:val="11"/>
                <w:szCs w:val="11"/>
                <w:color w:val="auto"/>
              </w:rPr>
              <w:t>2019</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0"/>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sales</w:t>
            </w:r>
          </w:p>
        </w:tc>
        <w:tc>
          <w:tcPr>
            <w:tcW w:w="8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265,943</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289,745</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829,555</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865,367</w:t>
            </w: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Cost of goods sold</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136,416</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143,996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419,496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433,269</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40"/>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Gross margin</w:t>
            </w:r>
          </w:p>
        </w:tc>
        <w:tc>
          <w:tcPr>
            <w:tcW w:w="8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129,527</w:t>
            </w:r>
          </w:p>
        </w:tc>
        <w:tc>
          <w:tcPr>
            <w:tcW w:w="10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145,749</w:t>
            </w: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410,059</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432,098</w:t>
            </w: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Operating expenses:</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Research and development</w:t>
            </w: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9,814</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11,437</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31,298</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33,837</w:t>
            </w: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Selling, general and administrative</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83,223</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94,691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260,136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281,988</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Impairment charges</w:t>
            </w:r>
          </w:p>
        </w:tc>
        <w:tc>
          <w:tcPr>
            <w:tcW w:w="8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13,821</w:t>
            </w:r>
          </w:p>
        </w:tc>
        <w:tc>
          <w:tcPr>
            <w:tcW w:w="1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13,821</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38"/>
        </w:trPr>
        <w:tc>
          <w:tcPr>
            <w:tcW w:w="5600" w:type="dxa"/>
            <w:vAlign w:val="bottom"/>
          </w:tcPr>
          <w:p>
            <w:pPr>
              <w:spacing w:after="0"/>
              <w:rPr>
                <w:sz w:val="20"/>
                <w:szCs w:val="20"/>
                <w:color w:val="auto"/>
              </w:rPr>
            </w:pPr>
            <w:r>
              <w:rPr>
                <w:rFonts w:ascii="Arial" w:cs="Arial" w:eastAsia="Arial" w:hAnsi="Arial"/>
                <w:sz w:val="11"/>
                <w:szCs w:val="11"/>
                <w:color w:val="auto"/>
              </w:rPr>
              <w:t>Total operating expenses</w:t>
            </w: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5"/>
              </w:rPr>
              <w:t>106,858</w:t>
            </w: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5"/>
              </w:rPr>
              <w:t>106,128</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305,255</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315,825</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5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Operating income</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22,669</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39,621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104,804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116,273</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5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Other income (expense):</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Investment and other income</w:t>
            </w: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112</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2,065</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3,252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3,425</w:t>
            </w: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Interest expense</w:t>
            </w:r>
          </w:p>
        </w:tc>
        <w:tc>
          <w:tcPr>
            <w:tcW w:w="8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(628)</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46"/>
              <w:spacing w:after="0"/>
              <w:rPr>
                <w:sz w:val="20"/>
                <w:szCs w:val="20"/>
                <w:color w:val="auto"/>
              </w:rPr>
            </w:pPr>
            <w:r>
              <w:rPr>
                <w:rFonts w:ascii="Arial" w:cs="Arial" w:eastAsia="Arial" w:hAnsi="Arial"/>
                <w:sz w:val="11"/>
                <w:szCs w:val="11"/>
                <w:color w:val="auto"/>
              </w:rPr>
              <w:t>(708)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(1,976)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66"/>
              <w:spacing w:after="0"/>
              <w:rPr>
                <w:sz w:val="20"/>
                <w:szCs w:val="20"/>
                <w:color w:val="auto"/>
              </w:rPr>
            </w:pPr>
            <w:r>
              <w:rPr>
                <w:rFonts w:ascii="Arial" w:cs="Arial" w:eastAsia="Arial" w:hAnsi="Arial"/>
                <w:sz w:val="11"/>
                <w:szCs w:val="11"/>
                <w:color w:val="auto"/>
              </w:rPr>
              <w:t>(2,137)</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4"/>
        </w:trPr>
        <w:tc>
          <w:tcPr>
            <w:tcW w:w="5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Income before income taxes</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22,153</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40,978</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106,080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117,561</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5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Income tax expense</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8,520</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6,197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21,396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22,916</w:t>
            </w:r>
          </w:p>
        </w:tc>
      </w:tr>
      <w:tr>
        <w:trPr>
          <w:trHeight w:val="22"/>
        </w:trPr>
        <w:tc>
          <w:tcPr>
            <w:tcW w:w="5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4"/>
        </w:trPr>
        <w:tc>
          <w:tcPr>
            <w:tcW w:w="5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94"/>
        </w:trPr>
        <w:tc>
          <w:tcPr>
            <w:tcW w:w="56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Net income</w:t>
            </w:r>
          </w:p>
        </w:tc>
        <w:tc>
          <w:tcPr>
            <w:tcW w:w="820" w:type="dxa"/>
            <w:vAlign w:val="bottom"/>
            <w:tcBorders>
              <w:bottom w:val="single" w:sz="8" w:color="auto"/>
            </w:tcBorders>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13,633</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34,781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84,684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94,645</w:t>
            </w:r>
          </w:p>
        </w:tc>
      </w:tr>
      <w:tr>
        <w:trPr>
          <w:trHeight w:val="119"/>
        </w:trPr>
        <w:tc>
          <w:tcPr>
            <w:tcW w:w="56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Net income per Class A Nonvoting Common Share:</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Basic</w:t>
            </w:r>
          </w:p>
        </w:tc>
        <w:tc>
          <w:tcPr>
            <w:tcW w:w="8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0.26</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0.66</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1.60</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1.80</w:t>
            </w: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Diluted</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0.26</w:t>
            </w:r>
          </w:p>
        </w:tc>
        <w:tc>
          <w:tcPr>
            <w:tcW w:w="100" w:type="dxa"/>
            <w:vAlign w:val="bottom"/>
          </w:tcPr>
          <w:p>
            <w:pPr>
              <w:spacing w:after="0"/>
              <w:rPr>
                <w:sz w:val="12"/>
                <w:szCs w:val="12"/>
                <w:color w:val="auto"/>
              </w:rPr>
            </w:pP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0.65</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1.78</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Dividends</w:t>
            </w:r>
          </w:p>
        </w:tc>
        <w:tc>
          <w:tcPr>
            <w:tcW w:w="8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0.22</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0.21</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0.65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0.64</w:t>
            </w:r>
          </w:p>
        </w:tc>
      </w:tr>
      <w:tr>
        <w:trPr>
          <w:trHeight w:val="144"/>
        </w:trPr>
        <w:tc>
          <w:tcPr>
            <w:tcW w:w="5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5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income per Class B Voting Common Share:</w:t>
            </w: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Basic</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0.26</w:t>
            </w:r>
          </w:p>
        </w:tc>
        <w:tc>
          <w:tcPr>
            <w:tcW w:w="100" w:type="dxa"/>
            <w:vAlign w:val="bottom"/>
          </w:tcPr>
          <w:p>
            <w:pPr>
              <w:spacing w:after="0"/>
              <w:rPr>
                <w:sz w:val="12"/>
                <w:szCs w:val="12"/>
                <w:color w:val="auto"/>
              </w:rPr>
            </w:pP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0.66</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1.58</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1.79</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Diluted</w:t>
            </w:r>
          </w:p>
        </w:tc>
        <w:tc>
          <w:tcPr>
            <w:tcW w:w="8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0.26</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0.65</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1.57</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1.76</w:t>
            </w: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Dividends</w:t>
            </w:r>
          </w:p>
        </w:tc>
        <w:tc>
          <w:tcPr>
            <w:tcW w:w="820" w:type="dxa"/>
            <w:vAlign w:val="bottom"/>
          </w:tcPr>
          <w:p>
            <w:pPr>
              <w:jc w:val="right"/>
              <w:ind w:right="7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0.22</w:t>
            </w:r>
          </w:p>
        </w:tc>
        <w:tc>
          <w:tcPr>
            <w:tcW w:w="100" w:type="dxa"/>
            <w:vAlign w:val="bottom"/>
          </w:tcPr>
          <w:p>
            <w:pPr>
              <w:spacing w:after="0"/>
              <w:rPr>
                <w:sz w:val="12"/>
                <w:szCs w:val="12"/>
                <w:color w:val="auto"/>
              </w:rPr>
            </w:pPr>
          </w:p>
        </w:tc>
        <w:tc>
          <w:tcPr>
            <w:tcW w:w="820" w:type="dxa"/>
            <w:vAlign w:val="bottom"/>
          </w:tcPr>
          <w:p>
            <w:pPr>
              <w:jc w:val="right"/>
              <w:ind w:right="711"/>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0.21</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0.64</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0.62</w:t>
            </w: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4"/>
        </w:trPr>
        <w:tc>
          <w:tcPr>
            <w:tcW w:w="5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5600" w:type="dxa"/>
            <w:vAlign w:val="bottom"/>
          </w:tcPr>
          <w:p>
            <w:pPr>
              <w:spacing w:after="0"/>
              <w:rPr>
                <w:sz w:val="20"/>
                <w:szCs w:val="20"/>
                <w:color w:val="auto"/>
              </w:rPr>
            </w:pPr>
            <w:r>
              <w:rPr>
                <w:rFonts w:ascii="Arial" w:cs="Arial" w:eastAsia="Arial" w:hAnsi="Arial"/>
                <w:sz w:val="11"/>
                <w:szCs w:val="11"/>
                <w:color w:val="auto"/>
              </w:rPr>
              <w:t>Weighted average common shares outstanding:</w:t>
            </w: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22"/>
        </w:trPr>
        <w:tc>
          <w:tcPr>
            <w:tcW w:w="5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51"/>
        </w:trPr>
        <w:tc>
          <w:tcPr>
            <w:tcW w:w="5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Basic</w:t>
            </w: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52,607</w:t>
            </w:r>
          </w:p>
        </w:tc>
        <w:tc>
          <w:tcPr>
            <w:tcW w:w="1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52,766</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53,023</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52,499</w:t>
            </w:r>
          </w:p>
        </w:tc>
      </w:tr>
      <w:tr>
        <w:trPr>
          <w:trHeight w:val="149"/>
        </w:trPr>
        <w:tc>
          <w:tcPr>
            <w:tcW w:w="5600" w:type="dxa"/>
            <w:vAlign w:val="bottom"/>
          </w:tcPr>
          <w:p>
            <w:pPr>
              <w:ind w:left="120"/>
              <w:spacing w:after="0"/>
              <w:rPr>
                <w:sz w:val="20"/>
                <w:szCs w:val="20"/>
                <w:color w:val="auto"/>
              </w:rPr>
            </w:pPr>
            <w:r>
              <w:rPr>
                <w:rFonts w:ascii="Arial" w:cs="Arial" w:eastAsia="Arial" w:hAnsi="Arial"/>
                <w:sz w:val="11"/>
                <w:szCs w:val="11"/>
                <w:color w:val="auto"/>
              </w:rPr>
              <w:t>Diluted</w:t>
            </w: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52,972</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53,480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53,512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86"/>
              <w:spacing w:after="0"/>
              <w:rPr>
                <w:sz w:val="20"/>
                <w:szCs w:val="20"/>
                <w:color w:val="auto"/>
              </w:rPr>
            </w:pPr>
            <w:r>
              <w:rPr>
                <w:rFonts w:ascii="Arial" w:cs="Arial" w:eastAsia="Arial" w:hAnsi="Arial"/>
                <w:sz w:val="11"/>
                <w:szCs w:val="11"/>
                <w:color w:val="auto"/>
              </w:rPr>
              <w:t>53,215</w:t>
            </w:r>
          </w:p>
        </w:tc>
      </w:tr>
    </w:tbl>
    <w:p>
      <w:pPr>
        <w:sectPr>
          <w:pgSz w:w="11900" w:h="16838" w:orient="portrait"/>
          <w:cols w:equalWidth="0" w:num="1">
            <w:col w:w="11300"/>
          </w:cols>
          <w:pgMar w:left="300" w:top="562" w:right="299" w:bottom="1440" w:gutter="0" w:footer="0" w:header="0"/>
        </w:sectPr>
      </w:pPr>
    </w:p>
    <w:bookmarkStart w:id="6" w:name="page7"/>
    <w:bookmarkEnd w:id="6"/>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BALANCE SHEETS</w:t>
      </w:r>
    </w:p>
    <w:p>
      <w:pPr>
        <w:spacing w:after="0"/>
        <w:rPr>
          <w:sz w:val="20"/>
          <w:szCs w:val="20"/>
          <w:color w:val="auto"/>
        </w:rPr>
      </w:pPr>
      <w:r>
        <w:rPr>
          <w:rFonts w:ascii="Arial" w:cs="Arial" w:eastAsia="Arial" w:hAnsi="Arial"/>
          <w:sz w:val="11"/>
          <w:szCs w:val="11"/>
          <w:b w:val="1"/>
          <w:bCs w:val="1"/>
          <w:color w:val="auto"/>
        </w:rPr>
        <w:t>(Dollars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2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1"/>
                <w:szCs w:val="11"/>
                <w:color w:val="auto"/>
                <w:w w:val="91"/>
              </w:rPr>
              <w:t>April 30, 2020</w:t>
            </w:r>
          </w:p>
        </w:tc>
        <w:tc>
          <w:tcPr>
            <w:tcW w:w="260" w:type="dxa"/>
            <w:vAlign w:val="bottom"/>
          </w:tcPr>
          <w:p>
            <w:pPr>
              <w:spacing w:after="0"/>
              <w:rPr>
                <w:sz w:val="11"/>
                <w:szCs w:val="11"/>
                <w:color w:val="auto"/>
              </w:rPr>
            </w:pPr>
          </w:p>
        </w:tc>
        <w:tc>
          <w:tcPr>
            <w:tcW w:w="1220" w:type="dxa"/>
            <w:vAlign w:val="bottom"/>
          </w:tcPr>
          <w:p>
            <w:pPr>
              <w:jc w:val="right"/>
              <w:ind w:right="386"/>
              <w:spacing w:after="0"/>
              <w:rPr>
                <w:sz w:val="20"/>
                <w:szCs w:val="20"/>
                <w:color w:val="auto"/>
              </w:rPr>
            </w:pPr>
            <w:r>
              <w:rPr>
                <w:rFonts w:ascii="Arial" w:cs="Arial" w:eastAsia="Arial" w:hAnsi="Arial"/>
                <w:sz w:val="11"/>
                <w:szCs w:val="11"/>
                <w:color w:val="auto"/>
              </w:rPr>
              <w:t>July 31, 2019</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1"/>
                <w:szCs w:val="11"/>
                <w:color w:val="auto"/>
                <w:w w:val="90"/>
              </w:rPr>
              <w:t>(Unaudited)</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2940" w:type="dxa"/>
            <w:vAlign w:val="bottom"/>
            <w:shd w:val="clear" w:color="auto" w:fill="CCEEFF"/>
          </w:tcPr>
          <w:p>
            <w:pPr>
              <w:spacing w:after="0"/>
              <w:rPr>
                <w:sz w:val="13"/>
                <w:szCs w:val="13"/>
                <w:color w:val="auto"/>
              </w:rPr>
            </w:pPr>
          </w:p>
        </w:tc>
        <w:tc>
          <w:tcPr>
            <w:tcW w:w="5300" w:type="dxa"/>
            <w:vAlign w:val="bottom"/>
            <w:gridSpan w:val="4"/>
            <w:shd w:val="clear" w:color="auto" w:fill="CCEEFF"/>
          </w:tcPr>
          <w:p>
            <w:pPr>
              <w:jc w:val="center"/>
              <w:ind w:right="2940"/>
              <w:spacing w:after="0"/>
              <w:rPr>
                <w:sz w:val="20"/>
                <w:szCs w:val="20"/>
                <w:color w:val="auto"/>
              </w:rPr>
            </w:pPr>
            <w:r>
              <w:rPr>
                <w:rFonts w:ascii="Arial" w:cs="Arial" w:eastAsia="Arial" w:hAnsi="Arial"/>
                <w:sz w:val="11"/>
                <w:szCs w:val="11"/>
                <w:b w:val="1"/>
                <w:bCs w:val="1"/>
                <w:color w:val="auto"/>
                <w:w w:val="90"/>
              </w:rPr>
              <w:t>ASSETS</w:t>
            </w: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49"/>
        </w:trPr>
        <w:tc>
          <w:tcPr>
            <w:tcW w:w="3920" w:type="dxa"/>
            <w:vAlign w:val="bottom"/>
            <w:tcBorders>
              <w:top w:val="single" w:sz="8" w:color="CCEEFF"/>
            </w:tcBorders>
            <w:gridSpan w:val="2"/>
          </w:tcPr>
          <w:p>
            <w:pPr>
              <w:spacing w:after="0"/>
              <w:rPr>
                <w:sz w:val="20"/>
                <w:szCs w:val="20"/>
                <w:color w:val="auto"/>
              </w:rPr>
            </w:pPr>
            <w:r>
              <w:rPr>
                <w:rFonts w:ascii="Arial" w:cs="Arial" w:eastAsia="Arial" w:hAnsi="Arial"/>
                <w:sz w:val="11"/>
                <w:szCs w:val="11"/>
                <w:color w:val="auto"/>
              </w:rPr>
              <w:t>Current assets:</w:t>
            </w:r>
          </w:p>
        </w:tc>
        <w:tc>
          <w:tcPr>
            <w:tcW w:w="400" w:type="dxa"/>
            <w:vAlign w:val="bottom"/>
            <w:tcBorders>
              <w:top w:val="single" w:sz="8" w:color="auto"/>
            </w:tcBorders>
          </w:tcPr>
          <w:p>
            <w:pPr>
              <w:spacing w:after="0"/>
              <w:rPr>
                <w:sz w:val="12"/>
                <w:szCs w:val="12"/>
                <w:color w:val="auto"/>
              </w:rPr>
            </w:pPr>
          </w:p>
        </w:tc>
        <w:tc>
          <w:tcPr>
            <w:tcW w:w="3920" w:type="dxa"/>
            <w:vAlign w:val="bottom"/>
            <w:tcBorders>
              <w:top w:val="single" w:sz="8" w:color="CCEEFF"/>
            </w:tcBorders>
            <w:gridSpan w:val="2"/>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20" w:type="dxa"/>
            <w:vAlign w:val="bottom"/>
            <w:tcBorders>
              <w:top w:val="single" w:sz="8" w:color="CCEEFF"/>
            </w:tcBorders>
          </w:tcPr>
          <w:p>
            <w:pPr>
              <w:spacing w:after="0"/>
              <w:rPr>
                <w:sz w:val="12"/>
                <w:szCs w:val="12"/>
                <w:color w:val="auto"/>
              </w:rPr>
            </w:pP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238,880</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279,072</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Accounts receivable—net</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145,133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158,114</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Inventories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124,575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120,037</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Prepaid expenses and other current assets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22,502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16,056</w:t>
            </w: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0"/>
        </w:trPr>
        <w:tc>
          <w:tcPr>
            <w:tcW w:w="8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1"/>
                <w:szCs w:val="11"/>
                <w:color w:val="auto"/>
              </w:rPr>
              <w:t>Total current assets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531,090</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573,279</w:t>
            </w: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Property, plant and equipment—net</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11,383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110,048</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Goodwill</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404,039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410,987</w:t>
            </w: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Other intangible assets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23,444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36,123</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Deferred income taxes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7,006</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7,298</w:t>
            </w: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Operating lease assets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41,553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1"/>
        </w:trPr>
        <w:tc>
          <w:tcPr>
            <w:tcW w:w="8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Other assets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21,827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19,573</w:t>
            </w:r>
          </w:p>
        </w:tc>
      </w:tr>
      <w:tr>
        <w:trPr>
          <w:trHeight w:val="176"/>
        </w:trPr>
        <w:tc>
          <w:tcPr>
            <w:tcW w:w="8240" w:type="dxa"/>
            <w:vAlign w:val="bottom"/>
            <w:tcBorders>
              <w:bottom w:val="single" w:sz="8" w:color="CCEEFF"/>
            </w:tcBorders>
            <w:gridSpan w:val="5"/>
          </w:tcPr>
          <w:p>
            <w:pPr>
              <w:spacing w:after="0"/>
              <w:rPr>
                <w:sz w:val="20"/>
                <w:szCs w:val="20"/>
                <w:color w:val="auto"/>
              </w:rPr>
            </w:pPr>
            <w:r>
              <w:rPr>
                <w:rFonts w:ascii="Arial" w:cs="Arial" w:eastAsia="Arial" w:hAnsi="Arial"/>
                <w:sz w:val="11"/>
                <w:szCs w:val="11"/>
                <w:color w:val="auto"/>
              </w:rPr>
              <w:t>Total</w:t>
            </w: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1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1,040,342</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1,157,308</w:t>
            </w:r>
          </w:p>
        </w:tc>
      </w:tr>
      <w:tr>
        <w:trPr>
          <w:trHeight w:val="133"/>
        </w:trPr>
        <w:tc>
          <w:tcPr>
            <w:tcW w:w="2940" w:type="dxa"/>
            <w:vAlign w:val="bottom"/>
            <w:tcBorders>
              <w:bottom w:val="single" w:sz="8" w:color="CCEEFF"/>
            </w:tcBorders>
            <w:shd w:val="clear" w:color="auto" w:fill="CCEEFF"/>
          </w:tcPr>
          <w:p>
            <w:pPr>
              <w:spacing w:after="0"/>
              <w:rPr>
                <w:sz w:val="11"/>
                <w:szCs w:val="11"/>
                <w:color w:val="auto"/>
              </w:rPr>
            </w:pPr>
          </w:p>
        </w:tc>
        <w:tc>
          <w:tcPr>
            <w:tcW w:w="2360" w:type="dxa"/>
            <w:vAlign w:val="bottom"/>
            <w:tcBorders>
              <w:bottom w:val="single" w:sz="8" w:color="auto"/>
            </w:tcBorders>
            <w:gridSpan w:val="3"/>
            <w:shd w:val="clear" w:color="auto" w:fill="CCEEFF"/>
          </w:tcPr>
          <w:p>
            <w:pPr>
              <w:jc w:val="center"/>
              <w:spacing w:after="0" w:line="108" w:lineRule="exact"/>
              <w:rPr>
                <w:sz w:val="20"/>
                <w:szCs w:val="20"/>
                <w:color w:val="auto"/>
              </w:rPr>
            </w:pPr>
            <w:r>
              <w:rPr>
                <w:rFonts w:ascii="Arial" w:cs="Arial" w:eastAsia="Arial" w:hAnsi="Arial"/>
                <w:sz w:val="11"/>
                <w:szCs w:val="11"/>
                <w:b w:val="1"/>
                <w:bCs w:val="1"/>
                <w:color w:val="auto"/>
              </w:rPr>
              <w:t>LIABILITIES AND STOCKHOLDERS’ EQUITY</w:t>
            </w:r>
          </w:p>
        </w:tc>
        <w:tc>
          <w:tcPr>
            <w:tcW w:w="29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20" w:type="dxa"/>
            <w:vAlign w:val="bottom"/>
            <w:tcBorders>
              <w:bottom w:val="single" w:sz="8" w:color="CCEEFF"/>
            </w:tcBorders>
            <w:shd w:val="clear" w:color="auto" w:fill="CCEEFF"/>
          </w:tcPr>
          <w:p>
            <w:pPr>
              <w:spacing w:after="0"/>
              <w:rPr>
                <w:sz w:val="11"/>
                <w:szCs w:val="11"/>
                <w:color w:val="auto"/>
              </w:rPr>
            </w:pP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Current liabilities:</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260" w:type="dxa"/>
            <w:vAlign w:val="bottom"/>
            <w:tcBorders>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58,819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64,810</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Accrued compensation and benefits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41,591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62,509</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Taxes, other than income taxes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7,667</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8,107</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Accrued income taxes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8,101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6,557</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Current operating lease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14,381</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Other current liabilities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48,473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49,796</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Current maturities on long-term debt</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48,927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50,166</w:t>
            </w:r>
          </w:p>
        </w:tc>
      </w:tr>
      <w:tr>
        <w:trPr>
          <w:trHeight w:val="138"/>
        </w:trPr>
        <w:tc>
          <w:tcPr>
            <w:tcW w:w="8240" w:type="dxa"/>
            <w:vAlign w:val="bottom"/>
            <w:gridSpan w:val="5"/>
          </w:tcPr>
          <w:p>
            <w:pPr>
              <w:ind w:left="340"/>
              <w:spacing w:after="0"/>
              <w:rPr>
                <w:sz w:val="20"/>
                <w:szCs w:val="20"/>
                <w:color w:val="auto"/>
              </w:rPr>
            </w:pPr>
            <w:r>
              <w:rPr>
                <w:rFonts w:ascii="Arial" w:cs="Arial" w:eastAsia="Arial" w:hAnsi="Arial"/>
                <w:sz w:val="11"/>
                <w:szCs w:val="11"/>
                <w:color w:val="auto"/>
              </w:rPr>
              <w:t>Total current liabilities</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227,959</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241,945</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Long-term operating lease liabilities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32,348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Other liabilities</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59,433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64,589</w:t>
            </w: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40"/>
        </w:trPr>
        <w:tc>
          <w:tcPr>
            <w:tcW w:w="8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1"/>
                <w:szCs w:val="11"/>
                <w:color w:val="auto"/>
              </w:rPr>
              <w:t>Total liabilities</w:t>
            </w: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319,740</w:t>
            </w: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306,534</w:t>
            </w:r>
          </w:p>
        </w:tc>
      </w:tr>
      <w:tr>
        <w:trPr>
          <w:trHeight w:val="149"/>
        </w:trPr>
        <w:tc>
          <w:tcPr>
            <w:tcW w:w="8240" w:type="dxa"/>
            <w:vAlign w:val="bottom"/>
            <w:gridSpan w:val="5"/>
          </w:tcPr>
          <w:p>
            <w:pPr>
              <w:spacing w:after="0"/>
              <w:rPr>
                <w:sz w:val="20"/>
                <w:szCs w:val="20"/>
                <w:color w:val="auto"/>
              </w:rPr>
            </w:pPr>
            <w:r>
              <w:rPr>
                <w:rFonts w:ascii="Arial" w:cs="Arial" w:eastAsia="Arial" w:hAnsi="Arial"/>
                <w:sz w:val="11"/>
                <w:szCs w:val="11"/>
                <w:color w:val="auto"/>
              </w:rPr>
              <w:t>Stockholders’ equity:</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Common stock:</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r>
      <w:tr>
        <w:trPr>
          <w:trHeight w:val="149"/>
        </w:trPr>
        <w:tc>
          <w:tcPr>
            <w:tcW w:w="8240" w:type="dxa"/>
            <w:vAlign w:val="bottom"/>
            <w:gridSpan w:val="5"/>
          </w:tcPr>
          <w:p>
            <w:pPr>
              <w:ind w:left="340"/>
              <w:spacing w:after="0"/>
              <w:rPr>
                <w:sz w:val="20"/>
                <w:szCs w:val="20"/>
                <w:color w:val="auto"/>
              </w:rPr>
            </w:pPr>
            <w:r>
              <w:rPr>
                <w:rFonts w:ascii="Arial" w:cs="Arial" w:eastAsia="Arial" w:hAnsi="Arial"/>
                <w:sz w:val="11"/>
                <w:szCs w:val="11"/>
                <w:color w:val="auto"/>
              </w:rPr>
              <w:t>Class A nonvoting common stock—Issued 51,261,487 shares, and outstanding 48,431,617 and 49,458,841 shares, respectively</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513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513</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1"/>
                <w:szCs w:val="11"/>
                <w:color w:val="auto"/>
              </w:rPr>
              <w:t>Class B voting common stock—Issued and outstanding, 3,538,628 shares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35</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Additional paid-in capital</w:t>
            </w: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330,968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86"/>
              <w:spacing w:after="0"/>
              <w:rPr>
                <w:sz w:val="20"/>
                <w:szCs w:val="20"/>
                <w:color w:val="auto"/>
              </w:rPr>
            </w:pPr>
            <w:r>
              <w:rPr>
                <w:rFonts w:ascii="Arial" w:cs="Arial" w:eastAsia="Arial" w:hAnsi="Arial"/>
                <w:sz w:val="11"/>
                <w:szCs w:val="11"/>
                <w:color w:val="auto"/>
              </w:rPr>
              <w:t>329,969</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5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Retained earnings</w:t>
            </w: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688,079</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637,843</w:t>
            </w:r>
          </w:p>
        </w:tc>
      </w:tr>
      <w:tr>
        <w:trPr>
          <w:trHeight w:val="149"/>
        </w:trPr>
        <w:tc>
          <w:tcPr>
            <w:tcW w:w="8240" w:type="dxa"/>
            <w:vAlign w:val="bottom"/>
            <w:gridSpan w:val="5"/>
          </w:tcPr>
          <w:p>
            <w:pPr>
              <w:ind w:left="200"/>
              <w:spacing w:after="0"/>
              <w:rPr>
                <w:sz w:val="20"/>
                <w:szCs w:val="20"/>
                <w:color w:val="auto"/>
              </w:rPr>
            </w:pPr>
            <w:r>
              <w:rPr>
                <w:rFonts w:ascii="Arial" w:cs="Arial" w:eastAsia="Arial" w:hAnsi="Arial"/>
                <w:sz w:val="11"/>
                <w:szCs w:val="11"/>
                <w:color w:val="auto"/>
              </w:rPr>
              <w:t>Treasury stock—2,829,870 and 1,802,646 shares, respectively of Class A nonvoting common stock, at cost</w:t>
            </w:r>
          </w:p>
        </w:tc>
        <w:tc>
          <w:tcPr>
            <w:tcW w:w="260" w:type="dxa"/>
            <w:vAlign w:val="bottom"/>
          </w:tcPr>
          <w:p>
            <w:pPr>
              <w:spacing w:after="0"/>
              <w:rPr>
                <w:sz w:val="12"/>
                <w:szCs w:val="12"/>
                <w:color w:val="auto"/>
              </w:rPr>
            </w:pPr>
          </w:p>
        </w:tc>
        <w:tc>
          <w:tcPr>
            <w:tcW w:w="1220" w:type="dxa"/>
            <w:vAlign w:val="bottom"/>
          </w:tcPr>
          <w:p>
            <w:pPr>
              <w:jc w:val="right"/>
              <w:ind w:right="46"/>
              <w:spacing w:after="0"/>
              <w:rPr>
                <w:sz w:val="20"/>
                <w:szCs w:val="20"/>
                <w:color w:val="auto"/>
              </w:rPr>
            </w:pPr>
            <w:r>
              <w:rPr>
                <w:rFonts w:ascii="Arial" w:cs="Arial" w:eastAsia="Arial" w:hAnsi="Arial"/>
                <w:sz w:val="11"/>
                <w:szCs w:val="11"/>
                <w:color w:val="auto"/>
              </w:rPr>
              <w:t>(106,751)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ind w:right="66"/>
              <w:spacing w:after="0"/>
              <w:rPr>
                <w:sz w:val="20"/>
                <w:szCs w:val="20"/>
                <w:color w:val="auto"/>
              </w:rPr>
            </w:pPr>
            <w:r>
              <w:rPr>
                <w:rFonts w:ascii="Arial" w:cs="Arial" w:eastAsia="Arial" w:hAnsi="Arial"/>
                <w:sz w:val="11"/>
                <w:szCs w:val="11"/>
                <w:color w:val="auto"/>
              </w:rPr>
              <w:t>(46,332)</w:t>
            </w:r>
          </w:p>
        </w:tc>
      </w:tr>
      <w:tr>
        <w:trPr>
          <w:trHeight w:val="22"/>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71"/>
        </w:trPr>
        <w:tc>
          <w:tcPr>
            <w:tcW w:w="824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(92,242)</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(71,254)</w:t>
            </w:r>
          </w:p>
        </w:tc>
      </w:tr>
      <w:tr>
        <w:trPr>
          <w:trHeight w:val="138"/>
        </w:trPr>
        <w:tc>
          <w:tcPr>
            <w:tcW w:w="8240" w:type="dxa"/>
            <w:vAlign w:val="bottom"/>
            <w:gridSpan w:val="5"/>
          </w:tcPr>
          <w:p>
            <w:pPr>
              <w:ind w:left="340"/>
              <w:spacing w:after="0"/>
              <w:rPr>
                <w:sz w:val="20"/>
                <w:szCs w:val="20"/>
                <w:color w:val="auto"/>
              </w:rPr>
            </w:pPr>
            <w:r>
              <w:rPr>
                <w:rFonts w:ascii="Arial" w:cs="Arial" w:eastAsia="Arial" w:hAnsi="Arial"/>
                <w:sz w:val="11"/>
                <w:szCs w:val="11"/>
                <w:color w:val="auto"/>
              </w:rPr>
              <w:t>Total stockholders’ equity</w:t>
            </w: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820,602</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rPr>
              <w:t>850,774</w:t>
            </w:r>
          </w:p>
        </w:tc>
      </w:tr>
      <w:tr>
        <w:trPr>
          <w:trHeight w:val="22"/>
        </w:trPr>
        <w:tc>
          <w:tcPr>
            <w:tcW w:w="29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6"/>
        </w:trPr>
        <w:tc>
          <w:tcPr>
            <w:tcW w:w="824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1"/>
                <w:szCs w:val="11"/>
                <w:color w:val="auto"/>
              </w:rPr>
              <w:t>Total</w:t>
            </w: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1,140,342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1,157,308</w:t>
            </w:r>
          </w:p>
        </w:tc>
      </w:tr>
    </w:tbl>
    <w:p>
      <w:pPr>
        <w:sectPr>
          <w:pgSz w:w="11900" w:h="16838" w:orient="portrait"/>
          <w:cols w:equalWidth="0" w:num="1">
            <w:col w:w="11300"/>
          </w:cols>
          <w:pgMar w:left="300" w:top="562" w:right="299" w:bottom="1440" w:gutter="0" w:footer="0" w:header="0"/>
        </w:sectPr>
      </w:pPr>
    </w:p>
    <w:bookmarkStart w:id="7" w:name="page8"/>
    <w:bookmarkEnd w:id="7"/>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CONSOLIDATED STATEMENTS OF CASH FLOWS</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500" w:type="dxa"/>
            <w:vAlign w:val="bottom"/>
          </w:tcPr>
          <w:p>
            <w:pPr>
              <w:spacing w:after="0"/>
              <w:rPr>
                <w:sz w:val="11"/>
                <w:szCs w:val="11"/>
                <w:color w:val="auto"/>
              </w:rPr>
            </w:pPr>
          </w:p>
        </w:tc>
        <w:tc>
          <w:tcPr>
            <w:tcW w:w="2260" w:type="dxa"/>
            <w:vAlign w:val="bottom"/>
            <w:gridSpan w:val="4"/>
          </w:tcPr>
          <w:p>
            <w:pPr>
              <w:jc w:val="right"/>
              <w:ind w:right="186"/>
              <w:spacing w:after="0"/>
              <w:rPr>
                <w:sz w:val="20"/>
                <w:szCs w:val="20"/>
                <w:color w:val="auto"/>
              </w:rPr>
            </w:pPr>
            <w:r>
              <w:rPr>
                <w:rFonts w:ascii="Arial" w:cs="Arial" w:eastAsia="Arial" w:hAnsi="Arial"/>
                <w:sz w:val="11"/>
                <w:szCs w:val="11"/>
                <w:color w:val="auto"/>
              </w:rPr>
              <w:t>Nine months ended April 30,</w:t>
            </w:r>
          </w:p>
        </w:tc>
        <w:tc>
          <w:tcPr>
            <w:tcW w:w="540" w:type="dxa"/>
            <w:vAlign w:val="bottom"/>
          </w:tcPr>
          <w:p>
            <w:pPr>
              <w:spacing w:after="0"/>
              <w:rPr>
                <w:sz w:val="11"/>
                <w:szCs w:val="11"/>
                <w:color w:val="auto"/>
              </w:rPr>
            </w:pPr>
          </w:p>
        </w:tc>
      </w:tr>
      <w:tr>
        <w:trPr>
          <w:trHeight w:val="22"/>
        </w:trPr>
        <w:tc>
          <w:tcPr>
            <w:tcW w:w="8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38"/>
        </w:trPr>
        <w:tc>
          <w:tcPr>
            <w:tcW w:w="8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2020</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2019</w:t>
            </w:r>
          </w:p>
        </w:tc>
        <w:tc>
          <w:tcPr>
            <w:tcW w:w="540" w:type="dxa"/>
            <w:vAlign w:val="bottom"/>
          </w:tcPr>
          <w:p>
            <w:pPr>
              <w:spacing w:after="0"/>
              <w:rPr>
                <w:sz w:val="12"/>
                <w:szCs w:val="12"/>
                <w:color w:val="auto"/>
              </w:rPr>
            </w:pP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3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Operating activities:</w:t>
            </w:r>
          </w:p>
        </w:tc>
        <w:tc>
          <w:tcPr>
            <w:tcW w:w="80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Net income</w:t>
            </w:r>
          </w:p>
        </w:tc>
        <w:tc>
          <w:tcPr>
            <w:tcW w:w="800" w:type="dxa"/>
            <w:vAlign w:val="bottom"/>
          </w:tcPr>
          <w:p>
            <w:pPr>
              <w:jc w:val="right"/>
              <w:ind w:right="68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84,684</w:t>
            </w:r>
          </w:p>
        </w:tc>
        <w:tc>
          <w:tcPr>
            <w:tcW w:w="80" w:type="dxa"/>
            <w:vAlign w:val="bottom"/>
          </w:tcPr>
          <w:p>
            <w:pPr>
              <w:spacing w:after="0"/>
              <w:rPr>
                <w:sz w:val="12"/>
                <w:szCs w:val="12"/>
                <w:color w:val="auto"/>
              </w:rPr>
            </w:pPr>
          </w:p>
        </w:tc>
        <w:tc>
          <w:tcPr>
            <w:tcW w:w="820" w:type="dxa"/>
            <w:vAlign w:val="bottom"/>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94,645</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8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17,731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17,836</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Stock-based compensation expense</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7,180</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10,311</w:t>
            </w: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Deferred income taxes</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(309)</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3,796</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Impairment charges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13,821</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Other</w:t>
            </w:r>
          </w:p>
        </w:tc>
        <w:tc>
          <w:tcPr>
            <w:tcW w:w="8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1,698</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1,372</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Changes in operating assets and liabilities: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ind w:left="420"/>
              <w:spacing w:after="0"/>
              <w:rPr>
                <w:sz w:val="20"/>
                <w:szCs w:val="20"/>
                <w:color w:val="auto"/>
              </w:rPr>
            </w:pPr>
            <w:r>
              <w:rPr>
                <w:rFonts w:ascii="Arial" w:cs="Arial" w:eastAsia="Arial" w:hAnsi="Arial"/>
                <w:sz w:val="11"/>
                <w:szCs w:val="11"/>
                <w:color w:val="auto"/>
              </w:rPr>
              <w:t>Accounts receivable</w:t>
            </w:r>
          </w:p>
        </w:tc>
        <w:tc>
          <w:tcPr>
            <w:tcW w:w="8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9,019</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332</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Inventories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(7,439)</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(9,254)</w:t>
            </w:r>
          </w:p>
        </w:tc>
      </w:tr>
      <w:tr>
        <w:trPr>
          <w:trHeight w:val="149"/>
        </w:trPr>
        <w:tc>
          <w:tcPr>
            <w:tcW w:w="8500" w:type="dxa"/>
            <w:vAlign w:val="bottom"/>
          </w:tcPr>
          <w:p>
            <w:pPr>
              <w:ind w:left="420"/>
              <w:spacing w:after="0"/>
              <w:rPr>
                <w:sz w:val="20"/>
                <w:szCs w:val="20"/>
                <w:color w:val="auto"/>
              </w:rPr>
            </w:pPr>
            <w:r>
              <w:rPr>
                <w:rFonts w:ascii="Arial" w:cs="Arial" w:eastAsia="Arial" w:hAnsi="Arial"/>
                <w:sz w:val="11"/>
                <w:szCs w:val="11"/>
                <w:color w:val="auto"/>
              </w:rPr>
              <w:t>Prepaid expenses and other assets</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(5,653)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(2,204)</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Accounts payable and accrued liabilities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(26,609)</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(20,548)</w:t>
            </w:r>
          </w:p>
        </w:tc>
      </w:tr>
      <w:tr>
        <w:trPr>
          <w:trHeight w:val="149"/>
        </w:trPr>
        <w:tc>
          <w:tcPr>
            <w:tcW w:w="8500" w:type="dxa"/>
            <w:vAlign w:val="bottom"/>
          </w:tcPr>
          <w:p>
            <w:pPr>
              <w:ind w:left="420"/>
              <w:spacing w:after="0"/>
              <w:rPr>
                <w:sz w:val="20"/>
                <w:szCs w:val="20"/>
                <w:color w:val="auto"/>
              </w:rPr>
            </w:pPr>
            <w:r>
              <w:rPr>
                <w:rFonts w:ascii="Arial" w:cs="Arial" w:eastAsia="Arial" w:hAnsi="Arial"/>
                <w:sz w:val="11"/>
                <w:szCs w:val="11"/>
                <w:color w:val="auto"/>
              </w:rPr>
              <w:t>Income taxes</w:t>
            </w:r>
          </w:p>
        </w:tc>
        <w:tc>
          <w:tcPr>
            <w:tcW w:w="8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1,790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616</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40"/>
        </w:trPr>
        <w:tc>
          <w:tcPr>
            <w:tcW w:w="85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1"/>
                <w:szCs w:val="11"/>
                <w:color w:val="auto"/>
              </w:rPr>
              <w:t>Net cash provided by operating activities</w:t>
            </w:r>
          </w:p>
        </w:tc>
        <w:tc>
          <w:tcPr>
            <w:tcW w:w="8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95,913</w:t>
            </w:r>
          </w:p>
        </w:tc>
        <w:tc>
          <w:tcPr>
            <w:tcW w:w="8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96,902</w:t>
            </w:r>
          </w:p>
        </w:tc>
      </w:tr>
      <w:tr>
        <w:trPr>
          <w:trHeight w:val="144"/>
        </w:trPr>
        <w:tc>
          <w:tcPr>
            <w:tcW w:w="8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Investing activities: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Purchases of property, plant and equipment</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(21,616)</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w w:val="97"/>
              </w:rPr>
              <w:t>(17,528)</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w:t>
            </w:r>
          </w:p>
        </w:tc>
        <w:tc>
          <w:tcPr>
            <w:tcW w:w="8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(4,419)</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(1,810)</w:t>
            </w:r>
          </w:p>
        </w:tc>
      </w:tr>
      <w:tr>
        <w:trPr>
          <w:trHeight w:val="138"/>
        </w:trPr>
        <w:tc>
          <w:tcPr>
            <w:tcW w:w="8500" w:type="dxa"/>
            <w:vAlign w:val="bottom"/>
          </w:tcPr>
          <w:p>
            <w:pPr>
              <w:ind w:left="640"/>
              <w:spacing w:after="0"/>
              <w:rPr>
                <w:sz w:val="20"/>
                <w:szCs w:val="20"/>
                <w:color w:val="auto"/>
              </w:rPr>
            </w:pPr>
            <w:r>
              <w:rPr>
                <w:rFonts w:ascii="Arial" w:cs="Arial" w:eastAsia="Arial" w:hAnsi="Arial"/>
                <w:sz w:val="11"/>
                <w:szCs w:val="11"/>
                <w:color w:val="auto"/>
              </w:rPr>
              <w:t>Net cash used in investing activities</w:t>
            </w:r>
          </w:p>
        </w:tc>
        <w:tc>
          <w:tcPr>
            <w:tcW w:w="8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(26,035)</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(19,338)</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4"/>
        </w:trPr>
        <w:tc>
          <w:tcPr>
            <w:tcW w:w="8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Financing activities:</w:t>
            </w: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Payment of dividends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(34,447)</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(33,488)</w:t>
            </w: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Proceeds from exercise of stock options</w:t>
            </w:r>
          </w:p>
        </w:tc>
        <w:tc>
          <w:tcPr>
            <w:tcW w:w="80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Arial" w:cs="Arial" w:eastAsia="Arial" w:hAnsi="Arial"/>
                <w:sz w:val="11"/>
                <w:szCs w:val="11"/>
                <w:color w:val="auto"/>
              </w:rPr>
              <w:t>5,212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22,468</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Payments for employee taxes withheld from stock-based awards</w:t>
            </w:r>
          </w:p>
        </w:tc>
        <w:tc>
          <w:tcPr>
            <w:tcW w:w="8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(7,832)</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(4,348)</w:t>
            </w: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Purchase of treasury stock</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(64,113)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(3,182)</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Proceeds from borrowing on credit facilities</w:t>
            </w:r>
          </w:p>
        </w:tc>
        <w:tc>
          <w:tcPr>
            <w:tcW w:w="8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13,637</w:t>
            </w:r>
          </w:p>
        </w:tc>
      </w:tr>
      <w:tr>
        <w:trPr>
          <w:trHeight w:val="149"/>
        </w:trPr>
        <w:tc>
          <w:tcPr>
            <w:tcW w:w="8500" w:type="dxa"/>
            <w:vAlign w:val="bottom"/>
          </w:tcPr>
          <w:p>
            <w:pPr>
              <w:ind w:left="200"/>
              <w:spacing w:after="0"/>
              <w:rPr>
                <w:sz w:val="20"/>
                <w:szCs w:val="20"/>
                <w:color w:val="auto"/>
              </w:rPr>
            </w:pPr>
            <w:r>
              <w:rPr>
                <w:rFonts w:ascii="Arial" w:cs="Arial" w:eastAsia="Arial" w:hAnsi="Arial"/>
                <w:sz w:val="11"/>
                <w:szCs w:val="11"/>
                <w:color w:val="auto"/>
              </w:rPr>
              <w:t>Repayment of borrowings on credit facilities</w:t>
            </w:r>
          </w:p>
        </w:tc>
        <w:tc>
          <w:tcPr>
            <w:tcW w:w="80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w w:val="97"/>
              </w:rPr>
              <w:t>(13,568)</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Other</w:t>
            </w:r>
          </w:p>
        </w:tc>
        <w:tc>
          <w:tcPr>
            <w:tcW w:w="8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133</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210</w:t>
            </w:r>
          </w:p>
        </w:tc>
      </w:tr>
      <w:tr>
        <w:trPr>
          <w:trHeight w:val="138"/>
        </w:trPr>
        <w:tc>
          <w:tcPr>
            <w:tcW w:w="8500" w:type="dxa"/>
            <w:vAlign w:val="bottom"/>
          </w:tcPr>
          <w:p>
            <w:pPr>
              <w:ind w:left="640"/>
              <w:spacing w:after="0"/>
              <w:rPr>
                <w:sz w:val="20"/>
                <w:szCs w:val="20"/>
                <w:color w:val="auto"/>
              </w:rPr>
            </w:pPr>
            <w:r>
              <w:rPr>
                <w:rFonts w:ascii="Arial" w:cs="Arial" w:eastAsia="Arial" w:hAnsi="Arial"/>
                <w:sz w:val="11"/>
                <w:szCs w:val="11"/>
                <w:color w:val="auto"/>
              </w:rPr>
              <w:t>Net cash used in financing activities</w:t>
            </w:r>
          </w:p>
        </w:tc>
        <w:tc>
          <w:tcPr>
            <w:tcW w:w="8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89"/>
              </w:rPr>
              <w:t>(101,047)</w:t>
            </w: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(18,271)</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44"/>
        </w:trPr>
        <w:tc>
          <w:tcPr>
            <w:tcW w:w="8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Effect of exchange rate changes on cash</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(9,023)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(2,288)</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24"/>
        </w:trPr>
        <w:tc>
          <w:tcPr>
            <w:tcW w:w="85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Net (decrease) increase in cash and cash equivalents</w:t>
            </w:r>
          </w:p>
        </w:tc>
        <w:tc>
          <w:tcPr>
            <w:tcW w:w="80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(40,192)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jc w:val="right"/>
              <w:ind w:right="86"/>
              <w:spacing w:after="0"/>
              <w:rPr>
                <w:sz w:val="20"/>
                <w:szCs w:val="20"/>
                <w:color w:val="auto"/>
              </w:rPr>
            </w:pPr>
            <w:r>
              <w:rPr>
                <w:rFonts w:ascii="Arial" w:cs="Arial" w:eastAsia="Arial" w:hAnsi="Arial"/>
                <w:sz w:val="11"/>
                <w:szCs w:val="11"/>
                <w:color w:val="auto"/>
              </w:rPr>
              <w:t>57,005</w:t>
            </w:r>
          </w:p>
        </w:tc>
      </w:tr>
      <w:tr>
        <w:trPr>
          <w:trHeight w:val="22"/>
        </w:trPr>
        <w:tc>
          <w:tcPr>
            <w:tcW w:w="8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beginning of period</w:t>
            </w:r>
          </w:p>
        </w:tc>
        <w:tc>
          <w:tcPr>
            <w:tcW w:w="8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279,072</w:t>
            </w:r>
          </w:p>
        </w:tc>
        <w:tc>
          <w:tcPr>
            <w:tcW w:w="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w w:val="95"/>
              </w:rPr>
              <w:t>181,427</w:t>
            </w:r>
          </w:p>
        </w:tc>
      </w:tr>
      <w:tr>
        <w:trPr>
          <w:trHeight w:val="124"/>
        </w:trPr>
        <w:tc>
          <w:tcPr>
            <w:tcW w:w="85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87"/>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and cash equivalents, end of period</w:t>
            </w:r>
          </w:p>
        </w:tc>
        <w:tc>
          <w:tcPr>
            <w:tcW w:w="800" w:type="dxa"/>
            <w:vAlign w:val="bottom"/>
            <w:tcBorders>
              <w:bottom w:val="single" w:sz="8" w:color="auto"/>
            </w:tcBorders>
            <w:shd w:val="clear" w:color="auto" w:fill="CCEEFF"/>
          </w:tcPr>
          <w:p>
            <w:pPr>
              <w:jc w:val="right"/>
              <w:ind w:right="68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238,880</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5"/>
              </w:rPr>
              <w:t>238,432</w:t>
            </w:r>
          </w:p>
        </w:tc>
      </w:tr>
    </w:tbl>
    <w:p>
      <w:pPr>
        <w:sectPr>
          <w:pgSz w:w="11900" w:h="16838" w:orient="portrait"/>
          <w:cols w:equalWidth="0" w:num="1">
            <w:col w:w="11300"/>
          </w:cols>
          <w:pgMar w:left="300" w:top="562" w:right="29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color w:val="auto"/>
        </w:rPr>
        <w:t>BRADY CORPORATION AND SUBSIDIARIES</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SEGMENT INFORMATION</w:t>
      </w:r>
    </w:p>
    <w:p>
      <w:pPr>
        <w:spacing w:after="0"/>
        <w:rPr>
          <w:sz w:val="20"/>
          <w:szCs w:val="20"/>
          <w:color w:val="auto"/>
        </w:rPr>
      </w:pPr>
      <w:r>
        <w:rPr>
          <w:rFonts w:ascii="Arial" w:cs="Arial" w:eastAsia="Arial" w:hAnsi="Arial"/>
          <w:sz w:val="11"/>
          <w:szCs w:val="11"/>
          <w:b w:val="1"/>
          <w:bCs w:val="1"/>
          <w:color w:val="auto"/>
        </w:rPr>
        <w:t>(Unaudited; Dollars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5580" w:type="dxa"/>
            <w:vAlign w:val="bottom"/>
          </w:tcPr>
          <w:p>
            <w:pPr>
              <w:spacing w:after="0"/>
              <w:rPr>
                <w:sz w:val="11"/>
                <w:szCs w:val="11"/>
                <w:color w:val="auto"/>
              </w:rPr>
            </w:pPr>
          </w:p>
        </w:tc>
        <w:tc>
          <w:tcPr>
            <w:tcW w:w="2280" w:type="dxa"/>
            <w:vAlign w:val="bottom"/>
            <w:gridSpan w:val="4"/>
          </w:tcPr>
          <w:p>
            <w:pPr>
              <w:jc w:val="right"/>
              <w:ind w:right="166"/>
              <w:spacing w:after="0"/>
              <w:rPr>
                <w:sz w:val="20"/>
                <w:szCs w:val="20"/>
                <w:color w:val="auto"/>
              </w:rPr>
            </w:pPr>
            <w:r>
              <w:rPr>
                <w:rFonts w:ascii="Arial" w:cs="Arial" w:eastAsia="Arial" w:hAnsi="Arial"/>
                <w:sz w:val="11"/>
                <w:szCs w:val="11"/>
                <w:color w:val="auto"/>
              </w:rPr>
              <w:t>Three months ended April 30,</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00" w:type="dxa"/>
            <w:vAlign w:val="bottom"/>
            <w:gridSpan w:val="4"/>
          </w:tcPr>
          <w:p>
            <w:pPr>
              <w:jc w:val="right"/>
              <w:ind w:right="726"/>
              <w:spacing w:after="0"/>
              <w:rPr>
                <w:sz w:val="20"/>
                <w:szCs w:val="20"/>
                <w:color w:val="auto"/>
              </w:rPr>
            </w:pPr>
            <w:r>
              <w:rPr>
                <w:rFonts w:ascii="Arial" w:cs="Arial" w:eastAsia="Arial" w:hAnsi="Arial"/>
                <w:sz w:val="11"/>
                <w:szCs w:val="11"/>
                <w:color w:val="auto"/>
              </w:rPr>
              <w:t>Nine months ended April 30,</w:t>
            </w:r>
          </w:p>
        </w:tc>
      </w:tr>
      <w:tr>
        <w:trPr>
          <w:trHeight w:val="22"/>
        </w:trPr>
        <w:tc>
          <w:tcPr>
            <w:tcW w:w="5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8"/>
        </w:trPr>
        <w:tc>
          <w:tcPr>
            <w:tcW w:w="55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2020</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2019</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526"/>
              <w:spacing w:after="0"/>
              <w:rPr>
                <w:sz w:val="20"/>
                <w:szCs w:val="20"/>
                <w:color w:val="auto"/>
              </w:rPr>
            </w:pPr>
            <w:r>
              <w:rPr>
                <w:rFonts w:ascii="Arial" w:cs="Arial" w:eastAsia="Arial" w:hAnsi="Arial"/>
                <w:sz w:val="11"/>
                <w:szCs w:val="11"/>
                <w:color w:val="auto"/>
              </w:rPr>
              <w:t>2019</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31"/>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NET SALES</w:t>
            </w:r>
          </w:p>
        </w:tc>
        <w:tc>
          <w:tcPr>
            <w:tcW w:w="8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ID Solutions</w:t>
            </w:r>
          </w:p>
        </w:tc>
        <w:tc>
          <w:tcPr>
            <w:tcW w:w="820" w:type="dxa"/>
            <w:vAlign w:val="bottom"/>
          </w:tcPr>
          <w:p>
            <w:pPr>
              <w:jc w:val="right"/>
              <w:ind w:right="70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86"/>
              <w:spacing w:after="0"/>
              <w:rPr>
                <w:sz w:val="20"/>
                <w:szCs w:val="20"/>
                <w:color w:val="auto"/>
              </w:rPr>
            </w:pPr>
            <w:r>
              <w:rPr>
                <w:rFonts w:ascii="Arial" w:cs="Arial" w:eastAsia="Arial" w:hAnsi="Arial"/>
                <w:sz w:val="11"/>
                <w:szCs w:val="11"/>
                <w:color w:val="auto"/>
                <w:w w:val="95"/>
              </w:rPr>
              <w:t>193,169</w:t>
            </w:r>
          </w:p>
        </w:tc>
        <w:tc>
          <w:tcPr>
            <w:tcW w:w="80" w:type="dxa"/>
            <w:vAlign w:val="bottom"/>
          </w:tcPr>
          <w:p>
            <w:pPr>
              <w:spacing w:after="0"/>
              <w:rPr>
                <w:sz w:val="12"/>
                <w:szCs w:val="12"/>
                <w:color w:val="auto"/>
              </w:rPr>
            </w:pPr>
          </w:p>
        </w:tc>
        <w:tc>
          <w:tcPr>
            <w:tcW w:w="840" w:type="dxa"/>
            <w:vAlign w:val="bottom"/>
          </w:tcPr>
          <w:p>
            <w:pPr>
              <w:jc w:val="right"/>
              <w:ind w:right="70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86"/>
              <w:spacing w:after="0"/>
              <w:rPr>
                <w:sz w:val="20"/>
                <w:szCs w:val="20"/>
                <w:color w:val="auto"/>
              </w:rPr>
            </w:pPr>
            <w:r>
              <w:rPr>
                <w:rFonts w:ascii="Arial" w:cs="Arial" w:eastAsia="Arial" w:hAnsi="Arial"/>
                <w:sz w:val="11"/>
                <w:szCs w:val="11"/>
                <w:color w:val="auto"/>
                <w:w w:val="90"/>
              </w:rPr>
              <w:t>213,979</w:t>
            </w:r>
          </w:p>
        </w:tc>
        <w:tc>
          <w:tcPr>
            <w:tcW w:w="100" w:type="dxa"/>
            <w:vAlign w:val="bottom"/>
          </w:tcPr>
          <w:p>
            <w:pPr>
              <w:spacing w:after="0"/>
              <w:rPr>
                <w:sz w:val="12"/>
                <w:szCs w:val="12"/>
                <w:color w:val="auto"/>
              </w:rPr>
            </w:pPr>
          </w:p>
        </w:tc>
        <w:tc>
          <w:tcPr>
            <w:tcW w:w="320" w:type="dxa"/>
            <w:vAlign w:val="bottom"/>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613,518</w:t>
            </w:r>
          </w:p>
        </w:tc>
        <w:tc>
          <w:tcPr>
            <w:tcW w:w="80" w:type="dxa"/>
            <w:vAlign w:val="bottom"/>
          </w:tcPr>
          <w:p>
            <w:pPr>
              <w:spacing w:after="0"/>
              <w:rPr>
                <w:sz w:val="12"/>
                <w:szCs w:val="12"/>
                <w:color w:val="auto"/>
              </w:rPr>
            </w:pPr>
          </w:p>
        </w:tc>
        <w:tc>
          <w:tcPr>
            <w:tcW w:w="320" w:type="dxa"/>
            <w:vAlign w:val="bottom"/>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106"/>
              <w:spacing w:after="0"/>
              <w:rPr>
                <w:sz w:val="20"/>
                <w:szCs w:val="20"/>
                <w:color w:val="auto"/>
              </w:rPr>
            </w:pPr>
            <w:r>
              <w:rPr>
                <w:rFonts w:ascii="Arial" w:cs="Arial" w:eastAsia="Arial" w:hAnsi="Arial"/>
                <w:sz w:val="11"/>
                <w:szCs w:val="11"/>
                <w:color w:val="auto"/>
              </w:rPr>
              <w:t>641,283</w:t>
            </w:r>
          </w:p>
        </w:tc>
      </w:tr>
      <w:tr>
        <w:trPr>
          <w:trHeight w:val="22"/>
        </w:trPr>
        <w:tc>
          <w:tcPr>
            <w:tcW w:w="5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Workplace Safety</w:t>
            </w:r>
          </w:p>
        </w:tc>
        <w:tc>
          <w:tcPr>
            <w:tcW w:w="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72,774</w:t>
            </w: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75,766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216,037</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224,084</w:t>
            </w:r>
          </w:p>
        </w:tc>
      </w:tr>
      <w:tr>
        <w:trPr>
          <w:trHeight w:val="182"/>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w:t>
            </w:r>
          </w:p>
        </w:tc>
        <w:tc>
          <w:tcPr>
            <w:tcW w:w="82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5"/>
              </w:rPr>
              <w:t>265,943</w:t>
            </w:r>
          </w:p>
        </w:tc>
        <w:tc>
          <w:tcPr>
            <w:tcW w:w="80" w:type="dxa"/>
            <w:vAlign w:val="bottom"/>
            <w:tcBorders>
              <w:bottom w:val="single" w:sz="8" w:color="CCEEFF"/>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706"/>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0"/>
              </w:rPr>
              <w:t>289,745</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rPr>
              <w:t>829,555</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1"/>
                <w:szCs w:val="11"/>
                <w:color w:val="auto"/>
              </w:rPr>
              <w:t>865,367</w:t>
            </w:r>
          </w:p>
        </w:tc>
      </w:tr>
      <w:tr>
        <w:trPr>
          <w:trHeight w:val="120"/>
        </w:trPr>
        <w:tc>
          <w:tcPr>
            <w:tcW w:w="55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580" w:type="dxa"/>
            <w:vAlign w:val="bottom"/>
          </w:tcPr>
          <w:p>
            <w:pPr>
              <w:spacing w:after="0"/>
              <w:rPr>
                <w:sz w:val="20"/>
                <w:szCs w:val="20"/>
                <w:color w:val="auto"/>
              </w:rPr>
            </w:pPr>
            <w:r>
              <w:rPr>
                <w:rFonts w:ascii="Arial" w:cs="Arial" w:eastAsia="Arial" w:hAnsi="Arial"/>
                <w:sz w:val="11"/>
                <w:szCs w:val="11"/>
                <w:b w:val="1"/>
                <w:bCs w:val="1"/>
                <w:color w:val="auto"/>
              </w:rPr>
              <w:t>SALES INFORMATION</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i w:val="1"/>
                <w:iCs w:val="1"/>
                <w:color w:val="auto"/>
              </w:rPr>
              <w:t>ID Solutions</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Organic</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(8.2)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(3.2)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4.4</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7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Currency</w:t>
            </w: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 %</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(2.3) %</w:t>
            </w:r>
          </w:p>
        </w:tc>
      </w:tr>
      <w:tr>
        <w:trPr>
          <w:trHeight w:val="138"/>
        </w:trPr>
        <w:tc>
          <w:tcPr>
            <w:tcW w:w="5580" w:type="dxa"/>
            <w:vAlign w:val="bottom"/>
          </w:tcPr>
          <w:p>
            <w:pPr>
              <w:ind w:left="200"/>
              <w:spacing w:after="0"/>
              <w:rPr>
                <w:sz w:val="20"/>
                <w:szCs w:val="20"/>
                <w:color w:val="auto"/>
              </w:rPr>
            </w:pPr>
            <w:r>
              <w:rPr>
                <w:rFonts w:ascii="Arial" w:cs="Arial" w:eastAsia="Arial" w:hAnsi="Arial"/>
                <w:sz w:val="11"/>
                <w:szCs w:val="11"/>
                <w:color w:val="auto"/>
              </w:rPr>
              <w:t>Total</w:t>
            </w: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(9.7) %</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0.9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(4.3) %</w:t>
            </w: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81"/>
              </w:rPr>
              <w:t>%</w:t>
            </w: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i w:val="1"/>
                <w:iCs w:val="1"/>
                <w:color w:val="auto"/>
              </w:rPr>
              <w:t>Workplace Safety</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Organic</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(1.6)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(0.5)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(0.2) %</w:t>
            </w: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Currency</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(4.1) %</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(5.3) %</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 %</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(3.7) %</w:t>
            </w: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Divestitures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5"/>
          </w:tcPr>
          <w:p>
            <w:pPr>
              <w:jc w:val="right"/>
              <w:ind w:right="911"/>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(5.3)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1"/>
                <w:szCs w:val="11"/>
                <w:color w:val="auto"/>
              </w:rPr>
              <w:t>— %</w:t>
            </w:r>
          </w:p>
        </w:tc>
        <w:tc>
          <w:tcPr>
            <w:tcW w:w="3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(5.8) %</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178"/>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w:t>
            </w:r>
          </w:p>
        </w:tc>
        <w:tc>
          <w:tcPr>
            <w:tcW w:w="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(12.2)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 %</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(9.7) %</w:t>
            </w:r>
          </w:p>
        </w:tc>
      </w:tr>
      <w:tr>
        <w:trPr>
          <w:trHeight w:val="129"/>
        </w:trPr>
        <w:tc>
          <w:tcPr>
            <w:tcW w:w="5580" w:type="dxa"/>
            <w:vAlign w:val="bottom"/>
          </w:tcPr>
          <w:p>
            <w:pPr>
              <w:spacing w:after="0"/>
              <w:rPr>
                <w:sz w:val="20"/>
                <w:szCs w:val="20"/>
                <w:color w:val="auto"/>
              </w:rPr>
            </w:pPr>
            <w:r>
              <w:rPr>
                <w:rFonts w:ascii="Arial" w:cs="Arial" w:eastAsia="Arial" w:hAnsi="Arial"/>
                <w:sz w:val="11"/>
                <w:szCs w:val="11"/>
                <w:b w:val="1"/>
                <w:bCs w:val="1"/>
                <w:i w:val="1"/>
                <w:iCs w:val="1"/>
                <w:color w:val="auto"/>
              </w:rPr>
              <w:t>Total Company</w:t>
            </w: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Organic</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(6.0) %</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(2.5) %</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Currency</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color w:val="auto"/>
              </w:rPr>
              <w:t>(2.2)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(3.8)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(1.6)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(2.8) %</w:t>
            </w: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7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Divestitures</w:t>
            </w:r>
          </w:p>
        </w:tc>
        <w:tc>
          <w:tcPr>
            <w:tcW w:w="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gridSpan w:val="5"/>
            <w:shd w:val="clear" w:color="auto" w:fill="CCEEFF"/>
          </w:tcPr>
          <w:p>
            <w:pPr>
              <w:jc w:val="right"/>
              <w:ind w:right="911"/>
              <w:spacing w:after="0"/>
              <w:rPr>
                <w:sz w:val="20"/>
                <w:szCs w:val="20"/>
                <w:color w:val="auto"/>
              </w:rPr>
            </w:pPr>
            <w:r>
              <w:rPr>
                <w:rFonts w:ascii="Arial" w:cs="Arial" w:eastAsia="Arial" w:hAnsi="Arial"/>
                <w:sz w:val="11"/>
                <w:szCs w:val="11"/>
                <w:color w:val="auto"/>
              </w:rPr>
              <w:t>— %</w:t>
            </w: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(1.5) %</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(1.6) %</w:t>
            </w:r>
          </w:p>
        </w:tc>
      </w:tr>
      <w:tr>
        <w:trPr>
          <w:trHeight w:val="178"/>
        </w:trPr>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w:t>
            </w:r>
          </w:p>
        </w:tc>
        <w:tc>
          <w:tcPr>
            <w:tcW w:w="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(8.2) %</w:t>
            </w: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(2.9) %</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 %</w:t>
            </w:r>
          </w:p>
        </w:tc>
        <w:tc>
          <w:tcPr>
            <w:tcW w:w="8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1"/>
                <w:szCs w:val="11"/>
                <w:color w:val="auto"/>
              </w:rPr>
              <w:t>(1.3) %</w:t>
            </w:r>
          </w:p>
        </w:tc>
      </w:tr>
      <w:tr>
        <w:trPr>
          <w:trHeight w:val="124"/>
        </w:trPr>
        <w:tc>
          <w:tcPr>
            <w:tcW w:w="5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r>
      <w:tr>
        <w:trPr>
          <w:trHeight w:val="149"/>
        </w:trPr>
        <w:tc>
          <w:tcPr>
            <w:tcW w:w="5580" w:type="dxa"/>
            <w:vAlign w:val="bottom"/>
          </w:tcPr>
          <w:p>
            <w:pPr>
              <w:spacing w:after="0"/>
              <w:rPr>
                <w:sz w:val="20"/>
                <w:szCs w:val="20"/>
                <w:color w:val="auto"/>
              </w:rPr>
            </w:pPr>
            <w:r>
              <w:rPr>
                <w:rFonts w:ascii="Arial" w:cs="Arial" w:eastAsia="Arial" w:hAnsi="Arial"/>
                <w:sz w:val="11"/>
                <w:szCs w:val="11"/>
                <w:b w:val="1"/>
                <w:bCs w:val="1"/>
                <w:color w:val="auto"/>
              </w:rPr>
              <w:t>SEGMENT PROFIT</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ID Solutions</w:t>
            </w:r>
          </w:p>
        </w:tc>
        <w:tc>
          <w:tcPr>
            <w:tcW w:w="840" w:type="dxa"/>
            <w:vAlign w:val="bottom"/>
            <w:tcBorders>
              <w:bottom w:val="single" w:sz="8" w:color="CCEEFF"/>
            </w:tcBorders>
            <w:gridSpan w:val="2"/>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36,401</w:t>
            </w:r>
          </w:p>
        </w:tc>
        <w:tc>
          <w:tcPr>
            <w:tcW w:w="1060" w:type="dxa"/>
            <w:vAlign w:val="bottom"/>
            <w:tcBorders>
              <w:bottom w:val="single" w:sz="8" w:color="CCEEFF"/>
            </w:tcBorders>
            <w:gridSpan w:val="4"/>
            <w:shd w:val="clear" w:color="auto" w:fill="CCEEFF"/>
          </w:tcPr>
          <w:p>
            <w:pPr>
              <w:jc w:val="right"/>
              <w:ind w:right="731"/>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39,892</w:t>
            </w:r>
          </w:p>
        </w:tc>
        <w:tc>
          <w:tcPr>
            <w:tcW w:w="520" w:type="dxa"/>
            <w:vAlign w:val="bottom"/>
            <w:tcBorders>
              <w:bottom w:val="single" w:sz="8" w:color="CCEEFF"/>
            </w:tcBorders>
            <w:gridSpan w:val="3"/>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119,499</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119,311</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Workplace Safety</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4,379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6,099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14,991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16,301</w:t>
            </w:r>
          </w:p>
        </w:tc>
        <w:tc>
          <w:tcPr>
            <w:tcW w:w="120" w:type="dxa"/>
            <w:vAlign w:val="bottom"/>
          </w:tcPr>
          <w:p>
            <w:pPr>
              <w:spacing w:after="0"/>
              <w:rPr>
                <w:sz w:val="12"/>
                <w:szCs w:val="12"/>
                <w:color w:val="auto"/>
              </w:rPr>
            </w:pP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8"/>
        </w:trPr>
        <w:tc>
          <w:tcPr>
            <w:tcW w:w="55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w:t>
            </w:r>
          </w:p>
        </w:tc>
        <w:tc>
          <w:tcPr>
            <w:tcW w:w="840" w:type="dxa"/>
            <w:vAlign w:val="bottom"/>
            <w:gridSpan w:val="2"/>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40,780</w:t>
            </w:r>
          </w:p>
        </w:tc>
        <w:tc>
          <w:tcPr>
            <w:tcW w:w="1060" w:type="dxa"/>
            <w:vAlign w:val="bottom"/>
            <w:gridSpan w:val="4"/>
            <w:shd w:val="clear" w:color="auto" w:fill="CCEEFF"/>
          </w:tcPr>
          <w:p>
            <w:pPr>
              <w:jc w:val="right"/>
              <w:ind w:right="731"/>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45,991</w:t>
            </w:r>
          </w:p>
        </w:tc>
        <w:tc>
          <w:tcPr>
            <w:tcW w:w="520" w:type="dxa"/>
            <w:vAlign w:val="bottom"/>
            <w:gridSpan w:val="3"/>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134,490</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135,612</w:t>
            </w:r>
          </w:p>
        </w:tc>
        <w:tc>
          <w:tcPr>
            <w:tcW w:w="120" w:type="dxa"/>
            <w:vAlign w:val="bottom"/>
            <w:shd w:val="clear" w:color="auto" w:fill="CCEEFF"/>
          </w:tcPr>
          <w:p>
            <w:pPr>
              <w:spacing w:after="0"/>
              <w:rPr>
                <w:sz w:val="15"/>
                <w:szCs w:val="15"/>
                <w:color w:val="auto"/>
              </w:rPr>
            </w:pPr>
          </w:p>
        </w:tc>
      </w:tr>
      <w:tr>
        <w:trPr>
          <w:trHeight w:val="129"/>
        </w:trPr>
        <w:tc>
          <w:tcPr>
            <w:tcW w:w="5580" w:type="dxa"/>
            <w:vAlign w:val="bottom"/>
            <w:tcBorders>
              <w:top w:val="single" w:sz="8" w:color="CCEEFF"/>
            </w:tcBorders>
          </w:tcPr>
          <w:p>
            <w:pPr>
              <w:spacing w:after="0"/>
              <w:rPr>
                <w:sz w:val="20"/>
                <w:szCs w:val="20"/>
                <w:color w:val="auto"/>
              </w:rPr>
            </w:pPr>
            <w:r>
              <w:rPr>
                <w:rFonts w:ascii="Arial" w:cs="Arial" w:eastAsia="Arial" w:hAnsi="Arial"/>
                <w:sz w:val="11"/>
                <w:szCs w:val="11"/>
                <w:b w:val="1"/>
                <w:bCs w:val="1"/>
                <w:color w:val="auto"/>
              </w:rPr>
              <w:t>SEGMENT PROFIT AS A PERCENT OF NET SALES</w:t>
            </w:r>
          </w:p>
        </w:tc>
        <w:tc>
          <w:tcPr>
            <w:tcW w:w="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ID Solutions</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19.5 %</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Workplace Safety</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6.9 %</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6"/>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w:t>
            </w:r>
          </w:p>
        </w:tc>
        <w:tc>
          <w:tcPr>
            <w:tcW w:w="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16.2 %</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401"/>
        </w:trPr>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6"/>
          </w:tcPr>
          <w:p>
            <w:pPr>
              <w:jc w:val="right"/>
              <w:ind w:right="191"/>
              <w:spacing w:after="0"/>
              <w:rPr>
                <w:sz w:val="20"/>
                <w:szCs w:val="20"/>
                <w:color w:val="auto"/>
              </w:rPr>
            </w:pPr>
            <w:r>
              <w:rPr>
                <w:rFonts w:ascii="Arial" w:cs="Arial" w:eastAsia="Arial" w:hAnsi="Arial"/>
                <w:sz w:val="11"/>
                <w:szCs w:val="11"/>
                <w:color w:val="auto"/>
              </w:rPr>
              <w:t>Three months ended April 30,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4"/>
          </w:tcPr>
          <w:p>
            <w:pPr>
              <w:jc w:val="right"/>
              <w:ind w:right="606"/>
              <w:spacing w:after="0"/>
              <w:rPr>
                <w:sz w:val="20"/>
                <w:szCs w:val="20"/>
                <w:color w:val="auto"/>
              </w:rPr>
            </w:pPr>
            <w:r>
              <w:rPr>
                <w:rFonts w:ascii="Arial" w:cs="Arial" w:eastAsia="Arial" w:hAnsi="Arial"/>
                <w:sz w:val="11"/>
                <w:szCs w:val="11"/>
                <w:color w:val="auto"/>
              </w:rPr>
              <w:t>Nine months ended April 30,</w:t>
            </w:r>
          </w:p>
        </w:tc>
        <w:tc>
          <w:tcPr>
            <w:tcW w:w="120" w:type="dxa"/>
            <w:vAlign w:val="bottom"/>
          </w:tcPr>
          <w:p>
            <w:pPr>
              <w:spacing w:after="0"/>
              <w:rPr>
                <w:sz w:val="24"/>
                <w:szCs w:val="24"/>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38"/>
        </w:trPr>
        <w:tc>
          <w:tcPr>
            <w:tcW w:w="558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1"/>
                <w:szCs w:val="11"/>
                <w:color w:val="auto"/>
              </w:rPr>
              <w:t>2020</w:t>
            </w:r>
          </w:p>
        </w:tc>
        <w:tc>
          <w:tcPr>
            <w:tcW w:w="400" w:type="dxa"/>
            <w:vAlign w:val="bottom"/>
          </w:tcPr>
          <w:p>
            <w:pPr>
              <w:spacing w:after="0"/>
              <w:rPr>
                <w:sz w:val="12"/>
                <w:szCs w:val="12"/>
                <w:color w:val="auto"/>
              </w:rPr>
            </w:pPr>
          </w:p>
        </w:tc>
        <w:tc>
          <w:tcPr>
            <w:tcW w:w="1060" w:type="dxa"/>
            <w:vAlign w:val="bottom"/>
            <w:gridSpan w:val="4"/>
          </w:tcPr>
          <w:p>
            <w:pPr>
              <w:jc w:val="right"/>
              <w:ind w:right="11"/>
              <w:spacing w:after="0"/>
              <w:rPr>
                <w:sz w:val="20"/>
                <w:szCs w:val="20"/>
                <w:color w:val="auto"/>
              </w:rPr>
            </w:pPr>
            <w:r>
              <w:rPr>
                <w:rFonts w:ascii="Arial" w:cs="Arial" w:eastAsia="Arial" w:hAnsi="Arial"/>
                <w:sz w:val="11"/>
                <w:szCs w:val="11"/>
                <w:color w:val="auto"/>
              </w:rPr>
              <w:t>2019</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526"/>
              <w:spacing w:after="0"/>
              <w:rPr>
                <w:sz w:val="20"/>
                <w:szCs w:val="20"/>
                <w:color w:val="auto"/>
              </w:rPr>
            </w:pPr>
            <w:r>
              <w:rPr>
                <w:rFonts w:ascii="Arial" w:cs="Arial" w:eastAsia="Arial" w:hAnsi="Arial"/>
                <w:sz w:val="11"/>
                <w:szCs w:val="11"/>
                <w:color w:val="auto"/>
              </w:rPr>
              <w:t>2020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406"/>
              <w:spacing w:after="0"/>
              <w:rPr>
                <w:sz w:val="20"/>
                <w:szCs w:val="20"/>
                <w:color w:val="auto"/>
              </w:rPr>
            </w:pPr>
            <w:r>
              <w:rPr>
                <w:rFonts w:ascii="Arial" w:cs="Arial" w:eastAsia="Arial" w:hAnsi="Arial"/>
                <w:sz w:val="11"/>
                <w:szCs w:val="11"/>
                <w:color w:val="auto"/>
              </w:rPr>
              <w:t>2019</w:t>
            </w:r>
          </w:p>
        </w:tc>
        <w:tc>
          <w:tcPr>
            <w:tcW w:w="120" w:type="dxa"/>
            <w:vAlign w:val="bottom"/>
          </w:tcPr>
          <w:p>
            <w:pPr>
              <w:spacing w:after="0"/>
              <w:rPr>
                <w:sz w:val="12"/>
                <w:szCs w:val="12"/>
                <w:color w:val="auto"/>
              </w:rPr>
            </w:pP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40"/>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segment profit</w:t>
            </w:r>
          </w:p>
        </w:tc>
        <w:tc>
          <w:tcPr>
            <w:tcW w:w="840" w:type="dxa"/>
            <w:vAlign w:val="bottom"/>
            <w:tcBorders>
              <w:bottom w:val="single" w:sz="8" w:color="CCEEFF"/>
            </w:tcBorders>
            <w:gridSpan w:val="2"/>
            <w:shd w:val="clear" w:color="auto" w:fill="CCEEFF"/>
          </w:tcPr>
          <w:p>
            <w:pPr>
              <w:jc w:val="right"/>
              <w:ind w:right="709"/>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40,780</w:t>
            </w:r>
          </w:p>
        </w:tc>
        <w:tc>
          <w:tcPr>
            <w:tcW w:w="1060" w:type="dxa"/>
            <w:vAlign w:val="bottom"/>
            <w:tcBorders>
              <w:bottom w:val="single" w:sz="8" w:color="CCEEFF"/>
            </w:tcBorders>
            <w:gridSpan w:val="4"/>
            <w:shd w:val="clear" w:color="auto" w:fill="CCEEFF"/>
          </w:tcPr>
          <w:p>
            <w:pPr>
              <w:jc w:val="right"/>
              <w:ind w:right="731"/>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45,991</w:t>
            </w:r>
          </w:p>
        </w:tc>
        <w:tc>
          <w:tcPr>
            <w:tcW w:w="520" w:type="dxa"/>
            <w:vAlign w:val="bottom"/>
            <w:tcBorders>
              <w:bottom w:val="single" w:sz="8" w:color="CCEEFF"/>
            </w:tcBorders>
            <w:gridSpan w:val="3"/>
            <w:shd w:val="clear" w:color="auto" w:fill="CCEEFF"/>
          </w:tcPr>
          <w:p>
            <w:pPr>
              <w:jc w:val="right"/>
              <w:ind w:right="211"/>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134,490</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135,612</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9"/>
        </w:trPr>
        <w:tc>
          <w:tcPr>
            <w:tcW w:w="5580" w:type="dxa"/>
            <w:vAlign w:val="bottom"/>
          </w:tcPr>
          <w:p>
            <w:pPr>
              <w:spacing w:after="0"/>
              <w:rPr>
                <w:sz w:val="20"/>
                <w:szCs w:val="20"/>
                <w:color w:val="auto"/>
              </w:rPr>
            </w:pPr>
            <w:r>
              <w:rPr>
                <w:rFonts w:ascii="Arial" w:cs="Arial" w:eastAsia="Arial" w:hAnsi="Arial"/>
                <w:sz w:val="11"/>
                <w:szCs w:val="11"/>
                <w:color w:val="auto"/>
              </w:rPr>
              <w:t>Unallocated amounts: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Administrative costs</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46"/>
              <w:spacing w:after="0"/>
              <w:rPr>
                <w:sz w:val="20"/>
                <w:szCs w:val="20"/>
                <w:color w:val="auto"/>
              </w:rPr>
            </w:pPr>
            <w:r>
              <w:rPr>
                <w:rFonts w:ascii="Arial" w:cs="Arial" w:eastAsia="Arial" w:hAnsi="Arial"/>
                <w:sz w:val="11"/>
                <w:szCs w:val="11"/>
                <w:color w:val="auto"/>
              </w:rPr>
              <w:t>(4,290)</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(6,370)</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(15,865)</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(19,339)</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Impairment charges</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46"/>
              <w:spacing w:after="0"/>
              <w:rPr>
                <w:sz w:val="20"/>
                <w:szCs w:val="20"/>
                <w:color w:val="auto"/>
              </w:rPr>
            </w:pPr>
            <w:r>
              <w:rPr>
                <w:rFonts w:ascii="Arial" w:cs="Arial" w:eastAsia="Arial" w:hAnsi="Arial"/>
                <w:sz w:val="11"/>
                <w:szCs w:val="11"/>
                <w:color w:val="auto"/>
                <w:w w:val="97"/>
              </w:rPr>
              <w:t>(13,821)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(13,821)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r>
      <w:tr>
        <w:trPr>
          <w:trHeight w:val="22"/>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5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Investment and other income</w:t>
            </w:r>
          </w:p>
        </w:tc>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2,065</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3,252</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3,425</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49"/>
        </w:trPr>
        <w:tc>
          <w:tcPr>
            <w:tcW w:w="5580" w:type="dxa"/>
            <w:vAlign w:val="bottom"/>
          </w:tcPr>
          <w:p>
            <w:pPr>
              <w:ind w:left="200"/>
              <w:spacing w:after="0"/>
              <w:rPr>
                <w:sz w:val="20"/>
                <w:szCs w:val="20"/>
                <w:color w:val="auto"/>
              </w:rPr>
            </w:pPr>
            <w:r>
              <w:rPr>
                <w:rFonts w:ascii="Arial" w:cs="Arial" w:eastAsia="Arial" w:hAnsi="Arial"/>
                <w:sz w:val="11"/>
                <w:szCs w:val="11"/>
                <w:color w:val="auto"/>
              </w:rPr>
              <w:t>Interest expense</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gridSpan w:val="2"/>
          </w:tcPr>
          <w:p>
            <w:pPr>
              <w:jc w:val="right"/>
              <w:ind w:right="46"/>
              <w:spacing w:after="0"/>
              <w:rPr>
                <w:sz w:val="20"/>
                <w:szCs w:val="20"/>
                <w:color w:val="auto"/>
              </w:rPr>
            </w:pPr>
            <w:r>
              <w:rPr>
                <w:rFonts w:ascii="Arial" w:cs="Arial" w:eastAsia="Arial" w:hAnsi="Arial"/>
                <w:sz w:val="11"/>
                <w:szCs w:val="11"/>
                <w:color w:val="auto"/>
              </w:rPr>
              <w:t>(628)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(1,976)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(2,137)</w:t>
            </w:r>
          </w:p>
        </w:tc>
        <w:tc>
          <w:tcPr>
            <w:tcW w:w="120" w:type="dxa"/>
            <w:vAlign w:val="bottom"/>
          </w:tcPr>
          <w:p>
            <w:pPr>
              <w:spacing w:after="0"/>
              <w:rPr>
                <w:sz w:val="12"/>
                <w:szCs w:val="12"/>
                <w:color w:val="auto"/>
              </w:rPr>
            </w:pPr>
          </w:p>
        </w:tc>
      </w:tr>
      <w:tr>
        <w:trPr>
          <w:trHeight w:val="22"/>
        </w:trPr>
        <w:tc>
          <w:tcPr>
            <w:tcW w:w="5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7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before income taxes</w:t>
            </w:r>
          </w:p>
        </w:tc>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22,153</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731"/>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40,978</w:t>
            </w: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rPr>
              <w:t>106,080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117,561</w:t>
            </w:r>
          </w:p>
        </w:tc>
        <w:tc>
          <w:tcPr>
            <w:tcW w:w="120" w:type="dxa"/>
            <w:vAlign w:val="bottom"/>
            <w:tcBorders>
              <w:bottom w:val="single" w:sz="8" w:color="auto"/>
            </w:tcBorders>
            <w:shd w:val="clear" w:color="auto" w:fill="CCEEFF"/>
          </w:tcPr>
          <w:p>
            <w:pPr>
              <w:spacing w:after="0"/>
              <w:rPr>
                <w:sz w:val="15"/>
                <w:szCs w:val="15"/>
                <w:color w:val="auto"/>
              </w:rPr>
            </w:pPr>
          </w:p>
        </w:tc>
      </w:tr>
    </w:tbl>
    <w:p>
      <w:pPr>
        <w:sectPr>
          <w:pgSz w:w="11900" w:h="16838" w:orient="portrait"/>
          <w:cols w:equalWidth="0" w:num="1">
            <w:col w:w="11300"/>
          </w:cols>
          <w:pgMar w:left="300" w:top="562" w:right="29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9645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7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970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6320790</wp:posOffset>
            </wp:positionV>
            <wp:extent cx="713041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964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964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2020-05-21T06:15:39Z</dcterms:created>
  <dcterms:modified xsi:type="dcterms:W3CDTF">2020-05-21T06:15:39Z</dcterms:modified>
</cp:coreProperties>
</file>