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3"/>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2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72"/>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44"/>
        </w:trPr>
        <w:tc>
          <w:tcPr>
            <w:tcW w:w="284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400" w:type="dxa"/>
            <w:vAlign w:val="bottom"/>
          </w:tcPr>
          <w:p>
            <w:pPr>
              <w:spacing w:after="0"/>
              <w:rPr>
                <w:sz w:val="21"/>
                <w:szCs w:val="21"/>
                <w:color w:val="auto"/>
              </w:rPr>
            </w:pP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4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ind w:right="460"/>
        <w:spacing w:after="0" w:line="22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6" w:lineRule="exact"/>
        <w:rPr>
          <w:sz w:val="24"/>
          <w:szCs w:val="24"/>
          <w:color w:val="auto"/>
        </w:rPr>
      </w:pPr>
    </w:p>
    <w:p>
      <w:pPr>
        <w:ind w:right="20"/>
        <w:spacing w:after="0" w:line="17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17, 2022, Brady Corporation (the “Company”) issued a press release announcing its fiscal 2023 first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5.07</w:t>
      </w:r>
      <w:r>
        <w:rPr>
          <w:sz w:val="20"/>
          <w:szCs w:val="20"/>
          <w:color w:val="auto"/>
        </w:rPr>
        <w:tab/>
      </w:r>
      <w:r>
        <w:rPr>
          <w:rFonts w:ascii="Times New Roman" w:cs="Times New Roman" w:eastAsia="Times New Roman" w:hAnsi="Times New Roman"/>
          <w:sz w:val="11"/>
          <w:szCs w:val="11"/>
          <w:color w:val="auto"/>
        </w:rPr>
        <w:t>SUBMISSIONS OF MATTERS TO A VOTE OF SECURITY HOLDERS</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16, 2022,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Patrick W. Allender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S. Bem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Elizabeth P. Bruno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Joanne Collins Smee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Nancy L. Gioia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Vineet Nargolwala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Bradley C. Richardson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Russell R. Shaller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Michelle E. Williams</w:t>
      </w:r>
    </w:p>
    <w:p>
      <w:pPr>
        <w:spacing w:after="0" w:line="29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17, 2022, the Company hosted a conference call related to its fiscal 2023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2"/>
          <w:szCs w:val="12"/>
          <w:color w:val="auto"/>
        </w:rPr>
        <w:t>Item 9.01</w:t>
      </w:r>
      <w:r>
        <w:rPr>
          <w:sz w:val="20"/>
          <w:szCs w:val="20"/>
          <w:color w:val="auto"/>
        </w:rPr>
        <w:tab/>
      </w:r>
      <w:r>
        <w:rPr>
          <w:rFonts w:ascii="Times New Roman" w:cs="Times New Roman" w:eastAsia="Times New Roman" w:hAnsi="Times New Roman"/>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69"/>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of Brady Corporation, dated November 17, 2022, relating to first quarter fiscal 2023 financial results.</w:t>
            </w:r>
          </w:p>
        </w:tc>
      </w:tr>
      <w:tr>
        <w:trPr>
          <w:trHeight w:val="20"/>
        </w:trPr>
        <w:tc>
          <w:tcPr>
            <w:tcW w:w="118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Informational slides provided by Brady Corporation, dated November 17, 2022, relating to first quarter fiscal 2023 financial results.</w:t>
            </w: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3800" w:type="dxa"/>
            <w:vAlign w:val="bottom"/>
          </w:tcPr>
          <w:p>
            <w:pPr>
              <w:spacing w:after="0"/>
              <w:rPr>
                <w:sz w:val="19"/>
                <w:szCs w:val="19"/>
                <w:color w:val="auto"/>
              </w:rPr>
            </w:pPr>
          </w:p>
        </w:tc>
      </w:tr>
      <w:tr>
        <w:trPr>
          <w:trHeight w:val="909"/>
        </w:trPr>
        <w:tc>
          <w:tcPr>
            <w:tcW w:w="11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2" w:name="page3"/>
    <w:bookmarkEnd w:id="2"/>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17, 2022</w:t>
      </w:r>
    </w:p>
    <w:p>
      <w:pPr>
        <w:spacing w:after="0" w:line="19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10795</wp:posOffset>
            </wp:positionV>
            <wp:extent cx="34518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Aaron J. Pearce</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ectPr>
          <w:pgSz w:w="11900" w:h="16838" w:orient="portrait"/>
          <w:cols w:equalWidth="0" w:num="1">
            <w:col w:w="10159"/>
          </w:cols>
          <w:pgMar w:left="300" w:top="64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2023 First Quarter Results</w:t>
      </w:r>
    </w:p>
    <w:p>
      <w:pPr>
        <w:spacing w:after="0" w:line="20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0.3 percent. Organic sales increased 6.9 percent while foreign currency reduced sales by 6.6 percent.</w:t>
      </w:r>
    </w:p>
    <w:p>
      <w:pPr>
        <w:spacing w:after="0" w:line="55" w:lineRule="exact"/>
        <w:rPr>
          <w:rFonts w:ascii="Arial" w:cs="Arial" w:eastAsia="Arial" w:hAnsi="Arial"/>
          <w:sz w:val="14"/>
          <w:szCs w:val="14"/>
          <w:color w:val="auto"/>
        </w:rPr>
      </w:pPr>
    </w:p>
    <w:p>
      <w:pPr>
        <w:ind w:left="4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increased 17.9 percent to $0.79 in the first quarter of fiscal 2023 compared to $0.67 in the same quarter of the prior year. Diluted EPS Excluding Certain Items* increased 16.7 percent to $0.84 in the first quarter of fiscal 2023 compared to $0.72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During the quarter ended October 31, 2022, we returned $23.4 million to our shareholders in the form of dividends and share repurchases.</w:t>
      </w:r>
    </w:p>
    <w:p>
      <w:pPr>
        <w:spacing w:after="0" w:line="208"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(November 17, 2022) -- Brady Corporation (NYSE: BRC) (“Brady” or “Company”), a world leader in identification solutions, today reported its financial results for its fiscal 2023 first quarter ended October 31, 2022.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October 31, 2022 Financial Results:</w:t>
      </w:r>
    </w:p>
    <w:p>
      <w:pPr>
        <w:spacing w:after="0" w:line="60" w:lineRule="exact"/>
        <w:rPr>
          <w:sz w:val="20"/>
          <w:szCs w:val="20"/>
          <w:color w:val="auto"/>
        </w:rPr>
      </w:pPr>
    </w:p>
    <w:p>
      <w:pPr>
        <w:jc w:val="both"/>
        <w:ind w:firstLine="432"/>
        <w:spacing w:after="0" w:line="337" w:lineRule="auto"/>
        <w:rPr>
          <w:sz w:val="20"/>
          <w:szCs w:val="20"/>
          <w:color w:val="auto"/>
        </w:rPr>
      </w:pPr>
      <w:r>
        <w:rPr>
          <w:rFonts w:ascii="Times New Roman" w:cs="Times New Roman" w:eastAsia="Times New Roman" w:hAnsi="Times New Roman"/>
          <w:sz w:val="13"/>
          <w:szCs w:val="13"/>
          <w:color w:val="auto"/>
        </w:rPr>
        <w:t>Sales for the quarter ended October 31, 2022 increased 0.3 percent, which consisted of an organic sales increase of 6.9 percent and a decrease of 6.6 percent from foreign currency translation. Sales for the quarter ended October 31, 2022 were $322.6 million compared to $321.5 million in the same quarter last year. By segment, sales increased 3.1 percent in Identification Solutions and decreased 9.1 percent in Workplace Safety, which consisted of an organic sales increase of 8.6 percent in Identification Solutions and an organic sales increase of 1.2 percent in Workplace Safety.</w:t>
      </w:r>
    </w:p>
    <w:p>
      <w:pPr>
        <w:jc w:val="both"/>
        <w:ind w:right="20"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increased 12.6 percent to $50.3 million for the quarter ended October 31, 2022, compared to $44.7 million in the same quarter last year. Income Before Income Taxes Excluding Certain Items* for the quarter ended October 31, 2022, which was adjusted for amortization expense of $3.6 million, was $54.0 million, an increase of 11.3 percent compared to the first quarter of last year.</w:t>
      </w:r>
    </w:p>
    <w:p>
      <w:pPr>
        <w:jc w:val="both"/>
        <w:ind w:firstLine="432"/>
        <w:spacing w:after="0" w:line="344" w:lineRule="auto"/>
        <w:rPr>
          <w:sz w:val="20"/>
          <w:szCs w:val="20"/>
          <w:color w:val="auto"/>
        </w:rPr>
      </w:pPr>
      <w:r>
        <w:rPr>
          <w:rFonts w:ascii="Times New Roman" w:cs="Times New Roman" w:eastAsia="Times New Roman" w:hAnsi="Times New Roman"/>
          <w:sz w:val="13"/>
          <w:szCs w:val="13"/>
          <w:color w:val="auto"/>
        </w:rPr>
        <w:t>Net income for the quarter ended October 31, 2022 was $39.4 million compared to $35.0 million in the same quarter last year. Earnings per diluted Class A Nonvoting Common Share were $0.79 in the first quarter of fiscal 2023, compared to $0.67 in the same quarter last year. Net Income Excluding Certain Items* for the quarter ended October 31, 2022 was $42.2 million and Diluted EPS Excluding Certain Items* for the quarter ended October 31, 2022 was $0.84. Net Income Excluding Certain Items* for the quarter ended October 31, 2021 was $38.0 million, and Diluted EPS Excluding Certain Items* for the quarter ended October 31, 2021 was $0.72.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60" w:lineRule="exact"/>
        <w:rPr>
          <w:sz w:val="20"/>
          <w:szCs w:val="20"/>
          <w:color w:val="auto"/>
        </w:rPr>
      </w:pPr>
    </w:p>
    <w:p>
      <w:pPr>
        <w:jc w:val="both"/>
        <w:ind w:firstLine="432"/>
        <w:spacing w:after="0" w:line="382" w:lineRule="auto"/>
        <w:rPr>
          <w:sz w:val="20"/>
          <w:szCs w:val="20"/>
          <w:color w:val="auto"/>
        </w:rPr>
      </w:pPr>
      <w:r>
        <w:rPr>
          <w:rFonts w:ascii="Times New Roman" w:cs="Times New Roman" w:eastAsia="Times New Roman" w:hAnsi="Times New Roman"/>
          <w:sz w:val="13"/>
          <w:szCs w:val="13"/>
          <w:color w:val="auto"/>
        </w:rPr>
        <w:t>“Our first quarter results demonstrate our commitment to serving our customers extremely well while making our customers’ jobs easier and safer. This quarter, we once again had strong organic sales growth, with organic growth in each of our two segments. We are investing in sales, marketing, and research and development,</w:t>
      </w:r>
    </w:p>
    <w:p>
      <w:pPr>
        <w:sectPr>
          <w:pgSz w:w="11900" w:h="16838" w:orient="portrait"/>
          <w:cols w:equalWidth="0" w:num="1">
            <w:col w:w="11300"/>
          </w:cols>
          <w:pgMar w:left="300" w:top="636" w:right="299" w:bottom="1440" w:gutter="0" w:footer="0" w:header="0"/>
        </w:sectPr>
      </w:pPr>
    </w:p>
    <w:bookmarkStart w:id="4" w:name="page5"/>
    <w:bookmarkEnd w:id="4"/>
    <w:p>
      <w:pPr>
        <w:jc w:val="both"/>
        <w:spacing w:after="0" w:line="332" w:lineRule="auto"/>
        <w:rPr>
          <w:sz w:val="20"/>
          <w:szCs w:val="20"/>
          <w:color w:val="auto"/>
        </w:rPr>
      </w:pPr>
      <w:r>
        <w:rPr>
          <w:rFonts w:ascii="Times New Roman" w:cs="Times New Roman" w:eastAsia="Times New Roman" w:hAnsi="Times New Roman"/>
          <w:sz w:val="13"/>
          <w:szCs w:val="13"/>
          <w:color w:val="auto"/>
        </w:rPr>
        <w:t>which when combined with our innovative spirit are setting the stage for Brady to continue growing organically,” said Brady’s President and Chief Executive Officer, Russell R. Shaller. “Our ability to execute is driving sustained growth across our businesses. Our Identification Solutions segment is performing very well, with organic sales growth and a robust pipeline of new products that help our customers become safer, more efficient, and meet their sustainability goals. In our Workplace Safety segment, we are seeing significant benefits from the actions we took to simplify our product offering, to streamline our cost structure, and to improve our price competitiveness, resulting in a segment profit increase of more than 175 percent this quarter. While we recognize that the macro-economy is uncertain and that foreign currency translation is creating challenges for international organizations such as Brady, we continue to see a positive demand environment, and we have a highly-engaged workforce and a strong balance sheet, which we believe position us for future success.”</w:t>
      </w:r>
    </w:p>
    <w:p>
      <w:pPr>
        <w:spacing w:after="0" w:line="1"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“Brady is financially solid and continues to generate significant cash flow in a challenging macro environment. This quarter, we grew organic sales by 6.9 percent and we grew GAAP diluted earnings per share by 17.9 percent,” said Brady’s Chief Financial Officer, Aaron Pearce. “We also returned $11.4 million to our shareholders in the form of dividends and repurchased another $12.1 million worth of shares this quarter. We are in a net cash position of $15.5 million at October 31, 2022, and earlier this week we extended and expanded our revolving line of credit providing additional capacity for future shareholder value enhancing investments.”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2023 Guidance:</w:t>
      </w:r>
    </w:p>
    <w:p>
      <w:pPr>
        <w:spacing w:after="0" w:line="51" w:lineRule="exact"/>
        <w:rPr>
          <w:sz w:val="20"/>
          <w:szCs w:val="20"/>
          <w:color w:val="auto"/>
        </w:rPr>
      </w:pPr>
    </w:p>
    <w:p>
      <w:pPr>
        <w:jc w:val="both"/>
        <w:ind w:right="20" w:firstLine="432"/>
        <w:spacing w:after="0" w:line="325" w:lineRule="auto"/>
        <w:rPr>
          <w:sz w:val="20"/>
          <w:szCs w:val="20"/>
          <w:color w:val="auto"/>
        </w:rPr>
      </w:pPr>
      <w:r>
        <w:rPr>
          <w:rFonts w:ascii="Times New Roman" w:cs="Times New Roman" w:eastAsia="Times New Roman" w:hAnsi="Times New Roman"/>
          <w:sz w:val="13"/>
          <w:szCs w:val="13"/>
          <w:color w:val="auto"/>
        </w:rPr>
        <w:t>The Company’s GAAP earnings per diluted Class A Nonvoting Common Share guidance for the year ending July 31, 2023 remains unchanged at $3.13 to $3.43 per share, and the Company’s Diluted EPS Excluding Certain Items* guidance for the year ending July 31, 2023 also remains unchanged at $3.30 to $3.60 per share.</w:t>
      </w:r>
    </w:p>
    <w:p>
      <w:pPr>
        <w:jc w:val="both"/>
        <w:ind w:firstLine="432"/>
        <w:spacing w:after="0" w:line="357" w:lineRule="auto"/>
        <w:rPr>
          <w:sz w:val="20"/>
          <w:szCs w:val="20"/>
          <w:color w:val="auto"/>
        </w:rPr>
      </w:pPr>
      <w:r>
        <w:rPr>
          <w:rFonts w:ascii="Times New Roman" w:cs="Times New Roman" w:eastAsia="Times New Roman" w:hAnsi="Times New Roman"/>
          <w:sz w:val="13"/>
          <w:szCs w:val="13"/>
          <w:color w:val="auto"/>
        </w:rPr>
        <w:t>The other assumptions included in our fiscal 2023 guidance are effectively unchanged. We expect a full-year income tax rate of approximately 20 percent, depreciation and amortization expense ranging from $32 million to $34 million, and capital expenditures of approximately $32 million. Our fiscal 2023 guidance is based on foreign currency exchange rates as of October 31, 2022 and assumes continued economic growth.</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2023 first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52"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Times New Roman" w:cs="Times New Roman" w:eastAsia="Times New Roman" w:hAnsi="Times New Roman"/>
          <w:sz w:val="13"/>
          <w:szCs w:val="13"/>
          <w:color w:val="0000FF"/>
        </w:rPr>
        <w:t>www.bradyid.com</w:t>
      </w:r>
      <w:r>
        <w:rPr>
          <w:rFonts w:ascii="Times New Roman" w:cs="Times New Roman" w:eastAsia="Times New Roman" w:hAnsi="Times New Roman"/>
          <w:sz w:val="13"/>
          <w:szCs w:val="13"/>
          <w:color w:val="auto"/>
        </w:rPr>
        <w:t>.</w:t>
      </w:r>
    </w:p>
    <w:p>
      <w:pPr>
        <w:sectPr>
          <w:pgSz w:w="11900" w:h="16838" w:orient="portrait"/>
          <w:cols w:equalWidth="0" w:num="1">
            <w:col w:w="11300"/>
          </w:cols>
          <w:pgMar w:left="300" w:top="674" w:right="299" w:bottom="1440" w:gutter="0" w:footer="0" w:header="0"/>
        </w:sectPr>
      </w:pPr>
    </w:p>
    <w:bookmarkStart w:id="5" w:name="page6"/>
    <w:bookmarkEnd w:id="5"/>
    <w:p>
      <w:pPr>
        <w:ind w:firstLine="424"/>
        <w:spacing w:after="0" w:line="367" w:lineRule="auto"/>
        <w:tabs>
          <w:tab w:leader="none" w:pos="53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adverse impacts of the novel coronavirus (“COVID-19”) pandemic or other pandemics;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2021</w:t>
            </w:r>
          </w:p>
        </w:tc>
        <w:tc>
          <w:tcPr>
            <w:tcW w:w="48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322,569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321,475</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167,305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166,487</w:t>
            </w:r>
          </w:p>
        </w:tc>
      </w:tr>
      <w:tr>
        <w:trPr>
          <w:trHeight w:val="13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155,264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154,988</w:t>
            </w: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13,907</w:t>
            </w:r>
          </w:p>
        </w:tc>
      </w:tr>
      <w:tr>
        <w:trPr>
          <w:trHeight w:val="142"/>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89,945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96,746</w:t>
            </w:r>
          </w:p>
        </w:tc>
      </w:tr>
      <w:tr>
        <w:trPr>
          <w:trHeight w:val="135"/>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103,878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110,653</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51,386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44,335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(expense)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(expense)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44"/>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50,335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44,696</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10,894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9,650</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39,441</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35,046</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0.79</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0.67</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0.67</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0.78</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0.66</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49,868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51,973</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52,436</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October 31, 2022</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2022</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114,471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114,069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$6,938 and $7,355,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180,183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183,233</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195,695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190,023</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12,902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10,743</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503,251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498,068</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139,511</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579,404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586,832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74,028</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31,293</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21,719</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1,350,629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1,367,332</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81,116</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76,764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15,003</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65,350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61,458</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255,174</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95,000</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19,143</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80,733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86,717</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438,904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456,034</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46,176,267 and 46,370,708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346,064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345,266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920,482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892,417</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stock—5,085,220 and 4,890,779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(217,856)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(126,514)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(109,077)</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911,725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911,298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1,350,629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1,367,332</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2021</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39,441</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35,046</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4,129</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(13,302)</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(16,579)</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9,499</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5,945</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1,656</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27,999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27,491</w:t>
            </w:r>
          </w:p>
        </w:tc>
      </w:tr>
      <w:tr>
        <w:trPr>
          <w:trHeight w:val="146"/>
        </w:trPr>
        <w:tc>
          <w:tcPr>
            <w:tcW w:w="8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(11,328)</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35"/>
        </w:trPr>
        <w:tc>
          <w:tcPr>
            <w:tcW w:w="8480" w:type="dxa"/>
            <w:vAlign w:val="bottom"/>
            <w:tcBorders>
              <w:top w:val="single" w:sz="8" w:color="CCEEFF"/>
            </w:tcBorders>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(3,861)</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(11,326)</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(11,595)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(12,070)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(18,924)</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56,200</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facilities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(27,200)</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(20,535)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(1,355)</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10,218</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147,335</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114,471</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157,553</w:t>
            </w:r>
          </w:p>
        </w:tc>
      </w:tr>
      <w:tr>
        <w:trPr>
          <w:trHeight w:val="20"/>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right"/>
              <w:ind w:right="60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120" w:type="dxa"/>
            <w:vAlign w:val="bottom"/>
            <w:tcBorders>
              <w:bottom w:val="single" w:sz="8" w:color="auto"/>
            </w:tcBorders>
          </w:tcPr>
          <w:p>
            <w:pPr>
              <w:spacing w:after="0"/>
              <w:rPr>
                <w:sz w:val="12"/>
                <w:szCs w:val="12"/>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Borders>
              <w:bottom w:val="single" w:sz="8" w:color="auto"/>
            </w:tcBorders>
          </w:tcPr>
          <w:p>
            <w:pPr>
              <w:spacing w:after="0"/>
              <w:rPr>
                <w:sz w:val="13"/>
                <w:szCs w:val="13"/>
                <w:color w:val="auto"/>
              </w:rPr>
            </w:pPr>
          </w:p>
        </w:tc>
      </w:tr>
      <w:tr>
        <w:trPr>
          <w:trHeight w:val="126"/>
        </w:trPr>
        <w:tc>
          <w:tcPr>
            <w:tcW w:w="83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IDS</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256,356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248,617</w:t>
            </w:r>
          </w:p>
        </w:tc>
        <w:tc>
          <w:tcPr>
            <w:tcW w:w="120" w:type="dxa"/>
            <w:vAlign w:val="bottom"/>
          </w:tcPr>
          <w:p>
            <w:pPr>
              <w:spacing w:after="0"/>
              <w:rPr>
                <w:sz w:val="12"/>
                <w:szCs w:val="12"/>
                <w:color w:val="auto"/>
              </w:rPr>
            </w:pPr>
          </w:p>
        </w:tc>
      </w:tr>
      <w:tr>
        <w:trPr>
          <w:trHeight w:val="144"/>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WPS</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66,213</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72,858</w:t>
            </w:r>
          </w:p>
        </w:tc>
        <w:tc>
          <w:tcPr>
            <w:tcW w:w="120" w:type="dxa"/>
            <w:vAlign w:val="bottom"/>
            <w:tcBorders>
              <w:bottom w:val="single" w:sz="8" w:color="auto"/>
            </w:tcBorders>
            <w:shd w:val="clear" w:color="auto" w:fill="CCEEFF"/>
          </w:tcPr>
          <w:p>
            <w:pPr>
              <w:spacing w:after="0"/>
              <w:rPr>
                <w:sz w:val="12"/>
                <w:szCs w:val="12"/>
                <w:color w:val="auto"/>
              </w:rPr>
            </w:pPr>
          </w:p>
        </w:tc>
      </w:tr>
      <w:tr>
        <w:trPr>
          <w:trHeight w:val="151"/>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322,569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321,475</w:t>
            </w:r>
          </w:p>
        </w:tc>
        <w:tc>
          <w:tcPr>
            <w:tcW w:w="120" w:type="dxa"/>
            <w:vAlign w:val="bottom"/>
            <w:tcBorders>
              <w:bottom w:val="single" w:sz="8" w:color="auto"/>
            </w:tcBorders>
          </w:tcPr>
          <w:p>
            <w:pPr>
              <w:spacing w:after="0"/>
              <w:rPr>
                <w:sz w:val="13"/>
                <w:szCs w:val="13"/>
                <w:color w:val="auto"/>
              </w:rPr>
            </w:pPr>
          </w:p>
        </w:tc>
      </w:tr>
      <w:tr>
        <w:trPr>
          <w:trHeight w:val="153"/>
        </w:trPr>
        <w:tc>
          <w:tcPr>
            <w:tcW w:w="8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3"/>
        </w:trPr>
        <w:tc>
          <w:tcPr>
            <w:tcW w:w="8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IDS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0.6 %</w:t>
            </w: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5"/>
        </w:trPr>
        <w:tc>
          <w:tcPr>
            <w:tcW w:w="8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1"/>
        </w:trPr>
        <w:tc>
          <w:tcPr>
            <w:tcW w:w="830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WPS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 %</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(10.3) %</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5"/>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 %</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r>
      <w:tr>
        <w:trPr>
          <w:trHeight w:val="121"/>
        </w:trPr>
        <w:tc>
          <w:tcPr>
            <w:tcW w:w="830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0.7 %</w:t>
            </w:r>
          </w:p>
        </w:tc>
      </w:tr>
      <w:tr>
        <w:trPr>
          <w:trHeight w:val="142"/>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1"/>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8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3"/>
        </w:trPr>
        <w:tc>
          <w:tcPr>
            <w:tcW w:w="8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IDS</w:t>
            </w: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48,816</w:t>
            </w:r>
          </w:p>
        </w:tc>
        <w:tc>
          <w:tcPr>
            <w:tcW w:w="120" w:type="dxa"/>
            <w:vAlign w:val="bottom"/>
            <w:shd w:val="clear" w:color="auto" w:fill="CCEEFF"/>
          </w:tcPr>
          <w:p>
            <w:pPr>
              <w:spacing w:after="0"/>
              <w:rPr>
                <w:sz w:val="12"/>
                <w:szCs w:val="12"/>
                <w:color w:val="auto"/>
              </w:rPr>
            </w:pPr>
          </w:p>
        </w:tc>
      </w:tr>
      <w:tr>
        <w:trPr>
          <w:trHeight w:val="142"/>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WPS</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2,293</w:t>
            </w:r>
          </w:p>
        </w:tc>
        <w:tc>
          <w:tcPr>
            <w:tcW w:w="120" w:type="dxa"/>
            <w:vAlign w:val="bottom"/>
            <w:tcBorders>
              <w:bottom w:val="single" w:sz="8" w:color="auto"/>
            </w:tcBorders>
          </w:tcPr>
          <w:p>
            <w:pPr>
              <w:spacing w:after="0"/>
              <w:rPr>
                <w:sz w:val="12"/>
                <w:szCs w:val="12"/>
                <w:color w:val="auto"/>
              </w:rPr>
            </w:pPr>
          </w:p>
        </w:tc>
      </w:tr>
      <w:tr>
        <w:trPr>
          <w:trHeight w:val="155"/>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57,903</w:t>
            </w: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51,109</w:t>
            </w:r>
          </w:p>
        </w:tc>
        <w:tc>
          <w:tcPr>
            <w:tcW w:w="120" w:type="dxa"/>
            <w:vAlign w:val="bottom"/>
            <w:tcBorders>
              <w:bottom w:val="single" w:sz="8" w:color="auto"/>
            </w:tcBorders>
            <w:shd w:val="clear" w:color="auto" w:fill="CCEEFF"/>
          </w:tcPr>
          <w:p>
            <w:pPr>
              <w:spacing w:after="0"/>
              <w:rPr>
                <w:sz w:val="13"/>
                <w:szCs w:val="13"/>
                <w:color w:val="auto"/>
              </w:rPr>
            </w:pPr>
          </w:p>
        </w:tc>
      </w:tr>
      <w:tr>
        <w:trPr>
          <w:trHeight w:val="121"/>
        </w:trPr>
        <w:tc>
          <w:tcPr>
            <w:tcW w:w="830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IDS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19.6 %</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WPS</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9.6 %</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3.1 %</w:t>
            </w:r>
          </w:p>
        </w:tc>
      </w:tr>
      <w:tr>
        <w:trPr>
          <w:trHeight w:val="142"/>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0"/>
        </w:trPr>
        <w:tc>
          <w:tcPr>
            <w:tcW w:w="8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347"/>
        </w:trPr>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86"/>
              <w:spacing w:after="0"/>
              <w:rPr>
                <w:sz w:val="20"/>
                <w:szCs w:val="20"/>
                <w:color w:val="auto"/>
              </w:rPr>
            </w:pPr>
            <w:r>
              <w:rPr>
                <w:rFonts w:ascii="Times New Roman" w:cs="Times New Roman" w:eastAsia="Times New Roman" w:hAnsi="Times New Roman"/>
                <w:sz w:val="11"/>
                <w:szCs w:val="11"/>
                <w:color w:val="auto"/>
                <w:w w:val="98"/>
              </w:rPr>
              <w:t>Three months ended October 31,</w:t>
            </w:r>
          </w:p>
        </w:tc>
        <w:tc>
          <w:tcPr>
            <w:tcW w:w="120" w:type="dxa"/>
            <w:vAlign w:val="bottom"/>
            <w:tcBorders>
              <w:bottom w:val="single" w:sz="8" w:color="auto"/>
            </w:tcBorders>
          </w:tcPr>
          <w:p>
            <w:pPr>
              <w:spacing w:after="0"/>
              <w:rPr>
                <w:sz w:val="24"/>
                <w:szCs w:val="24"/>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Borders>
              <w:bottom w:val="single" w:sz="8" w:color="auto"/>
            </w:tcBorders>
          </w:tcPr>
          <w:p>
            <w:pPr>
              <w:spacing w:after="0"/>
              <w:rPr>
                <w:sz w:val="13"/>
                <w:szCs w:val="13"/>
                <w:color w:val="auto"/>
              </w:rPr>
            </w:pPr>
          </w:p>
        </w:tc>
      </w:tr>
      <w:tr>
        <w:trPr>
          <w:trHeight w:val="13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57,903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51,109</w:t>
            </w:r>
          </w:p>
        </w:tc>
      </w:tr>
      <w:tr>
        <w:trPr>
          <w:trHeight w:val="142"/>
        </w:trPr>
        <w:tc>
          <w:tcPr>
            <w:tcW w:w="830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(6,517)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(6,774)</w:t>
            </w: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(expense) income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4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33"/>
        </w:trPr>
        <w:tc>
          <w:tcPr>
            <w:tcW w:w="830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50,335</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44,696</w:t>
            </w:r>
          </w:p>
        </w:tc>
      </w:tr>
      <w:tr>
        <w:trPr>
          <w:trHeight w:val="20"/>
        </w:trPr>
        <w:tc>
          <w:tcPr>
            <w:tcW w:w="8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Income Before Income Taxes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4"/>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r>
      <w:tr>
        <w:trPr>
          <w:trHeight w:val="134"/>
        </w:trPr>
        <w:tc>
          <w:tcPr>
            <w:tcW w:w="84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50,335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44,696</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3,631</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w:t>
            </w:r>
          </w:p>
        </w:tc>
      </w:tr>
      <w:tr>
        <w:trPr>
          <w:trHeight w:val="151"/>
        </w:trPr>
        <w:tc>
          <w:tcPr>
            <w:tcW w:w="8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53,966</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48,503</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 Expense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4"/>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r>
      <w:tr>
        <w:trPr>
          <w:trHeight w:val="134"/>
        </w:trPr>
        <w:tc>
          <w:tcPr>
            <w:tcW w:w="84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10,894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9,650</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900</w:t>
            </w:r>
          </w:p>
        </w:tc>
      </w:tr>
      <w:tr>
        <w:trPr>
          <w:trHeight w:val="151"/>
        </w:trPr>
        <w:tc>
          <w:tcPr>
            <w:tcW w:w="8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11,759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10,550</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4"/>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r>
      <w:tr>
        <w:trPr>
          <w:trHeight w:val="134"/>
        </w:trPr>
        <w:tc>
          <w:tcPr>
            <w:tcW w:w="84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39,441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35,046</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2,907</w:t>
            </w:r>
          </w:p>
        </w:tc>
      </w:tr>
      <w:tr>
        <w:trPr>
          <w:trHeight w:val="151"/>
        </w:trPr>
        <w:tc>
          <w:tcPr>
            <w:tcW w:w="8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42,207</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37,953</w:t>
            </w:r>
          </w:p>
        </w:tc>
      </w:tr>
    </w:tbl>
    <w:p>
      <w:pPr>
        <w:sectPr>
          <w:pgSz w:w="11900" w:h="16838" w:orient="portrait"/>
          <w:cols w:equalWidth="0" w:num="1">
            <w:col w:w="11300"/>
          </w:cols>
          <w:pgMar w:left="300" w:top="55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 (Note that certain amounts will not foot due to rounding):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Three months ended October 31,</w:t>
            </w:r>
          </w:p>
        </w:tc>
        <w:tc>
          <w:tcPr>
            <w:tcW w:w="400" w:type="dxa"/>
            <w:vAlign w:val="bottom"/>
            <w:tcBorders>
              <w:bottom w:val="single" w:sz="8" w:color="auto"/>
            </w:tcBorders>
          </w:tcPr>
          <w:p>
            <w:pPr>
              <w:spacing w:after="0"/>
              <w:rPr>
                <w:sz w:val="12"/>
                <w:szCs w:val="12"/>
                <w:color w:val="auto"/>
              </w:rPr>
            </w:pPr>
          </w:p>
        </w:tc>
      </w:tr>
      <w:tr>
        <w:trPr>
          <w:trHeight w:val="134"/>
        </w:trPr>
        <w:tc>
          <w:tcPr>
            <w:tcW w:w="84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400" w:type="dxa"/>
            <w:vAlign w:val="bottom"/>
            <w:tcBorders>
              <w:bottom w:val="single" w:sz="8" w:color="auto"/>
            </w:tcBorders>
          </w:tcPr>
          <w:p>
            <w:pPr>
              <w:spacing w:after="0"/>
              <w:rPr>
                <w:sz w:val="11"/>
                <w:szCs w:val="11"/>
                <w:color w:val="auto"/>
              </w:rPr>
            </w:pPr>
          </w:p>
        </w:tc>
      </w:tr>
      <w:tr>
        <w:trPr>
          <w:trHeight w:val="134"/>
        </w:trPr>
        <w:tc>
          <w:tcPr>
            <w:tcW w:w="84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0.79</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0.67</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0.06</w:t>
            </w:r>
          </w:p>
        </w:tc>
      </w:tr>
      <w:tr>
        <w:trPr>
          <w:trHeight w:val="151"/>
        </w:trPr>
        <w:tc>
          <w:tcPr>
            <w:tcW w:w="84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0.84</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0.72</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2023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3.60</w:t>
            </w:r>
          </w:p>
        </w:tc>
      </w:tr>
    </w:tbl>
    <w:p>
      <w:pPr>
        <w:sectPr>
          <w:pgSz w:w="11900" w:h="16838" w:orient="portrait"/>
          <w:cols w:equalWidth="0" w:num="1">
            <w:col w:w="11300"/>
          </w:cols>
          <w:pgMar w:left="300" w:top="665"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2022-11-17T06:14:38Z</dcterms:created>
  <dcterms:modified xsi:type="dcterms:W3CDTF">2022-11-17T06:14:38Z</dcterms:modified>
</cp:coreProperties>
</file>