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528"/>
        <w:spacing w:after="0"/>
        <w:rPr>
          <w:sz w:val="20"/>
          <w:szCs w:val="20"/>
          <w:color w:val="auto"/>
        </w:rPr>
      </w:pPr>
      <w:r>
        <w:rPr>
          <w:rFonts w:ascii="Arial" w:cs="Arial" w:eastAsia="Arial" w:hAnsi="Arial"/>
          <w:sz w:val="16"/>
          <w:szCs w:val="16"/>
          <w:color w:val="auto"/>
        </w:rPr>
        <w:t>Registration No. 333-_______</w:t>
      </w:r>
    </w:p>
    <w:p>
      <w:pPr>
        <w:spacing w:after="0" w:line="221"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As filed with the Securities and Exchange Commission on September 28,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92075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91" w:lineRule="exact"/>
        <w:rPr>
          <w:sz w:val="24"/>
          <w:szCs w:val="24"/>
          <w:color w:val="auto"/>
        </w:rPr>
      </w:pPr>
    </w:p>
    <w:p>
      <w:pPr>
        <w:jc w:val="center"/>
        <w:ind w:right="151"/>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151"/>
        <w:spacing w:after="0"/>
        <w:rPr>
          <w:sz w:val="20"/>
          <w:szCs w:val="20"/>
          <w:color w:val="auto"/>
        </w:rPr>
      </w:pPr>
      <w:r>
        <w:rPr>
          <w:rFonts w:ascii="Arial" w:cs="Arial" w:eastAsia="Arial" w:hAnsi="Arial"/>
          <w:sz w:val="32"/>
          <w:szCs w:val="32"/>
          <w:b w:val="1"/>
          <w:bCs w:val="1"/>
          <w:color w:val="auto"/>
        </w:rPr>
        <w:t>FORM S-8</w:t>
      </w:r>
    </w:p>
    <w:p>
      <w:pPr>
        <w:spacing w:after="0" w:line="199"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UNDER</w:t>
      </w:r>
    </w:p>
    <w:p>
      <w:pPr>
        <w:jc w:val="center"/>
        <w:ind w:right="151"/>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2280920</wp:posOffset>
            </wp:positionH>
            <wp:positionV relativeFrom="paragraph">
              <wp:posOffset>107315</wp:posOffset>
            </wp:positionV>
            <wp:extent cx="1612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95" w:lineRule="exact"/>
        <w:rPr>
          <w:sz w:val="24"/>
          <w:szCs w:val="24"/>
          <w:color w:val="auto"/>
        </w:rPr>
      </w:pPr>
    </w:p>
    <w:p>
      <w:pPr>
        <w:jc w:val="center"/>
        <w:ind w:right="151"/>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488" w:type="dxa"/>
        <w:tblCellMar>
          <w:top w:w="0" w:type="dxa"/>
          <w:left w:w="0" w:type="dxa"/>
          <w:bottom w:w="0" w:type="dxa"/>
          <w:right w:w="0" w:type="dxa"/>
        </w:tblCellMar>
      </w:tblPr>
      <w:tr>
        <w:trPr>
          <w:trHeight w:val="216"/>
        </w:trPr>
        <w:tc>
          <w:tcPr>
            <w:tcW w:w="5640" w:type="dxa"/>
            <w:vAlign w:val="bottom"/>
            <w:gridSpan w:val="2"/>
          </w:tcPr>
          <w:p>
            <w:pPr>
              <w:jc w:val="center"/>
              <w:ind w:right="1910"/>
              <w:spacing w:after="0"/>
              <w:rPr>
                <w:sz w:val="20"/>
                <w:szCs w:val="20"/>
                <w:color w:val="auto"/>
              </w:rPr>
            </w:pPr>
            <w:r>
              <w:rPr>
                <w:rFonts w:ascii="Arial" w:cs="Arial" w:eastAsia="Arial" w:hAnsi="Arial"/>
                <w:sz w:val="18"/>
                <w:szCs w:val="18"/>
                <w:color w:val="auto"/>
                <w:w w:val="96"/>
              </w:rPr>
              <w:t>WISCONSIN</w:t>
            </w:r>
          </w:p>
        </w:tc>
        <w:tc>
          <w:tcPr>
            <w:tcW w:w="2360" w:type="dxa"/>
            <w:vAlign w:val="bottom"/>
          </w:tcPr>
          <w:p>
            <w:pPr>
              <w:jc w:val="center"/>
              <w:ind w:left="110"/>
              <w:spacing w:after="0"/>
              <w:rPr>
                <w:sz w:val="20"/>
                <w:szCs w:val="20"/>
                <w:color w:val="auto"/>
              </w:rPr>
            </w:pPr>
            <w:r>
              <w:rPr>
                <w:rFonts w:ascii="Arial" w:cs="Arial" w:eastAsia="Arial" w:hAnsi="Arial"/>
                <w:sz w:val="18"/>
                <w:szCs w:val="18"/>
                <w:color w:val="auto"/>
                <w:w w:val="91"/>
              </w:rPr>
              <w:t>39-0178960</w:t>
            </w:r>
          </w:p>
        </w:tc>
      </w:tr>
      <w:tr>
        <w:trPr>
          <w:trHeight w:val="216"/>
        </w:trPr>
        <w:tc>
          <w:tcPr>
            <w:tcW w:w="5640" w:type="dxa"/>
            <w:vAlign w:val="bottom"/>
            <w:gridSpan w:val="2"/>
          </w:tcPr>
          <w:p>
            <w:pPr>
              <w:jc w:val="center"/>
              <w:ind w:right="1970"/>
              <w:spacing w:after="0"/>
              <w:rPr>
                <w:sz w:val="20"/>
                <w:szCs w:val="20"/>
                <w:color w:val="auto"/>
              </w:rPr>
            </w:pPr>
            <w:r>
              <w:rPr>
                <w:rFonts w:ascii="Arial" w:cs="Arial" w:eastAsia="Arial" w:hAnsi="Arial"/>
                <w:sz w:val="18"/>
                <w:szCs w:val="18"/>
                <w:color w:val="auto"/>
                <w:w w:val="93"/>
              </w:rPr>
              <w:t>(State or other jurisdiction of</w:t>
            </w:r>
          </w:p>
        </w:tc>
        <w:tc>
          <w:tcPr>
            <w:tcW w:w="2360" w:type="dxa"/>
            <w:vAlign w:val="bottom"/>
          </w:tcPr>
          <w:p>
            <w:pPr>
              <w:jc w:val="center"/>
              <w:ind w:left="110"/>
              <w:spacing w:after="0"/>
              <w:rPr>
                <w:sz w:val="20"/>
                <w:szCs w:val="20"/>
                <w:color w:val="auto"/>
              </w:rPr>
            </w:pPr>
            <w:r>
              <w:rPr>
                <w:rFonts w:ascii="Arial" w:cs="Arial" w:eastAsia="Arial" w:hAnsi="Arial"/>
                <w:sz w:val="18"/>
                <w:szCs w:val="18"/>
                <w:color w:val="auto"/>
                <w:w w:val="93"/>
              </w:rPr>
              <w:t>(I.R.S. Employer</w:t>
            </w:r>
          </w:p>
        </w:tc>
      </w:tr>
      <w:tr>
        <w:trPr>
          <w:trHeight w:val="230"/>
        </w:trPr>
        <w:tc>
          <w:tcPr>
            <w:tcW w:w="5640" w:type="dxa"/>
            <w:vAlign w:val="bottom"/>
            <w:gridSpan w:val="2"/>
          </w:tcPr>
          <w:p>
            <w:pPr>
              <w:jc w:val="center"/>
              <w:ind w:right="1910"/>
              <w:spacing w:after="0"/>
              <w:rPr>
                <w:sz w:val="20"/>
                <w:szCs w:val="20"/>
                <w:color w:val="auto"/>
              </w:rPr>
            </w:pPr>
            <w:r>
              <w:rPr>
                <w:rFonts w:ascii="Arial" w:cs="Arial" w:eastAsia="Arial" w:hAnsi="Arial"/>
                <w:sz w:val="18"/>
                <w:szCs w:val="18"/>
                <w:color w:val="auto"/>
                <w:w w:val="92"/>
              </w:rPr>
              <w:t>incorporation or organization)</w:t>
            </w:r>
          </w:p>
        </w:tc>
        <w:tc>
          <w:tcPr>
            <w:tcW w:w="2360" w:type="dxa"/>
            <w:vAlign w:val="bottom"/>
          </w:tcPr>
          <w:p>
            <w:pPr>
              <w:jc w:val="center"/>
              <w:ind w:left="110"/>
              <w:spacing w:after="0"/>
              <w:rPr>
                <w:sz w:val="20"/>
                <w:szCs w:val="20"/>
                <w:color w:val="auto"/>
              </w:rPr>
            </w:pPr>
            <w:r>
              <w:rPr>
                <w:rFonts w:ascii="Arial" w:cs="Arial" w:eastAsia="Arial" w:hAnsi="Arial"/>
                <w:sz w:val="18"/>
                <w:szCs w:val="18"/>
                <w:color w:val="auto"/>
                <w:w w:val="94"/>
              </w:rPr>
              <w:t>Identification No.)</w:t>
            </w:r>
          </w:p>
        </w:tc>
      </w:tr>
      <w:tr>
        <w:trPr>
          <w:trHeight w:val="418"/>
        </w:trPr>
        <w:tc>
          <w:tcPr>
            <w:tcW w:w="5640" w:type="dxa"/>
            <w:vAlign w:val="bottom"/>
            <w:gridSpan w:val="2"/>
          </w:tcPr>
          <w:p>
            <w:pPr>
              <w:jc w:val="center"/>
              <w:ind w:right="1930"/>
              <w:spacing w:after="0"/>
              <w:rPr>
                <w:sz w:val="20"/>
                <w:szCs w:val="20"/>
                <w:color w:val="auto"/>
              </w:rPr>
            </w:pPr>
            <w:r>
              <w:rPr>
                <w:rFonts w:ascii="Arial" w:cs="Arial" w:eastAsia="Arial" w:hAnsi="Arial"/>
                <w:sz w:val="18"/>
                <w:szCs w:val="18"/>
                <w:color w:val="auto"/>
                <w:w w:val="89"/>
              </w:rPr>
              <w:t>6555 West Good Hope Road</w:t>
            </w:r>
          </w:p>
        </w:tc>
        <w:tc>
          <w:tcPr>
            <w:tcW w:w="2360" w:type="dxa"/>
            <w:vAlign w:val="bottom"/>
          </w:tcPr>
          <w:p>
            <w:pPr>
              <w:spacing w:after="0"/>
              <w:rPr>
                <w:sz w:val="24"/>
                <w:szCs w:val="24"/>
                <w:color w:val="auto"/>
              </w:rPr>
            </w:pPr>
          </w:p>
        </w:tc>
      </w:tr>
      <w:tr>
        <w:trPr>
          <w:trHeight w:val="216"/>
        </w:trPr>
        <w:tc>
          <w:tcPr>
            <w:tcW w:w="5640" w:type="dxa"/>
            <w:vAlign w:val="bottom"/>
            <w:gridSpan w:val="2"/>
          </w:tcPr>
          <w:p>
            <w:pPr>
              <w:jc w:val="center"/>
              <w:ind w:right="1910"/>
              <w:spacing w:after="0"/>
              <w:rPr>
                <w:sz w:val="20"/>
                <w:szCs w:val="20"/>
                <w:color w:val="auto"/>
              </w:rPr>
            </w:pPr>
            <w:r>
              <w:rPr>
                <w:rFonts w:ascii="Arial" w:cs="Arial" w:eastAsia="Arial" w:hAnsi="Arial"/>
                <w:sz w:val="18"/>
                <w:szCs w:val="18"/>
                <w:color w:val="auto"/>
                <w:w w:val="89"/>
              </w:rPr>
              <w:t>P.O. Box 571</w:t>
            </w:r>
          </w:p>
        </w:tc>
        <w:tc>
          <w:tcPr>
            <w:tcW w:w="2360" w:type="dxa"/>
            <w:vAlign w:val="bottom"/>
          </w:tcPr>
          <w:p>
            <w:pPr>
              <w:spacing w:after="0"/>
              <w:rPr>
                <w:sz w:val="18"/>
                <w:szCs w:val="18"/>
                <w:color w:val="auto"/>
              </w:rPr>
            </w:pPr>
          </w:p>
        </w:tc>
      </w:tr>
      <w:tr>
        <w:trPr>
          <w:trHeight w:val="216"/>
        </w:trPr>
        <w:tc>
          <w:tcPr>
            <w:tcW w:w="5640" w:type="dxa"/>
            <w:vAlign w:val="bottom"/>
            <w:gridSpan w:val="2"/>
          </w:tcPr>
          <w:p>
            <w:pPr>
              <w:jc w:val="center"/>
              <w:ind w:right="1930"/>
              <w:spacing w:after="0"/>
              <w:rPr>
                <w:sz w:val="20"/>
                <w:szCs w:val="20"/>
                <w:color w:val="auto"/>
              </w:rPr>
            </w:pPr>
            <w:r>
              <w:rPr>
                <w:rFonts w:ascii="Arial" w:cs="Arial" w:eastAsia="Arial" w:hAnsi="Arial"/>
                <w:sz w:val="18"/>
                <w:szCs w:val="18"/>
                <w:color w:val="auto"/>
                <w:w w:val="93"/>
              </w:rPr>
              <w:t>Milwaukee, Wisconsin</w:t>
            </w:r>
          </w:p>
        </w:tc>
        <w:tc>
          <w:tcPr>
            <w:tcW w:w="2360" w:type="dxa"/>
            <w:vAlign w:val="bottom"/>
          </w:tcPr>
          <w:p>
            <w:pPr>
              <w:jc w:val="center"/>
              <w:ind w:left="110"/>
              <w:spacing w:after="0"/>
              <w:rPr>
                <w:sz w:val="20"/>
                <w:szCs w:val="20"/>
                <w:color w:val="auto"/>
              </w:rPr>
            </w:pPr>
            <w:r>
              <w:rPr>
                <w:rFonts w:ascii="Arial" w:cs="Arial" w:eastAsia="Arial" w:hAnsi="Arial"/>
                <w:sz w:val="18"/>
                <w:szCs w:val="18"/>
                <w:color w:val="auto"/>
                <w:w w:val="91"/>
              </w:rPr>
              <w:t>53201-0571</w:t>
            </w:r>
          </w:p>
        </w:tc>
      </w:tr>
      <w:tr>
        <w:trPr>
          <w:trHeight w:val="230"/>
        </w:trPr>
        <w:tc>
          <w:tcPr>
            <w:tcW w:w="5640" w:type="dxa"/>
            <w:vAlign w:val="bottom"/>
            <w:gridSpan w:val="2"/>
          </w:tcPr>
          <w:p>
            <w:pPr>
              <w:jc w:val="center"/>
              <w:ind w:right="193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jc w:val="center"/>
              <w:ind w:left="110"/>
              <w:spacing w:after="0"/>
              <w:rPr>
                <w:sz w:val="20"/>
                <w:szCs w:val="20"/>
                <w:color w:val="auto"/>
              </w:rPr>
            </w:pPr>
            <w:r>
              <w:rPr>
                <w:rFonts w:ascii="Arial" w:cs="Arial" w:eastAsia="Arial" w:hAnsi="Arial"/>
                <w:sz w:val="18"/>
                <w:szCs w:val="18"/>
                <w:color w:val="auto"/>
                <w:w w:val="94"/>
              </w:rPr>
              <w:t>(Zip Code)</w:t>
            </w:r>
          </w:p>
        </w:tc>
      </w:tr>
      <w:tr>
        <w:trPr>
          <w:trHeight w:val="189"/>
        </w:trPr>
        <w:tc>
          <w:tcPr>
            <w:tcW w:w="3100" w:type="dxa"/>
            <w:vAlign w:val="bottom"/>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367"/>
        </w:trPr>
        <w:tc>
          <w:tcPr>
            <w:tcW w:w="31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9"/>
              </w:rPr>
              <w:t>BRADY CORPORATION</w:t>
            </w:r>
          </w:p>
        </w:tc>
        <w:tc>
          <w:tcPr>
            <w:tcW w:w="2360" w:type="dxa"/>
            <w:vAlign w:val="bottom"/>
          </w:tcPr>
          <w:p>
            <w:pPr>
              <w:spacing w:after="0"/>
              <w:rPr>
                <w:sz w:val="24"/>
                <w:szCs w:val="24"/>
                <w:color w:val="auto"/>
              </w:rPr>
            </w:pPr>
          </w:p>
        </w:tc>
      </w:tr>
      <w:tr>
        <w:trPr>
          <w:trHeight w:val="234"/>
        </w:trPr>
        <w:tc>
          <w:tcPr>
            <w:tcW w:w="800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rPr>
              <w:t>2012 OMNIBUS INCENTIVE STOCK PLAN</w:t>
            </w:r>
          </w:p>
        </w:tc>
      </w:tr>
      <w:tr>
        <w:trPr>
          <w:trHeight w:val="392"/>
        </w:trPr>
        <w:tc>
          <w:tcPr>
            <w:tcW w:w="31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(Full title of the plan)</w:t>
            </w:r>
          </w:p>
        </w:tc>
        <w:tc>
          <w:tcPr>
            <w:tcW w:w="2360" w:type="dxa"/>
            <w:vAlign w:val="bottom"/>
          </w:tcPr>
          <w:p>
            <w:pPr>
              <w:spacing w:after="0"/>
              <w:rPr>
                <w:sz w:val="24"/>
                <w:szCs w:val="24"/>
                <w:color w:val="auto"/>
              </w:rPr>
            </w:pPr>
          </w:p>
        </w:tc>
      </w:tr>
      <w:tr>
        <w:trPr>
          <w:trHeight w:val="189"/>
        </w:trPr>
        <w:tc>
          <w:tcPr>
            <w:tcW w:w="3100" w:type="dxa"/>
            <w:vAlign w:val="bottom"/>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411"/>
        </w:trPr>
        <w:tc>
          <w:tcPr>
            <w:tcW w:w="5640" w:type="dxa"/>
            <w:vAlign w:val="bottom"/>
            <w:gridSpan w:val="2"/>
          </w:tcPr>
          <w:p>
            <w:pPr>
              <w:jc w:val="center"/>
              <w:ind w:right="1910"/>
              <w:spacing w:after="0"/>
              <w:rPr>
                <w:sz w:val="20"/>
                <w:szCs w:val="20"/>
                <w:color w:val="auto"/>
              </w:rPr>
            </w:pPr>
            <w:r>
              <w:rPr>
                <w:rFonts w:ascii="Arial" w:cs="Arial" w:eastAsia="Arial" w:hAnsi="Arial"/>
                <w:sz w:val="18"/>
                <w:szCs w:val="18"/>
                <w:color w:val="auto"/>
                <w:w w:val="96"/>
              </w:rPr>
              <w:t>THOMAS J. FELMER</w:t>
            </w:r>
          </w:p>
        </w:tc>
        <w:tc>
          <w:tcPr>
            <w:tcW w:w="236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Copy to:</w:t>
            </w:r>
          </w:p>
        </w:tc>
      </w:tr>
      <w:tr>
        <w:trPr>
          <w:trHeight w:val="216"/>
        </w:trPr>
        <w:tc>
          <w:tcPr>
            <w:tcW w:w="5640" w:type="dxa"/>
            <w:vAlign w:val="bottom"/>
            <w:gridSpan w:val="2"/>
          </w:tcPr>
          <w:p>
            <w:pPr>
              <w:jc w:val="center"/>
              <w:ind w:right="1970"/>
              <w:spacing w:after="0"/>
              <w:rPr>
                <w:sz w:val="20"/>
                <w:szCs w:val="20"/>
                <w:color w:val="auto"/>
              </w:rPr>
            </w:pPr>
            <w:r>
              <w:rPr>
                <w:rFonts w:ascii="Arial" w:cs="Arial" w:eastAsia="Arial" w:hAnsi="Arial"/>
                <w:sz w:val="18"/>
                <w:szCs w:val="18"/>
                <w:color w:val="auto"/>
                <w:w w:val="91"/>
              </w:rPr>
              <w:t>Senior Vice President and Chief Financial Officer</w:t>
            </w:r>
          </w:p>
        </w:tc>
        <w:tc>
          <w:tcPr>
            <w:tcW w:w="2360" w:type="dxa"/>
            <w:vAlign w:val="bottom"/>
          </w:tcPr>
          <w:p>
            <w:pPr>
              <w:jc w:val="center"/>
              <w:ind w:left="110"/>
              <w:spacing w:after="0"/>
              <w:rPr>
                <w:sz w:val="20"/>
                <w:szCs w:val="20"/>
                <w:color w:val="auto"/>
              </w:rPr>
            </w:pPr>
            <w:r>
              <w:rPr>
                <w:rFonts w:ascii="Arial" w:cs="Arial" w:eastAsia="Arial" w:hAnsi="Arial"/>
                <w:sz w:val="18"/>
                <w:szCs w:val="18"/>
                <w:color w:val="auto"/>
                <w:w w:val="93"/>
              </w:rPr>
              <w:t>HOYT R. STASTNEY, ESQ.</w:t>
            </w:r>
          </w:p>
        </w:tc>
      </w:tr>
      <w:tr>
        <w:trPr>
          <w:trHeight w:val="216"/>
        </w:trPr>
        <w:tc>
          <w:tcPr>
            <w:tcW w:w="5640" w:type="dxa"/>
            <w:vAlign w:val="bottom"/>
            <w:gridSpan w:val="2"/>
          </w:tcPr>
          <w:p>
            <w:pPr>
              <w:jc w:val="center"/>
              <w:ind w:right="1970"/>
              <w:spacing w:after="0"/>
              <w:rPr>
                <w:sz w:val="20"/>
                <w:szCs w:val="20"/>
                <w:color w:val="auto"/>
              </w:rPr>
            </w:pPr>
            <w:r>
              <w:rPr>
                <w:rFonts w:ascii="Arial" w:cs="Arial" w:eastAsia="Arial" w:hAnsi="Arial"/>
                <w:sz w:val="18"/>
                <w:szCs w:val="18"/>
                <w:color w:val="auto"/>
                <w:w w:val="91"/>
              </w:rPr>
              <w:t>Brady Corporation</w:t>
            </w:r>
          </w:p>
        </w:tc>
        <w:tc>
          <w:tcPr>
            <w:tcW w:w="2360" w:type="dxa"/>
            <w:vAlign w:val="bottom"/>
          </w:tcPr>
          <w:p>
            <w:pPr>
              <w:jc w:val="center"/>
              <w:ind w:left="110"/>
              <w:spacing w:after="0"/>
              <w:rPr>
                <w:sz w:val="20"/>
                <w:szCs w:val="20"/>
                <w:color w:val="auto"/>
              </w:rPr>
            </w:pPr>
            <w:r>
              <w:rPr>
                <w:rFonts w:ascii="Arial" w:cs="Arial" w:eastAsia="Arial" w:hAnsi="Arial"/>
                <w:sz w:val="18"/>
                <w:szCs w:val="18"/>
                <w:color w:val="auto"/>
                <w:w w:val="94"/>
              </w:rPr>
              <w:t>Quarles &amp; Brady LLP</w:t>
            </w:r>
          </w:p>
        </w:tc>
      </w:tr>
      <w:tr>
        <w:trPr>
          <w:trHeight w:val="216"/>
        </w:trPr>
        <w:tc>
          <w:tcPr>
            <w:tcW w:w="5640" w:type="dxa"/>
            <w:vAlign w:val="bottom"/>
            <w:gridSpan w:val="2"/>
          </w:tcPr>
          <w:p>
            <w:pPr>
              <w:jc w:val="center"/>
              <w:ind w:right="1970"/>
              <w:spacing w:after="0"/>
              <w:rPr>
                <w:sz w:val="20"/>
                <w:szCs w:val="20"/>
                <w:color w:val="auto"/>
              </w:rPr>
            </w:pPr>
            <w:r>
              <w:rPr>
                <w:rFonts w:ascii="Arial" w:cs="Arial" w:eastAsia="Arial" w:hAnsi="Arial"/>
                <w:sz w:val="18"/>
                <w:szCs w:val="18"/>
                <w:color w:val="auto"/>
                <w:w w:val="89"/>
              </w:rPr>
              <w:t>6555 West Good Hope Road</w:t>
            </w:r>
          </w:p>
        </w:tc>
        <w:tc>
          <w:tcPr>
            <w:tcW w:w="2360" w:type="dxa"/>
            <w:vAlign w:val="bottom"/>
          </w:tcPr>
          <w:p>
            <w:pPr>
              <w:jc w:val="center"/>
              <w:ind w:left="110"/>
              <w:spacing w:after="0"/>
              <w:rPr>
                <w:sz w:val="20"/>
                <w:szCs w:val="20"/>
                <w:color w:val="auto"/>
              </w:rPr>
            </w:pPr>
            <w:r>
              <w:rPr>
                <w:rFonts w:ascii="Arial" w:cs="Arial" w:eastAsia="Arial" w:hAnsi="Arial"/>
                <w:sz w:val="18"/>
                <w:szCs w:val="18"/>
                <w:color w:val="auto"/>
                <w:w w:val="89"/>
              </w:rPr>
              <w:t>411 East Wisconsin Avenue</w:t>
            </w:r>
          </w:p>
        </w:tc>
      </w:tr>
      <w:tr>
        <w:trPr>
          <w:trHeight w:val="216"/>
        </w:trPr>
        <w:tc>
          <w:tcPr>
            <w:tcW w:w="5640" w:type="dxa"/>
            <w:vAlign w:val="bottom"/>
            <w:gridSpan w:val="2"/>
          </w:tcPr>
          <w:p>
            <w:pPr>
              <w:jc w:val="center"/>
              <w:ind w:right="1910"/>
              <w:spacing w:after="0"/>
              <w:rPr>
                <w:sz w:val="20"/>
                <w:szCs w:val="20"/>
                <w:color w:val="auto"/>
              </w:rPr>
            </w:pPr>
            <w:r>
              <w:rPr>
                <w:rFonts w:ascii="Arial" w:cs="Arial" w:eastAsia="Arial" w:hAnsi="Arial"/>
                <w:sz w:val="18"/>
                <w:szCs w:val="18"/>
                <w:color w:val="auto"/>
                <w:w w:val="89"/>
              </w:rPr>
              <w:t>P.O. Box 571</w:t>
            </w:r>
          </w:p>
        </w:tc>
        <w:tc>
          <w:tcPr>
            <w:tcW w:w="2360" w:type="dxa"/>
            <w:vAlign w:val="bottom"/>
          </w:tcPr>
          <w:p>
            <w:pPr>
              <w:jc w:val="center"/>
              <w:ind w:left="110"/>
              <w:spacing w:after="0"/>
              <w:rPr>
                <w:sz w:val="20"/>
                <w:szCs w:val="20"/>
                <w:color w:val="auto"/>
              </w:rPr>
            </w:pPr>
            <w:r>
              <w:rPr>
                <w:rFonts w:ascii="Arial" w:cs="Arial" w:eastAsia="Arial" w:hAnsi="Arial"/>
                <w:sz w:val="18"/>
                <w:szCs w:val="18"/>
                <w:color w:val="auto"/>
                <w:w w:val="93"/>
              </w:rPr>
              <w:t>Milwaukee, Wisconsin 53202</w:t>
            </w:r>
          </w:p>
        </w:tc>
      </w:tr>
      <w:tr>
        <w:trPr>
          <w:trHeight w:val="230"/>
        </w:trPr>
        <w:tc>
          <w:tcPr>
            <w:tcW w:w="5640" w:type="dxa"/>
            <w:vAlign w:val="bottom"/>
            <w:gridSpan w:val="2"/>
          </w:tcPr>
          <w:p>
            <w:pPr>
              <w:jc w:val="center"/>
              <w:ind w:right="1910"/>
              <w:spacing w:after="0"/>
              <w:rPr>
                <w:sz w:val="20"/>
                <w:szCs w:val="20"/>
                <w:color w:val="auto"/>
              </w:rPr>
            </w:pPr>
            <w:r>
              <w:rPr>
                <w:rFonts w:ascii="Arial" w:cs="Arial" w:eastAsia="Arial" w:hAnsi="Arial"/>
                <w:sz w:val="18"/>
                <w:szCs w:val="18"/>
                <w:color w:val="auto"/>
                <w:w w:val="92"/>
              </w:rPr>
              <w:t>Milwaukee, Wisconsin 53201-0571</w:t>
            </w:r>
          </w:p>
        </w:tc>
        <w:tc>
          <w:tcPr>
            <w:tcW w:w="2360" w:type="dxa"/>
            <w:vAlign w:val="bottom"/>
          </w:tcPr>
          <w:p>
            <w:pPr>
              <w:spacing w:after="0"/>
              <w:rPr>
                <w:sz w:val="20"/>
                <w:szCs w:val="20"/>
                <w:color w:val="auto"/>
              </w:rPr>
            </w:pPr>
          </w:p>
        </w:tc>
      </w:tr>
    </w:tbl>
    <w:p>
      <w:pPr>
        <w:spacing w:after="0" w:line="161" w:lineRule="exact"/>
        <w:rPr>
          <w:sz w:val="24"/>
          <w:szCs w:val="24"/>
          <w:color w:val="auto"/>
        </w:rPr>
      </w:pPr>
    </w:p>
    <w:p>
      <w:pPr>
        <w:ind w:left="3428"/>
        <w:spacing w:after="0"/>
        <w:rPr>
          <w:sz w:val="20"/>
          <w:szCs w:val="20"/>
          <w:color w:val="auto"/>
        </w:rPr>
      </w:pPr>
      <w:r>
        <w:rPr>
          <w:rFonts w:ascii="Arial" w:cs="Arial" w:eastAsia="Arial" w:hAnsi="Arial"/>
          <w:sz w:val="18"/>
          <w:szCs w:val="18"/>
          <w:color w:val="auto"/>
        </w:rPr>
        <w:t>(Name and address of agent for service)</w:t>
      </w:r>
    </w:p>
    <w:p>
      <w:pPr>
        <w:spacing w:after="0" w:line="185" w:lineRule="exact"/>
        <w:rPr>
          <w:sz w:val="24"/>
          <w:szCs w:val="24"/>
          <w:color w:val="auto"/>
        </w:rPr>
      </w:pPr>
    </w:p>
    <w:p>
      <w:pPr>
        <w:ind w:left="4308"/>
        <w:spacing w:after="0"/>
        <w:rPr>
          <w:sz w:val="20"/>
          <w:szCs w:val="20"/>
          <w:color w:val="auto"/>
        </w:rPr>
      </w:pPr>
      <w:r>
        <w:rPr>
          <w:rFonts w:ascii="Arial" w:cs="Arial" w:eastAsia="Arial" w:hAnsi="Arial"/>
          <w:sz w:val="18"/>
          <w:szCs w:val="18"/>
          <w:color w:val="auto"/>
        </w:rPr>
        <w:t>(414) 358-6600</w:t>
      </w:r>
    </w:p>
    <w:p>
      <w:pPr>
        <w:spacing w:after="0" w:line="23"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184" w:lineRule="exact"/>
        <w:rPr>
          <w:sz w:val="24"/>
          <w:szCs w:val="24"/>
          <w:color w:val="auto"/>
        </w:rPr>
      </w:pPr>
    </w:p>
    <w:p>
      <w:pPr>
        <w:jc w:val="both"/>
        <w:ind w:left="8" w:right="159" w:firstLine="38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8" w:lineRule="exact"/>
        <w:rPr>
          <w:sz w:val="24"/>
          <w:szCs w:val="24"/>
          <w:color w:val="auto"/>
        </w:rPr>
      </w:pPr>
    </w:p>
    <w:tbl>
      <w:tblPr>
        <w:tblLayout w:type="fixed"/>
        <w:tblInd w:w="8" w:type="dxa"/>
        <w:tblCellMar>
          <w:top w:w="0" w:type="dxa"/>
          <w:left w:w="0" w:type="dxa"/>
          <w:bottom w:w="0" w:type="dxa"/>
          <w:right w:w="0" w:type="dxa"/>
        </w:tblCellMar>
      </w:tblPr>
      <w:tr>
        <w:trPr>
          <w:trHeight w:val="207"/>
        </w:trPr>
        <w:tc>
          <w:tcPr>
            <w:tcW w:w="1940" w:type="dxa"/>
            <w:vAlign w:val="bottom"/>
          </w:tcPr>
          <w:p>
            <w:pPr>
              <w:ind w:left="60"/>
              <w:spacing w:after="0"/>
              <w:rPr>
                <w:sz w:val="20"/>
                <w:szCs w:val="20"/>
                <w:color w:val="auto"/>
              </w:rPr>
            </w:pPr>
            <w:r>
              <w:rPr>
                <w:rFonts w:ascii="Arial" w:cs="Arial" w:eastAsia="Arial" w:hAnsi="Arial"/>
                <w:sz w:val="18"/>
                <w:szCs w:val="18"/>
                <w:color w:val="auto"/>
              </w:rPr>
              <w:t>Large accelerated filer</w:t>
            </w:r>
          </w:p>
        </w:tc>
        <w:tc>
          <w:tcPr>
            <w:tcW w:w="1640" w:type="dxa"/>
            <w:vAlign w:val="bottom"/>
          </w:tcPr>
          <w:p>
            <w:pPr>
              <w:ind w:left="260"/>
              <w:spacing w:after="0"/>
              <w:rPr>
                <w:sz w:val="20"/>
                <w:szCs w:val="20"/>
                <w:color w:val="auto"/>
              </w:rPr>
            </w:pPr>
            <w:r>
              <w:rPr>
                <w:rFonts w:ascii="Arial" w:cs="Arial" w:eastAsia="Arial" w:hAnsi="Arial"/>
                <w:sz w:val="18"/>
                <w:szCs w:val="18"/>
                <w:color w:val="auto"/>
                <w:w w:val="92"/>
              </w:rPr>
              <w:t>Accelerated filer o</w:t>
            </w:r>
          </w:p>
        </w:tc>
        <w:tc>
          <w:tcPr>
            <w:tcW w:w="2980" w:type="dxa"/>
            <w:vAlign w:val="bottom"/>
            <w:gridSpan w:val="3"/>
          </w:tcPr>
          <w:p>
            <w:pPr>
              <w:jc w:val="center"/>
              <w:ind w:left="1110"/>
              <w:spacing w:after="0"/>
              <w:rPr>
                <w:sz w:val="20"/>
                <w:szCs w:val="20"/>
                <w:color w:val="auto"/>
              </w:rPr>
            </w:pPr>
            <w:r>
              <w:rPr>
                <w:rFonts w:ascii="Arial" w:cs="Arial" w:eastAsia="Arial" w:hAnsi="Arial"/>
                <w:sz w:val="18"/>
                <w:szCs w:val="18"/>
                <w:color w:val="auto"/>
                <w:w w:val="91"/>
              </w:rPr>
              <w:t>Non-accelerated filer o</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Smaller reporting company. o</w:t>
            </w:r>
          </w:p>
        </w:tc>
        <w:tc>
          <w:tcPr>
            <w:tcW w:w="0" w:type="dxa"/>
            <w:vAlign w:val="bottom"/>
          </w:tcPr>
          <w:p>
            <w:pPr>
              <w:spacing w:after="0"/>
              <w:rPr>
                <w:sz w:val="1"/>
                <w:szCs w:val="1"/>
                <w:color w:val="auto"/>
              </w:rPr>
            </w:pPr>
          </w:p>
        </w:tc>
      </w:tr>
      <w:tr>
        <w:trPr>
          <w:trHeight w:val="283"/>
        </w:trPr>
        <w:tc>
          <w:tcPr>
            <w:tcW w:w="1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spacing w:after="0"/>
              <w:rPr>
                <w:sz w:val="24"/>
                <w:szCs w:val="24"/>
                <w:color w:val="auto"/>
              </w:rPr>
            </w:pPr>
          </w:p>
        </w:tc>
        <w:tc>
          <w:tcPr>
            <w:tcW w:w="4520" w:type="dxa"/>
            <w:vAlign w:val="bottom"/>
            <w:gridSpan w:val="4"/>
            <w:vMerge w:val="restart"/>
          </w:tcPr>
          <w:p>
            <w:pPr>
              <w:jc w:val="center"/>
              <w:ind w:right="250"/>
              <w:spacing w:after="0"/>
              <w:rPr>
                <w:sz w:val="20"/>
                <w:szCs w:val="20"/>
                <w:color w:val="auto"/>
              </w:rPr>
            </w:pPr>
            <w:r>
              <w:rPr>
                <w:rFonts w:ascii="Arial" w:cs="Arial" w:eastAsia="Arial" w:hAnsi="Arial"/>
                <w:sz w:val="18"/>
                <w:szCs w:val="18"/>
                <w:color w:val="auto"/>
                <w:w w:val="91"/>
              </w:rPr>
              <w:t>(Do not check if a smaller reporting company)</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520" w:type="dxa"/>
            <w:vAlign w:val="bottom"/>
            <w:gridSpan w:val="4"/>
            <w:vMerge w:val="continue"/>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1940" w:type="dxa"/>
            <w:vAlign w:val="bottom"/>
          </w:tcPr>
          <w:p>
            <w:pPr>
              <w:spacing w:after="0"/>
              <w:rPr>
                <w:sz w:val="24"/>
                <w:szCs w:val="24"/>
                <w:color w:val="auto"/>
              </w:rPr>
            </w:pPr>
          </w:p>
        </w:tc>
        <w:tc>
          <w:tcPr>
            <w:tcW w:w="4620" w:type="dxa"/>
            <w:vAlign w:val="bottom"/>
            <w:gridSpan w:val="4"/>
          </w:tcPr>
          <w:p>
            <w:pPr>
              <w:ind w:left="1300"/>
              <w:spacing w:after="0"/>
              <w:rPr>
                <w:sz w:val="20"/>
                <w:szCs w:val="20"/>
                <w:color w:val="auto"/>
              </w:rPr>
            </w:pPr>
            <w:r>
              <w:rPr>
                <w:rFonts w:ascii="Arial" w:cs="Arial" w:eastAsia="Arial" w:hAnsi="Arial"/>
                <w:sz w:val="18"/>
                <w:szCs w:val="18"/>
                <w:color w:val="auto"/>
                <w:w w:val="98"/>
              </w:rPr>
              <w:t>CALCULATION OF REGISTRATION FEE</w:t>
            </w: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940" w:type="dxa"/>
            <w:vAlign w:val="bottom"/>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86"/>
              </w:rPr>
              <w:t>Proposed</w:t>
            </w:r>
          </w:p>
        </w:tc>
        <w:tc>
          <w:tcPr>
            <w:tcW w:w="280" w:type="dxa"/>
            <w:vAlign w:val="bottom"/>
          </w:tcPr>
          <w:p>
            <w:pPr>
              <w:spacing w:after="0"/>
              <w:rPr>
                <w:sz w:val="15"/>
                <w:szCs w:val="15"/>
                <w:color w:val="auto"/>
              </w:rPr>
            </w:pPr>
          </w:p>
        </w:tc>
        <w:tc>
          <w:tcPr>
            <w:tcW w:w="1540" w:type="dxa"/>
            <w:vAlign w:val="bottom"/>
            <w:tcBorders>
              <w:right w:val="single" w:sz="8" w:color="auto"/>
            </w:tcBorders>
          </w:tcPr>
          <w:p>
            <w:pPr>
              <w:jc w:val="center"/>
              <w:ind w:right="210"/>
              <w:spacing w:after="0" w:line="178" w:lineRule="exact"/>
              <w:rPr>
                <w:sz w:val="20"/>
                <w:szCs w:val="20"/>
                <w:color w:val="auto"/>
              </w:rPr>
            </w:pPr>
            <w:r>
              <w:rPr>
                <w:rFonts w:ascii="Arial" w:cs="Arial" w:eastAsia="Arial" w:hAnsi="Arial"/>
                <w:sz w:val="18"/>
                <w:szCs w:val="18"/>
                <w:b w:val="1"/>
                <w:bCs w:val="1"/>
                <w:color w:val="auto"/>
                <w:w w:val="86"/>
              </w:rPr>
              <w:t>Proposed</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280" w:type="dxa"/>
            <w:vAlign w:val="bottom"/>
          </w:tcPr>
          <w:p>
            <w:pPr>
              <w:spacing w:after="0"/>
              <w:rPr>
                <w:sz w:val="18"/>
                <w:szCs w:val="18"/>
                <w:color w:val="auto"/>
              </w:rPr>
            </w:pPr>
          </w:p>
        </w:tc>
        <w:tc>
          <w:tcPr>
            <w:tcW w:w="15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6"/>
              </w:rPr>
              <w:t>Maximum</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1940" w:type="dxa"/>
            <w:vAlign w:val="bottom"/>
          </w:tcPr>
          <w:p>
            <w:pPr>
              <w:ind w:left="60"/>
              <w:spacing w:after="0"/>
              <w:rPr>
                <w:sz w:val="20"/>
                <w:szCs w:val="20"/>
                <w:color w:val="auto"/>
              </w:rPr>
            </w:pPr>
            <w:r>
              <w:rPr>
                <w:rFonts w:ascii="Arial" w:cs="Arial" w:eastAsia="Arial" w:hAnsi="Arial"/>
                <w:sz w:val="18"/>
                <w:szCs w:val="18"/>
                <w:b w:val="1"/>
                <w:bCs w:val="1"/>
                <w:color w:val="auto"/>
              </w:rPr>
              <w:t>Title of Securities</w:t>
            </w:r>
          </w:p>
        </w:tc>
        <w:tc>
          <w:tcPr>
            <w:tcW w:w="16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to be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280" w:type="dxa"/>
            <w:vAlign w:val="bottom"/>
          </w:tcPr>
          <w:p>
            <w:pPr>
              <w:spacing w:after="0"/>
              <w:rPr>
                <w:sz w:val="18"/>
                <w:szCs w:val="18"/>
                <w:color w:val="auto"/>
              </w:rPr>
            </w:pPr>
          </w:p>
        </w:tc>
        <w:tc>
          <w:tcPr>
            <w:tcW w:w="154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7"/>
              </w:rPr>
              <w:t>Aggregate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0" w:type="dxa"/>
            <w:vAlign w:val="bottom"/>
          </w:tcPr>
          <w:p>
            <w:pPr>
              <w:spacing w:after="0"/>
              <w:rPr>
                <w:sz w:val="1"/>
                <w:szCs w:val="1"/>
                <w:color w:val="auto"/>
              </w:rPr>
            </w:pPr>
          </w:p>
        </w:tc>
      </w:tr>
      <w:tr>
        <w:trPr>
          <w:trHeight w:val="241"/>
        </w:trPr>
        <w:tc>
          <w:tcPr>
            <w:tcW w:w="19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 be Registered (1)</w:t>
            </w:r>
          </w:p>
        </w:tc>
        <w:tc>
          <w:tcPr>
            <w:tcW w:w="16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 (1)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2"/>
              </w:rPr>
              <w:t>Offering Price</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Fee</w:t>
            </w:r>
          </w:p>
        </w:tc>
        <w:tc>
          <w:tcPr>
            <w:tcW w:w="0" w:type="dxa"/>
            <w:vAlign w:val="bottom"/>
          </w:tcPr>
          <w:p>
            <w:pPr>
              <w:spacing w:after="0"/>
              <w:rPr>
                <w:sz w:val="1"/>
                <w:szCs w:val="1"/>
                <w:color w:val="auto"/>
              </w:rPr>
            </w:pPr>
          </w:p>
        </w:tc>
      </w:tr>
      <w:tr>
        <w:trPr>
          <w:trHeight w:val="202"/>
        </w:trPr>
        <w:tc>
          <w:tcPr>
            <w:tcW w:w="3580" w:type="dxa"/>
            <w:vAlign w:val="bottom"/>
            <w:tcBorders>
              <w:right w:val="single" w:sz="8" w:color="auto"/>
            </w:tcBorders>
            <w:gridSpan w:val="2"/>
          </w:tcPr>
          <w:p>
            <w:pPr>
              <w:ind w:left="60"/>
              <w:spacing w:after="0" w:line="201" w:lineRule="exact"/>
              <w:rPr>
                <w:sz w:val="20"/>
                <w:szCs w:val="20"/>
                <w:color w:val="auto"/>
              </w:rPr>
            </w:pPr>
            <w:r>
              <w:rPr>
                <w:rFonts w:ascii="Arial" w:cs="Arial" w:eastAsia="Arial" w:hAnsi="Arial"/>
                <w:sz w:val="18"/>
                <w:szCs w:val="18"/>
                <w:color w:val="auto"/>
                <w:w w:val="96"/>
              </w:rPr>
              <w:t>Class A Nonvoting Common Stock, par value</w:t>
            </w: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$.01 per share</w:t>
            </w:r>
          </w:p>
        </w:tc>
        <w:tc>
          <w:tcPr>
            <w:tcW w:w="16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5,500,000 shares</w:t>
            </w:r>
          </w:p>
        </w:tc>
        <w:tc>
          <w:tcPr>
            <w:tcW w:w="134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w w:val="93"/>
              </w:rPr>
              <w:t>$146,740,000(2)</w:t>
            </w:r>
          </w:p>
        </w:tc>
        <w:tc>
          <w:tcPr>
            <w:tcW w:w="16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$17,037</w:t>
            </w:r>
          </w:p>
        </w:tc>
        <w:tc>
          <w:tcPr>
            <w:tcW w:w="0" w:type="dxa"/>
            <w:vAlign w:val="bottom"/>
          </w:tcPr>
          <w:p>
            <w:pPr>
              <w:spacing w:after="0"/>
              <w:rPr>
                <w:sz w:val="1"/>
                <w:szCs w:val="1"/>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4"/>
          <w:szCs w:val="24"/>
          <w:color w:val="auto"/>
        </w:rPr>
      </w:pPr>
    </w:p>
    <w:p>
      <w:pPr>
        <w:ind w:left="388" w:right="179" w:hanging="388"/>
        <w:spacing w:after="0" w:line="277" w:lineRule="auto"/>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Brady Corporation 2012 Omnibus Incentive Stock Plan (the “Plan”) provides for the issuance of up to 5,500,000 shares of Class A Nonvoting Common Stock, par value $0.01 per share (“Class A Common Stock”).</w:t>
      </w:r>
    </w:p>
    <w:p>
      <w:pPr>
        <w:spacing w:after="0" w:line="21" w:lineRule="exact"/>
        <w:rPr>
          <w:rFonts w:ascii="Arial" w:cs="Arial" w:eastAsia="Arial" w:hAnsi="Arial"/>
          <w:sz w:val="18"/>
          <w:szCs w:val="18"/>
          <w:color w:val="auto"/>
        </w:rPr>
      </w:pPr>
    </w:p>
    <w:p>
      <w:pPr>
        <w:jc w:val="both"/>
        <w:ind w:left="388" w:right="159"/>
        <w:spacing w:after="0" w:line="264" w:lineRule="auto"/>
        <w:rPr>
          <w:rFonts w:ascii="Arial" w:cs="Arial" w:eastAsia="Arial" w:hAnsi="Arial"/>
          <w:sz w:val="18"/>
          <w:szCs w:val="18"/>
          <w:color w:val="auto"/>
        </w:rPr>
      </w:pPr>
      <w:r>
        <w:rPr>
          <w:rFonts w:ascii="Arial" w:cs="Arial" w:eastAsia="Arial" w:hAnsi="Arial"/>
          <w:sz w:val="18"/>
          <w:szCs w:val="18"/>
          <w:color w:val="auto"/>
        </w:rPr>
        <w:t>In addition to the shares set forth in the table, pursuant to Rule 416 under the Securities Act of 1933 (the “Securities Act”), the amount to be registered includes an indeterminate number of shares of Class A Common Stock that may become issuable as a result of stock dividends, stock splits or similar transactions, as provided in the Plan.</w:t>
      </w:r>
    </w:p>
    <w:p>
      <w:pPr>
        <w:spacing w:after="0" w:line="32" w:lineRule="exact"/>
        <w:rPr>
          <w:rFonts w:ascii="Arial" w:cs="Arial" w:eastAsia="Arial" w:hAnsi="Arial"/>
          <w:sz w:val="18"/>
          <w:szCs w:val="18"/>
          <w:color w:val="auto"/>
        </w:rPr>
      </w:pPr>
    </w:p>
    <w:p>
      <w:pPr>
        <w:jc w:val="both"/>
        <w:ind w:left="388" w:right="159" w:hanging="388"/>
        <w:spacing w:after="0" w:line="264" w:lineRule="auto"/>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457(h) under the Securities Act, at the rate of $116.10 per million, based upon $26.68 per share, which is the average of the high and low sales prices of the Registrant’s Class A Common Stock on the New York Stock Exchange on September 23,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17474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34290"/>
                    </a:xfrm>
                    <a:prstGeom prst="rect">
                      <a:avLst/>
                    </a:prstGeom>
                    <a:noFill/>
                  </pic:spPr>
                </pic:pic>
              </a:graphicData>
            </a:graphic>
          </wp:anchor>
        </w:drawing>
      </w:r>
    </w:p>
    <w:p>
      <w:pPr>
        <w:sectPr>
          <w:pgSz w:w="11900" w:h="16838" w:orient="portrait"/>
          <w:cols w:equalWidth="0" w:num="1">
            <w:col w:w="9887"/>
          </w:cols>
          <w:pgMar w:left="572" w:top="301" w:right="1440" w:bottom="42"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610235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Information specified in Part I of Form S-8 (Items 1 and 2) will be sent or given to plan participants as specified by Rule 428(b)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under the Securities Act of 1933.</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ind w:right="2219" w:firstLine="2066"/>
        <w:spacing w:after="0" w:line="453" w:lineRule="auto"/>
        <w:rPr>
          <w:sz w:val="20"/>
          <w:szCs w:val="20"/>
          <w:color w:val="auto"/>
        </w:rPr>
      </w:pPr>
      <w:r>
        <w:rPr>
          <w:rFonts w:ascii="Arial" w:cs="Arial" w:eastAsia="Arial" w:hAnsi="Arial"/>
          <w:sz w:val="18"/>
          <w:szCs w:val="18"/>
          <w:b w:val="1"/>
          <w:bCs w:val="1"/>
          <w:color w:val="auto"/>
        </w:rPr>
        <w:t>INFORMATION REQUIRED IN THE REGISTRATION STATEMENT Item 3. Incorporation of Documents by Reference.</w:t>
      </w:r>
    </w:p>
    <w:p>
      <w:pPr>
        <w:spacing w:after="0" w:line="1" w:lineRule="exact"/>
        <w:rPr>
          <w:sz w:val="20"/>
          <w:szCs w:val="20"/>
          <w:color w:val="auto"/>
        </w:rPr>
      </w:pPr>
    </w:p>
    <w:p>
      <w:pPr>
        <w:jc w:val="both"/>
        <w:ind w:right="179" w:firstLine="389"/>
        <w:spacing w:after="0" w:line="264" w:lineRule="auto"/>
        <w:rPr>
          <w:sz w:val="20"/>
          <w:szCs w:val="20"/>
          <w:color w:val="auto"/>
        </w:rPr>
      </w:pPr>
      <w:r>
        <w:rPr>
          <w:rFonts w:ascii="Arial" w:cs="Arial" w:eastAsia="Arial" w:hAnsi="Arial"/>
          <w:sz w:val="18"/>
          <w:szCs w:val="18"/>
          <w:color w:val="auto"/>
        </w:rPr>
        <w:t>The following documents filed by Brady Corporation (the “Registrant”) with the Securities and Exchange Commission (the “Commission”) pursuant to Section 13 or 15(d) of the Securities Exchange Act of 1934, as amended (the “Exchange Act”), are incorporated herein by reference by the Registrant:</w:t>
      </w:r>
    </w:p>
    <w:p>
      <w:pPr>
        <w:spacing w:after="0" w:line="141" w:lineRule="exact"/>
        <w:rPr>
          <w:sz w:val="20"/>
          <w:szCs w:val="20"/>
          <w:color w:val="auto"/>
        </w:rPr>
      </w:pPr>
    </w:p>
    <w:p>
      <w:pPr>
        <w:ind w:left="1140" w:hanging="378"/>
        <w:spacing w:after="0"/>
        <w:tabs>
          <w:tab w:leader="none" w:pos="11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Annual Report on Form 10-K of the Registrant for the year ended July 31, 2011.</w:t>
      </w:r>
    </w:p>
    <w:p>
      <w:pPr>
        <w:spacing w:after="0" w:line="184" w:lineRule="exact"/>
        <w:rPr>
          <w:rFonts w:ascii="Arial" w:cs="Arial" w:eastAsia="Arial" w:hAnsi="Arial"/>
          <w:sz w:val="18"/>
          <w:szCs w:val="18"/>
          <w:b w:val="1"/>
          <w:bCs w:val="1"/>
          <w:color w:val="auto"/>
        </w:rPr>
      </w:pPr>
    </w:p>
    <w:p>
      <w:pPr>
        <w:ind w:left="1140" w:right="179" w:hanging="378"/>
        <w:spacing w:after="0" w:line="277" w:lineRule="auto"/>
        <w:tabs>
          <w:tab w:leader="none" w:pos="11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Current Reports on Form 8-K of the Registrant filed September 2, 2011 and September 15, 2011 (incorporated only with respect to the information disclosed pursuant to Item 8.01).</w:t>
      </w:r>
    </w:p>
    <w:p>
      <w:pPr>
        <w:spacing w:after="0" w:line="143" w:lineRule="exact"/>
        <w:rPr>
          <w:rFonts w:ascii="Arial" w:cs="Arial" w:eastAsia="Arial" w:hAnsi="Arial"/>
          <w:sz w:val="18"/>
          <w:szCs w:val="18"/>
          <w:b w:val="1"/>
          <w:bCs w:val="1"/>
          <w:color w:val="auto"/>
        </w:rPr>
      </w:pPr>
    </w:p>
    <w:p>
      <w:pPr>
        <w:jc w:val="both"/>
        <w:ind w:left="1140" w:right="159" w:hanging="378"/>
        <w:spacing w:after="0" w:line="255" w:lineRule="auto"/>
        <w:tabs>
          <w:tab w:leader="none" w:pos="11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That portion of the Registrant’s Registration Statement on Form 8-A that describes the Registrant’s Class A Nonvoting Common Stock in Item 1 thereof, which incorporates the description from the description of Registrant’s Capital Stock contained in the Registrant’s Registration Statement on Form S-3 (Registration Statement No. 333-04155), as updated by the description of Registrant’s Capital Stock contained in the Registrant’s Registration Statement on Form S-3/A (Registration Statement No. 333-128023), and including any future amendment or report filed for the purpose of updating such description.</w:t>
      </w:r>
    </w:p>
    <w:p>
      <w:pPr>
        <w:spacing w:after="0" w:line="153" w:lineRule="exact"/>
        <w:rPr>
          <w:sz w:val="20"/>
          <w:szCs w:val="20"/>
          <w:color w:val="auto"/>
        </w:rPr>
      </w:pPr>
    </w:p>
    <w:p>
      <w:pPr>
        <w:jc w:val="both"/>
        <w:ind w:right="179" w:firstLine="389"/>
        <w:spacing w:after="0" w:line="259" w:lineRule="auto"/>
        <w:rPr>
          <w:sz w:val="20"/>
          <w:szCs w:val="20"/>
          <w:color w:val="auto"/>
        </w:rPr>
      </w:pPr>
      <w:r>
        <w:rPr>
          <w:rFonts w:ascii="Arial" w:cs="Arial" w:eastAsia="Arial" w:hAnsi="Arial"/>
          <w:sz w:val="18"/>
          <w:szCs w:val="18"/>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herein and to be a part hereof from the date of the filing of such documents.</w:t>
      </w:r>
    </w:p>
    <w:p>
      <w:pPr>
        <w:spacing w:after="0" w:line="146" w:lineRule="exact"/>
        <w:rPr>
          <w:sz w:val="20"/>
          <w:szCs w:val="20"/>
          <w:color w:val="auto"/>
        </w:rPr>
      </w:pPr>
    </w:p>
    <w:p>
      <w:pPr>
        <w:jc w:val="both"/>
        <w:ind w:right="159" w:firstLine="389"/>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hereof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hereof.</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 See third bullet point in Item 3 above.</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89" w:lineRule="exact"/>
        <w:rPr>
          <w:sz w:val="20"/>
          <w:szCs w:val="20"/>
          <w:color w:val="auto"/>
        </w:rPr>
      </w:pPr>
    </w:p>
    <w:p>
      <w:pPr>
        <w:jc w:val="both"/>
        <w:ind w:right="159" w:firstLine="389"/>
        <w:spacing w:after="0" w:line="286" w:lineRule="auto"/>
        <w:rPr>
          <w:sz w:val="20"/>
          <w:szCs w:val="20"/>
          <w:color w:val="auto"/>
        </w:rPr>
      </w:pPr>
      <w:r>
        <w:rPr>
          <w:rFonts w:ascii="Arial" w:cs="Arial" w:eastAsia="Arial" w:hAnsi="Arial"/>
          <w:sz w:val="16"/>
          <w:szCs w:val="16"/>
          <w:color w:val="auto"/>
        </w:rPr>
        <w:t>The Registrant is incorporated under the Wisconsin Business Corporation Law (“WBCL”). Under Section 180.0851(1) of the WBCL, the Registrant is required to indemnify a director or officer, to the extent such person is successful on the merits or otherwise in the defense of a proceeding, for all reasonable expenses incurred in the proceeding if such person was a party because he or she was a director or officer of the Registrant. In all other cases, the Registrant is required by Section 180.0851(2) of the WBCL to indemnify a director or officer against liability incurred in a proceeding to which such person was a party because he or she was an officer or director of the Registrant, unless it is determined that he or she breached or failed to perform a duty owed to the Registrant and the breach or failure to perform constitutes: (i) a willful failure to deal fairly with the Registrant or its shareholders in connection with a matter in which the director or officer has a material conflict of interest; (ii) a violation of criminal law, unless the director or officer had reasonable cause to believe his or her conduct was lawful or no reasonable cause to believe his or her conduct was unlawful; (iii) a transaction from which the director or officer derived an improper personal profit; or (iv) willful misconduct. Section 180.0858(1) of the WBCL provides that, subject to certain limitations, the mandatory indemnification provisions do not preclude any additional right to indemnification or allowance of expenses that a director or officer may have under the Registrant’s articles of incorporation, bylaws, a written agreement or a resolution of the board of directors or shareholders.</w:t>
      </w:r>
    </w:p>
    <w:p>
      <w:pPr>
        <w:spacing w:after="0" w:line="148" w:lineRule="exact"/>
        <w:rPr>
          <w:sz w:val="20"/>
          <w:szCs w:val="20"/>
          <w:color w:val="auto"/>
        </w:rPr>
      </w:pPr>
    </w:p>
    <w:p>
      <w:pPr>
        <w:jc w:val="both"/>
        <w:ind w:right="179" w:firstLine="389"/>
        <w:spacing w:after="0" w:line="259" w:lineRule="auto"/>
        <w:rPr>
          <w:sz w:val="20"/>
          <w:szCs w:val="20"/>
          <w:color w:val="auto"/>
        </w:rPr>
      </w:pPr>
      <w:r>
        <w:rPr>
          <w:rFonts w:ascii="Arial" w:cs="Arial" w:eastAsia="Arial" w:hAnsi="Arial"/>
          <w:sz w:val="18"/>
          <w:szCs w:val="18"/>
          <w:color w:val="auto"/>
        </w:rPr>
        <w:t>Section 180.0859 of the WBCL provides that it is the public policy of the State of Wisconsin to require or permit indemnification, allowance of expenses and insurance to the extent required or permitted under Sections 180.0850 to 180.0858 of the WBCL for any liability incurred in connection with a proceeding involving a federal or state statute, rule or regulation regulating the offer, sale or purchase of securities.</w:t>
      </w:r>
    </w:p>
    <w:p>
      <w:pPr>
        <w:spacing w:after="0" w:line="146" w:lineRule="exact"/>
        <w:rPr>
          <w:sz w:val="20"/>
          <w:szCs w:val="20"/>
          <w:color w:val="auto"/>
        </w:rPr>
      </w:pPr>
    </w:p>
    <w:p>
      <w:pPr>
        <w:jc w:val="both"/>
        <w:ind w:right="159" w:firstLine="389"/>
        <w:spacing w:after="0" w:line="257" w:lineRule="auto"/>
        <w:rPr>
          <w:sz w:val="20"/>
          <w:szCs w:val="20"/>
          <w:color w:val="auto"/>
        </w:rPr>
      </w:pPr>
      <w:r>
        <w:rPr>
          <w:rFonts w:ascii="Arial" w:cs="Arial" w:eastAsia="Arial" w:hAnsi="Arial"/>
          <w:sz w:val="18"/>
          <w:szCs w:val="18"/>
          <w:color w:val="auto"/>
        </w:rPr>
        <w:t>Section 180.0828 of the WBCL provides that, with certain exceptions, a director is not liable to a corporation, its shareholders, or any person asserting rights on behalf of the corporation or its shareholders, for damages, settlements, fees, fines, penalties or other monetary liabilities arising from a breach of, or failure to perform, any duty resulting solely from his or her status as a director, unless the person asserting liability proves that the breach or failure to perform constitutes any of the four exceptions to mandatory indemnification under Section 180.0851(2) referred to above.</w:t>
      </w:r>
    </w:p>
    <w:p>
      <w:pPr>
        <w:spacing w:after="0" w:line="148" w:lineRule="exact"/>
        <w:rPr>
          <w:sz w:val="20"/>
          <w:szCs w:val="20"/>
          <w:color w:val="auto"/>
        </w:rPr>
      </w:pPr>
    </w:p>
    <w:p>
      <w:pPr>
        <w:jc w:val="both"/>
        <w:ind w:right="159" w:firstLine="389"/>
        <w:spacing w:after="0" w:line="259" w:lineRule="auto"/>
        <w:rPr>
          <w:sz w:val="20"/>
          <w:szCs w:val="20"/>
          <w:color w:val="auto"/>
        </w:rPr>
      </w:pPr>
      <w:r>
        <w:rPr>
          <w:rFonts w:ascii="Arial" w:cs="Arial" w:eastAsia="Arial" w:hAnsi="Arial"/>
          <w:sz w:val="18"/>
          <w:szCs w:val="18"/>
          <w:color w:val="auto"/>
        </w:rPr>
        <w:t>Under Section 180.0833 of the WBCL, directors of the Registrant against whom claims are asserted with respect to the declaration of an improper dividend or other distribution to shareholders to which the directors assented are entitled to contribution from other directors who assented to such distribution and from shareholders who knowingly accepted the improper distribution, as provided therein.</w:t>
      </w:r>
    </w:p>
    <w:p>
      <w:pPr>
        <w:spacing w:after="0" w:line="160" w:lineRule="exact"/>
        <w:rPr>
          <w:sz w:val="20"/>
          <w:szCs w:val="20"/>
          <w:color w:val="auto"/>
        </w:rPr>
      </w:pPr>
    </w:p>
    <w:p>
      <w:pPr>
        <w:jc w:val="both"/>
        <w:ind w:right="159" w:firstLine="389"/>
        <w:spacing w:after="0" w:line="302" w:lineRule="auto"/>
        <w:rPr>
          <w:sz w:val="20"/>
          <w:szCs w:val="20"/>
          <w:color w:val="auto"/>
        </w:rPr>
      </w:pPr>
      <w:r>
        <w:rPr>
          <w:rFonts w:ascii="Arial" w:cs="Arial" w:eastAsia="Arial" w:hAnsi="Arial"/>
          <w:sz w:val="16"/>
          <w:szCs w:val="16"/>
          <w:color w:val="auto"/>
        </w:rPr>
        <w:t>The Registrant’s Bylaws contain provisions that generally parallel the indemnification provisions of the WBCL and cover certain procedural matters not dealt with in the WBCL. Directors and officers of the Registrant are also covered by directors’ and officers’ liability insurance under which they are insured (subject to certain exceptions and limitations specified in the policy) against expenses and liabilities arising out of proceedings to which they are parties by reason of being or having been directors or officers.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89" w:lineRule="exact"/>
        <w:rPr>
          <w:sz w:val="20"/>
          <w:szCs w:val="20"/>
          <w:color w:val="auto"/>
        </w:rPr>
      </w:pPr>
    </w:p>
    <w:p>
      <w:pPr>
        <w:jc w:val="both"/>
        <w:ind w:right="159" w:firstLine="389"/>
        <w:spacing w:after="0" w:line="277" w:lineRule="auto"/>
        <w:rPr>
          <w:sz w:val="20"/>
          <w:szCs w:val="20"/>
          <w:color w:val="auto"/>
        </w:rPr>
      </w:pPr>
      <w:r>
        <w:rPr>
          <w:rFonts w:ascii="Arial" w:cs="Arial" w:eastAsia="Arial" w:hAnsi="Arial"/>
          <w:sz w:val="18"/>
          <w:szCs w:val="18"/>
          <w:color w:val="auto"/>
        </w:rPr>
        <w:t>See Exhibit Index following the Signatures page in this registration statement, which Exhibit Index is incorporated herein by reference.</w:t>
      </w:r>
    </w:p>
    <w:p>
      <w:pPr>
        <w:spacing w:after="0" w:line="200" w:lineRule="exact"/>
        <w:rPr>
          <w:sz w:val="20"/>
          <w:szCs w:val="20"/>
          <w:color w:val="auto"/>
        </w:rPr>
      </w:pPr>
    </w:p>
    <w:p>
      <w:pPr>
        <w:spacing w:after="0" w:line="3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9. Undertakings.</w:t>
      </w:r>
    </w:p>
    <w:p>
      <w:pPr>
        <w:spacing w:after="0" w:line="202" w:lineRule="exact"/>
        <w:rPr>
          <w:sz w:val="20"/>
          <w:szCs w:val="20"/>
          <w:color w:val="auto"/>
        </w:rPr>
      </w:pPr>
    </w:p>
    <w:p>
      <w:pPr>
        <w:ind w:left="740" w:hanging="370"/>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84" w:lineRule="exact"/>
        <w:rPr>
          <w:rFonts w:ascii="Arial" w:cs="Arial" w:eastAsia="Arial" w:hAnsi="Arial"/>
          <w:sz w:val="18"/>
          <w:szCs w:val="18"/>
          <w:color w:val="auto"/>
        </w:rPr>
      </w:pPr>
    </w:p>
    <w:p>
      <w:pPr>
        <w:ind w:left="1140" w:right="179" w:hanging="378"/>
        <w:spacing w:after="0" w:line="277" w:lineRule="auto"/>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29" w:lineRule="exact"/>
        <w:rPr>
          <w:rFonts w:ascii="Arial" w:cs="Arial" w:eastAsia="Arial" w:hAnsi="Arial"/>
          <w:sz w:val="18"/>
          <w:szCs w:val="18"/>
          <w:color w:val="auto"/>
        </w:rPr>
      </w:pPr>
    </w:p>
    <w:p>
      <w:pPr>
        <w:ind w:left="1540" w:hanging="386"/>
        <w:spacing w:after="0"/>
        <w:tabs>
          <w:tab w:leader="none" w:pos="154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98" w:lineRule="exact"/>
        <w:rPr>
          <w:rFonts w:ascii="Arial" w:cs="Arial" w:eastAsia="Arial" w:hAnsi="Arial"/>
          <w:sz w:val="18"/>
          <w:szCs w:val="18"/>
          <w:color w:val="auto"/>
        </w:rPr>
      </w:pPr>
    </w:p>
    <w:p>
      <w:pPr>
        <w:jc w:val="both"/>
        <w:ind w:left="1540" w:right="159" w:hanging="386"/>
        <w:spacing w:after="0" w:line="290" w:lineRule="auto"/>
        <w:tabs>
          <w:tab w:leader="none" w:pos="1540"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25" w:lineRule="exact"/>
        <w:rPr>
          <w:rFonts w:ascii="Arial" w:cs="Arial" w:eastAsia="Arial" w:hAnsi="Arial"/>
          <w:sz w:val="16"/>
          <w:szCs w:val="16"/>
          <w:color w:val="auto"/>
        </w:rPr>
      </w:pPr>
    </w:p>
    <w:p>
      <w:pPr>
        <w:ind w:left="1540" w:right="179" w:hanging="386"/>
        <w:spacing w:after="0" w:line="277" w:lineRule="auto"/>
        <w:tabs>
          <w:tab w:leader="none" w:pos="154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0" w:lineRule="exact"/>
        <w:rPr>
          <w:sz w:val="20"/>
          <w:szCs w:val="20"/>
          <w:color w:val="auto"/>
        </w:rPr>
      </w:pPr>
    </w:p>
    <w:p>
      <w:pPr>
        <w:jc w:val="both"/>
        <w:ind w:right="159" w:firstLine="389"/>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of this section do not apply if the information required to be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160" w:lineRule="exact"/>
        <w:rPr>
          <w:sz w:val="20"/>
          <w:szCs w:val="20"/>
          <w:color w:val="auto"/>
        </w:rPr>
      </w:pPr>
    </w:p>
    <w:p>
      <w:pPr>
        <w:jc w:val="both"/>
        <w:ind w:left="1140" w:right="159" w:hanging="378"/>
        <w:spacing w:after="0" w:line="264"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40" w:lineRule="exact"/>
        <w:rPr>
          <w:rFonts w:ascii="Arial" w:cs="Arial" w:eastAsia="Arial" w:hAnsi="Arial"/>
          <w:sz w:val="18"/>
          <w:szCs w:val="18"/>
          <w:color w:val="auto"/>
        </w:rPr>
      </w:pPr>
    </w:p>
    <w:p>
      <w:pPr>
        <w:ind w:left="1140" w:right="179" w:hanging="378"/>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1140" w:hanging="378"/>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84" w:lineRule="exact"/>
        <w:rPr>
          <w:rFonts w:ascii="Arial" w:cs="Arial" w:eastAsia="Arial" w:hAnsi="Arial"/>
          <w:sz w:val="18"/>
          <w:szCs w:val="18"/>
          <w:color w:val="auto"/>
        </w:rPr>
      </w:pPr>
    </w:p>
    <w:p>
      <w:pPr>
        <w:ind w:left="1540" w:hanging="386"/>
        <w:spacing w:after="0"/>
        <w:tabs>
          <w:tab w:leader="none" w:pos="1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84" w:lineRule="exact"/>
        <w:rPr>
          <w:rFonts w:ascii="Arial" w:cs="Arial" w:eastAsia="Arial" w:hAnsi="Arial"/>
          <w:sz w:val="18"/>
          <w:szCs w:val="18"/>
          <w:color w:val="auto"/>
        </w:rPr>
      </w:pPr>
    </w:p>
    <w:p>
      <w:pPr>
        <w:jc w:val="both"/>
        <w:ind w:left="1540" w:right="179" w:firstLine="334"/>
        <w:spacing w:after="0" w:line="264" w:lineRule="auto"/>
        <w:tabs>
          <w:tab w:leader="none" w:pos="2181" w:val="left"/>
        </w:tabs>
        <w:numPr>
          <w:ilvl w:val="2"/>
          <w:numId w:val="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00" w:lineRule="exact"/>
        <w:rPr>
          <w:rFonts w:ascii="Arial" w:cs="Arial" w:eastAsia="Arial" w:hAnsi="Arial"/>
          <w:sz w:val="18"/>
          <w:szCs w:val="18"/>
          <w:color w:val="auto"/>
        </w:rPr>
      </w:pPr>
    </w:p>
    <w:p>
      <w:pPr>
        <w:spacing w:after="0" w:line="345" w:lineRule="exact"/>
        <w:rPr>
          <w:rFonts w:ascii="Arial" w:cs="Arial" w:eastAsia="Arial" w:hAnsi="Arial"/>
          <w:sz w:val="18"/>
          <w:szCs w:val="18"/>
          <w:color w:val="auto"/>
        </w:rPr>
      </w:pPr>
    </w:p>
    <w:p>
      <w:pPr>
        <w:ind w:left="4800" w:hanging="96"/>
        <w:spacing w:after="0"/>
        <w:tabs>
          <w:tab w:leader="none" w:pos="4800" w:val="left"/>
        </w:tabs>
        <w:numPr>
          <w:ilvl w:val="3"/>
          <w:numId w:val="5"/>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5" w:name="page6"/>
    <w:bookmarkEnd w:id="5"/>
    <w:p>
      <w:pPr>
        <w:jc w:val="both"/>
        <w:ind w:left="778" w:right="159" w:firstLine="334"/>
        <w:spacing w:after="0" w:line="286" w:lineRule="auto"/>
        <w:tabs>
          <w:tab w:leader="none" w:pos="1393" w:val="left"/>
        </w:tabs>
        <w:numPr>
          <w:ilvl w:val="2"/>
          <w:numId w:val="6"/>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44" w:lineRule="exact"/>
        <w:rPr>
          <w:rFonts w:ascii="Arial" w:cs="Arial" w:eastAsia="Arial" w:hAnsi="Arial"/>
          <w:sz w:val="16"/>
          <w:szCs w:val="16"/>
          <w:color w:val="auto"/>
        </w:rPr>
      </w:pPr>
    </w:p>
    <w:p>
      <w:pPr>
        <w:jc w:val="both"/>
        <w:ind w:left="778" w:right="159" w:hanging="386"/>
        <w:spacing w:after="0" w:line="289" w:lineRule="auto"/>
        <w:tabs>
          <w:tab w:leader="none" w:pos="778" w:val="left"/>
        </w:tabs>
        <w:numPr>
          <w:ilvl w:val="1"/>
          <w:numId w:val="7"/>
        </w:numPr>
        <w:rPr>
          <w:rFonts w:ascii="Arial" w:cs="Arial" w:eastAsia="Arial" w:hAnsi="Arial"/>
          <w:sz w:val="16"/>
          <w:szCs w:val="16"/>
          <w:color w:val="auto"/>
        </w:rPr>
      </w:pPr>
      <w:r>
        <w:rPr>
          <w:rFonts w:ascii="Arial" w:cs="Arial" w:eastAsia="Arial" w:hAnsi="Arial"/>
          <w:sz w:val="16"/>
          <w:szCs w:val="16"/>
          <w:color w:val="auto"/>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6" w:lineRule="exact"/>
        <w:rPr>
          <w:rFonts w:ascii="Arial" w:cs="Arial" w:eastAsia="Arial" w:hAnsi="Arial"/>
          <w:sz w:val="16"/>
          <w:szCs w:val="16"/>
          <w:color w:val="auto"/>
        </w:rPr>
      </w:pPr>
    </w:p>
    <w:p>
      <w:pPr>
        <w:ind w:left="378" w:right="159" w:hanging="378"/>
        <w:spacing w:after="0" w:line="277" w:lineRule="auto"/>
        <w:tabs>
          <w:tab w:leader="none" w:pos="37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02" w:lineRule="exact"/>
        <w:rPr>
          <w:rFonts w:ascii="Arial" w:cs="Arial" w:eastAsia="Arial" w:hAnsi="Arial"/>
          <w:sz w:val="18"/>
          <w:szCs w:val="18"/>
          <w:color w:val="auto"/>
        </w:rPr>
      </w:pPr>
    </w:p>
    <w:p>
      <w:pPr>
        <w:jc w:val="both"/>
        <w:ind w:left="378" w:right="179"/>
        <w:spacing w:after="0" w:line="302" w:lineRule="auto"/>
        <w:rPr>
          <w:rFonts w:ascii="Arial" w:cs="Arial" w:eastAsia="Arial" w:hAnsi="Arial"/>
          <w:sz w:val="18"/>
          <w:szCs w:val="18"/>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3" w:lineRule="exact"/>
        <w:rPr>
          <w:rFonts w:ascii="Arial" w:cs="Arial" w:eastAsia="Arial" w:hAnsi="Arial"/>
          <w:sz w:val="18"/>
          <w:szCs w:val="18"/>
          <w:color w:val="auto"/>
        </w:rPr>
      </w:pPr>
    </w:p>
    <w:p>
      <w:pPr>
        <w:ind w:left="778" w:right="159" w:hanging="386"/>
        <w:spacing w:after="0" w:line="277" w:lineRule="auto"/>
        <w:tabs>
          <w:tab w:leader="none" w:pos="778"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43" w:lineRule="exact"/>
        <w:rPr>
          <w:rFonts w:ascii="Arial" w:cs="Arial" w:eastAsia="Arial" w:hAnsi="Arial"/>
          <w:sz w:val="18"/>
          <w:szCs w:val="18"/>
          <w:color w:val="auto"/>
        </w:rPr>
      </w:pPr>
    </w:p>
    <w:p>
      <w:pPr>
        <w:ind w:left="778" w:right="159" w:hanging="386"/>
        <w:spacing w:after="0" w:line="277" w:lineRule="auto"/>
        <w:tabs>
          <w:tab w:leader="none" w:pos="778"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29" w:lineRule="exact"/>
        <w:rPr>
          <w:rFonts w:ascii="Arial" w:cs="Arial" w:eastAsia="Arial" w:hAnsi="Arial"/>
          <w:sz w:val="18"/>
          <w:szCs w:val="18"/>
          <w:color w:val="auto"/>
        </w:rPr>
      </w:pPr>
    </w:p>
    <w:p>
      <w:pPr>
        <w:ind w:left="778" w:right="179" w:hanging="386"/>
        <w:spacing w:after="0" w:line="308" w:lineRule="auto"/>
        <w:tabs>
          <w:tab w:leader="none" w:pos="778"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6" w:lineRule="exact"/>
        <w:rPr>
          <w:rFonts w:ascii="Arial" w:cs="Arial" w:eastAsia="Arial" w:hAnsi="Arial"/>
          <w:sz w:val="17"/>
          <w:szCs w:val="17"/>
          <w:color w:val="auto"/>
        </w:rPr>
      </w:pPr>
    </w:p>
    <w:p>
      <w:pPr>
        <w:ind w:left="778" w:hanging="386"/>
        <w:spacing w:after="0"/>
        <w:tabs>
          <w:tab w:leader="none" w:pos="778" w:val="left"/>
        </w:tabs>
        <w:numPr>
          <w:ilvl w:val="1"/>
          <w:numId w:val="8"/>
        </w:numPr>
        <w:rPr>
          <w:rFonts w:ascii="Arial" w:cs="Arial" w:eastAsia="Arial" w:hAnsi="Arial"/>
          <w:sz w:val="16"/>
          <w:szCs w:val="16"/>
          <w:color w:val="auto"/>
        </w:rPr>
      </w:pPr>
      <w:r>
        <w:rPr>
          <w:rFonts w:ascii="Arial" w:cs="Arial" w:eastAsia="Arial" w:hAnsi="Arial"/>
          <w:sz w:val="16"/>
          <w:szCs w:val="16"/>
          <w:color w:val="auto"/>
        </w:rPr>
        <w:t>Any other communication that is an offer in the offering made by the undersigned Registrant to the purchaser.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4038" w:hanging="96"/>
        <w:spacing w:after="0"/>
        <w:tabs>
          <w:tab w:leader="none" w:pos="4038" w:val="left"/>
        </w:tabs>
        <w:numPr>
          <w:ilvl w:val="3"/>
          <w:numId w:val="8"/>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17"/>
          </w:cols>
          <w:pgMar w:left="1342" w:top="935" w:right="1440" w:bottom="1440" w:gutter="0" w:footer="0" w:header="0"/>
        </w:sectPr>
      </w:pPr>
    </w:p>
    <w:bookmarkStart w:id="6" w:name="page7"/>
    <w:bookmarkEnd w:id="6"/>
    <w:p>
      <w:pPr>
        <w:jc w:val="both"/>
        <w:ind w:right="159" w:firstLine="381"/>
        <w:spacing w:after="0" w:line="255" w:lineRule="auto"/>
        <w:tabs>
          <w:tab w:leader="none" w:pos="66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 Reference is made to the indemnification provisions described in Item 6 of this registration statement.</w:t>
      </w:r>
    </w:p>
    <w:p>
      <w:pPr>
        <w:spacing w:after="0" w:line="198" w:lineRule="exact"/>
        <w:rPr>
          <w:sz w:val="20"/>
          <w:szCs w:val="20"/>
          <w:color w:val="auto"/>
        </w:rPr>
      </w:pPr>
    </w:p>
    <w:p>
      <w:pPr>
        <w:jc w:val="both"/>
        <w:ind w:right="159" w:firstLine="778"/>
        <w:spacing w:after="0" w:line="270"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25" w:right="1440" w:bottom="1440" w:gutter="0" w:footer="0" w:header="0"/>
        </w:sectPr>
      </w:pPr>
    </w:p>
    <w:bookmarkStart w:id="7" w:name="page8"/>
    <w:bookmarkEnd w:id="7"/>
    <w:p>
      <w:pPr>
        <w:jc w:val="center"/>
        <w:ind w:right="151"/>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jc w:val="both"/>
        <w:ind w:left="8" w:right="179" w:firstLine="389"/>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Milwaukee, State of Wisconsin, on September 28, 2011.</w:t>
      </w:r>
    </w:p>
    <w:p>
      <w:pPr>
        <w:spacing w:after="0" w:line="166" w:lineRule="exact"/>
        <w:rPr>
          <w:sz w:val="20"/>
          <w:szCs w:val="20"/>
          <w:color w:val="auto"/>
        </w:rPr>
      </w:pPr>
    </w:p>
    <w:p>
      <w:pPr>
        <w:ind w:left="4428"/>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ind w:left="4428"/>
        <w:spacing w:after="0"/>
        <w:rPr>
          <w:sz w:val="20"/>
          <w:szCs w:val="20"/>
          <w:color w:val="auto"/>
        </w:rPr>
      </w:pPr>
      <w:r>
        <w:rPr>
          <w:rFonts w:ascii="Arial" w:cs="Arial" w:eastAsia="Arial" w:hAnsi="Arial"/>
          <w:sz w:val="18"/>
          <w:szCs w:val="18"/>
          <w:color w:val="auto"/>
        </w:rPr>
        <w:t>By: /s/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14605</wp:posOffset>
            </wp:positionV>
            <wp:extent cx="27616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4788"/>
        <w:spacing w:after="0"/>
        <w:rPr>
          <w:sz w:val="20"/>
          <w:szCs w:val="20"/>
          <w:color w:val="auto"/>
        </w:rPr>
      </w:pPr>
      <w:r>
        <w:rPr>
          <w:rFonts w:ascii="Arial" w:cs="Arial" w:eastAsia="Arial" w:hAnsi="Arial"/>
          <w:sz w:val="18"/>
          <w:szCs w:val="18"/>
          <w:color w:val="auto"/>
        </w:rPr>
        <w:t>Thomas J. Felmer,</w:t>
      </w:r>
    </w:p>
    <w:p>
      <w:pPr>
        <w:spacing w:after="0" w:line="23" w:lineRule="exact"/>
        <w:rPr>
          <w:sz w:val="20"/>
          <w:szCs w:val="20"/>
          <w:color w:val="auto"/>
        </w:rPr>
      </w:pPr>
    </w:p>
    <w:p>
      <w:pPr>
        <w:ind w:left="4788"/>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ind w:left="4788"/>
        <w:spacing w:after="0"/>
        <w:rPr>
          <w:sz w:val="20"/>
          <w:szCs w:val="20"/>
          <w:color w:val="auto"/>
        </w:rPr>
      </w:pPr>
      <w:r>
        <w:rPr>
          <w:rFonts w:ascii="Arial" w:cs="Arial" w:eastAsia="Arial" w:hAnsi="Arial"/>
          <w:sz w:val="18"/>
          <w:szCs w:val="18"/>
          <w:i w:val="1"/>
          <w:iCs w:val="1"/>
          <w:color w:val="auto"/>
        </w:rPr>
        <w:t>Chief Financial Officer</w:t>
      </w:r>
    </w:p>
    <w:p>
      <w:pPr>
        <w:spacing w:after="0" w:line="166"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jc w:val="both"/>
        <w:ind w:left="8" w:right="159" w:firstLine="389"/>
        <w:spacing w:after="0" w:line="270"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Frank M. Jaehnert, Thomas J. Felmer, and Krista J. Ebbens,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155" w:lineRule="exact"/>
        <w:rPr>
          <w:sz w:val="20"/>
          <w:szCs w:val="20"/>
          <w:color w:val="auto"/>
        </w:rPr>
      </w:pPr>
    </w:p>
    <w:p>
      <w:pPr>
        <w:jc w:val="both"/>
        <w:ind w:left="8" w:right="159" w:firstLine="389"/>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66"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500" w:type="dxa"/>
            <w:vAlign w:val="bottom"/>
          </w:tcPr>
          <w:p>
            <w:pPr>
              <w:spacing w:after="0"/>
              <w:rPr>
                <w:sz w:val="20"/>
                <w:szCs w:val="20"/>
                <w:color w:val="auto"/>
              </w:rPr>
            </w:pPr>
          </w:p>
        </w:tc>
        <w:tc>
          <w:tcPr>
            <w:tcW w:w="4860" w:type="dxa"/>
            <w:vAlign w:val="bottom"/>
            <w:tcBorders>
              <w:bottom w:val="single" w:sz="8" w:color="auto"/>
            </w:tcBorders>
          </w:tcPr>
          <w:p>
            <w:pPr>
              <w:ind w:left="2240"/>
              <w:spacing w:after="0"/>
              <w:rPr>
                <w:sz w:val="20"/>
                <w:szCs w:val="20"/>
                <w:color w:val="auto"/>
              </w:rPr>
            </w:pPr>
            <w:r>
              <w:rPr>
                <w:rFonts w:ascii="Arial" w:cs="Arial" w:eastAsia="Arial" w:hAnsi="Arial"/>
                <w:sz w:val="18"/>
                <w:szCs w:val="18"/>
                <w:b w:val="1"/>
                <w:bCs w:val="1"/>
                <w:color w:val="auto"/>
              </w:rPr>
              <w:t>Title</w:t>
            </w:r>
          </w:p>
        </w:tc>
      </w:tr>
      <w:tr>
        <w:trPr>
          <w:trHeight w:val="210"/>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Jaehnert</w:t>
            </w:r>
          </w:p>
        </w:tc>
        <w:tc>
          <w:tcPr>
            <w:tcW w:w="5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President and Chief Executive Officer; Director</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Frank M. Jaehnert</w:t>
            </w:r>
          </w:p>
        </w:tc>
        <w:tc>
          <w:tcPr>
            <w:tcW w:w="5360" w:type="dxa"/>
            <w:vAlign w:val="bottom"/>
            <w:gridSpan w:val="2"/>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431"/>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c>
          <w:tcPr>
            <w:tcW w:w="5360" w:type="dxa"/>
            <w:vAlign w:val="bottom"/>
            <w:gridSpan w:val="2"/>
          </w:tcPr>
          <w:p>
            <w:pPr>
              <w:ind w:left="500"/>
              <w:spacing w:after="0"/>
              <w:rPr>
                <w:sz w:val="20"/>
                <w:szCs w:val="20"/>
                <w:color w:val="auto"/>
              </w:rPr>
            </w:pPr>
            <w:r>
              <w:rPr>
                <w:rFonts w:ascii="Arial" w:cs="Arial" w:eastAsia="Arial" w:hAnsi="Arial"/>
                <w:sz w:val="18"/>
                <w:szCs w:val="18"/>
                <w:color w:val="auto"/>
              </w:rPr>
              <w:t>Senior Vice President and Chief Financial Officer</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Thomas J. Felmer</w:t>
            </w:r>
          </w:p>
        </w:tc>
        <w:tc>
          <w:tcPr>
            <w:tcW w:w="5360" w:type="dxa"/>
            <w:vAlign w:val="bottom"/>
            <w:gridSpan w:val="2"/>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r>
        <w:trPr>
          <w:trHeight w:val="431"/>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Kathleen M. Johnson</w:t>
            </w:r>
          </w:p>
        </w:tc>
        <w:tc>
          <w:tcPr>
            <w:tcW w:w="5360" w:type="dxa"/>
            <w:vAlign w:val="bottom"/>
            <w:gridSpan w:val="2"/>
          </w:tcPr>
          <w:p>
            <w:pPr>
              <w:ind w:left="500"/>
              <w:spacing w:after="0"/>
              <w:rPr>
                <w:sz w:val="20"/>
                <w:szCs w:val="20"/>
                <w:color w:val="auto"/>
              </w:rPr>
            </w:pPr>
            <w:r>
              <w:rPr>
                <w:rFonts w:ascii="Arial" w:cs="Arial" w:eastAsia="Arial" w:hAnsi="Arial"/>
                <w:sz w:val="18"/>
                <w:szCs w:val="18"/>
                <w:color w:val="auto"/>
              </w:rPr>
              <w:t>Vice President and Chief Accounting Officer</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Kathleen M. Johnson</w:t>
            </w:r>
          </w:p>
        </w:tc>
        <w:tc>
          <w:tcPr>
            <w:tcW w:w="5360" w:type="dxa"/>
            <w:vAlign w:val="bottom"/>
            <w:gridSpan w:val="2"/>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r>
      <w:tr>
        <w:trPr>
          <w:trHeight w:val="431"/>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C. Richardson</w:t>
            </w:r>
          </w:p>
        </w:tc>
        <w:tc>
          <w:tcPr>
            <w:tcW w:w="5360" w:type="dxa"/>
            <w:vAlign w:val="bottom"/>
            <w:gridSpan w:val="2"/>
          </w:tcPr>
          <w:p>
            <w:pPr>
              <w:ind w:left="50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Bradley C. Richardson</w:t>
            </w:r>
          </w:p>
        </w:tc>
        <w:tc>
          <w:tcPr>
            <w:tcW w:w="50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S. Balkema</w:t>
            </w:r>
          </w:p>
        </w:tc>
        <w:tc>
          <w:tcPr>
            <w:tcW w:w="5360" w:type="dxa"/>
            <w:vAlign w:val="bottom"/>
            <w:gridSpan w:val="2"/>
          </w:tcPr>
          <w:p>
            <w:pPr>
              <w:ind w:left="50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Gary S. Balkema</w:t>
            </w:r>
          </w:p>
        </w:tc>
        <w:tc>
          <w:tcPr>
            <w:tcW w:w="50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Chan W. Galbato</w:t>
            </w:r>
          </w:p>
        </w:tc>
        <w:tc>
          <w:tcPr>
            <w:tcW w:w="5360" w:type="dxa"/>
            <w:vAlign w:val="bottom"/>
            <w:gridSpan w:val="2"/>
          </w:tcPr>
          <w:p>
            <w:pPr>
              <w:ind w:left="50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Chan W. Galbato</w:t>
            </w:r>
          </w:p>
        </w:tc>
        <w:tc>
          <w:tcPr>
            <w:tcW w:w="50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W. Harris</w:t>
            </w:r>
          </w:p>
        </w:tc>
        <w:tc>
          <w:tcPr>
            <w:tcW w:w="5360" w:type="dxa"/>
            <w:vAlign w:val="bottom"/>
            <w:gridSpan w:val="2"/>
          </w:tcPr>
          <w:p>
            <w:pPr>
              <w:ind w:left="50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Frank W. Harris</w:t>
            </w:r>
          </w:p>
        </w:tc>
        <w:tc>
          <w:tcPr>
            <w:tcW w:w="50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Conrad G. Goodkind</w:t>
            </w:r>
          </w:p>
        </w:tc>
        <w:tc>
          <w:tcPr>
            <w:tcW w:w="5360" w:type="dxa"/>
            <w:vAlign w:val="bottom"/>
            <w:gridSpan w:val="2"/>
          </w:tcPr>
          <w:p>
            <w:pPr>
              <w:ind w:left="50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Conrad G. Goodkind</w:t>
            </w:r>
          </w:p>
        </w:tc>
        <w:tc>
          <w:tcPr>
            <w:tcW w:w="50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W. Allender</w:t>
            </w:r>
          </w:p>
        </w:tc>
        <w:tc>
          <w:tcPr>
            <w:tcW w:w="5360" w:type="dxa"/>
            <w:vAlign w:val="bottom"/>
            <w:gridSpan w:val="2"/>
          </w:tcPr>
          <w:p>
            <w:pPr>
              <w:ind w:left="50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Patrick W. Allender</w:t>
            </w:r>
          </w:p>
        </w:tc>
        <w:tc>
          <w:tcPr>
            <w:tcW w:w="50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P. Pungello</w:t>
            </w:r>
          </w:p>
        </w:tc>
        <w:tc>
          <w:tcPr>
            <w:tcW w:w="5360" w:type="dxa"/>
            <w:vAlign w:val="bottom"/>
            <w:gridSpan w:val="2"/>
          </w:tcPr>
          <w:p>
            <w:pPr>
              <w:ind w:left="50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Elizabeth P. Pungello</w:t>
            </w:r>
          </w:p>
        </w:tc>
        <w:tc>
          <w:tcPr>
            <w:tcW w:w="500" w:type="dxa"/>
            <w:vAlign w:val="bottom"/>
          </w:tcPr>
          <w:p>
            <w:pPr>
              <w:spacing w:after="0"/>
              <w:rPr>
                <w:sz w:val="19"/>
                <w:szCs w:val="19"/>
                <w:color w:val="auto"/>
              </w:rPr>
            </w:pPr>
          </w:p>
        </w:tc>
        <w:tc>
          <w:tcPr>
            <w:tcW w:w="4860" w:type="dxa"/>
            <w:vAlign w:val="bottom"/>
          </w:tcPr>
          <w:p>
            <w:pPr>
              <w:spacing w:after="0"/>
              <w:rPr>
                <w:sz w:val="19"/>
                <w:szCs w:val="19"/>
                <w:color w:val="auto"/>
              </w:rPr>
            </w:pPr>
          </w:p>
        </w:tc>
      </w:tr>
    </w:tbl>
    <w:p>
      <w:pPr>
        <w:spacing w:after="0" w:line="106" w:lineRule="exact"/>
        <w:rPr>
          <w:sz w:val="20"/>
          <w:szCs w:val="20"/>
          <w:color w:val="auto"/>
        </w:rPr>
      </w:pPr>
    </w:p>
    <w:p>
      <w:pPr>
        <w:ind w:left="4728" w:right="4799" w:hanging="4728"/>
        <w:spacing w:after="0" w:line="1082" w:lineRule="auto"/>
        <w:tabs>
          <w:tab w:leader="none" w:pos="382" w:val="left"/>
        </w:tabs>
        <w:numPr>
          <w:ilvl w:val="0"/>
          <w:numId w:val="10"/>
        </w:numPr>
        <w:rPr>
          <w:rFonts w:ascii="Arial" w:cs="Arial" w:eastAsia="Arial" w:hAnsi="Arial"/>
          <w:sz w:val="16"/>
          <w:szCs w:val="16"/>
          <w:color w:val="auto"/>
        </w:rPr>
      </w:pPr>
      <w:r>
        <w:rPr>
          <w:rFonts w:ascii="Arial" w:cs="Arial" w:eastAsia="Arial" w:hAnsi="Arial"/>
          <w:sz w:val="16"/>
          <w:szCs w:val="16"/>
          <w:color w:val="auto"/>
        </w:rPr>
        <w:t>Each of the above signatures is affixed as of September 28, 2011.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-273685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849" w:gutter="0" w:footer="0" w:header="0"/>
        </w:sectPr>
      </w:pPr>
    </w:p>
    <w:bookmarkStart w:id="8" w:name="page9"/>
    <w:bookmarkEnd w:id="8"/>
    <w:tbl>
      <w:tblPr>
        <w:tblLayout w:type="fixed"/>
        <w:tblInd w:w="8"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4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9"/>
              </w:rPr>
              <w:t>BRADY CORPORATION</w:t>
            </w:r>
          </w:p>
        </w:tc>
      </w:tr>
      <w:tr>
        <w:trPr>
          <w:trHeight w:val="216"/>
        </w:trPr>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4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2"/>
              </w:rPr>
              <w:t>(the “Registrant”)</w:t>
            </w:r>
          </w:p>
        </w:tc>
      </w:tr>
      <w:tr>
        <w:trPr>
          <w:trHeight w:val="234"/>
        </w:trPr>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4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0"/>
              </w:rPr>
              <w:t>(Commission File No. 001-14959)</w:t>
            </w:r>
          </w:p>
        </w:tc>
      </w:tr>
      <w:tr>
        <w:trPr>
          <w:trHeight w:val="405"/>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4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120" w:type="dxa"/>
            <w:vAlign w:val="bottom"/>
            <w:gridSpan w:val="2"/>
          </w:tcPr>
          <w:p>
            <w:pPr>
              <w:jc w:val="center"/>
              <w:ind w:right="2290"/>
              <w:spacing w:after="0"/>
              <w:rPr>
                <w:sz w:val="20"/>
                <w:szCs w:val="20"/>
                <w:color w:val="auto"/>
              </w:rPr>
            </w:pPr>
            <w:r>
              <w:rPr>
                <w:rFonts w:ascii="Arial" w:cs="Arial" w:eastAsia="Arial" w:hAnsi="Arial"/>
                <w:sz w:val="18"/>
                <w:szCs w:val="18"/>
                <w:b w:val="1"/>
                <w:bCs w:val="1"/>
                <w:color w:val="auto"/>
              </w:rPr>
              <w:t>TO</w:t>
            </w:r>
          </w:p>
        </w:tc>
      </w:tr>
      <w:tr>
        <w:trPr>
          <w:trHeight w:val="392"/>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4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9"/>
              </w:rPr>
              <w:t>FORM S-8 REGISTRATION STATEMENT</w:t>
            </w:r>
          </w:p>
        </w:tc>
      </w:tr>
      <w:tr>
        <w:trPr>
          <w:trHeight w:val="414"/>
        </w:trPr>
        <w:tc>
          <w:tcPr>
            <w:tcW w:w="10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ind w:left="620"/>
              <w:spacing w:after="0"/>
              <w:rPr>
                <w:sz w:val="20"/>
                <w:szCs w:val="20"/>
                <w:color w:val="auto"/>
              </w:rPr>
            </w:pPr>
            <w:r>
              <w:rPr>
                <w:rFonts w:ascii="Arial" w:cs="Arial" w:eastAsia="Arial" w:hAnsi="Arial"/>
                <w:sz w:val="18"/>
                <w:szCs w:val="18"/>
                <w:b w:val="1"/>
                <w:bCs w:val="1"/>
                <w:color w:val="auto"/>
              </w:rPr>
              <w:t>Incorporated Herein</w:t>
            </w:r>
          </w:p>
        </w:tc>
      </w:tr>
      <w:tr>
        <w:trPr>
          <w:trHeight w:val="234"/>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20"/>
                <w:szCs w:val="20"/>
                <w:color w:val="auto"/>
              </w:rPr>
            </w:pPr>
          </w:p>
        </w:tc>
        <w:tc>
          <w:tcPr>
            <w:tcW w:w="312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Description</w:t>
            </w:r>
          </w:p>
        </w:tc>
        <w:tc>
          <w:tcPr>
            <w:tcW w:w="300" w:type="dxa"/>
            <w:vAlign w:val="bottom"/>
          </w:tcPr>
          <w:p>
            <w:pPr>
              <w:spacing w:after="0"/>
              <w:rPr>
                <w:sz w:val="20"/>
                <w:szCs w:val="20"/>
                <w:color w:val="auto"/>
              </w:rPr>
            </w:pPr>
          </w:p>
        </w:tc>
        <w:tc>
          <w:tcPr>
            <w:tcW w:w="282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by Reference To</w:t>
            </w:r>
          </w:p>
        </w:tc>
      </w:tr>
      <w:tr>
        <w:trPr>
          <w:trHeight w:val="411"/>
        </w:trPr>
        <w:tc>
          <w:tcPr>
            <w:tcW w:w="1080" w:type="dxa"/>
            <w:vAlign w:val="bottom"/>
          </w:tcPr>
          <w:p>
            <w:pPr>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Arial" w:cs="Arial" w:eastAsia="Arial" w:hAnsi="Arial"/>
                <w:sz w:val="18"/>
                <w:szCs w:val="18"/>
                <w:color w:val="auto"/>
                <w:w w:val="98"/>
              </w:rPr>
              <w:t>Restated Articles of Incorporation of the</w:t>
            </w:r>
          </w:p>
        </w:tc>
        <w:tc>
          <w:tcPr>
            <w:tcW w:w="30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Exhibit 4.1 to the Registrant’s</w:t>
            </w:r>
          </w:p>
        </w:tc>
      </w:tr>
      <w:tr>
        <w:trPr>
          <w:trHeight w:val="216"/>
        </w:trPr>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Registrant</w:t>
            </w:r>
          </w:p>
        </w:tc>
        <w:tc>
          <w:tcPr>
            <w:tcW w:w="3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7"/>
              </w:rPr>
              <w:t>Registration Statement on Form S-3</w:t>
            </w:r>
          </w:p>
        </w:tc>
      </w:tr>
      <w:tr>
        <w:trPr>
          <w:trHeight w:val="230"/>
        </w:trPr>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(Registration No. 333-04155)</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Bylaws of the Registrant, as amended</w:t>
            </w:r>
          </w:p>
        </w:tc>
        <w:tc>
          <w:tcPr>
            <w:tcW w:w="30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3"/>
              </w:rPr>
              <w:t>Exhibit 3.2 to the Registrant’s Current</w:t>
            </w:r>
          </w:p>
        </w:tc>
      </w:tr>
      <w:tr>
        <w:trPr>
          <w:trHeight w:val="216"/>
        </w:trPr>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Report on Form 8-K filed</w:t>
            </w:r>
          </w:p>
        </w:tc>
      </w:tr>
      <w:tr>
        <w:trPr>
          <w:trHeight w:val="230"/>
        </w:trPr>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November 23, 2010</w:t>
            </w:r>
          </w:p>
        </w:tc>
      </w:tr>
    </w:tbl>
    <w:p>
      <w:pPr>
        <w:spacing w:after="0" w:line="202" w:lineRule="exact"/>
        <w:rPr>
          <w:sz w:val="20"/>
          <w:szCs w:val="20"/>
          <w:color w:val="auto"/>
        </w:rPr>
      </w:pPr>
    </w:p>
    <w:p>
      <w:pPr>
        <w:ind w:left="1368" w:hanging="1368"/>
        <w:spacing w:after="0"/>
        <w:tabs>
          <w:tab w:leader="none" w:pos="13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Opinion of Quarles &amp; Brady LLP</w:t>
      </w:r>
    </w:p>
    <w:p>
      <w:pPr>
        <w:spacing w:after="0" w:line="225"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3480" w:type="dxa"/>
            <w:vAlign w:val="bottom"/>
          </w:tcPr>
          <w:p>
            <w:pPr>
              <w:ind w:left="520"/>
              <w:spacing w:after="0"/>
              <w:rPr>
                <w:sz w:val="20"/>
                <w:szCs w:val="20"/>
                <w:color w:val="auto"/>
              </w:rPr>
            </w:pPr>
            <w:r>
              <w:rPr>
                <w:rFonts w:ascii="Arial" w:cs="Arial" w:eastAsia="Arial" w:hAnsi="Arial"/>
                <w:sz w:val="18"/>
                <w:szCs w:val="18"/>
                <w:color w:val="auto"/>
              </w:rPr>
              <w:t>Consent of Deloitte &amp; Touche LLP</w:t>
            </w:r>
          </w:p>
        </w:tc>
        <w:tc>
          <w:tcPr>
            <w:tcW w:w="2980" w:type="dxa"/>
            <w:vAlign w:val="bottom"/>
          </w:tcPr>
          <w:p>
            <w:pPr>
              <w:spacing w:after="0"/>
              <w:rPr>
                <w:sz w:val="20"/>
                <w:szCs w:val="20"/>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23.2</w:t>
            </w:r>
          </w:p>
        </w:tc>
        <w:tc>
          <w:tcPr>
            <w:tcW w:w="3480" w:type="dxa"/>
            <w:vAlign w:val="bottom"/>
          </w:tcPr>
          <w:p>
            <w:pPr>
              <w:ind w:left="520"/>
              <w:spacing w:after="0"/>
              <w:rPr>
                <w:sz w:val="20"/>
                <w:szCs w:val="20"/>
                <w:color w:val="auto"/>
              </w:rPr>
            </w:pPr>
            <w:r>
              <w:rPr>
                <w:rFonts w:ascii="Arial" w:cs="Arial" w:eastAsia="Arial" w:hAnsi="Arial"/>
                <w:sz w:val="18"/>
                <w:szCs w:val="18"/>
                <w:color w:val="auto"/>
              </w:rPr>
              <w:t>Consent of Quarles &amp; Brady LLP</w:t>
            </w:r>
          </w:p>
        </w:tc>
        <w:tc>
          <w:tcPr>
            <w:tcW w:w="298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24</w:t>
            </w:r>
          </w:p>
        </w:tc>
        <w:tc>
          <w:tcPr>
            <w:tcW w:w="3480" w:type="dxa"/>
            <w:vAlign w:val="bottom"/>
          </w:tcPr>
          <w:p>
            <w:pPr>
              <w:ind w:left="520"/>
              <w:spacing w:after="0"/>
              <w:rPr>
                <w:sz w:val="20"/>
                <w:szCs w:val="20"/>
                <w:color w:val="auto"/>
              </w:rPr>
            </w:pPr>
            <w:r>
              <w:rPr>
                <w:rFonts w:ascii="Arial" w:cs="Arial" w:eastAsia="Arial" w:hAnsi="Arial"/>
                <w:sz w:val="18"/>
                <w:szCs w:val="18"/>
                <w:color w:val="auto"/>
              </w:rPr>
              <w:t>Power of Attorney</w:t>
            </w:r>
          </w:p>
        </w:tc>
        <w:tc>
          <w:tcPr>
            <w:tcW w:w="2980" w:type="dxa"/>
            <w:vAlign w:val="bottom"/>
          </w:tcPr>
          <w:p>
            <w:pPr>
              <w:spacing w:after="0"/>
              <w:rPr>
                <w:sz w:val="24"/>
                <w:szCs w:val="24"/>
                <w:color w:val="auto"/>
              </w:rPr>
            </w:pPr>
          </w:p>
        </w:tc>
      </w:tr>
      <w:tr>
        <w:trPr>
          <w:trHeight w:val="850"/>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3480" w:type="dxa"/>
            <w:vAlign w:val="bottom"/>
          </w:tcPr>
          <w:p>
            <w:pPr>
              <w:ind w:left="520"/>
              <w:spacing w:after="0"/>
              <w:rPr>
                <w:sz w:val="20"/>
                <w:szCs w:val="20"/>
                <w:color w:val="auto"/>
              </w:rPr>
            </w:pPr>
            <w:r>
              <w:rPr>
                <w:rFonts w:ascii="Arial" w:cs="Arial" w:eastAsia="Arial" w:hAnsi="Arial"/>
                <w:sz w:val="18"/>
                <w:szCs w:val="18"/>
                <w:color w:val="auto"/>
              </w:rPr>
              <w:t>Brady Corporation 2012 Omnibus</w:t>
            </w:r>
          </w:p>
        </w:tc>
        <w:tc>
          <w:tcPr>
            <w:tcW w:w="2980" w:type="dxa"/>
            <w:vAlign w:val="bottom"/>
          </w:tcPr>
          <w:p>
            <w:pPr>
              <w:ind w:left="460"/>
              <w:spacing w:after="0"/>
              <w:rPr>
                <w:sz w:val="20"/>
                <w:szCs w:val="20"/>
                <w:color w:val="auto"/>
              </w:rPr>
            </w:pPr>
            <w:r>
              <w:rPr>
                <w:rFonts w:ascii="Arial" w:cs="Arial" w:eastAsia="Arial" w:hAnsi="Arial"/>
                <w:sz w:val="18"/>
                <w:szCs w:val="18"/>
                <w:color w:val="auto"/>
                <w:w w:val="98"/>
              </w:rPr>
              <w:t>Exhibit 10.38 to the Registrant’s</w:t>
            </w:r>
          </w:p>
        </w:tc>
      </w:tr>
      <w:tr>
        <w:trPr>
          <w:trHeight w:val="216"/>
        </w:trPr>
        <w:tc>
          <w:tcPr>
            <w:tcW w:w="840" w:type="dxa"/>
            <w:vAlign w:val="bottom"/>
          </w:tcPr>
          <w:p>
            <w:pPr>
              <w:spacing w:after="0"/>
              <w:rPr>
                <w:sz w:val="18"/>
                <w:szCs w:val="18"/>
                <w:color w:val="auto"/>
              </w:rPr>
            </w:pPr>
          </w:p>
        </w:tc>
        <w:tc>
          <w:tcPr>
            <w:tcW w:w="3480" w:type="dxa"/>
            <w:vAlign w:val="bottom"/>
          </w:tcPr>
          <w:p>
            <w:pPr>
              <w:ind w:left="520"/>
              <w:spacing w:after="0"/>
              <w:rPr>
                <w:sz w:val="20"/>
                <w:szCs w:val="20"/>
                <w:color w:val="auto"/>
              </w:rPr>
            </w:pPr>
            <w:r>
              <w:rPr>
                <w:rFonts w:ascii="Arial" w:cs="Arial" w:eastAsia="Arial" w:hAnsi="Arial"/>
                <w:sz w:val="18"/>
                <w:szCs w:val="18"/>
                <w:color w:val="auto"/>
              </w:rPr>
              <w:t>Incentive Stock Plan</w:t>
            </w:r>
          </w:p>
        </w:tc>
        <w:tc>
          <w:tcPr>
            <w:tcW w:w="2980" w:type="dxa"/>
            <w:vAlign w:val="bottom"/>
          </w:tcPr>
          <w:p>
            <w:pPr>
              <w:ind w:left="460"/>
              <w:spacing w:after="0"/>
              <w:rPr>
                <w:sz w:val="20"/>
                <w:szCs w:val="20"/>
                <w:color w:val="auto"/>
              </w:rPr>
            </w:pPr>
            <w:r>
              <w:rPr>
                <w:rFonts w:ascii="Arial" w:cs="Arial" w:eastAsia="Arial" w:hAnsi="Arial"/>
                <w:sz w:val="18"/>
                <w:szCs w:val="18"/>
                <w:color w:val="auto"/>
                <w:w w:val="93"/>
              </w:rPr>
              <w:t>Annual Report on Form 10-K filed</w:t>
            </w:r>
          </w:p>
        </w:tc>
      </w:tr>
      <w:tr>
        <w:trPr>
          <w:trHeight w:val="230"/>
        </w:trPr>
        <w:tc>
          <w:tcPr>
            <w:tcW w:w="8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980" w:type="dxa"/>
            <w:vAlign w:val="bottom"/>
          </w:tcPr>
          <w:p>
            <w:pPr>
              <w:ind w:left="460"/>
              <w:spacing w:after="0"/>
              <w:rPr>
                <w:sz w:val="20"/>
                <w:szCs w:val="20"/>
                <w:color w:val="auto"/>
              </w:rPr>
            </w:pPr>
            <w:r>
              <w:rPr>
                <w:rFonts w:ascii="Arial" w:cs="Arial" w:eastAsia="Arial" w:hAnsi="Arial"/>
                <w:sz w:val="18"/>
                <w:szCs w:val="18"/>
                <w:color w:val="auto"/>
              </w:rPr>
              <w:t>September 27, 2011</w:t>
            </w:r>
          </w:p>
        </w:tc>
      </w:tr>
      <w:tr>
        <w:trPr>
          <w:trHeight w:val="797"/>
        </w:trPr>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rPr>
              <w:t>E-1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Filed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5715</wp:posOffset>
            </wp:positionV>
            <wp:extent cx="11664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Contained in Exhibit 5</w:t>
      </w:r>
    </w:p>
    <w:p>
      <w:pPr>
        <w:spacing w:after="0" w:line="237" w:lineRule="exact"/>
        <w:rPr>
          <w:sz w:val="20"/>
          <w:szCs w:val="20"/>
          <w:color w:val="auto"/>
        </w:rPr>
      </w:pPr>
    </w:p>
    <w:p>
      <w:pPr>
        <w:jc w:val="center"/>
        <w:ind w:right="199"/>
        <w:spacing w:after="0" w:line="286" w:lineRule="auto"/>
        <w:rPr>
          <w:sz w:val="20"/>
          <w:szCs w:val="20"/>
          <w:color w:val="auto"/>
        </w:rPr>
      </w:pPr>
      <w:r>
        <w:rPr>
          <w:rFonts w:ascii="Arial" w:cs="Arial" w:eastAsia="Arial" w:hAnsi="Arial"/>
          <w:sz w:val="17"/>
          <w:szCs w:val="17"/>
          <w:color w:val="auto"/>
        </w:rPr>
        <w:t>Contained in Signatures page to this Registration Statement</w:t>
      </w:r>
    </w:p>
    <w:p>
      <w:pPr>
        <w:sectPr>
          <w:pgSz w:w="11900" w:h="16838" w:orient="portrait"/>
          <w:cols w:equalWidth="0" w:num="2">
            <w:col w:w="7608" w:space="320"/>
            <w:col w:w="1959"/>
          </w:cols>
          <w:pgMar w:left="572" w:top="931" w:right="1440" w:bottom="1440" w:gutter="0" w:footer="0" w:header="0"/>
        </w:sectPr>
      </w:pPr>
    </w:p>
    <w:bookmarkStart w:id="9" w:name="page10"/>
    <w:bookmarkEnd w:id="9"/>
    <w:p>
      <w:pPr>
        <w:jc w:val="right"/>
        <w:ind w:right="159"/>
        <w:spacing w:after="0"/>
        <w:rPr>
          <w:sz w:val="20"/>
          <w:szCs w:val="20"/>
          <w:color w:val="auto"/>
        </w:rPr>
      </w:pPr>
      <w:r>
        <w:rPr>
          <w:rFonts w:ascii="Arial" w:cs="Arial" w:eastAsia="Arial" w:hAnsi="Arial"/>
          <w:sz w:val="18"/>
          <w:szCs w:val="18"/>
          <w:color w:val="auto"/>
        </w:rPr>
        <w:t>EXHIBIT 5</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Quarles &amp; Brady LLP</w:t>
      </w:r>
    </w:p>
    <w:p>
      <w:pPr>
        <w:jc w:val="center"/>
        <w:ind w:right="159"/>
        <w:spacing w:after="0" w:line="234" w:lineRule="auto"/>
        <w:rPr>
          <w:sz w:val="20"/>
          <w:szCs w:val="20"/>
          <w:color w:val="auto"/>
        </w:rPr>
      </w:pPr>
      <w:r>
        <w:rPr>
          <w:rFonts w:ascii="Arial" w:cs="Arial" w:eastAsia="Arial" w:hAnsi="Arial"/>
          <w:sz w:val="18"/>
          <w:szCs w:val="18"/>
          <w:color w:val="auto"/>
        </w:rPr>
        <w:t>411 East Wisconsin Avenue</w:t>
      </w:r>
    </w:p>
    <w:p>
      <w:pPr>
        <w:jc w:val="center"/>
        <w:ind w:right="159"/>
        <w:spacing w:after="0" w:line="235" w:lineRule="auto"/>
        <w:rPr>
          <w:sz w:val="20"/>
          <w:szCs w:val="20"/>
          <w:color w:val="auto"/>
        </w:rPr>
      </w:pPr>
      <w:r>
        <w:rPr>
          <w:rFonts w:ascii="Arial" w:cs="Arial" w:eastAsia="Arial" w:hAnsi="Arial"/>
          <w:sz w:val="18"/>
          <w:szCs w:val="18"/>
          <w:color w:val="auto"/>
        </w:rPr>
        <w:t>Milwaukee, WI 53202-4497</w:t>
      </w:r>
    </w:p>
    <w:p>
      <w:pPr>
        <w:jc w:val="center"/>
        <w:ind w:right="159"/>
        <w:spacing w:after="0" w:line="235" w:lineRule="auto"/>
        <w:rPr>
          <w:sz w:val="20"/>
          <w:szCs w:val="20"/>
          <w:color w:val="auto"/>
        </w:rPr>
      </w:pPr>
      <w:r>
        <w:rPr>
          <w:rFonts w:ascii="Arial" w:cs="Arial" w:eastAsia="Arial" w:hAnsi="Arial"/>
          <w:sz w:val="18"/>
          <w:szCs w:val="18"/>
          <w:color w:val="auto"/>
        </w:rPr>
        <w:t>Phone: (414) 277-5000</w:t>
      </w:r>
    </w:p>
    <w:p>
      <w:pPr>
        <w:jc w:val="center"/>
        <w:ind w:right="159"/>
        <w:spacing w:after="0" w:line="235" w:lineRule="auto"/>
        <w:rPr>
          <w:sz w:val="20"/>
          <w:szCs w:val="20"/>
          <w:color w:val="auto"/>
        </w:rPr>
      </w:pPr>
      <w:r>
        <w:rPr>
          <w:rFonts w:ascii="Arial" w:cs="Arial" w:eastAsia="Arial" w:hAnsi="Arial"/>
          <w:sz w:val="18"/>
          <w:szCs w:val="18"/>
          <w:color w:val="auto"/>
        </w:rPr>
        <w:t>Fax: (414)271-3552</w:t>
      </w:r>
    </w:p>
    <w:p>
      <w:pPr>
        <w:jc w:val="center"/>
        <w:ind w:right="159"/>
        <w:spacing w:after="0"/>
        <w:rPr>
          <w:sz w:val="20"/>
          <w:szCs w:val="20"/>
          <w:color w:val="auto"/>
        </w:rPr>
      </w:pPr>
      <w:r>
        <w:rPr>
          <w:rFonts w:ascii="Arial" w:cs="Arial" w:eastAsia="Arial" w:hAnsi="Arial"/>
          <w:sz w:val="18"/>
          <w:szCs w:val="18"/>
          <w:u w:val="single" w:color="auto"/>
          <w:color w:val="auto"/>
        </w:rPr>
        <w:t>www.quarles.com</w:t>
      </w:r>
    </w:p>
    <w:p>
      <w:pPr>
        <w:spacing w:after="0" w:line="198"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September 28, 2011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234" w:lineRule="auto"/>
        <w:rPr>
          <w:sz w:val="20"/>
          <w:szCs w:val="20"/>
          <w:color w:val="auto"/>
        </w:rPr>
      </w:pPr>
      <w:r>
        <w:rPr>
          <w:rFonts w:ascii="Arial" w:cs="Arial" w:eastAsia="Arial" w:hAnsi="Arial"/>
          <w:sz w:val="18"/>
          <w:szCs w:val="18"/>
          <w:color w:val="auto"/>
        </w:rPr>
        <w:t>6555 West Good Hope Road</w:t>
      </w:r>
    </w:p>
    <w:p>
      <w:pPr>
        <w:spacing w:after="0" w:line="235" w:lineRule="auto"/>
        <w:rPr>
          <w:sz w:val="20"/>
          <w:szCs w:val="20"/>
          <w:color w:val="auto"/>
        </w:rPr>
      </w:pPr>
      <w:r>
        <w:rPr>
          <w:rFonts w:ascii="Arial" w:cs="Arial" w:eastAsia="Arial" w:hAnsi="Arial"/>
          <w:sz w:val="18"/>
          <w:szCs w:val="18"/>
          <w:color w:val="auto"/>
        </w:rPr>
        <w:t>P.O. Box 571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53201-0571</w:t>
      </w:r>
    </w:p>
    <w:p>
      <w:pPr>
        <w:spacing w:after="0" w:line="176" w:lineRule="exact"/>
        <w:rPr>
          <w:sz w:val="20"/>
          <w:szCs w:val="20"/>
          <w:color w:val="auto"/>
        </w:rPr>
      </w:pPr>
    </w:p>
    <w:p>
      <w:pPr>
        <w:ind w:right="4479" w:firstLine="365"/>
        <w:spacing w:after="0" w:line="451"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Brady Corporation 2012 Omnibus Incentive Stock Plan</w:t>
      </w:r>
      <w:r>
        <w:rPr>
          <w:rFonts w:ascii="Arial" w:cs="Arial" w:eastAsia="Arial" w:hAnsi="Arial"/>
          <w:sz w:val="18"/>
          <w:szCs w:val="18"/>
          <w:color w:val="auto"/>
        </w:rPr>
        <w:t xml:space="preserve"> Ladies and Gentlemen:</w:t>
      </w:r>
    </w:p>
    <w:p>
      <w:pPr>
        <w:jc w:val="both"/>
        <w:ind w:right="159" w:firstLine="389"/>
        <w:spacing w:after="0" w:line="237" w:lineRule="auto"/>
        <w:rPr>
          <w:sz w:val="20"/>
          <w:szCs w:val="20"/>
          <w:color w:val="auto"/>
        </w:rPr>
      </w:pPr>
      <w:r>
        <w:rPr>
          <w:rFonts w:ascii="Arial" w:cs="Arial" w:eastAsia="Arial" w:hAnsi="Arial"/>
          <w:sz w:val="18"/>
          <w:szCs w:val="18"/>
          <w:color w:val="auto"/>
        </w:rPr>
        <w:t>We are providing this opinion in connection with the Registration Statement of Brady Corporation (the “Company”) on Form S-8 (the “Registration Statement”) to be filed with the Securities and Exchange Commission under the Securities Act of 1933, as amended (the “Act”), with respect to the proposed issuance by the Company of up to 5,500,000 shares of Class A Nonvoting Common Stock, par value $.01 per share, of the Company pursuant to the Brady Corporation 2012 Omnibus Incentive Stock Plan. The Brady Corporation 2012 Omnibus Incentive Stock Plan shall be referred to herein as the “Plan” and the shares of Class A Nonvoting Common Stock, par value $.01 per share, of the Company issuable under the Plan shall be referred to herein as the “Shares.”</w:t>
      </w:r>
    </w:p>
    <w:p>
      <w:pPr>
        <w:spacing w:after="0" w:line="176" w:lineRule="exact"/>
        <w:rPr>
          <w:sz w:val="20"/>
          <w:szCs w:val="20"/>
          <w:color w:val="auto"/>
        </w:rPr>
      </w:pPr>
    </w:p>
    <w:p>
      <w:pPr>
        <w:jc w:val="both"/>
        <w:ind w:right="159" w:firstLine="389"/>
        <w:spacing w:after="0" w:line="237" w:lineRule="auto"/>
        <w:rPr>
          <w:sz w:val="20"/>
          <w:szCs w:val="20"/>
          <w:color w:val="auto"/>
        </w:rPr>
      </w:pPr>
      <w:r>
        <w:rPr>
          <w:rFonts w:ascii="Arial" w:cs="Arial" w:eastAsia="Arial" w:hAnsi="Arial"/>
          <w:sz w:val="18"/>
          <w:szCs w:val="18"/>
          <w:color w:val="auto"/>
        </w:rPr>
        <w:t>We have examined: (i) the Registration Statement; (ii) the Company’s Restated Articles of Incorporation and Bylaws, each as amended to date; (iii) the Plan; (iv) the corporate proceedings relating to the adoption and approval of the Plan and the authorization for the issuance of the Shares in accordance with the Plan; and (v) such other documents and records and such matters of law as we have deemed necessary in order to render this opinion. In giving such opinion, with respect to factual matters, we have relied upon certificates or representations made by duly authorized representatives of the Company and certificates of public officials.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the basis of the foregoing, we advise you that, in our opinion:</w:t>
      </w:r>
    </w:p>
    <w:p>
      <w:pPr>
        <w:spacing w:after="0" w:line="171" w:lineRule="exact"/>
        <w:rPr>
          <w:sz w:val="20"/>
          <w:szCs w:val="20"/>
          <w:color w:val="auto"/>
        </w:rPr>
      </w:pPr>
    </w:p>
    <w:p>
      <w:pPr>
        <w:ind w:left="740" w:hanging="370"/>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is a corporation incorporated and validly existing under the laws of the State of Wisconsin.</w:t>
      </w:r>
    </w:p>
    <w:p>
      <w:pPr>
        <w:spacing w:after="0" w:line="184" w:lineRule="exact"/>
        <w:rPr>
          <w:rFonts w:ascii="Arial" w:cs="Arial" w:eastAsia="Arial" w:hAnsi="Arial"/>
          <w:sz w:val="18"/>
          <w:szCs w:val="18"/>
          <w:color w:val="auto"/>
        </w:rPr>
      </w:pPr>
    </w:p>
    <w:p>
      <w:pPr>
        <w:jc w:val="both"/>
        <w:ind w:left="740" w:right="159" w:hanging="370"/>
        <w:spacing w:after="0" w:line="23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Shares to be sold from time to time pursuant to the Plan which are original issuance or treasury shares, when issued as and for the consideration contemplated by the Registration Statement and the Plan, will be validly issued, fully paid and nonassessable by the Company, subject to the personal liability which may be imposed on shareholders by former Section 180.0622(2)(b) of the Wisconsin Business Corporation Law, as judicially interpreted, for debts incurred prior to June 14, 2006 (for debts incurred on or after such date, Section 180.0622(2)(b) has been repealed) owing to employees for services performed, but not exceeding six months service in any one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607695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40" w:right="1440" w:bottom="1440" w:gutter="0" w:footer="0" w:header="0"/>
        </w:sectPr>
      </w:pPr>
    </w:p>
    <w:bookmarkStart w:id="10" w:name="page11"/>
    <w:bookmarkEnd w:id="10"/>
    <w:p>
      <w:pPr>
        <w:jc w:val="both"/>
        <w:ind w:right="179" w:firstLine="389"/>
        <w:spacing w:after="0"/>
        <w:rPr>
          <w:sz w:val="20"/>
          <w:szCs w:val="20"/>
          <w:color w:val="auto"/>
        </w:rPr>
      </w:pPr>
      <w:r>
        <w:rPr>
          <w:rFonts w:ascii="Arial" w:cs="Arial" w:eastAsia="Arial" w:hAnsi="Arial"/>
          <w:sz w:val="18"/>
          <w:szCs w:val="18"/>
          <w:color w:val="auto"/>
        </w:rPr>
        <w:t>We hereby consent to the filing of this opinion as an exhibit to the Registration Statement. In giving our consent, we do not admit that we are “experts” within the meaning of Section 11 of the Act, or that we come within the category of persons whose consent is required by Section 7 of the Act.</w:t>
      </w:r>
    </w:p>
    <w:p>
      <w:pPr>
        <w:spacing w:after="0" w:line="18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Quarles &amp; Brady LLP</w:t>
      </w:r>
    </w:p>
    <w:p>
      <w:pPr>
        <w:spacing w:after="0" w:line="19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QUARLES &amp; BRADY LLP</w:t>
      </w:r>
    </w:p>
    <w:p>
      <w:pPr>
        <w:sectPr>
          <w:pgSz w:w="11900" w:h="16838" w:orient="portrait"/>
          <w:cols w:equalWidth="0" w:num="1">
            <w:col w:w="9879"/>
          </w:cols>
          <w:pgMar w:left="580" w:top="1138" w:right="1440" w:bottom="1440" w:gutter="0" w:footer="0" w:header="0"/>
        </w:sectPr>
      </w:pPr>
    </w:p>
    <w:bookmarkStart w:id="11" w:name="page12"/>
    <w:bookmarkEnd w:id="11"/>
    <w:p>
      <w:pPr>
        <w:jc w:val="right"/>
        <w:ind w:right="159"/>
        <w:spacing w:after="0"/>
        <w:rPr>
          <w:sz w:val="20"/>
          <w:szCs w:val="20"/>
          <w:color w:val="auto"/>
        </w:rPr>
      </w:pPr>
      <w:r>
        <w:rPr>
          <w:rFonts w:ascii="Arial" w:cs="Arial" w:eastAsia="Arial" w:hAnsi="Arial"/>
          <w:sz w:val="18"/>
          <w:szCs w:val="18"/>
          <w:color w:val="auto"/>
        </w:rPr>
        <w:t>EXHIBIT 23.1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7" w:lineRule="exact"/>
        <w:rPr>
          <w:sz w:val="20"/>
          <w:szCs w:val="20"/>
          <w:color w:val="auto"/>
        </w:rPr>
      </w:pPr>
    </w:p>
    <w:p>
      <w:pPr>
        <w:ind w:right="199"/>
        <w:spacing w:after="0" w:line="239"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reports relating to the financial statements and financial statement schedule of Brady Corporation and the effectiveness of Brady Corporation’s internal control over financial reporting dated September 27, 2011, appearing in the Annual Report on Form 10-K of Brady Corporation for the year ended July 31, 2011.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rPr>
          <w:sz w:val="20"/>
          <w:szCs w:val="20"/>
          <w:color w:val="auto"/>
        </w:rPr>
      </w:pPr>
      <w:r>
        <w:rPr>
          <w:rFonts w:ascii="Arial" w:cs="Arial" w:eastAsia="Arial" w:hAnsi="Arial"/>
          <w:sz w:val="18"/>
          <w:szCs w:val="18"/>
          <w:color w:val="auto"/>
        </w:rPr>
        <w:t>September 28, 2011</w:t>
      </w:r>
    </w:p>
    <w:sectPr>
      <w:pgSz w:w="11900" w:h="16838" w:orient="portrait"/>
      <w:cols w:equalWidth="0" w:num="1">
        <w:col w:w="9879"/>
      </w:cols>
      <w:pgMar w:left="58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5"/>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5">
    <w:nsid w:val="5BD062C2"/>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lvl w:ilvl="3">
      <w:lvlJc w:val="left"/>
      <w:lvlText w:val="-"/>
      <w:numFmt w:val="bullet"/>
      <w:start w:val="1"/>
    </w:lvl>
  </w:abstractNum>
  <w:abstractNum w:abstractNumId="6">
    <w:nsid w:val="12200854"/>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lvl w:ilvl="3">
      <w:lvlJc w:val="left"/>
      <w:lvlText w:val="-"/>
      <w:numFmt w:val="bullet"/>
      <w:start w:val="1"/>
    </w:lvl>
  </w:abstractNum>
  <w:abstractNum w:abstractNumId="7">
    <w:nsid w:val="4DB127F8"/>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5"/>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2019-12-10T06:00:44Z</dcterms:created>
  <dcterms:modified xsi:type="dcterms:W3CDTF">2019-12-10T06:00:44Z</dcterms:modified>
</cp:coreProperties>
</file>