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4"/>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64"/>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2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264"/>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264"/>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605"/>
        <w:spacing w:after="0"/>
        <w:rPr>
          <w:sz w:val="20"/>
          <w:szCs w:val="20"/>
          <w:color w:val="auto"/>
        </w:rPr>
      </w:pPr>
      <w:r>
        <w:rPr>
          <w:rFonts w:ascii="Arial" w:cs="Arial" w:eastAsia="Arial" w:hAnsi="Arial"/>
          <w:sz w:val="19"/>
          <w:szCs w:val="19"/>
          <w:b w:val="1"/>
          <w:bCs w:val="1"/>
          <w:color w:val="auto"/>
        </w:rPr>
        <w:t>Date of Report (Date of earliest event reported): November 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238760</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264"/>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085"/>
          </w:cols>
          <w:pgMar w:left="275" w:top="733" w:right="53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385"/>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82" w:lineRule="exact"/>
        <w:rPr>
          <w:sz w:val="24"/>
          <w:szCs w:val="24"/>
          <w:color w:val="auto"/>
        </w:rPr>
      </w:pPr>
    </w:p>
    <w:p>
      <w:pPr>
        <w:sectPr>
          <w:pgSz w:w="11900" w:h="16838" w:orient="portrait"/>
          <w:cols w:equalWidth="0" w:num="2">
            <w:col w:w="7505" w:space="720"/>
            <w:col w:w="2860"/>
          </w:cols>
          <w:pgMar w:left="275" w:top="733" w:right="539" w:bottom="1440" w:gutter="0" w:footer="0" w:header="0"/>
          <w:type w:val="continuous"/>
        </w:sectPr>
      </w:pPr>
    </w:p>
    <w:p>
      <w:pPr>
        <w:jc w:val="center"/>
        <w:ind w:right="1815"/>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1815"/>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365" w:space="720"/>
            <w:col w:w="3000"/>
          </w:cols>
          <w:pgMar w:left="275" w:top="733" w:right="539" w:bottom="1440" w:gutter="0" w:footer="0" w:header="0"/>
          <w:type w:val="continuous"/>
        </w:sectPr>
      </w:pPr>
    </w:p>
    <w:p>
      <w:pPr>
        <w:ind w:left="4605"/>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565"/>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264"/>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63"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264"/>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194945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1085"/>
          </w:cols>
          <w:pgMar w:left="275" w:top="733" w:right="539" w:bottom="1440" w:gutter="0" w:footer="0" w:header="0"/>
          <w:type w:val="continuous"/>
        </w:sectPr>
      </w:pPr>
    </w:p>
    <w:p>
      <w:pPr>
        <w:spacing w:after="0" w:line="388" w:lineRule="exact"/>
        <w:rPr>
          <w:sz w:val="24"/>
          <w:szCs w:val="24"/>
          <w:color w:val="auto"/>
        </w:rPr>
      </w:pPr>
    </w:p>
    <w:p>
      <w:pPr>
        <w:ind w:left="5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085"/>
          </w:cols>
          <w:pgMar w:left="275" w:top="733" w:right="539" w:bottom="1440" w:gutter="0" w:footer="0" w:header="0"/>
          <w:type w:val="continuous"/>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color w:val="auto"/>
        </w:rPr>
        <w:t>Item 5.02</w:t>
      </w:r>
      <w:r>
        <w:rPr>
          <w:sz w:val="20"/>
          <w:szCs w:val="20"/>
          <w:color w:val="auto"/>
        </w:rPr>
        <w:tab/>
      </w:r>
      <w:r>
        <w:rPr>
          <w:rFonts w:ascii="Arial" w:cs="Arial" w:eastAsia="Arial" w:hAnsi="Arial"/>
          <w:sz w:val="17"/>
          <w:szCs w:val="17"/>
          <w:color w:val="auto"/>
        </w:rPr>
        <w:t>DEPARTURE OF DIRECTORS OR CERTAIN OFFICERS; ELECTION OF DIRECTORS; APPOINTMENT</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CERTAIN OFFICERS; COMPENSATORY ARRANGEMENTS OF CERTAIN OFFICERS</w:t>
      </w:r>
    </w:p>
    <w:p>
      <w:pPr>
        <w:spacing w:after="0" w:line="23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November 9, 2016, the Board of Directors of Brady Corporation (the “Company”) elected Ann E. Thornton, the Company’s Controller and Director of Investor Relations, to serve as Chief Accounting Officer, effective immediately, succeeding Aaron J. Pearce as Chief Accounting Officer. Ms. Thornton continues to serve as Corporate Controller. On November 9, 2016, the Board also elected Mr. Pearce to serve as Treasurer, effective immediately, succeeding Paul T. Meyer in this role. Mr. Pearce continues to serve as Chief Financial Officer, and Mr. Meyer continues to lead the Company’s tax function.</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Ann Thornton, age 34, joined the Company in 2009 as Corporate Accounting Supervisor. Ms. Thornton held the positions of Corporate Accounting Manager, External Reporting Manager and Corporate Finance Manager from 2010 to 2014. In 2014, she was named Director, Investor Relations and Global Accounting, and in 2015, she was named Corporate Controller and Director of Investor Relations. Prior to joining the Company, Ms. Thornton was an auditor with PricewaterhouseCoopers from 2005 to 2009.</w:t>
      </w:r>
    </w:p>
    <w:p>
      <w:pPr>
        <w:spacing w:after="0" w:line="1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are no arrangements or understandings between Ms. Thornton and any other persons pursuant to which she was selected as Chief Accounting Officer of the Company, she has no family relationships with any of the Company’s directors or executive officers, and she has no direct or indirect material interest in any transaction required to be disclosed pursuant to Item 404(a) of Regulation S-K.</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Ms. Thornton’s election as Chief Accounting Officer, she received an award of restricted stock units, with a grant date value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$50,000.</w:t>
      </w:r>
    </w:p>
    <w:p>
      <w:pPr>
        <w:spacing w:after="0" w:line="200" w:lineRule="exact"/>
        <w:rPr>
          <w:sz w:val="20"/>
          <w:szCs w:val="20"/>
          <w:color w:val="auto"/>
        </w:rPr>
      </w:pPr>
    </w:p>
    <w:p>
      <w:pPr>
        <w:spacing w:after="0" w:line="294" w:lineRule="exact"/>
        <w:rPr>
          <w:sz w:val="20"/>
          <w:szCs w:val="20"/>
          <w:color w:val="auto"/>
        </w:rPr>
      </w:pPr>
    </w:p>
    <w:p>
      <w:pPr>
        <w:ind w:left="40"/>
        <w:spacing w:after="0"/>
        <w:tabs>
          <w:tab w:leader="none" w:pos="1080" w:val="left"/>
        </w:tabs>
        <w:rPr>
          <w:sz w:val="20"/>
          <w:szCs w:val="20"/>
          <w:color w:val="auto"/>
        </w:rPr>
      </w:pPr>
      <w:r>
        <w:rPr>
          <w:rFonts w:ascii="Arial" w:cs="Arial" w:eastAsia="Arial" w:hAnsi="Arial"/>
          <w:sz w:val="18"/>
          <w:szCs w:val="18"/>
          <w:color w:val="auto"/>
        </w:rPr>
        <w:t>Item 5.07</w:t>
      </w:r>
      <w:r>
        <w:rPr>
          <w:sz w:val="20"/>
          <w:szCs w:val="20"/>
          <w:color w:val="auto"/>
        </w:rPr>
        <w:tab/>
      </w:r>
      <w:r>
        <w:rPr>
          <w:rFonts w:ascii="Arial" w:cs="Arial" w:eastAsia="Arial" w:hAnsi="Arial"/>
          <w:sz w:val="17"/>
          <w:szCs w:val="17"/>
          <w:color w:val="auto"/>
        </w:rPr>
        <w:t>SUBMISSIONS OF MATTERS TO A VOTE OF SECURITY HOLDERS</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9, 2016, at the Company’s Annual Shareholders’ Meeting, the holders of all of the 3,538,628 shares of the Company’s Class B Common Stock voted unanimously in favor of electing the following persons to serve as the Company’s directors until the next annual meeting of shareholders and until their successors have been elected: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Patrick W. Allender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Gary S. Balkema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Elizabeth P. Bruno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Nancy L. Gioia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Conrad G. Goodkind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W. Harris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Michael Nauman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Bradley C. Richardson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Harold L. Sirkin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BRADY CORPORATION</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10, 2016</w:t>
      </w:r>
    </w:p>
    <w:p>
      <w:pPr>
        <w:spacing w:after="0" w:line="38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420"/>
      </w:cols>
      <w:pgMar w:left="240" w:top="7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2019-12-05T17:17:29Z</dcterms:created>
  <dcterms:modified xsi:type="dcterms:W3CDTF">2019-12-05T17:17:29Z</dcterms:modified>
</cp:coreProperties>
</file>