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2807970</wp:posOffset>
            </wp:positionH>
            <wp:positionV relativeFrom="paragraph">
              <wp:posOffset>52705</wp:posOffset>
            </wp:positionV>
            <wp:extent cx="15005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00505" cy="8255"/>
                    </a:xfrm>
                    <a:prstGeom prst="rect">
                      <a:avLst/>
                    </a:prstGeom>
                    <a:noFill/>
                  </pic:spPr>
                </pic:pic>
              </a:graphicData>
            </a:graphic>
          </wp:anchor>
        </w:drawing>
      </w:r>
    </w:p>
    <w:p>
      <w:pPr>
        <w:spacing w:after="0" w:line="130"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2807970</wp:posOffset>
            </wp:positionH>
            <wp:positionV relativeFrom="paragraph">
              <wp:posOffset>49530</wp:posOffset>
            </wp:positionV>
            <wp:extent cx="15005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00505" cy="8890"/>
                    </a:xfrm>
                    <a:prstGeom prst="rect">
                      <a:avLst/>
                    </a:prstGeom>
                    <a:noFill/>
                  </pic:spPr>
                </pic:pic>
              </a:graphicData>
            </a:graphic>
          </wp:anchor>
        </w:drawing>
      </w:r>
    </w:p>
    <w:p>
      <w:pPr>
        <w:spacing w:after="0" w:line="220" w:lineRule="exact"/>
        <w:rPr>
          <w:sz w:val="24"/>
          <w:szCs w:val="24"/>
          <w:color w:val="auto"/>
        </w:rPr>
      </w:pPr>
    </w:p>
    <w:p>
      <w:pPr>
        <w:ind w:left="980" w:right="100" w:hanging="630"/>
        <w:spacing w:after="0" w:line="231" w:lineRule="auto"/>
        <w:tabs>
          <w:tab w:leader="none" w:pos="980" w:val="left"/>
        </w:tabs>
        <w:numPr>
          <w:ilvl w:val="0"/>
          <w:numId w:val="1"/>
        </w:numPr>
        <w:rPr>
          <w:rFonts w:ascii="MS PGothic" w:cs="MS PGothic" w:eastAsia="MS PGothic" w:hAnsi="MS PGothic"/>
          <w:sz w:val="25"/>
          <w:szCs w:val="25"/>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4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October 31, 2023</w:t>
      </w:r>
    </w:p>
    <w:p>
      <w:pPr>
        <w:spacing w:after="0" w:line="17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202" w:lineRule="exact"/>
        <w:rPr>
          <w:sz w:val="24"/>
          <w:szCs w:val="24"/>
          <w:color w:val="auto"/>
        </w:rPr>
      </w:pPr>
    </w:p>
    <w:p>
      <w:pPr>
        <w:ind w:left="980" w:right="100" w:hanging="630"/>
        <w:spacing w:after="0" w:line="235" w:lineRule="auto"/>
        <w:tabs>
          <w:tab w:leader="none" w:pos="9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29"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6740" w:type="dxa"/>
            <w:vAlign w:val="bottom"/>
            <w:gridSpan w:val="4"/>
          </w:tcPr>
          <w:p>
            <w:pPr>
              <w:ind w:left="3420"/>
              <w:spacing w:after="0"/>
              <w:rPr>
                <w:sz w:val="20"/>
                <w:szCs w:val="20"/>
                <w:color w:val="auto"/>
              </w:rPr>
            </w:pPr>
            <w:r>
              <w:rPr>
                <w:rFonts w:ascii="Arial" w:cs="Arial" w:eastAsia="Arial" w:hAnsi="Arial"/>
                <w:sz w:val="18"/>
                <w:szCs w:val="18"/>
                <w:b w:val="1"/>
                <w:bCs w:val="1"/>
                <w:color w:val="auto"/>
              </w:rPr>
              <w:t>For the Transition Period from</w:t>
            </w:r>
          </w:p>
        </w:tc>
        <w:tc>
          <w:tcPr>
            <w:tcW w:w="4520" w:type="dxa"/>
            <w:vAlign w:val="bottom"/>
            <w:gridSpan w:val="3"/>
          </w:tcPr>
          <w:p>
            <w:pPr>
              <w:spacing w:after="0"/>
              <w:rPr>
                <w:sz w:val="20"/>
                <w:szCs w:val="20"/>
                <w:color w:val="auto"/>
              </w:rPr>
            </w:pPr>
            <w:r>
              <w:rPr>
                <w:rFonts w:ascii="Arial" w:cs="Arial" w:eastAsia="Arial" w:hAnsi="Arial"/>
                <w:sz w:val="18"/>
                <w:szCs w:val="18"/>
                <w:b w:val="1"/>
                <w:bCs w:val="1"/>
                <w:color w:val="auto"/>
              </w:rPr>
              <w:t>to</w:t>
            </w:r>
          </w:p>
        </w:tc>
        <w:tc>
          <w:tcPr>
            <w:tcW w:w="0" w:type="dxa"/>
            <w:vAlign w:val="bottom"/>
          </w:tcPr>
          <w:p>
            <w:pPr>
              <w:spacing w:after="0"/>
              <w:rPr>
                <w:sz w:val="1"/>
                <w:szCs w:val="1"/>
                <w:color w:val="auto"/>
              </w:rPr>
            </w:pPr>
          </w:p>
        </w:tc>
      </w:tr>
      <w:tr>
        <w:trPr>
          <w:trHeight w:val="378"/>
        </w:trPr>
        <w:tc>
          <w:tcPr>
            <w:tcW w:w="3860" w:type="dxa"/>
            <w:vAlign w:val="bottom"/>
          </w:tcPr>
          <w:p>
            <w:pPr>
              <w:spacing w:after="0"/>
              <w:rPr>
                <w:sz w:val="24"/>
                <w:szCs w:val="24"/>
                <w:color w:val="auto"/>
              </w:rPr>
            </w:pPr>
          </w:p>
        </w:tc>
        <w:tc>
          <w:tcPr>
            <w:tcW w:w="7400" w:type="dxa"/>
            <w:vAlign w:val="bottom"/>
            <w:gridSpan w:val="6"/>
          </w:tcPr>
          <w:p>
            <w:pPr>
              <w:jc w:val="center"/>
              <w:ind w:right="3788"/>
              <w:spacing w:after="0"/>
              <w:rPr>
                <w:sz w:val="20"/>
                <w:szCs w:val="20"/>
                <w:color w:val="auto"/>
              </w:rPr>
            </w:pPr>
            <w:r>
              <w:rPr>
                <w:rFonts w:ascii="Arial" w:cs="Arial" w:eastAsia="Arial" w:hAnsi="Arial"/>
                <w:sz w:val="18"/>
                <w:szCs w:val="18"/>
                <w:b w:val="1"/>
                <w:bCs w:val="1"/>
                <w:color w:val="auto"/>
                <w:w w:val="90"/>
              </w:rPr>
              <w:t>Commission File Number 1-14959</w:t>
            </w:r>
          </w:p>
        </w:tc>
        <w:tc>
          <w:tcPr>
            <w:tcW w:w="0" w:type="dxa"/>
            <w:vAlign w:val="bottom"/>
          </w:tcPr>
          <w:p>
            <w:pPr>
              <w:spacing w:after="0"/>
              <w:rPr>
                <w:sz w:val="1"/>
                <w:szCs w:val="1"/>
                <w:color w:val="auto"/>
              </w:rPr>
            </w:pPr>
          </w:p>
        </w:tc>
      </w:tr>
      <w:tr>
        <w:trPr>
          <w:trHeight w:val="81"/>
        </w:trPr>
        <w:tc>
          <w:tcPr>
            <w:tcW w:w="4420" w:type="dxa"/>
            <w:vAlign w:val="bottom"/>
            <w:gridSpan w:val="2"/>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gridSpan w:val="2"/>
          </w:tcPr>
          <w:p>
            <w:pPr>
              <w:spacing w:after="0"/>
              <w:rPr>
                <w:sz w:val="7"/>
                <w:szCs w:val="7"/>
                <w:color w:val="auto"/>
              </w:rPr>
            </w:pPr>
          </w:p>
        </w:tc>
        <w:tc>
          <w:tcPr>
            <w:tcW w:w="380" w:type="dxa"/>
            <w:vAlign w:val="bottom"/>
          </w:tcPr>
          <w:p>
            <w:pPr>
              <w:spacing w:after="0"/>
              <w:rPr>
                <w:sz w:val="7"/>
                <w:szCs w:val="7"/>
                <w:color w:val="auto"/>
              </w:rPr>
            </w:pPr>
          </w:p>
        </w:tc>
        <w:tc>
          <w:tcPr>
            <w:tcW w:w="4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82"/>
        </w:trPr>
        <w:tc>
          <w:tcPr>
            <w:tcW w:w="11260" w:type="dxa"/>
            <w:vAlign w:val="bottom"/>
            <w:gridSpan w:val="7"/>
          </w:tcPr>
          <w:p>
            <w:pPr>
              <w:jc w:val="center"/>
              <w:spacing w:after="0"/>
              <w:rPr>
                <w:sz w:val="20"/>
                <w:szCs w:val="20"/>
                <w:color w:val="auto"/>
              </w:rPr>
            </w:pPr>
            <w:r>
              <w:rPr>
                <w:rFonts w:ascii="Arial" w:cs="Arial" w:eastAsia="Arial" w:hAnsi="Arial"/>
                <w:sz w:val="43"/>
                <w:szCs w:val="43"/>
                <w:b w:val="1"/>
                <w:bCs w:val="1"/>
                <w:color w:val="auto"/>
              </w:rPr>
              <w:t>BRADY CORPORATION</w:t>
            </w:r>
          </w:p>
        </w:tc>
        <w:tc>
          <w:tcPr>
            <w:tcW w:w="0" w:type="dxa"/>
            <w:vAlign w:val="bottom"/>
          </w:tcPr>
          <w:p>
            <w:pPr>
              <w:spacing w:after="0"/>
              <w:rPr>
                <w:sz w:val="1"/>
                <w:szCs w:val="1"/>
                <w:color w:val="auto"/>
              </w:rPr>
            </w:pPr>
          </w:p>
        </w:tc>
      </w:tr>
      <w:tr>
        <w:trPr>
          <w:trHeight w:val="182"/>
        </w:trPr>
        <w:tc>
          <w:tcPr>
            <w:tcW w:w="3860" w:type="dxa"/>
            <w:vAlign w:val="bottom"/>
          </w:tcPr>
          <w:p>
            <w:pPr>
              <w:spacing w:after="0"/>
              <w:rPr>
                <w:sz w:val="15"/>
                <w:szCs w:val="15"/>
                <w:color w:val="auto"/>
              </w:rPr>
            </w:pPr>
          </w:p>
        </w:tc>
        <w:tc>
          <w:tcPr>
            <w:tcW w:w="7400" w:type="dxa"/>
            <w:vAlign w:val="bottom"/>
            <w:gridSpan w:val="6"/>
          </w:tcPr>
          <w:p>
            <w:pPr>
              <w:jc w:val="center"/>
              <w:ind w:right="3788"/>
              <w:spacing w:after="0"/>
              <w:rPr>
                <w:sz w:val="20"/>
                <w:szCs w:val="20"/>
                <w:color w:val="auto"/>
              </w:rPr>
            </w:pPr>
            <w:r>
              <w:rPr>
                <w:rFonts w:ascii="Arial" w:cs="Arial" w:eastAsia="Arial" w:hAnsi="Arial"/>
                <w:sz w:val="14"/>
                <w:szCs w:val="14"/>
                <w:color w:val="auto"/>
                <w:w w:val="93"/>
              </w:rPr>
              <w:t>(Exact name of registrant as specified in its charter)</w:t>
            </w:r>
          </w:p>
        </w:tc>
        <w:tc>
          <w:tcPr>
            <w:tcW w:w="0" w:type="dxa"/>
            <w:vAlign w:val="bottom"/>
          </w:tcPr>
          <w:p>
            <w:pPr>
              <w:spacing w:after="0"/>
              <w:rPr>
                <w:sz w:val="1"/>
                <w:szCs w:val="1"/>
                <w:color w:val="auto"/>
              </w:rPr>
            </w:pPr>
          </w:p>
        </w:tc>
      </w:tr>
      <w:tr>
        <w:trPr>
          <w:trHeight w:val="93"/>
        </w:trPr>
        <w:tc>
          <w:tcPr>
            <w:tcW w:w="38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9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0"/>
        </w:trPr>
        <w:tc>
          <w:tcPr>
            <w:tcW w:w="3860" w:type="dxa"/>
            <w:vAlign w:val="bottom"/>
          </w:tcPr>
          <w:p>
            <w:pPr>
              <w:jc w:val="center"/>
              <w:ind w:left="1382"/>
              <w:spacing w:after="0"/>
              <w:rPr>
                <w:sz w:val="20"/>
                <w:szCs w:val="20"/>
                <w:color w:val="auto"/>
              </w:rPr>
            </w:pPr>
            <w:r>
              <w:rPr>
                <w:rFonts w:ascii="Arial" w:cs="Arial" w:eastAsia="Arial" w:hAnsi="Arial"/>
                <w:sz w:val="18"/>
                <w:szCs w:val="18"/>
                <w:b w:val="1"/>
                <w:bCs w:val="1"/>
                <w:color w:val="auto"/>
                <w:w w:val="86"/>
              </w:rPr>
              <w:t>Wisconsin</w:t>
            </w: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520" w:type="dxa"/>
            <w:vAlign w:val="bottom"/>
            <w:gridSpan w:val="3"/>
          </w:tcPr>
          <w:p>
            <w:pPr>
              <w:jc w:val="right"/>
              <w:ind w:right="2168"/>
              <w:spacing w:after="0"/>
              <w:rPr>
                <w:sz w:val="20"/>
                <w:szCs w:val="20"/>
                <w:color w:val="auto"/>
              </w:rPr>
            </w:pPr>
            <w:r>
              <w:rPr>
                <w:rFonts w:ascii="Arial" w:cs="Arial" w:eastAsia="Arial" w:hAnsi="Arial"/>
                <w:sz w:val="18"/>
                <w:szCs w:val="18"/>
                <w:b w:val="1"/>
                <w:bCs w:val="1"/>
                <w:color w:val="auto"/>
              </w:rPr>
              <w:t>39-0178960</w:t>
            </w:r>
          </w:p>
        </w:tc>
        <w:tc>
          <w:tcPr>
            <w:tcW w:w="0" w:type="dxa"/>
            <w:vAlign w:val="bottom"/>
          </w:tcPr>
          <w:p>
            <w:pPr>
              <w:spacing w:after="0"/>
              <w:rPr>
                <w:sz w:val="1"/>
                <w:szCs w:val="1"/>
                <w:color w:val="auto"/>
              </w:rPr>
            </w:pPr>
          </w:p>
        </w:tc>
      </w:tr>
      <w:tr>
        <w:trPr>
          <w:trHeight w:val="182"/>
        </w:trPr>
        <w:tc>
          <w:tcPr>
            <w:tcW w:w="6740" w:type="dxa"/>
            <w:vAlign w:val="bottom"/>
            <w:gridSpan w:val="4"/>
          </w:tcPr>
          <w:p>
            <w:pPr>
              <w:jc w:val="center"/>
              <w:ind w:right="1348"/>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100" w:type="dxa"/>
            <w:vAlign w:val="bottom"/>
          </w:tcPr>
          <w:p>
            <w:pPr>
              <w:jc w:val="center"/>
              <w:ind w:right="1168"/>
              <w:spacing w:after="0"/>
              <w:rPr>
                <w:sz w:val="20"/>
                <w:szCs w:val="20"/>
                <w:color w:val="auto"/>
              </w:rPr>
            </w:pPr>
            <w:r>
              <w:rPr>
                <w:rFonts w:ascii="Arial" w:cs="Arial" w:eastAsia="Arial" w:hAnsi="Arial"/>
                <w:sz w:val="14"/>
                <w:szCs w:val="14"/>
                <w:color w:val="auto"/>
                <w:w w:val="97"/>
              </w:rPr>
              <w:t>(I.R.S. Employer Identification No.)</w:t>
            </w:r>
          </w:p>
        </w:tc>
        <w:tc>
          <w:tcPr>
            <w:tcW w:w="0" w:type="dxa"/>
            <w:vAlign w:val="bottom"/>
          </w:tcPr>
          <w:p>
            <w:pPr>
              <w:spacing w:after="0"/>
              <w:rPr>
                <w:sz w:val="1"/>
                <w:szCs w:val="1"/>
                <w:color w:val="auto"/>
              </w:rPr>
            </w:pPr>
          </w:p>
        </w:tc>
      </w:tr>
      <w:tr>
        <w:trPr>
          <w:trHeight w:val="318"/>
        </w:trPr>
        <w:tc>
          <w:tcPr>
            <w:tcW w:w="3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6555 West Good Hope Road</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32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90"/>
              </w:rPr>
              <w:t>Milwaukee, Wisconsin 53223</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860" w:type="dxa"/>
            <w:vAlign w:val="bottom"/>
          </w:tcPr>
          <w:p>
            <w:pPr>
              <w:spacing w:after="0"/>
              <w:rPr>
                <w:sz w:val="15"/>
                <w:szCs w:val="15"/>
                <w:color w:val="auto"/>
              </w:rPr>
            </w:pPr>
          </w:p>
        </w:tc>
        <w:tc>
          <w:tcPr>
            <w:tcW w:w="7400" w:type="dxa"/>
            <w:vAlign w:val="bottom"/>
            <w:gridSpan w:val="6"/>
          </w:tcPr>
          <w:p>
            <w:pPr>
              <w:jc w:val="center"/>
              <w:ind w:right="3808"/>
              <w:spacing w:after="0"/>
              <w:rPr>
                <w:sz w:val="20"/>
                <w:szCs w:val="20"/>
                <w:color w:val="auto"/>
              </w:rPr>
            </w:pPr>
            <w:r>
              <w:rPr>
                <w:rFonts w:ascii="Arial" w:cs="Arial" w:eastAsia="Arial" w:hAnsi="Arial"/>
                <w:sz w:val="14"/>
                <w:szCs w:val="14"/>
                <w:color w:val="auto"/>
                <w:w w:val="94"/>
              </w:rPr>
              <w:t>(Address of principal executive offices and zip code)</w:t>
            </w:r>
          </w:p>
        </w:tc>
        <w:tc>
          <w:tcPr>
            <w:tcW w:w="0" w:type="dxa"/>
            <w:vAlign w:val="bottom"/>
          </w:tcPr>
          <w:p>
            <w:pPr>
              <w:spacing w:after="0"/>
              <w:rPr>
                <w:sz w:val="1"/>
                <w:szCs w:val="1"/>
                <w:color w:val="auto"/>
              </w:rPr>
            </w:pPr>
          </w:p>
        </w:tc>
      </w:tr>
      <w:tr>
        <w:trPr>
          <w:trHeight w:val="371"/>
        </w:trPr>
        <w:tc>
          <w:tcPr>
            <w:tcW w:w="3860" w:type="dxa"/>
            <w:vAlign w:val="bottom"/>
          </w:tcPr>
          <w:p>
            <w:pPr>
              <w:spacing w:after="0"/>
              <w:rPr>
                <w:sz w:val="24"/>
                <w:szCs w:val="24"/>
                <w:color w:val="auto"/>
              </w:rPr>
            </w:pPr>
          </w:p>
        </w:tc>
        <w:tc>
          <w:tcPr>
            <w:tcW w:w="2880" w:type="dxa"/>
            <w:vAlign w:val="bottom"/>
            <w:gridSpan w:val="3"/>
          </w:tcPr>
          <w:p>
            <w:pPr>
              <w:jc w:val="center"/>
              <w:ind w:left="561"/>
              <w:spacing w:after="0"/>
              <w:rPr>
                <w:sz w:val="20"/>
                <w:szCs w:val="20"/>
                <w:color w:val="auto"/>
              </w:rPr>
            </w:pPr>
            <w:r>
              <w:rPr>
                <w:rFonts w:ascii="Arial" w:cs="Arial" w:eastAsia="Arial" w:hAnsi="Arial"/>
                <w:sz w:val="18"/>
                <w:szCs w:val="18"/>
                <w:b w:val="1"/>
                <w:bCs w:val="1"/>
                <w:color w:val="auto"/>
                <w:w w:val="90"/>
              </w:rPr>
              <w:t>(414) 358-6600</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860" w:type="dxa"/>
            <w:vAlign w:val="bottom"/>
          </w:tcPr>
          <w:p>
            <w:pPr>
              <w:spacing w:after="0"/>
              <w:rPr>
                <w:sz w:val="15"/>
                <w:szCs w:val="15"/>
                <w:color w:val="auto"/>
              </w:rPr>
            </w:pPr>
          </w:p>
        </w:tc>
        <w:tc>
          <w:tcPr>
            <w:tcW w:w="7400" w:type="dxa"/>
            <w:vAlign w:val="bottom"/>
            <w:gridSpan w:val="6"/>
          </w:tcPr>
          <w:p>
            <w:pPr>
              <w:jc w:val="center"/>
              <w:ind w:right="3808"/>
              <w:spacing w:after="0"/>
              <w:rPr>
                <w:sz w:val="20"/>
                <w:szCs w:val="20"/>
                <w:color w:val="auto"/>
              </w:rPr>
            </w:pPr>
            <w:r>
              <w:rPr>
                <w:rFonts w:ascii="Arial" w:cs="Arial" w:eastAsia="Arial" w:hAnsi="Arial"/>
                <w:sz w:val="14"/>
                <w:szCs w:val="14"/>
                <w:color w:val="auto"/>
                <w:w w:val="92"/>
              </w:rPr>
              <w:t>(Registrant’s telephone number, including area code)</w:t>
            </w:r>
          </w:p>
        </w:tc>
        <w:tc>
          <w:tcPr>
            <w:tcW w:w="0" w:type="dxa"/>
            <w:vAlign w:val="bottom"/>
          </w:tcPr>
          <w:p>
            <w:pPr>
              <w:spacing w:after="0"/>
              <w:rPr>
                <w:sz w:val="1"/>
                <w:szCs w:val="1"/>
                <w:color w:val="auto"/>
              </w:rPr>
            </w:pPr>
          </w:p>
        </w:tc>
      </w:tr>
      <w:tr>
        <w:trPr>
          <w:trHeight w:val="93"/>
        </w:trPr>
        <w:tc>
          <w:tcPr>
            <w:tcW w:w="3860" w:type="dxa"/>
            <w:vAlign w:val="bottom"/>
            <w:vMerge w:val="restart"/>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56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9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0"/>
        </w:trPr>
        <w:tc>
          <w:tcPr>
            <w:tcW w:w="386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38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4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8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Title of each class</w:t>
            </w:r>
          </w:p>
        </w:tc>
        <w:tc>
          <w:tcPr>
            <w:tcW w:w="560" w:type="dxa"/>
            <w:vAlign w:val="bottom"/>
            <w:tcBorders>
              <w:bottom w:val="single" w:sz="8" w:color="auto"/>
            </w:tcBorders>
          </w:tcPr>
          <w:p>
            <w:pPr>
              <w:spacing w:after="0"/>
              <w:rPr>
                <w:sz w:val="16"/>
                <w:szCs w:val="16"/>
                <w:color w:val="auto"/>
              </w:rPr>
            </w:pPr>
          </w:p>
        </w:tc>
        <w:tc>
          <w:tcPr>
            <w:tcW w:w="400" w:type="dxa"/>
            <w:vAlign w:val="bottom"/>
            <w:tcBorders>
              <w:bottom w:val="single" w:sz="8" w:color="auto"/>
              <w:right w:val="single" w:sz="8" w:color="auto"/>
            </w:tcBorders>
          </w:tcPr>
          <w:p>
            <w:pPr>
              <w:spacing w:after="0"/>
              <w:rPr>
                <w:sz w:val="16"/>
                <w:szCs w:val="16"/>
                <w:color w:val="auto"/>
              </w:rPr>
            </w:pPr>
          </w:p>
        </w:tc>
        <w:tc>
          <w:tcPr>
            <w:tcW w:w="1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Trading Symbol</w:t>
            </w:r>
          </w:p>
        </w:tc>
        <w:tc>
          <w:tcPr>
            <w:tcW w:w="40" w:type="dxa"/>
            <w:vAlign w:val="bottom"/>
            <w:tcBorders>
              <w:bottom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4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2"/>
        </w:trPr>
        <w:tc>
          <w:tcPr>
            <w:tcW w:w="386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w w:val="99"/>
              </w:rPr>
              <w:t>Class A Nonvoting Common Stock, par value $0.01 per share</w:t>
            </w:r>
          </w:p>
        </w:tc>
        <w:tc>
          <w:tcPr>
            <w:tcW w:w="560" w:type="dxa"/>
            <w:vAlign w:val="bottom"/>
          </w:tcPr>
          <w:p>
            <w:pPr>
              <w:spacing w:after="0"/>
              <w:rPr>
                <w:sz w:val="15"/>
                <w:szCs w:val="15"/>
                <w:color w:val="auto"/>
              </w:rPr>
            </w:pPr>
          </w:p>
        </w:tc>
        <w:tc>
          <w:tcPr>
            <w:tcW w:w="400" w:type="dxa"/>
            <w:vAlign w:val="bottom"/>
            <w:tcBorders>
              <w:right w:val="single" w:sz="8" w:color="auto"/>
            </w:tcBorders>
          </w:tcPr>
          <w:p>
            <w:pPr>
              <w:spacing w:after="0"/>
              <w:rPr>
                <w:sz w:val="15"/>
                <w:szCs w:val="15"/>
                <w:color w:val="auto"/>
              </w:rPr>
            </w:pPr>
          </w:p>
        </w:tc>
        <w:tc>
          <w:tcPr>
            <w:tcW w:w="1920" w:type="dxa"/>
            <w:vAlign w:val="bottom"/>
          </w:tcPr>
          <w:p>
            <w:pPr>
              <w:ind w:left="20"/>
              <w:spacing w:after="0"/>
              <w:rPr>
                <w:sz w:val="20"/>
                <w:szCs w:val="20"/>
                <w:color w:val="auto"/>
              </w:rPr>
            </w:pPr>
            <w:r>
              <w:rPr>
                <w:rFonts w:ascii="Arial" w:cs="Arial" w:eastAsia="Arial" w:hAnsi="Arial"/>
                <w:sz w:val="14"/>
                <w:szCs w:val="14"/>
                <w:color w:val="auto"/>
              </w:rPr>
              <w:t>BRC</w:t>
            </w:r>
          </w:p>
        </w:tc>
        <w:tc>
          <w:tcPr>
            <w:tcW w:w="4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41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r>
        <w:trPr>
          <w:trHeight w:val="20"/>
        </w:trPr>
        <w:tc>
          <w:tcPr>
            <w:tcW w:w="3860" w:type="dxa"/>
            <w:vAlign w:val="bottom"/>
            <w:tcBorders>
              <w:left w:val="single" w:sz="8" w:color="auto"/>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right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4"/>
          <w:szCs w:val="24"/>
          <w:color w:val="auto"/>
        </w:rPr>
      </w:pPr>
    </w:p>
    <w:p>
      <w:pPr>
        <w:jc w:val="both"/>
        <w:ind w:right="40"/>
        <w:spacing w:after="0" w:line="20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111" w:lineRule="exact"/>
        <w:rPr>
          <w:sz w:val="24"/>
          <w:szCs w:val="24"/>
          <w:color w:val="auto"/>
        </w:rPr>
      </w:pPr>
    </w:p>
    <w:p>
      <w:pPr>
        <w:jc w:val="both"/>
        <w:ind w:right="20"/>
        <w:spacing w:after="0" w:line="20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125" w:lineRule="exact"/>
        <w:rPr>
          <w:sz w:val="24"/>
          <w:szCs w:val="24"/>
          <w:color w:val="auto"/>
        </w:rPr>
      </w:pPr>
    </w:p>
    <w:p>
      <w:pPr>
        <w:jc w:val="both"/>
        <w:ind w:right="40"/>
        <w:spacing w:after="0" w:line="29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60"/>
          </w:cols>
          <w:pgMar w:left="320" w:top="229" w:right="319" w:bottom="1440" w:gutter="0" w:footer="0" w:header="0"/>
        </w:sectPr>
      </w:pPr>
    </w:p>
    <w:p>
      <w:pPr>
        <w:spacing w:after="0" w:line="268" w:lineRule="exact"/>
        <w:rPr>
          <w:sz w:val="24"/>
          <w:szCs w:val="24"/>
          <w:color w:val="auto"/>
        </w:rPr>
      </w:pPr>
    </w:p>
    <w:p>
      <w:pPr>
        <w:ind w:left="20"/>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rPr>
          <w:sz w:val="20"/>
          <w:szCs w:val="20"/>
          <w:color w:val="auto"/>
        </w:rPr>
      </w:pPr>
      <w:r>
        <w:rPr>
          <w:rFonts w:ascii="Arial" w:cs="Arial" w:eastAsia="Arial" w:hAnsi="Arial"/>
          <w:sz w:val="13"/>
          <w:szCs w:val="13"/>
          <w:color w:val="auto"/>
        </w:rPr>
        <w:t>Emerging growth company</w:t>
      </w:r>
    </w:p>
    <w:p>
      <w:pPr>
        <w:spacing w:after="0" w:line="103" w:lineRule="exact"/>
        <w:rPr>
          <w:sz w:val="24"/>
          <w:szCs w:val="24"/>
          <w:color w:val="auto"/>
        </w:rPr>
      </w:pPr>
    </w:p>
    <w:p>
      <w:pPr>
        <w:sectPr>
          <w:pgSz w:w="11900" w:h="16838" w:orient="portrait"/>
          <w:cols w:equalWidth="0" w:num="4">
            <w:col w:w="1880" w:space="720"/>
            <w:col w:w="400" w:space="720"/>
            <w:col w:w="3040" w:space="720"/>
            <w:col w:w="3780"/>
          </w:cols>
          <w:pgMar w:left="320" w:top="229" w:right="319" w:bottom="1440" w:gutter="0" w:footer="0" w:header="0"/>
          <w:type w:val="continuous"/>
        </w:sectPr>
      </w:pPr>
    </w:p>
    <w:p>
      <w:pPr>
        <w:spacing w:after="0" w:line="58" w:lineRule="exact"/>
        <w:rPr>
          <w:sz w:val="24"/>
          <w:szCs w:val="24"/>
          <w:color w:val="auto"/>
        </w:rPr>
      </w:pPr>
    </w:p>
    <w:p>
      <w:pPr>
        <w:ind w:left="20"/>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jc w:val="center"/>
        <w:ind w:right="360"/>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67" w:lineRule="exact"/>
        <w:rPr>
          <w:sz w:val="24"/>
          <w:szCs w:val="24"/>
          <w:color w:val="auto"/>
        </w:rPr>
      </w:pPr>
    </w:p>
    <w:p>
      <w:pPr>
        <w:sectPr>
          <w:pgSz w:w="11900" w:h="16838" w:orient="portrait"/>
          <w:cols w:equalWidth="0" w:num="4">
            <w:col w:w="1880" w:space="720"/>
            <w:col w:w="400" w:space="720"/>
            <w:col w:w="1920" w:space="720"/>
            <w:col w:w="4900"/>
          </w:cols>
          <w:pgMar w:left="320" w:top="229" w:right="319" w:bottom="1440" w:gutter="0" w:footer="0" w:header="0"/>
          <w:type w:val="continuous"/>
        </w:sectPr>
      </w:pPr>
    </w:p>
    <w:p>
      <w:pPr>
        <w:spacing w:after="0" w:line="15" w:lineRule="exact"/>
        <w:rPr>
          <w:sz w:val="24"/>
          <w:szCs w:val="24"/>
          <w:color w:val="auto"/>
        </w:rPr>
      </w:pPr>
    </w:p>
    <w:p>
      <w:pPr>
        <w:ind w:right="20"/>
        <w:spacing w:after="0" w:line="20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80" w:lineRule="exact"/>
        <w:rPr>
          <w:sz w:val="24"/>
          <w:szCs w:val="24"/>
          <w:color w:val="auto"/>
        </w:rPr>
      </w:pPr>
    </w:p>
    <w:p>
      <w:pPr>
        <w:spacing w:after="0" w:line="184" w:lineRule="exact"/>
        <w:tabs>
          <w:tab w:leader="none" w:pos="666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212" w:lineRule="exact"/>
        <w:rPr>
          <w:sz w:val="24"/>
          <w:szCs w:val="24"/>
          <w:color w:val="auto"/>
        </w:rPr>
      </w:pPr>
    </w:p>
    <w:p>
      <w:pPr>
        <w:ind w:right="60"/>
        <w:spacing w:after="0" w:line="293" w:lineRule="auto"/>
        <w:rPr>
          <w:sz w:val="20"/>
          <w:szCs w:val="20"/>
          <w:color w:val="auto"/>
        </w:rPr>
      </w:pPr>
      <w:r>
        <w:rPr>
          <w:rFonts w:ascii="Arial" w:cs="Arial" w:eastAsia="Arial" w:hAnsi="Arial"/>
          <w:sz w:val="14"/>
          <w:szCs w:val="14"/>
          <w:color w:val="auto"/>
        </w:rPr>
        <w:t>As of November 14, 2023, there were 44,792,514 outstanding shares of Class A Nonvoting Common Stock and 3,538,628 shares of Class B Voting Common Stock. The Class B Voting Common Stock, all of which is held by affiliates of the Registrant, is the only voting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555625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29" w:right="3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9760" w:type="dxa"/>
            <w:vAlign w:val="bottom"/>
            <w:gridSpan w:val="2"/>
          </w:tcPr>
          <w:p>
            <w:pPr>
              <w:spacing w:after="0"/>
              <w:rPr>
                <w:sz w:val="20"/>
                <w:szCs w:val="20"/>
                <w:color w:val="auto"/>
              </w:rPr>
            </w:pPr>
            <w:r>
              <w:rPr>
                <w:rFonts w:ascii="Arial" w:cs="Arial" w:eastAsia="Arial" w:hAnsi="Arial"/>
                <w:sz w:val="14"/>
                <w:szCs w:val="14"/>
                <w:color w:val="0000FF"/>
              </w:rPr>
              <w:t>Table of Contents</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31"/>
        </w:trPr>
        <w:tc>
          <w:tcPr>
            <w:tcW w:w="1020" w:type="dxa"/>
            <w:vAlign w:val="bottom"/>
            <w:tcBorders>
              <w:top w:val="single" w:sz="8" w:color="0000FF"/>
            </w:tcBorders>
          </w:tcPr>
          <w:p>
            <w:pPr>
              <w:spacing w:after="0"/>
              <w:rPr>
                <w:sz w:val="24"/>
                <w:szCs w:val="24"/>
                <w:color w:val="auto"/>
              </w:rPr>
            </w:pPr>
          </w:p>
        </w:tc>
        <w:tc>
          <w:tcPr>
            <w:tcW w:w="8740" w:type="dxa"/>
            <w:vAlign w:val="bottom"/>
          </w:tcPr>
          <w:p>
            <w:pPr>
              <w:ind w:left="4320"/>
              <w:spacing w:after="0"/>
              <w:rPr>
                <w:sz w:val="20"/>
                <w:szCs w:val="20"/>
                <w:color w:val="auto"/>
              </w:rPr>
            </w:pPr>
            <w:r>
              <w:rPr>
                <w:rFonts w:ascii="Arial" w:cs="Arial" w:eastAsia="Arial" w:hAnsi="Arial"/>
                <w:sz w:val="18"/>
                <w:szCs w:val="18"/>
                <w:color w:val="auto"/>
              </w:rPr>
              <w:t>INDEX</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0"/>
        </w:trPr>
        <w:tc>
          <w:tcPr>
            <w:tcW w:w="9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PART I. Financial Information</w:t>
            </w:r>
          </w:p>
        </w:tc>
        <w:tc>
          <w:tcPr>
            <w:tcW w:w="1480" w:type="dxa"/>
            <w:vAlign w:val="bottom"/>
            <w:gridSpan w:val="2"/>
          </w:tcPr>
          <w:p>
            <w:pPr>
              <w:ind w:left="56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22"/>
        </w:trPr>
        <w:tc>
          <w:tcPr>
            <w:tcW w:w="9760" w:type="dxa"/>
            <w:vAlign w:val="bottom"/>
            <w:gridSpan w:val="2"/>
            <w:vMerge w:val="continue"/>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0000FF"/>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gridSpan w:val="2"/>
          </w:tcPr>
          <w:p>
            <w:pPr>
              <w:ind w:left="140"/>
              <w:spacing w:after="0"/>
              <w:rPr>
                <w:sz w:val="20"/>
                <w:szCs w:val="20"/>
                <w:color w:val="auto"/>
              </w:rPr>
            </w:pPr>
            <w:r>
              <w:rPr>
                <w:rFonts w:ascii="Arial" w:cs="Arial" w:eastAsia="Arial" w:hAnsi="Arial"/>
                <w:sz w:val="18"/>
                <w:szCs w:val="18"/>
                <w:color w:val="0000FF"/>
              </w:rPr>
              <w:t>Item 1. Financial Statements (Unaudited)</w:t>
            </w:r>
          </w:p>
        </w:tc>
        <w:tc>
          <w:tcPr>
            <w:tcW w:w="1460" w:type="dxa"/>
            <w:vAlign w:val="bottom"/>
          </w:tcPr>
          <w:p>
            <w:pPr>
              <w:jc w:val="right"/>
              <w:spacing w:after="0"/>
              <w:rPr>
                <w:sz w:val="20"/>
                <w:szCs w:val="20"/>
                <w:color w:val="auto"/>
              </w:rPr>
            </w:pPr>
            <w:r>
              <w:rPr>
                <w:rFonts w:ascii="Arial" w:cs="Arial" w:eastAsia="Arial" w:hAnsi="Arial"/>
                <w:sz w:val="18"/>
                <w:szCs w:val="18"/>
                <w:color w:val="0000FF"/>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gridSpan w:val="2"/>
          </w:tcPr>
          <w:p>
            <w:pPr>
              <w:ind w:left="360"/>
              <w:spacing w:after="0"/>
              <w:rPr>
                <w:sz w:val="20"/>
                <w:szCs w:val="20"/>
                <w:color w:val="auto"/>
              </w:rPr>
            </w:pPr>
            <w:r>
              <w:rPr>
                <w:rFonts w:ascii="Arial" w:cs="Arial" w:eastAsia="Arial" w:hAnsi="Arial"/>
                <w:sz w:val="18"/>
                <w:szCs w:val="18"/>
                <w:color w:val="0000FF"/>
              </w:rPr>
              <w:t>Condensed Consolidated Balance Sheets</w:t>
            </w:r>
          </w:p>
        </w:tc>
        <w:tc>
          <w:tcPr>
            <w:tcW w:w="1460" w:type="dxa"/>
            <w:vAlign w:val="bottom"/>
          </w:tcPr>
          <w:p>
            <w:pPr>
              <w:jc w:val="right"/>
              <w:spacing w:after="0"/>
              <w:rPr>
                <w:sz w:val="20"/>
                <w:szCs w:val="20"/>
                <w:color w:val="auto"/>
              </w:rPr>
            </w:pPr>
            <w:r>
              <w:rPr>
                <w:rFonts w:ascii="Arial" w:cs="Arial" w:eastAsia="Arial" w:hAnsi="Arial"/>
                <w:sz w:val="18"/>
                <w:szCs w:val="18"/>
                <w:color w:val="0000FF"/>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760" w:type="dxa"/>
            <w:vAlign w:val="bottom"/>
            <w:gridSpan w:val="2"/>
          </w:tcPr>
          <w:p>
            <w:pPr>
              <w:ind w:left="360"/>
              <w:spacing w:after="0"/>
              <w:rPr>
                <w:sz w:val="20"/>
                <w:szCs w:val="20"/>
                <w:color w:val="auto"/>
              </w:rPr>
            </w:pPr>
            <w:r>
              <w:rPr>
                <w:rFonts w:ascii="Arial" w:cs="Arial" w:eastAsia="Arial" w:hAnsi="Arial"/>
                <w:sz w:val="18"/>
                <w:szCs w:val="18"/>
                <w:color w:val="0000FF"/>
              </w:rPr>
              <w:t>Condensed Consolidated Statements of Income</w:t>
            </w:r>
          </w:p>
        </w:tc>
        <w:tc>
          <w:tcPr>
            <w:tcW w:w="1460" w:type="dxa"/>
            <w:vAlign w:val="bottom"/>
          </w:tcPr>
          <w:p>
            <w:pPr>
              <w:jc w:val="right"/>
              <w:spacing w:after="0"/>
              <w:rPr>
                <w:sz w:val="20"/>
                <w:szCs w:val="20"/>
                <w:color w:val="auto"/>
              </w:rPr>
            </w:pPr>
            <w:r>
              <w:rPr>
                <w:rFonts w:ascii="Arial" w:cs="Arial" w:eastAsia="Arial" w:hAnsi="Arial"/>
                <w:sz w:val="18"/>
                <w:szCs w:val="18"/>
                <w:color w:val="0000FF"/>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gridSpan w:val="2"/>
          </w:tcPr>
          <w:p>
            <w:pPr>
              <w:ind w:left="360"/>
              <w:spacing w:after="0"/>
              <w:rPr>
                <w:sz w:val="20"/>
                <w:szCs w:val="20"/>
                <w:color w:val="auto"/>
              </w:rPr>
            </w:pPr>
            <w:r>
              <w:rPr>
                <w:rFonts w:ascii="Arial" w:cs="Arial" w:eastAsia="Arial" w:hAnsi="Arial"/>
                <w:sz w:val="18"/>
                <w:szCs w:val="18"/>
                <w:color w:val="0000FF"/>
              </w:rPr>
              <w:t>Condensed Consolidated Statements of Comprehensive Income</w:t>
            </w:r>
          </w:p>
        </w:tc>
        <w:tc>
          <w:tcPr>
            <w:tcW w:w="1460" w:type="dxa"/>
            <w:vAlign w:val="bottom"/>
          </w:tcPr>
          <w:p>
            <w:pPr>
              <w:jc w:val="right"/>
              <w:spacing w:after="0"/>
              <w:rPr>
                <w:sz w:val="20"/>
                <w:szCs w:val="20"/>
                <w:color w:val="auto"/>
              </w:rPr>
            </w:pPr>
            <w:r>
              <w:rPr>
                <w:rFonts w:ascii="Arial" w:cs="Arial" w:eastAsia="Arial" w:hAnsi="Arial"/>
                <w:sz w:val="18"/>
                <w:szCs w:val="18"/>
                <w:color w:val="0000FF"/>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gridSpan w:val="2"/>
          </w:tcPr>
          <w:p>
            <w:pPr>
              <w:ind w:left="360"/>
              <w:spacing w:after="0"/>
              <w:rPr>
                <w:sz w:val="20"/>
                <w:szCs w:val="20"/>
                <w:color w:val="auto"/>
              </w:rPr>
            </w:pPr>
            <w:r>
              <w:rPr>
                <w:rFonts w:ascii="Arial" w:cs="Arial" w:eastAsia="Arial" w:hAnsi="Arial"/>
                <w:sz w:val="18"/>
                <w:szCs w:val="18"/>
                <w:color w:val="0000FF"/>
              </w:rPr>
              <w:t>Condensed Consolidated Statements of Stockholders' Equity</w:t>
            </w:r>
          </w:p>
        </w:tc>
        <w:tc>
          <w:tcPr>
            <w:tcW w:w="1460" w:type="dxa"/>
            <w:vAlign w:val="bottom"/>
          </w:tcPr>
          <w:p>
            <w:pPr>
              <w:jc w:val="right"/>
              <w:spacing w:after="0"/>
              <w:rPr>
                <w:sz w:val="20"/>
                <w:szCs w:val="20"/>
                <w:color w:val="auto"/>
              </w:rPr>
            </w:pPr>
            <w:r>
              <w:rPr>
                <w:rFonts w:ascii="Arial" w:cs="Arial" w:eastAsia="Arial" w:hAnsi="Arial"/>
                <w:sz w:val="18"/>
                <w:szCs w:val="18"/>
                <w:color w:val="0000FF"/>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760" w:type="dxa"/>
            <w:vAlign w:val="bottom"/>
            <w:gridSpan w:val="2"/>
          </w:tcPr>
          <w:p>
            <w:pPr>
              <w:ind w:left="360"/>
              <w:spacing w:after="0"/>
              <w:rPr>
                <w:sz w:val="20"/>
                <w:szCs w:val="20"/>
                <w:color w:val="auto"/>
              </w:rPr>
            </w:pPr>
            <w:r>
              <w:rPr>
                <w:rFonts w:ascii="Arial" w:cs="Arial" w:eastAsia="Arial" w:hAnsi="Arial"/>
                <w:sz w:val="18"/>
                <w:szCs w:val="18"/>
                <w:color w:val="0000FF"/>
              </w:rPr>
              <w:t>Condensed Consolidated Statements of Cash Flows</w:t>
            </w:r>
          </w:p>
        </w:tc>
        <w:tc>
          <w:tcPr>
            <w:tcW w:w="1460" w:type="dxa"/>
            <w:vAlign w:val="bottom"/>
          </w:tcPr>
          <w:p>
            <w:pPr>
              <w:jc w:val="right"/>
              <w:spacing w:after="0"/>
              <w:rPr>
                <w:sz w:val="20"/>
                <w:szCs w:val="20"/>
                <w:color w:val="auto"/>
              </w:rPr>
            </w:pPr>
            <w:r>
              <w:rPr>
                <w:rFonts w:ascii="Arial" w:cs="Arial" w:eastAsia="Arial" w:hAnsi="Arial"/>
                <w:sz w:val="18"/>
                <w:szCs w:val="18"/>
                <w:color w:val="0000FF"/>
              </w:rPr>
              <w:t>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gridSpan w:val="2"/>
          </w:tcPr>
          <w:p>
            <w:pPr>
              <w:ind w:left="360"/>
              <w:spacing w:after="0"/>
              <w:rPr>
                <w:sz w:val="20"/>
                <w:szCs w:val="20"/>
                <w:color w:val="auto"/>
              </w:rPr>
            </w:pPr>
            <w:r>
              <w:rPr>
                <w:rFonts w:ascii="Arial" w:cs="Arial" w:eastAsia="Arial" w:hAnsi="Arial"/>
                <w:sz w:val="18"/>
                <w:szCs w:val="18"/>
                <w:color w:val="0000FF"/>
              </w:rPr>
              <w:t>Notes to Condensed Consolidated Financial Statements</w:t>
            </w:r>
          </w:p>
        </w:tc>
        <w:tc>
          <w:tcPr>
            <w:tcW w:w="1460" w:type="dxa"/>
            <w:vAlign w:val="bottom"/>
          </w:tcPr>
          <w:p>
            <w:pPr>
              <w:jc w:val="right"/>
              <w:spacing w:after="0"/>
              <w:rPr>
                <w:sz w:val="20"/>
                <w:szCs w:val="20"/>
                <w:color w:val="auto"/>
              </w:rPr>
            </w:pPr>
            <w:r>
              <w:rPr>
                <w:rFonts w:ascii="Arial" w:cs="Arial" w:eastAsia="Arial" w:hAnsi="Arial"/>
                <w:sz w:val="18"/>
                <w:szCs w:val="18"/>
                <w:color w:val="0000FF"/>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760" w:type="dxa"/>
            <w:vAlign w:val="bottom"/>
            <w:gridSpan w:val="2"/>
          </w:tcPr>
          <w:p>
            <w:pPr>
              <w:ind w:left="140"/>
              <w:spacing w:after="0"/>
              <w:rPr>
                <w:sz w:val="20"/>
                <w:szCs w:val="20"/>
                <w:color w:val="auto"/>
              </w:rPr>
            </w:pPr>
            <w:r>
              <w:rPr>
                <w:rFonts w:ascii="Arial" w:cs="Arial" w:eastAsia="Arial" w:hAnsi="Arial"/>
                <w:sz w:val="18"/>
                <w:szCs w:val="18"/>
                <w:color w:val="0000FF"/>
              </w:rPr>
              <w:t>Item 2. Management’s Discussion and Analysis of Financial Condition and Results of Operations</w:t>
            </w:r>
          </w:p>
        </w:tc>
        <w:tc>
          <w:tcPr>
            <w:tcW w:w="1460" w:type="dxa"/>
            <w:vAlign w:val="bottom"/>
          </w:tcPr>
          <w:p>
            <w:pPr>
              <w:jc w:val="right"/>
              <w:spacing w:after="0"/>
              <w:rPr>
                <w:sz w:val="20"/>
                <w:szCs w:val="20"/>
                <w:color w:val="auto"/>
              </w:rPr>
            </w:pPr>
            <w:r>
              <w:rPr>
                <w:rFonts w:ascii="Arial" w:cs="Arial" w:eastAsia="Arial" w:hAnsi="Arial"/>
                <w:sz w:val="18"/>
                <w:szCs w:val="18"/>
                <w:color w:val="0000FF"/>
              </w:rPr>
              <w:t>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gridSpan w:val="2"/>
          </w:tcPr>
          <w:p>
            <w:pPr>
              <w:ind w:left="140"/>
              <w:spacing w:after="0"/>
              <w:rPr>
                <w:sz w:val="20"/>
                <w:szCs w:val="20"/>
                <w:color w:val="auto"/>
              </w:rPr>
            </w:pPr>
            <w:r>
              <w:rPr>
                <w:rFonts w:ascii="Arial" w:cs="Arial" w:eastAsia="Arial" w:hAnsi="Arial"/>
                <w:sz w:val="18"/>
                <w:szCs w:val="18"/>
                <w:color w:val="0000FF"/>
              </w:rPr>
              <w:t>Item 3. Quantitative and Qualitative Disclosures About Market Risk</w:t>
            </w:r>
          </w:p>
        </w:tc>
        <w:tc>
          <w:tcPr>
            <w:tcW w:w="1460" w:type="dxa"/>
            <w:vAlign w:val="bottom"/>
          </w:tcPr>
          <w:p>
            <w:pPr>
              <w:jc w:val="right"/>
              <w:spacing w:after="0"/>
              <w:rPr>
                <w:sz w:val="20"/>
                <w:szCs w:val="20"/>
                <w:color w:val="auto"/>
              </w:rPr>
            </w:pPr>
            <w:r>
              <w:rPr>
                <w:rFonts w:ascii="Arial" w:cs="Arial" w:eastAsia="Arial" w:hAnsi="Arial"/>
                <w:sz w:val="18"/>
                <w:szCs w:val="18"/>
                <w:color w:val="0000FF"/>
              </w:rPr>
              <w:t>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gridSpan w:val="2"/>
          </w:tcPr>
          <w:p>
            <w:pPr>
              <w:ind w:left="140"/>
              <w:spacing w:after="0"/>
              <w:rPr>
                <w:sz w:val="20"/>
                <w:szCs w:val="20"/>
                <w:color w:val="auto"/>
              </w:rPr>
            </w:pPr>
            <w:r>
              <w:rPr>
                <w:rFonts w:ascii="Arial" w:cs="Arial" w:eastAsia="Arial" w:hAnsi="Arial"/>
                <w:sz w:val="18"/>
                <w:szCs w:val="18"/>
                <w:color w:val="0000FF"/>
              </w:rPr>
              <w:t>Item 4. Controls and Procedures</w:t>
            </w:r>
          </w:p>
        </w:tc>
        <w:tc>
          <w:tcPr>
            <w:tcW w:w="1460" w:type="dxa"/>
            <w:vAlign w:val="bottom"/>
          </w:tcPr>
          <w:p>
            <w:pPr>
              <w:jc w:val="right"/>
              <w:spacing w:after="0"/>
              <w:rPr>
                <w:sz w:val="20"/>
                <w:szCs w:val="20"/>
                <w:color w:val="auto"/>
              </w:rPr>
            </w:pPr>
            <w:r>
              <w:rPr>
                <w:rFonts w:ascii="Arial" w:cs="Arial" w:eastAsia="Arial" w:hAnsi="Arial"/>
                <w:sz w:val="18"/>
                <w:szCs w:val="18"/>
                <w:color w:val="0000FF"/>
              </w:rPr>
              <w:t>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760" w:type="dxa"/>
            <w:vAlign w:val="bottom"/>
            <w:gridSpan w:val="2"/>
          </w:tcPr>
          <w:p>
            <w:pPr>
              <w:ind w:left="20"/>
              <w:spacing w:after="0"/>
              <w:rPr>
                <w:sz w:val="20"/>
                <w:szCs w:val="20"/>
                <w:color w:val="auto"/>
              </w:rPr>
            </w:pPr>
            <w:r>
              <w:rPr>
                <w:rFonts w:ascii="Arial" w:cs="Arial" w:eastAsia="Arial" w:hAnsi="Arial"/>
                <w:sz w:val="18"/>
                <w:szCs w:val="18"/>
                <w:color w:val="0000FF"/>
              </w:rPr>
              <w:t>PART II. Other Information</w:t>
            </w:r>
          </w:p>
        </w:tc>
        <w:tc>
          <w:tcPr>
            <w:tcW w:w="1460" w:type="dxa"/>
            <w:vAlign w:val="bottom"/>
          </w:tcPr>
          <w:p>
            <w:pPr>
              <w:jc w:val="right"/>
              <w:spacing w:after="0"/>
              <w:rPr>
                <w:sz w:val="20"/>
                <w:szCs w:val="20"/>
                <w:color w:val="auto"/>
              </w:rPr>
            </w:pPr>
            <w:r>
              <w:rPr>
                <w:rFonts w:ascii="Arial" w:cs="Arial" w:eastAsia="Arial" w:hAnsi="Arial"/>
                <w:sz w:val="18"/>
                <w:szCs w:val="18"/>
                <w:color w:val="0000FF"/>
              </w:rPr>
              <w:t>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gridSpan w:val="2"/>
          </w:tcPr>
          <w:p>
            <w:pPr>
              <w:ind w:left="140"/>
              <w:spacing w:after="0"/>
              <w:rPr>
                <w:sz w:val="20"/>
                <w:szCs w:val="20"/>
                <w:color w:val="auto"/>
              </w:rPr>
            </w:pPr>
            <w:r>
              <w:rPr>
                <w:rFonts w:ascii="Arial" w:cs="Arial" w:eastAsia="Arial" w:hAnsi="Arial"/>
                <w:sz w:val="18"/>
                <w:szCs w:val="18"/>
                <w:color w:val="0000FF"/>
              </w:rPr>
              <w:t>Item 1A. Risk Factors</w:t>
            </w:r>
          </w:p>
        </w:tc>
        <w:tc>
          <w:tcPr>
            <w:tcW w:w="1460" w:type="dxa"/>
            <w:vAlign w:val="bottom"/>
          </w:tcPr>
          <w:p>
            <w:pPr>
              <w:jc w:val="right"/>
              <w:spacing w:after="0"/>
              <w:rPr>
                <w:sz w:val="20"/>
                <w:szCs w:val="20"/>
                <w:color w:val="auto"/>
              </w:rPr>
            </w:pPr>
            <w:r>
              <w:rPr>
                <w:rFonts w:ascii="Arial" w:cs="Arial" w:eastAsia="Arial" w:hAnsi="Arial"/>
                <w:sz w:val="18"/>
                <w:szCs w:val="18"/>
                <w:color w:val="0000FF"/>
              </w:rPr>
              <w:t>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gridSpan w:val="2"/>
          </w:tcPr>
          <w:p>
            <w:pPr>
              <w:ind w:left="140"/>
              <w:spacing w:after="0"/>
              <w:rPr>
                <w:sz w:val="20"/>
                <w:szCs w:val="20"/>
                <w:color w:val="auto"/>
              </w:rPr>
            </w:pPr>
            <w:r>
              <w:rPr>
                <w:rFonts w:ascii="Arial" w:cs="Arial" w:eastAsia="Arial" w:hAnsi="Arial"/>
                <w:sz w:val="18"/>
                <w:szCs w:val="18"/>
                <w:color w:val="0000FF"/>
              </w:rPr>
              <w:t>Item 2. Unregistered Sales of Equity Securities, Use of Proceeds and Issuer Purchases of Equity Securities</w:t>
            </w:r>
          </w:p>
        </w:tc>
        <w:tc>
          <w:tcPr>
            <w:tcW w:w="1460" w:type="dxa"/>
            <w:vAlign w:val="bottom"/>
          </w:tcPr>
          <w:p>
            <w:pPr>
              <w:jc w:val="right"/>
              <w:spacing w:after="0"/>
              <w:rPr>
                <w:sz w:val="20"/>
                <w:szCs w:val="20"/>
                <w:color w:val="auto"/>
              </w:rPr>
            </w:pPr>
            <w:r>
              <w:rPr>
                <w:rFonts w:ascii="Arial" w:cs="Arial" w:eastAsia="Arial" w:hAnsi="Arial"/>
                <w:sz w:val="18"/>
                <w:szCs w:val="18"/>
                <w:color w:val="0000FF"/>
              </w:rPr>
              <w:t>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760" w:type="dxa"/>
            <w:vAlign w:val="bottom"/>
            <w:gridSpan w:val="2"/>
          </w:tcPr>
          <w:p>
            <w:pPr>
              <w:ind w:left="140"/>
              <w:spacing w:after="0"/>
              <w:rPr>
                <w:sz w:val="20"/>
                <w:szCs w:val="20"/>
                <w:color w:val="auto"/>
              </w:rPr>
            </w:pPr>
            <w:r>
              <w:rPr>
                <w:rFonts w:ascii="Arial" w:cs="Arial" w:eastAsia="Arial" w:hAnsi="Arial"/>
                <w:sz w:val="18"/>
                <w:szCs w:val="18"/>
                <w:color w:val="0000FF"/>
              </w:rPr>
              <w:t>Item 5. Other Information</w:t>
            </w:r>
          </w:p>
        </w:tc>
        <w:tc>
          <w:tcPr>
            <w:tcW w:w="1460" w:type="dxa"/>
            <w:vAlign w:val="bottom"/>
          </w:tcPr>
          <w:p>
            <w:pPr>
              <w:jc w:val="right"/>
              <w:spacing w:after="0"/>
              <w:rPr>
                <w:sz w:val="20"/>
                <w:szCs w:val="20"/>
                <w:color w:val="auto"/>
              </w:rPr>
            </w:pPr>
            <w:r>
              <w:rPr>
                <w:rFonts w:ascii="Arial" w:cs="Arial" w:eastAsia="Arial" w:hAnsi="Arial"/>
                <w:sz w:val="18"/>
                <w:szCs w:val="18"/>
                <w:color w:val="0000FF"/>
              </w:rPr>
              <w:t>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gridSpan w:val="2"/>
          </w:tcPr>
          <w:p>
            <w:pPr>
              <w:ind w:left="140"/>
              <w:spacing w:after="0"/>
              <w:rPr>
                <w:sz w:val="20"/>
                <w:szCs w:val="20"/>
                <w:color w:val="auto"/>
              </w:rPr>
            </w:pPr>
            <w:r>
              <w:rPr>
                <w:rFonts w:ascii="Arial" w:cs="Arial" w:eastAsia="Arial" w:hAnsi="Arial"/>
                <w:sz w:val="18"/>
                <w:szCs w:val="18"/>
                <w:color w:val="0000FF"/>
              </w:rPr>
              <w:t>Item 6. Exhibits</w:t>
            </w:r>
          </w:p>
        </w:tc>
        <w:tc>
          <w:tcPr>
            <w:tcW w:w="1460" w:type="dxa"/>
            <w:vAlign w:val="bottom"/>
          </w:tcPr>
          <w:p>
            <w:pPr>
              <w:jc w:val="right"/>
              <w:spacing w:after="0"/>
              <w:rPr>
                <w:sz w:val="20"/>
                <w:szCs w:val="20"/>
                <w:color w:val="auto"/>
              </w:rPr>
            </w:pPr>
            <w:r>
              <w:rPr>
                <w:rFonts w:ascii="Arial" w:cs="Arial" w:eastAsia="Arial" w:hAnsi="Arial"/>
                <w:sz w:val="18"/>
                <w:szCs w:val="18"/>
                <w:color w:val="0000FF"/>
              </w:rPr>
              <w:t>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760" w:type="dxa"/>
            <w:vAlign w:val="bottom"/>
            <w:gridSpan w:val="2"/>
          </w:tcPr>
          <w:p>
            <w:pPr>
              <w:ind w:left="140"/>
              <w:spacing w:after="0"/>
              <w:rPr>
                <w:sz w:val="20"/>
                <w:szCs w:val="20"/>
                <w:color w:val="auto"/>
              </w:rPr>
            </w:pPr>
            <w:r>
              <w:rPr>
                <w:rFonts w:ascii="Arial" w:cs="Arial" w:eastAsia="Arial" w:hAnsi="Arial"/>
                <w:sz w:val="18"/>
                <w:szCs w:val="18"/>
                <w:color w:val="0000FF"/>
              </w:rPr>
              <w:t>Signatures</w:t>
            </w:r>
          </w:p>
        </w:tc>
        <w:tc>
          <w:tcPr>
            <w:tcW w:w="1460" w:type="dxa"/>
            <w:vAlign w:val="bottom"/>
          </w:tcPr>
          <w:p>
            <w:pPr>
              <w:jc w:val="right"/>
              <w:spacing w:after="0"/>
              <w:rPr>
                <w:sz w:val="20"/>
                <w:szCs w:val="20"/>
                <w:color w:val="auto"/>
              </w:rPr>
            </w:pPr>
            <w:r>
              <w:rPr>
                <w:rFonts w:ascii="Arial" w:cs="Arial" w:eastAsia="Arial" w:hAnsi="Arial"/>
                <w:sz w:val="18"/>
                <w:szCs w:val="18"/>
                <w:color w:val="0000FF"/>
              </w:rPr>
              <w:t>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9760" w:type="dxa"/>
            <w:vAlign w:val="bottom"/>
            <w:gridSpan w:val="2"/>
          </w:tcPr>
          <w:p>
            <w:pPr>
              <w:ind w:left="5580"/>
              <w:spacing w:after="0"/>
              <w:rPr>
                <w:sz w:val="20"/>
                <w:szCs w:val="20"/>
                <w:color w:val="auto"/>
              </w:rPr>
            </w:pPr>
            <w:r>
              <w:rPr>
                <w:rFonts w:ascii="Arial" w:cs="Arial" w:eastAsia="Arial" w:hAnsi="Arial"/>
                <w:sz w:val="18"/>
                <w:szCs w:val="18"/>
                <w:color w:val="auto"/>
              </w:rPr>
              <w:t>2</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20" w:type="dxa"/>
            <w:vAlign w:val="bottom"/>
            <w:tcBorders>
              <w:bottom w:val="single" w:sz="8" w:color="9A9A9A"/>
            </w:tcBorders>
          </w:tcPr>
          <w:p>
            <w:pPr>
              <w:spacing w:after="0"/>
              <w:rPr>
                <w:sz w:val="10"/>
                <w:szCs w:val="10"/>
                <w:color w:val="auto"/>
              </w:rPr>
            </w:pPr>
          </w:p>
        </w:tc>
        <w:tc>
          <w:tcPr>
            <w:tcW w:w="874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 w:name="page3"/>
    <w:bookmarkEnd w:id="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 FINANCIAL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ITEM 1. FINANCIAL STATEMENTS</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BRADY CORPORATION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Dollars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ind w:left="40"/>
              <w:spacing w:after="0"/>
              <w:rPr>
                <w:sz w:val="20"/>
                <w:szCs w:val="20"/>
                <w:color w:val="auto"/>
              </w:rPr>
            </w:pPr>
            <w:r>
              <w:rPr>
                <w:rFonts w:ascii="Arial" w:cs="Arial" w:eastAsia="Arial" w:hAnsi="Arial"/>
                <w:sz w:val="16"/>
                <w:szCs w:val="16"/>
                <w:b w:val="1"/>
                <w:bCs w:val="1"/>
                <w:color w:val="auto"/>
              </w:rPr>
              <w:t>October 31, 2023</w:t>
            </w:r>
          </w:p>
        </w:tc>
        <w:tc>
          <w:tcPr>
            <w:tcW w:w="220" w:type="dxa"/>
            <w:vAlign w:val="bottom"/>
          </w:tcPr>
          <w:p>
            <w:pPr>
              <w:spacing w:after="0"/>
              <w:rPr>
                <w:sz w:val="18"/>
                <w:szCs w:val="18"/>
                <w:color w:val="auto"/>
              </w:rPr>
            </w:pPr>
          </w:p>
        </w:tc>
        <w:tc>
          <w:tcPr>
            <w:tcW w:w="1360" w:type="dxa"/>
            <w:vAlign w:val="bottom"/>
          </w:tcPr>
          <w:p>
            <w:pPr>
              <w:jc w:val="right"/>
              <w:ind w:right="259"/>
              <w:spacing w:after="0"/>
              <w:rPr>
                <w:sz w:val="20"/>
                <w:szCs w:val="20"/>
                <w:color w:val="auto"/>
              </w:rPr>
            </w:pPr>
            <w:r>
              <w:rPr>
                <w:rFonts w:ascii="Arial" w:cs="Arial" w:eastAsia="Arial" w:hAnsi="Arial"/>
                <w:sz w:val="16"/>
                <w:szCs w:val="16"/>
                <w:b w:val="1"/>
                <w:bCs w:val="1"/>
                <w:color w:val="auto"/>
              </w:rPr>
              <w:t>July 31, 2023</w:t>
            </w:r>
          </w:p>
        </w:tc>
        <w:tc>
          <w:tcPr>
            <w:tcW w:w="0" w:type="dxa"/>
            <w:vAlign w:val="bottom"/>
          </w:tcPr>
          <w:p>
            <w:pPr>
              <w:spacing w:after="0"/>
              <w:rPr>
                <w:sz w:val="1"/>
                <w:szCs w:val="1"/>
                <w:color w:val="auto"/>
              </w:rPr>
            </w:pPr>
          </w:p>
        </w:tc>
      </w:tr>
      <w:tr>
        <w:trPr>
          <w:trHeight w:val="210"/>
        </w:trPr>
        <w:tc>
          <w:tcPr>
            <w:tcW w:w="79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(Unaudited)</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3680"/>
              <w:spacing w:after="0"/>
              <w:rPr>
                <w:sz w:val="20"/>
                <w:szCs w:val="20"/>
                <w:color w:val="auto"/>
              </w:rPr>
            </w:pPr>
            <w:r>
              <w:rPr>
                <w:rFonts w:ascii="Arial" w:cs="Arial" w:eastAsia="Arial" w:hAnsi="Arial"/>
                <w:sz w:val="16"/>
                <w:szCs w:val="16"/>
                <w:b w:val="1"/>
                <w:bCs w:val="1"/>
                <w:color w:val="auto"/>
              </w:rPr>
              <w:t>ASSETS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175,352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151,532</w:t>
            </w:r>
          </w:p>
        </w:tc>
        <w:tc>
          <w:tcPr>
            <w:tcW w:w="0" w:type="dxa"/>
            <w:vAlign w:val="bottom"/>
          </w:tcPr>
          <w:p>
            <w:pPr>
              <w:spacing w:after="0"/>
              <w:rPr>
                <w:sz w:val="1"/>
                <w:szCs w:val="1"/>
                <w:color w:val="auto"/>
              </w:rPr>
            </w:pPr>
          </w:p>
        </w:tc>
      </w:tr>
      <w:tr>
        <w:trPr>
          <w:trHeight w:val="240"/>
        </w:trPr>
        <w:tc>
          <w:tcPr>
            <w:tcW w:w="7940" w:type="dxa"/>
            <w:vAlign w:val="bottom"/>
          </w:tcPr>
          <w:p>
            <w:pPr>
              <w:ind w:left="360"/>
              <w:spacing w:after="0"/>
              <w:rPr>
                <w:sz w:val="20"/>
                <w:szCs w:val="20"/>
                <w:color w:val="auto"/>
              </w:rPr>
            </w:pPr>
            <w:r>
              <w:rPr>
                <w:rFonts w:ascii="Arial" w:cs="Arial" w:eastAsia="Arial" w:hAnsi="Arial"/>
                <w:sz w:val="16"/>
                <w:szCs w:val="16"/>
                <w:color w:val="auto"/>
              </w:rPr>
              <w:t>Accounts receivable, net of allowance for credit losses of $6,923 and $8,467, respectively</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179,970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184,420</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Inventories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166,916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177,078</w:t>
            </w:r>
          </w:p>
        </w:tc>
        <w:tc>
          <w:tcPr>
            <w:tcW w:w="0" w:type="dxa"/>
            <w:vAlign w:val="bottom"/>
          </w:tcPr>
          <w:p>
            <w:pPr>
              <w:spacing w:after="0"/>
              <w:rPr>
                <w:sz w:val="1"/>
                <w:szCs w:val="1"/>
                <w:color w:val="auto"/>
              </w:rPr>
            </w:pPr>
          </w:p>
        </w:tc>
      </w:tr>
      <w:tr>
        <w:trPr>
          <w:trHeight w:val="213"/>
        </w:trPr>
        <w:tc>
          <w:tcPr>
            <w:tcW w:w="79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12,827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11,790</w:t>
            </w:r>
          </w:p>
        </w:tc>
        <w:tc>
          <w:tcPr>
            <w:tcW w:w="0" w:type="dxa"/>
            <w:vAlign w:val="bottom"/>
          </w:tcPr>
          <w:p>
            <w:pPr>
              <w:spacing w:after="0"/>
              <w:rPr>
                <w:sz w:val="1"/>
                <w:szCs w:val="1"/>
                <w:color w:val="auto"/>
              </w:rPr>
            </w:pPr>
          </w:p>
        </w:tc>
      </w:tr>
      <w:tr>
        <w:trPr>
          <w:trHeight w:val="213"/>
        </w:trPr>
        <w:tc>
          <w:tcPr>
            <w:tcW w:w="79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current assets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535,065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524,820</w:t>
            </w: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rPr>
              <w:t>Property, plant and equipment—net</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143,792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142,149</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583,702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592,646</w:t>
            </w: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rPr>
              <w:t>Other intangible assets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58,774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62,096</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taxes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14,931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15,716</w:t>
            </w: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rPr>
              <w:t>Operating lease assets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26,860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29,688</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20,289</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22,142</w:t>
            </w: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1,383,413</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1,389,257</w:t>
            </w:r>
          </w:p>
        </w:tc>
        <w:tc>
          <w:tcPr>
            <w:tcW w:w="0" w:type="dxa"/>
            <w:vAlign w:val="bottom"/>
          </w:tcPr>
          <w:p>
            <w:pPr>
              <w:spacing w:after="0"/>
              <w:rPr>
                <w:sz w:val="1"/>
                <w:szCs w:val="1"/>
                <w:color w:val="auto"/>
              </w:rPr>
            </w:pP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940" w:type="dxa"/>
            <w:vAlign w:val="bottom"/>
            <w:shd w:val="clear" w:color="auto" w:fill="CCEEFF"/>
          </w:tcPr>
          <w:p>
            <w:pPr>
              <w:ind w:left="2220"/>
              <w:spacing w:after="0"/>
              <w:rPr>
                <w:sz w:val="20"/>
                <w:szCs w:val="20"/>
                <w:color w:val="auto"/>
              </w:rPr>
            </w:pPr>
            <w:r>
              <w:rPr>
                <w:rFonts w:ascii="Arial" w:cs="Arial" w:eastAsia="Arial" w:hAnsi="Arial"/>
                <w:sz w:val="16"/>
                <w:szCs w:val="16"/>
                <w:b w:val="1"/>
                <w:bCs w:val="1"/>
                <w:color w:val="auto"/>
              </w:rPr>
              <w:t>LIABILITIES AND STOCKHOLDERS’ EQUITY</w:t>
            </w: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79,512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79,855</w:t>
            </w:r>
          </w:p>
        </w:tc>
        <w:tc>
          <w:tcPr>
            <w:tcW w:w="0" w:type="dxa"/>
            <w:vAlign w:val="bottom"/>
          </w:tcPr>
          <w:p>
            <w:pPr>
              <w:spacing w:after="0"/>
              <w:rPr>
                <w:sz w:val="1"/>
                <w:szCs w:val="1"/>
                <w:color w:val="auto"/>
              </w:rPr>
            </w:pPr>
          </w:p>
        </w:tc>
      </w:tr>
      <w:tr>
        <w:trPr>
          <w:trHeight w:val="213"/>
        </w:trPr>
        <w:tc>
          <w:tcPr>
            <w:tcW w:w="7940" w:type="dxa"/>
            <w:vAlign w:val="bottom"/>
          </w:tcPr>
          <w:p>
            <w:pPr>
              <w:ind w:left="360"/>
              <w:spacing w:after="0"/>
              <w:rPr>
                <w:sz w:val="20"/>
                <w:szCs w:val="20"/>
                <w:color w:val="auto"/>
              </w:rPr>
            </w:pPr>
            <w:r>
              <w:rPr>
                <w:rFonts w:ascii="Arial" w:cs="Arial" w:eastAsia="Arial" w:hAnsi="Arial"/>
                <w:sz w:val="16"/>
                <w:szCs w:val="16"/>
                <w:color w:val="auto"/>
              </w:rPr>
              <w:t>Accrued compensation and benefits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57,566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71,470</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Taxes, other than income taxes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14,249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13,575</w:t>
            </w:r>
          </w:p>
        </w:tc>
        <w:tc>
          <w:tcPr>
            <w:tcW w:w="0" w:type="dxa"/>
            <w:vAlign w:val="bottom"/>
          </w:tcPr>
          <w:p>
            <w:pPr>
              <w:spacing w:after="0"/>
              <w:rPr>
                <w:sz w:val="1"/>
                <w:szCs w:val="1"/>
                <w:color w:val="auto"/>
              </w:rPr>
            </w:pPr>
          </w:p>
        </w:tc>
      </w:tr>
      <w:tr>
        <w:trPr>
          <w:trHeight w:val="213"/>
        </w:trPr>
        <w:tc>
          <w:tcPr>
            <w:tcW w:w="7940" w:type="dxa"/>
            <w:vAlign w:val="bottom"/>
          </w:tcPr>
          <w:p>
            <w:pPr>
              <w:ind w:left="360"/>
              <w:spacing w:after="0"/>
              <w:rPr>
                <w:sz w:val="20"/>
                <w:szCs w:val="20"/>
                <w:color w:val="auto"/>
              </w:rPr>
            </w:pPr>
            <w:r>
              <w:rPr>
                <w:rFonts w:ascii="Arial" w:cs="Arial" w:eastAsia="Arial" w:hAnsi="Arial"/>
                <w:sz w:val="16"/>
                <w:szCs w:val="16"/>
                <w:color w:val="auto"/>
              </w:rPr>
              <w:t>Accrued income taxes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17,970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12,582</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operating lease liabilities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13,225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14,726</w:t>
            </w:r>
          </w:p>
        </w:tc>
        <w:tc>
          <w:tcPr>
            <w:tcW w:w="0" w:type="dxa"/>
            <w:vAlign w:val="bottom"/>
          </w:tcPr>
          <w:p>
            <w:pPr>
              <w:spacing w:after="0"/>
              <w:rPr>
                <w:sz w:val="1"/>
                <w:szCs w:val="1"/>
                <w:color w:val="auto"/>
              </w:rPr>
            </w:pPr>
          </w:p>
        </w:tc>
      </w:tr>
      <w:tr>
        <w:trPr>
          <w:trHeight w:val="213"/>
        </w:trPr>
        <w:tc>
          <w:tcPr>
            <w:tcW w:w="79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current liabilities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69,172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65,828</w:t>
            </w:r>
          </w:p>
        </w:tc>
        <w:tc>
          <w:tcPr>
            <w:tcW w:w="0" w:type="dxa"/>
            <w:vAlign w:val="bottom"/>
          </w:tcPr>
          <w:p>
            <w:pPr>
              <w:spacing w:after="0"/>
              <w:rPr>
                <w:sz w:val="1"/>
                <w:szCs w:val="1"/>
                <w:color w:val="auto"/>
              </w:rPr>
            </w:pPr>
          </w:p>
        </w:tc>
      </w:tr>
      <w:tr>
        <w:trPr>
          <w:trHeight w:val="213"/>
        </w:trPr>
        <w:tc>
          <w:tcPr>
            <w:tcW w:w="79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current liabilities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251,694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258,036</w:t>
            </w: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52,267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49,716</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operating lease liabilities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14,483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16,217</w:t>
            </w:r>
          </w:p>
        </w:tc>
        <w:tc>
          <w:tcPr>
            <w:tcW w:w="0" w:type="dxa"/>
            <w:vAlign w:val="bottom"/>
          </w:tcPr>
          <w:p>
            <w:pPr>
              <w:spacing w:after="0"/>
              <w:rPr>
                <w:sz w:val="1"/>
                <w:szCs w:val="1"/>
                <w:color w:val="auto"/>
              </w:rPr>
            </w:pPr>
          </w:p>
        </w:tc>
      </w:tr>
      <w:tr>
        <w:trPr>
          <w:trHeight w:val="213"/>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liabilities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69,977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74,369</w:t>
            </w:r>
          </w:p>
        </w:tc>
        <w:tc>
          <w:tcPr>
            <w:tcW w:w="0" w:type="dxa"/>
            <w:vAlign w:val="bottom"/>
          </w:tcPr>
          <w:p>
            <w:pPr>
              <w:spacing w:after="0"/>
              <w:rPr>
                <w:sz w:val="1"/>
                <w:szCs w:val="1"/>
                <w:color w:val="auto"/>
              </w:rPr>
            </w:pPr>
          </w:p>
        </w:tc>
      </w:tr>
      <w:tr>
        <w:trPr>
          <w:trHeight w:val="213"/>
        </w:trPr>
        <w:tc>
          <w:tcPr>
            <w:tcW w:w="79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liabilities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388,421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398,338</w:t>
            </w: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940" w:type="dxa"/>
            <w:vAlign w:val="bottom"/>
            <w:shd w:val="clear" w:color="auto" w:fill="CCEEFF"/>
          </w:tcPr>
          <w:p>
            <w:pPr>
              <w:ind w:left="360"/>
              <w:spacing w:after="0" w:line="169" w:lineRule="exact"/>
              <w:rPr>
                <w:sz w:val="20"/>
                <w:szCs w:val="20"/>
                <w:color w:val="auto"/>
              </w:rPr>
            </w:pPr>
            <w:r>
              <w:rPr>
                <w:rFonts w:ascii="Arial" w:cs="Arial" w:eastAsia="Arial" w:hAnsi="Arial"/>
                <w:sz w:val="16"/>
                <w:szCs w:val="16"/>
                <w:color w:val="auto"/>
                <w:w w:val="92"/>
              </w:rPr>
              <w:t>Class A nonvoting common stock—Issued 51,261,487 shares, and outstanding 44,868,082 and 45,008,724 shares,</w:t>
            </w:r>
          </w:p>
        </w:tc>
        <w:tc>
          <w:tcPr>
            <w:tcW w:w="16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513</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513</w:t>
            </w:r>
          </w:p>
        </w:tc>
        <w:tc>
          <w:tcPr>
            <w:tcW w:w="0" w:type="dxa"/>
            <w:vAlign w:val="bottom"/>
          </w:tcPr>
          <w:p>
            <w:pPr>
              <w:spacing w:after="0"/>
              <w:rPr>
                <w:sz w:val="1"/>
                <w:szCs w:val="1"/>
                <w:color w:val="auto"/>
              </w:rPr>
            </w:pPr>
          </w:p>
        </w:tc>
      </w:tr>
      <w:tr>
        <w:trPr>
          <w:trHeight w:val="212"/>
        </w:trPr>
        <w:tc>
          <w:tcPr>
            <w:tcW w:w="7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respectively</w:t>
            </w:r>
          </w:p>
        </w:tc>
        <w:tc>
          <w:tcPr>
            <w:tcW w:w="16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40" w:type="dxa"/>
            <w:vAlign w:val="bottom"/>
          </w:tcPr>
          <w:p>
            <w:pPr>
              <w:ind w:left="360"/>
              <w:spacing w:after="0"/>
              <w:rPr>
                <w:sz w:val="20"/>
                <w:szCs w:val="20"/>
                <w:color w:val="auto"/>
              </w:rPr>
            </w:pPr>
            <w:r>
              <w:rPr>
                <w:rFonts w:ascii="Arial" w:cs="Arial" w:eastAsia="Arial" w:hAnsi="Arial"/>
                <w:sz w:val="16"/>
                <w:szCs w:val="16"/>
                <w:color w:val="auto"/>
              </w:rPr>
              <w:t>Class B voting common stock—Issued and outstanding, 3,538,628 shares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Additional paid-in capital</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352,421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351,771</w:t>
            </w:r>
          </w:p>
        </w:tc>
        <w:tc>
          <w:tcPr>
            <w:tcW w:w="0" w:type="dxa"/>
            <w:vAlign w:val="bottom"/>
          </w:tcPr>
          <w:p>
            <w:pPr>
              <w:spacing w:after="0"/>
              <w:rPr>
                <w:sz w:val="1"/>
                <w:szCs w:val="1"/>
                <w:color w:val="auto"/>
              </w:rPr>
            </w:pPr>
          </w:p>
        </w:tc>
      </w:tr>
      <w:tr>
        <w:trPr>
          <w:trHeight w:val="213"/>
        </w:trPr>
        <w:tc>
          <w:tcPr>
            <w:tcW w:w="7940" w:type="dxa"/>
            <w:vAlign w:val="bottom"/>
          </w:tcPr>
          <w:p>
            <w:pPr>
              <w:ind w:left="360"/>
              <w:spacing w:after="0"/>
              <w:rPr>
                <w:sz w:val="20"/>
                <w:szCs w:val="20"/>
                <w:color w:val="auto"/>
              </w:rPr>
            </w:pPr>
            <w:r>
              <w:rPr>
                <w:rFonts w:ascii="Arial" w:cs="Arial" w:eastAsia="Arial" w:hAnsi="Arial"/>
                <w:sz w:val="16"/>
                <w:szCs w:val="16"/>
                <w:color w:val="auto"/>
              </w:rPr>
              <w:t>Retained earnings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1,057,773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1,021,870</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360"/>
              <w:spacing w:after="0"/>
              <w:rPr>
                <w:sz w:val="20"/>
                <w:szCs w:val="20"/>
                <w:color w:val="auto"/>
              </w:rPr>
            </w:pPr>
            <w:r>
              <w:rPr>
                <w:rFonts w:ascii="Arial" w:cs="Arial" w:eastAsia="Arial" w:hAnsi="Arial"/>
                <w:sz w:val="16"/>
                <w:szCs w:val="16"/>
                <w:color w:val="auto"/>
                <w:w w:val="98"/>
              </w:rPr>
              <w:t>Treasury stock—6,393,405 and 6,252,763 shares, respectively, of Class A nonvoting common stock, at cost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(300,467)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(290,209)</w:t>
            </w:r>
          </w:p>
        </w:tc>
        <w:tc>
          <w:tcPr>
            <w:tcW w:w="0" w:type="dxa"/>
            <w:vAlign w:val="bottom"/>
          </w:tcPr>
          <w:p>
            <w:pPr>
              <w:spacing w:after="0"/>
              <w:rPr>
                <w:sz w:val="1"/>
                <w:szCs w:val="1"/>
                <w:color w:val="auto"/>
              </w:rPr>
            </w:pPr>
          </w:p>
        </w:tc>
      </w:tr>
      <w:tr>
        <w:trPr>
          <w:trHeight w:val="213"/>
        </w:trPr>
        <w:tc>
          <w:tcPr>
            <w:tcW w:w="79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(115,283)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(93,061)</w:t>
            </w:r>
          </w:p>
        </w:tc>
        <w:tc>
          <w:tcPr>
            <w:tcW w:w="0" w:type="dxa"/>
            <w:vAlign w:val="bottom"/>
          </w:tcPr>
          <w:p>
            <w:pPr>
              <w:spacing w:after="0"/>
              <w:rPr>
                <w:sz w:val="1"/>
                <w:szCs w:val="1"/>
                <w:color w:val="auto"/>
              </w:rPr>
            </w:pPr>
          </w:p>
        </w:tc>
      </w:tr>
      <w:tr>
        <w:trPr>
          <w:trHeight w:val="210"/>
        </w:trPr>
        <w:tc>
          <w:tcPr>
            <w:tcW w:w="79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stockholders’ equity</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994,992</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990,919</w:t>
            </w: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1,383,413</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1,389,257</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BRADY CORPORATION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INCOME</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(Dollars in Thousands, Except Per Share Amounts, 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6"/>
                <w:szCs w:val="16"/>
                <w:b w:val="1"/>
                <w:bCs w:val="1"/>
                <w:color w:val="auto"/>
                <w:w w:val="93"/>
              </w:rPr>
              <w:t>Three months ended October 31,</w:t>
            </w:r>
          </w:p>
        </w:tc>
      </w:tr>
      <w:tr>
        <w:trPr>
          <w:trHeight w:val="210"/>
        </w:trPr>
        <w:tc>
          <w:tcPr>
            <w:tcW w:w="84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r>
      <w:tr>
        <w:trPr>
          <w:trHeight w:val="212"/>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331,983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322,569</w:t>
            </w:r>
          </w:p>
        </w:tc>
      </w:tr>
      <w:tr>
        <w:trPr>
          <w:trHeight w:val="213"/>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160,264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167,305</w:t>
            </w:r>
          </w:p>
        </w:tc>
      </w:tr>
      <w:tr>
        <w:trPr>
          <w:trHeight w:val="212"/>
        </w:trPr>
        <w:tc>
          <w:tcPr>
            <w:tcW w:w="84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Gross margin</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171,719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155,264</w:t>
            </w:r>
          </w:p>
        </w:tc>
      </w:tr>
      <w:tr>
        <w:trPr>
          <w:trHeight w:val="213"/>
        </w:trPr>
        <w:tc>
          <w:tcPr>
            <w:tcW w:w="84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84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Research and development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15,702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13,933</w:t>
            </w:r>
          </w:p>
        </w:tc>
      </w:tr>
      <w:tr>
        <w:trPr>
          <w:trHeight w:val="213"/>
        </w:trPr>
        <w:tc>
          <w:tcPr>
            <w:tcW w:w="8400" w:type="dxa"/>
            <w:vAlign w:val="bottom"/>
            <w:tcBorders>
              <w:bottom w:val="single" w:sz="8" w:color="CCEEFF"/>
            </w:tcBorders>
          </w:tcPr>
          <w:p>
            <w:pPr>
              <w:ind w:left="400"/>
              <w:spacing w:after="0"/>
              <w:rPr>
                <w:sz w:val="20"/>
                <w:szCs w:val="20"/>
                <w:color w:val="auto"/>
              </w:rPr>
            </w:pPr>
            <w:r>
              <w:rPr>
                <w:rFonts w:ascii="Arial" w:cs="Arial" w:eastAsia="Arial" w:hAnsi="Arial"/>
                <w:sz w:val="16"/>
                <w:szCs w:val="16"/>
                <w:color w:val="auto"/>
              </w:rPr>
              <w:t>Selling, general and administrative</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96,287</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89,945</w:t>
            </w:r>
          </w:p>
        </w:tc>
      </w:tr>
      <w:tr>
        <w:trPr>
          <w:trHeight w:val="212"/>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operating expenses</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111,989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103,878</w:t>
            </w:r>
          </w:p>
        </w:tc>
      </w:tr>
      <w:tr>
        <w:trPr>
          <w:trHeight w:val="213"/>
        </w:trPr>
        <w:tc>
          <w:tcPr>
            <w:tcW w:w="840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59,730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51,386</w:t>
            </w:r>
          </w:p>
        </w:tc>
      </w:tr>
      <w:tr>
        <w:trPr>
          <w:trHeight w:val="219"/>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8400" w:type="dxa"/>
            <w:vAlign w:val="bottom"/>
          </w:tcPr>
          <w:p>
            <w:pPr>
              <w:ind w:left="400"/>
              <w:spacing w:after="0"/>
              <w:rPr>
                <w:sz w:val="20"/>
                <w:szCs w:val="20"/>
                <w:color w:val="auto"/>
              </w:rPr>
            </w:pPr>
            <w:r>
              <w:rPr>
                <w:rFonts w:ascii="Arial" w:cs="Arial" w:eastAsia="Arial" w:hAnsi="Arial"/>
                <w:sz w:val="16"/>
                <w:szCs w:val="16"/>
                <w:color w:val="auto"/>
              </w:rPr>
              <w:t>Investment and other income (expense)</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438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(157)</w:t>
            </w:r>
          </w:p>
        </w:tc>
      </w:tr>
      <w:tr>
        <w:trPr>
          <w:trHeight w:val="219"/>
        </w:trPr>
        <w:tc>
          <w:tcPr>
            <w:tcW w:w="84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Interest expense</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(894)</w:t>
            </w:r>
          </w:p>
        </w:tc>
      </w:tr>
      <w:tr>
        <w:trPr>
          <w:trHeight w:val="206"/>
        </w:trPr>
        <w:tc>
          <w:tcPr>
            <w:tcW w:w="840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59,402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50,335</w:t>
            </w:r>
          </w:p>
        </w:tc>
      </w:tr>
      <w:tr>
        <w:trPr>
          <w:trHeight w:val="216"/>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12,161</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10,894</w:t>
            </w:r>
          </w:p>
        </w:tc>
      </w:tr>
      <w:tr>
        <w:trPr>
          <w:trHeight w:val="213"/>
        </w:trPr>
        <w:tc>
          <w:tcPr>
            <w:tcW w:w="84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47,241</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39,441</w:t>
            </w: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3"/>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per Class A Nonvoting Common Share:</w:t>
            </w: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13"/>
        </w:trPr>
        <w:tc>
          <w:tcPr>
            <w:tcW w:w="8400" w:type="dxa"/>
            <w:vAlign w:val="bottom"/>
          </w:tcPr>
          <w:p>
            <w:pPr>
              <w:ind w:left="400"/>
              <w:spacing w:after="0"/>
              <w:rPr>
                <w:sz w:val="20"/>
                <w:szCs w:val="20"/>
                <w:color w:val="auto"/>
              </w:rPr>
            </w:pPr>
            <w:r>
              <w:rPr>
                <w:rFonts w:ascii="Arial" w:cs="Arial" w:eastAsia="Arial" w:hAnsi="Arial"/>
                <w:sz w:val="16"/>
                <w:szCs w:val="16"/>
                <w:color w:val="auto"/>
              </w:rPr>
              <w:t>Basic</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0.97</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0.79</w:t>
            </w:r>
          </w:p>
        </w:tc>
      </w:tr>
      <w:tr>
        <w:trPr>
          <w:trHeight w:val="219"/>
        </w:trPr>
        <w:tc>
          <w:tcPr>
            <w:tcW w:w="84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Diluted</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0.79</w:t>
            </w:r>
          </w:p>
        </w:tc>
      </w:tr>
      <w:tr>
        <w:trPr>
          <w:trHeight w:val="213"/>
        </w:trPr>
        <w:tc>
          <w:tcPr>
            <w:tcW w:w="8400" w:type="dxa"/>
            <w:vAlign w:val="bottom"/>
          </w:tcPr>
          <w:p>
            <w:pPr>
              <w:ind w:left="20"/>
              <w:spacing w:after="0"/>
              <w:rPr>
                <w:sz w:val="20"/>
                <w:szCs w:val="20"/>
                <w:color w:val="auto"/>
              </w:rPr>
            </w:pPr>
            <w:r>
              <w:rPr>
                <w:rFonts w:ascii="Arial" w:cs="Arial" w:eastAsia="Arial" w:hAnsi="Arial"/>
                <w:sz w:val="16"/>
                <w:szCs w:val="16"/>
                <w:color w:val="auto"/>
              </w:rPr>
              <w:t>Net income per Class B Voting Common Share:</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84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Basic</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0.78</w:t>
            </w:r>
          </w:p>
        </w:tc>
      </w:tr>
      <w:tr>
        <w:trPr>
          <w:trHeight w:val="213"/>
        </w:trPr>
        <w:tc>
          <w:tcPr>
            <w:tcW w:w="8400" w:type="dxa"/>
            <w:vAlign w:val="bottom"/>
          </w:tcPr>
          <w:p>
            <w:pPr>
              <w:ind w:left="400"/>
              <w:spacing w:after="0"/>
              <w:rPr>
                <w:sz w:val="20"/>
                <w:szCs w:val="20"/>
                <w:color w:val="auto"/>
              </w:rPr>
            </w:pPr>
            <w:r>
              <w:rPr>
                <w:rFonts w:ascii="Arial" w:cs="Arial" w:eastAsia="Arial" w:hAnsi="Arial"/>
                <w:sz w:val="16"/>
                <w:szCs w:val="16"/>
                <w:color w:val="auto"/>
              </w:rPr>
              <w:t>Diluted</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0.95</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0.77</w:t>
            </w:r>
          </w:p>
        </w:tc>
      </w:tr>
      <w:tr>
        <w:trPr>
          <w:trHeight w:val="219"/>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8400" w:type="dxa"/>
            <w:vAlign w:val="bottom"/>
          </w:tcPr>
          <w:p>
            <w:pPr>
              <w:ind w:left="380"/>
              <w:spacing w:after="0"/>
              <w:rPr>
                <w:sz w:val="20"/>
                <w:szCs w:val="20"/>
                <w:color w:val="auto"/>
              </w:rPr>
            </w:pPr>
            <w:r>
              <w:rPr>
                <w:rFonts w:ascii="Arial" w:cs="Arial" w:eastAsia="Arial" w:hAnsi="Arial"/>
                <w:sz w:val="16"/>
                <w:szCs w:val="16"/>
                <w:color w:val="auto"/>
              </w:rPr>
              <w:t>Basic</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48,505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49,868</w:t>
            </w:r>
          </w:p>
        </w:tc>
      </w:tr>
      <w:tr>
        <w:trPr>
          <w:trHeight w:val="219"/>
        </w:trPr>
        <w:tc>
          <w:tcPr>
            <w:tcW w:w="84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Diluted</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48,811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50,090</w:t>
            </w:r>
          </w:p>
        </w:tc>
      </w:tr>
    </w:tbl>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BRADY CORPORATION AND SUBSIDIARIES</w:t>
      </w:r>
    </w:p>
    <w:p>
      <w:pPr>
        <w:spacing w:after="0" w:line="23" w:lineRule="exact"/>
        <w:rPr>
          <w:sz w:val="20"/>
          <w:szCs w:val="20"/>
          <w:color w:val="auto"/>
        </w:rPr>
      </w:pPr>
    </w:p>
    <w:p>
      <w:pPr>
        <w:ind w:right="5260"/>
        <w:spacing w:after="0" w:line="275" w:lineRule="auto"/>
        <w:rPr>
          <w:sz w:val="20"/>
          <w:szCs w:val="20"/>
          <w:color w:val="auto"/>
        </w:rPr>
      </w:pPr>
      <w:r>
        <w:rPr>
          <w:rFonts w:ascii="Arial" w:cs="Arial" w:eastAsia="Arial" w:hAnsi="Arial"/>
          <w:sz w:val="16"/>
          <w:szCs w:val="16"/>
          <w:b w:val="1"/>
          <w:bCs w:val="1"/>
          <w:color w:val="auto"/>
        </w:rPr>
        <w:t xml:space="preserve">CONDENSED CONSOLIDATED STATEMENTS OF COMPREHENSIVE INCOME </w:t>
      </w:r>
      <w:r>
        <w:rPr>
          <w:rFonts w:ascii="Arial" w:cs="Arial" w:eastAsia="Arial" w:hAnsi="Arial"/>
          <w:sz w:val="16"/>
          <w:szCs w:val="16"/>
          <w:color w:val="auto"/>
        </w:rPr>
        <w:t>(Dollars in Thousands, 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4"/>
          </w:tcPr>
          <w:p>
            <w:pPr>
              <w:jc w:val="right"/>
              <w:ind w:right="179"/>
              <w:spacing w:after="0"/>
              <w:rPr>
                <w:sz w:val="20"/>
                <w:szCs w:val="20"/>
                <w:color w:val="auto"/>
              </w:rPr>
            </w:pPr>
            <w:r>
              <w:rPr>
                <w:rFonts w:ascii="Arial" w:cs="Arial" w:eastAsia="Arial" w:hAnsi="Arial"/>
                <w:sz w:val="16"/>
                <w:szCs w:val="16"/>
                <w:b w:val="1"/>
                <w:bCs w:val="1"/>
                <w:color w:val="auto"/>
                <w:w w:val="93"/>
              </w:rPr>
              <w:t>Three months ended October 31,</w:t>
            </w:r>
          </w:p>
        </w:tc>
      </w:tr>
      <w:tr>
        <w:trPr>
          <w:trHeight w:val="210"/>
        </w:trPr>
        <w:tc>
          <w:tcPr>
            <w:tcW w:w="84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r>
      <w:tr>
        <w:trPr>
          <w:trHeight w:val="212"/>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47,241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39,441</w:t>
            </w:r>
          </w:p>
        </w:tc>
      </w:tr>
      <w:tr>
        <w:trPr>
          <w:trHeight w:val="213"/>
        </w:trPr>
        <w:tc>
          <w:tcPr>
            <w:tcW w:w="844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8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Foreign currency translation adjustments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(17,672)</w:t>
            </w:r>
          </w:p>
        </w:tc>
      </w:tr>
      <w:tr>
        <w:trPr>
          <w:trHeight w:val="216"/>
        </w:trPr>
        <w:tc>
          <w:tcPr>
            <w:tcW w:w="8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8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flow hedges:</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3"/>
        </w:trPr>
        <w:tc>
          <w:tcPr>
            <w:tcW w:w="8440" w:type="dxa"/>
            <w:vAlign w:val="bottom"/>
          </w:tcPr>
          <w:p>
            <w:pPr>
              <w:ind w:left="680"/>
              <w:spacing w:after="0"/>
              <w:rPr>
                <w:sz w:val="20"/>
                <w:szCs w:val="20"/>
                <w:color w:val="auto"/>
              </w:rPr>
            </w:pPr>
            <w:r>
              <w:rPr>
                <w:rFonts w:ascii="Arial" w:cs="Arial" w:eastAsia="Arial" w:hAnsi="Arial"/>
                <w:sz w:val="16"/>
                <w:szCs w:val="16"/>
                <w:color w:val="auto"/>
              </w:rPr>
              <w:t>Net (loss) gain recognized in other comprehensive loss</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893</w:t>
            </w:r>
          </w:p>
        </w:tc>
      </w:tr>
      <w:tr>
        <w:trPr>
          <w:trHeight w:val="216"/>
        </w:trPr>
        <w:tc>
          <w:tcPr>
            <w:tcW w:w="84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Reclassification adjustment for gains included in net income</w:t>
            </w: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(581)</w:t>
            </w:r>
          </w:p>
        </w:tc>
      </w:tr>
      <w:tr>
        <w:trPr>
          <w:trHeight w:val="209"/>
        </w:trPr>
        <w:tc>
          <w:tcPr>
            <w:tcW w:w="8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(1,579)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312</w:t>
            </w:r>
          </w:p>
        </w:tc>
      </w:tr>
      <w:tr>
        <w:trPr>
          <w:trHeight w:val="219"/>
        </w:trPr>
        <w:tc>
          <w:tcPr>
            <w:tcW w:w="8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8440" w:type="dxa"/>
            <w:vAlign w:val="bottom"/>
          </w:tcPr>
          <w:p>
            <w:pPr>
              <w:ind w:left="680"/>
              <w:spacing w:after="0"/>
              <w:rPr>
                <w:sz w:val="20"/>
                <w:szCs w:val="20"/>
                <w:color w:val="auto"/>
              </w:rPr>
            </w:pPr>
            <w:r>
              <w:rPr>
                <w:rFonts w:ascii="Arial" w:cs="Arial" w:eastAsia="Arial" w:hAnsi="Arial"/>
                <w:sz w:val="16"/>
                <w:szCs w:val="16"/>
                <w:color w:val="auto"/>
              </w:rPr>
              <w:t>Pension and other post-retirement benefits actuarial gain amortization</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(143)</w:t>
            </w:r>
          </w:p>
        </w:tc>
      </w:tr>
      <w:tr>
        <w:trPr>
          <w:trHeight w:val="219"/>
        </w:trPr>
        <w:tc>
          <w:tcPr>
            <w:tcW w:w="8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8440" w:type="dxa"/>
            <w:vAlign w:val="bottom"/>
          </w:tcPr>
          <w:p>
            <w:pPr>
              <w:ind w:left="20"/>
              <w:spacing w:after="0"/>
              <w:rPr>
                <w:sz w:val="20"/>
                <w:szCs w:val="20"/>
                <w:color w:val="auto"/>
              </w:rPr>
            </w:pPr>
            <w:r>
              <w:rPr>
                <w:rFonts w:ascii="Arial" w:cs="Arial" w:eastAsia="Arial" w:hAnsi="Arial"/>
                <w:sz w:val="16"/>
                <w:szCs w:val="16"/>
                <w:color w:val="auto"/>
              </w:rPr>
              <w:t>Other comprehensive loss, before tax</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(22,094)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(17,503)</w:t>
            </w:r>
          </w:p>
        </w:tc>
      </w:tr>
      <w:tr>
        <w:trPr>
          <w:trHeight w:val="219"/>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 benefit related to items of other comprehensive loss</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w:t>
            </w:r>
          </w:p>
        </w:tc>
      </w:tr>
      <w:tr>
        <w:trPr>
          <w:trHeight w:val="207"/>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comprehensive loss, net of tax</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(22,222)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(17,437)</w:t>
            </w:r>
          </w:p>
        </w:tc>
      </w:tr>
      <w:tr>
        <w:trPr>
          <w:trHeight w:val="238"/>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25,019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22,004</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BRADY CORPORATION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(Dollars in Thousands, 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gridSpan w:val="12"/>
          </w:tcPr>
          <w:p>
            <w:pPr>
              <w:ind w:left="20"/>
              <w:spacing w:after="0"/>
              <w:rPr>
                <w:sz w:val="20"/>
                <w:szCs w:val="20"/>
                <w:color w:val="auto"/>
              </w:rPr>
            </w:pPr>
            <w:r>
              <w:rPr>
                <w:rFonts w:ascii="Arial" w:cs="Arial" w:eastAsia="Arial" w:hAnsi="Arial"/>
                <w:sz w:val="16"/>
                <w:szCs w:val="16"/>
                <w:b w:val="1"/>
                <w:bCs w:val="1"/>
                <w:color w:val="auto"/>
              </w:rPr>
              <w:t>Three months ended October 31, 2023</w:t>
            </w: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4"/>
            <w:vMerge w:val="restart"/>
          </w:tcPr>
          <w:p>
            <w:pPr>
              <w:jc w:val="center"/>
              <w:ind w:right="260"/>
              <w:spacing w:after="0"/>
              <w:rPr>
                <w:sz w:val="20"/>
                <w:szCs w:val="20"/>
                <w:color w:val="auto"/>
              </w:rPr>
            </w:pPr>
            <w:r>
              <w:rPr>
                <w:rFonts w:ascii="Arial" w:cs="Arial" w:eastAsia="Arial" w:hAnsi="Arial"/>
                <w:sz w:val="16"/>
                <w:szCs w:val="16"/>
                <w:b w:val="1"/>
                <w:bCs w:val="1"/>
                <w:color w:val="auto"/>
                <w:w w:val="92"/>
              </w:rPr>
              <w:t>Common</w:t>
            </w:r>
          </w:p>
        </w:tc>
        <w:tc>
          <w:tcPr>
            <w:tcW w:w="120" w:type="dxa"/>
            <w:vAlign w:val="bottom"/>
          </w:tcPr>
          <w:p>
            <w:pPr>
              <w:spacing w:after="0"/>
              <w:rPr>
                <w:sz w:val="13"/>
                <w:szCs w:val="13"/>
                <w:color w:val="auto"/>
              </w:rPr>
            </w:pPr>
          </w:p>
        </w:tc>
        <w:tc>
          <w:tcPr>
            <w:tcW w:w="1040" w:type="dxa"/>
            <w:vAlign w:val="bottom"/>
            <w:gridSpan w:val="4"/>
          </w:tcPr>
          <w:p>
            <w:pPr>
              <w:jc w:val="center"/>
              <w:ind w:right="220"/>
              <w:spacing w:after="0" w:line="158" w:lineRule="exact"/>
              <w:rPr>
                <w:sz w:val="20"/>
                <w:szCs w:val="20"/>
                <w:color w:val="auto"/>
              </w:rPr>
            </w:pPr>
            <w:r>
              <w:rPr>
                <w:rFonts w:ascii="Arial" w:cs="Arial" w:eastAsia="Arial" w:hAnsi="Arial"/>
                <w:sz w:val="16"/>
                <w:szCs w:val="16"/>
                <w:b w:val="1"/>
                <w:bCs w:val="1"/>
                <w:color w:val="auto"/>
                <w:w w:val="94"/>
              </w:rPr>
              <w:t>Additional</w:t>
            </w:r>
          </w:p>
        </w:tc>
        <w:tc>
          <w:tcPr>
            <w:tcW w:w="100" w:type="dxa"/>
            <w:vAlign w:val="bottom"/>
          </w:tcPr>
          <w:p>
            <w:pPr>
              <w:spacing w:after="0"/>
              <w:rPr>
                <w:sz w:val="13"/>
                <w:szCs w:val="13"/>
                <w:color w:val="auto"/>
              </w:rPr>
            </w:pPr>
          </w:p>
        </w:tc>
        <w:tc>
          <w:tcPr>
            <w:tcW w:w="94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91"/>
              </w:rPr>
              <w:t>Retained</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6"/>
                <w:szCs w:val="16"/>
                <w:b w:val="1"/>
                <w:bCs w:val="1"/>
                <w:color w:val="auto"/>
              </w:rPr>
              <w:t>Treasury</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gridSpan w:val="3"/>
          </w:tcPr>
          <w:p>
            <w:pPr>
              <w:jc w:val="center"/>
              <w:spacing w:after="0" w:line="158" w:lineRule="exact"/>
              <w:rPr>
                <w:sz w:val="20"/>
                <w:szCs w:val="20"/>
                <w:color w:val="auto"/>
              </w:rPr>
            </w:pPr>
            <w:r>
              <w:rPr>
                <w:rFonts w:ascii="Arial" w:cs="Arial" w:eastAsia="Arial" w:hAnsi="Arial"/>
                <w:sz w:val="16"/>
                <w:szCs w:val="16"/>
                <w:b w:val="1"/>
                <w:bCs w:val="1"/>
                <w:color w:val="auto"/>
                <w:w w:val="92"/>
              </w:rPr>
              <w:t>Accumulated Other</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140"/>
              <w:spacing w:after="0" w:line="158" w:lineRule="exact"/>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4"/>
          </w:tcPr>
          <w:p>
            <w:pPr>
              <w:jc w:val="center"/>
              <w:ind w:right="240"/>
              <w:spacing w:after="0" w:line="162" w:lineRule="exact"/>
              <w:rPr>
                <w:sz w:val="20"/>
                <w:szCs w:val="20"/>
                <w:color w:val="auto"/>
              </w:rPr>
            </w:pPr>
            <w:r>
              <w:rPr>
                <w:rFonts w:ascii="Arial" w:cs="Arial" w:eastAsia="Arial" w:hAnsi="Arial"/>
                <w:sz w:val="16"/>
                <w:szCs w:val="16"/>
                <w:b w:val="1"/>
                <w:bCs w:val="1"/>
                <w:color w:val="auto"/>
                <w:w w:val="97"/>
              </w:rPr>
              <w:t>Paid-In</w:t>
            </w: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140"/>
              <w:spacing w:after="0" w:line="162" w:lineRule="exact"/>
              <w:rPr>
                <w:sz w:val="20"/>
                <w:szCs w:val="20"/>
                <w:color w:val="auto"/>
              </w:rPr>
            </w:pPr>
            <w:r>
              <w:rPr>
                <w:rFonts w:ascii="Arial" w:cs="Arial" w:eastAsia="Arial" w:hAnsi="Arial"/>
                <w:sz w:val="16"/>
                <w:szCs w:val="16"/>
                <w:b w:val="1"/>
                <w:bCs w:val="1"/>
                <w:color w:val="auto"/>
                <w:w w:val="89"/>
              </w:rPr>
              <w:t>Stockholders'</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6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6"/>
                <w:szCs w:val="16"/>
                <w:b w:val="1"/>
                <w:bCs w:val="1"/>
                <w:color w:val="auto"/>
                <w:w w:val="87"/>
              </w:rPr>
              <w:t>Stock</w:t>
            </w:r>
          </w:p>
        </w:tc>
        <w:tc>
          <w:tcPr>
            <w:tcW w:w="100" w:type="dxa"/>
            <w:vAlign w:val="bottom"/>
            <w:tcBorders>
              <w:bottom w:val="single" w:sz="8" w:color="CCEEFF"/>
            </w:tcBorders>
            <w:gridSpan w:val="2"/>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6"/>
                <w:szCs w:val="16"/>
                <w:b w:val="1"/>
                <w:bCs w:val="1"/>
                <w:color w:val="auto"/>
                <w:w w:val="97"/>
              </w:rPr>
              <w:t>Capital</w:t>
            </w:r>
          </w:p>
        </w:tc>
        <w:tc>
          <w:tcPr>
            <w:tcW w:w="100" w:type="dxa"/>
            <w:vAlign w:val="bottom"/>
            <w:tcBorders>
              <w:bottom w:val="single" w:sz="8" w:color="CCEEFF"/>
            </w:tcBorders>
            <w:gridSpan w:val="2"/>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93"/>
              </w:rPr>
              <w:t>Earnings</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6"/>
                <w:szCs w:val="16"/>
                <w:b w:val="1"/>
                <w:bCs w:val="1"/>
                <w:color w:val="auto"/>
              </w:rPr>
              <w:t>Stock</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85"/>
              </w:rPr>
              <w:t>Loss</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3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Balances at July 31, 2023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351,771</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1,021,870</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gridSpan w:val="2"/>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(290,209)</w:t>
            </w:r>
          </w:p>
        </w:tc>
        <w:tc>
          <w:tcPr>
            <w:tcW w:w="120" w:type="dxa"/>
            <w:vAlign w:val="bottom"/>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(93,061)</w:t>
            </w:r>
          </w:p>
        </w:tc>
        <w:tc>
          <w:tcPr>
            <w:tcW w:w="100" w:type="dxa"/>
            <w:vAlign w:val="bottom"/>
            <w:gridSpan w:val="2"/>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990,919</w:t>
            </w:r>
          </w:p>
        </w:tc>
        <w:tc>
          <w:tcPr>
            <w:tcW w:w="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3680" w:type="dxa"/>
            <w:vAlign w:val="bottom"/>
            <w:gridSpan w:val="2"/>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17"/>
                <w:szCs w:val="17"/>
                <w:color w:val="auto"/>
              </w:rPr>
            </w:pPr>
          </w:p>
        </w:tc>
        <w:tc>
          <w:tcPr>
            <w:tcW w:w="1020" w:type="dxa"/>
            <w:vAlign w:val="bottom"/>
            <w:gridSpan w:val="4"/>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40" w:type="dxa"/>
            <w:vAlign w:val="bottom"/>
            <w:gridSpan w:val="4"/>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47,241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ind w:left="1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47,241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3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comprehensive loss, net of tax</w:t>
            </w:r>
          </w:p>
        </w:tc>
        <w:tc>
          <w:tcPr>
            <w:tcW w:w="120" w:type="dxa"/>
            <w:vAlign w:val="bottom"/>
            <w:shd w:val="clear" w:color="auto" w:fill="CCEEFF"/>
          </w:tcPr>
          <w:p>
            <w:pPr>
              <w:spacing w:after="0"/>
              <w:rPr>
                <w:sz w:val="19"/>
                <w:szCs w:val="19"/>
                <w:color w:val="auto"/>
              </w:rPr>
            </w:pPr>
          </w:p>
        </w:tc>
        <w:tc>
          <w:tcPr>
            <w:tcW w:w="102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(22,222)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(22,222)</w:t>
            </w: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3680" w:type="dxa"/>
            <w:vAlign w:val="bottom"/>
            <w:gridSpan w:val="2"/>
          </w:tcPr>
          <w:p>
            <w:pPr>
              <w:ind w:left="20"/>
              <w:spacing w:after="0" w:line="166" w:lineRule="exact"/>
              <w:rPr>
                <w:sz w:val="20"/>
                <w:szCs w:val="20"/>
                <w:color w:val="auto"/>
              </w:rPr>
            </w:pPr>
            <w:r>
              <w:rPr>
                <w:rFonts w:ascii="Arial" w:cs="Arial" w:eastAsia="Arial" w:hAnsi="Arial"/>
                <w:sz w:val="16"/>
                <w:szCs w:val="16"/>
                <w:color w:val="auto"/>
                <w:w w:val="98"/>
              </w:rPr>
              <w:t>Issuance of shares of Class A Common Stock under</w:t>
            </w:r>
          </w:p>
        </w:tc>
        <w:tc>
          <w:tcPr>
            <w:tcW w:w="120" w:type="dxa"/>
            <w:vAlign w:val="bottom"/>
          </w:tcPr>
          <w:p>
            <w:pPr>
              <w:spacing w:after="0"/>
              <w:rPr>
                <w:sz w:val="14"/>
                <w:szCs w:val="14"/>
                <w:color w:val="auto"/>
              </w:rPr>
            </w:pPr>
          </w:p>
        </w:tc>
        <w:tc>
          <w:tcPr>
            <w:tcW w:w="1020" w:type="dxa"/>
            <w:vAlign w:val="bottom"/>
            <w:gridSpan w:val="4"/>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(3,662)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3,927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vMerge w:val="restart"/>
          </w:tcPr>
          <w:p>
            <w:pPr>
              <w:ind w:left="1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265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680" w:type="dxa"/>
            <w:vAlign w:val="bottom"/>
            <w:gridSpan w:val="2"/>
          </w:tcPr>
          <w:p>
            <w:pPr>
              <w:ind w:left="20"/>
              <w:spacing w:after="0"/>
              <w:rPr>
                <w:sz w:val="20"/>
                <w:szCs w:val="20"/>
                <w:color w:val="auto"/>
              </w:rPr>
            </w:pPr>
            <w:r>
              <w:rPr>
                <w:rFonts w:ascii="Arial" w:cs="Arial" w:eastAsia="Arial" w:hAnsi="Arial"/>
                <w:sz w:val="16"/>
                <w:szCs w:val="16"/>
                <w:color w:val="auto"/>
              </w:rPr>
              <w:t>stock plan</w:t>
            </w:r>
          </w:p>
        </w:tc>
        <w:tc>
          <w:tcPr>
            <w:tcW w:w="120" w:type="dxa"/>
            <w:vAlign w:val="bottom"/>
          </w:tcPr>
          <w:p>
            <w:pPr>
              <w:spacing w:after="0"/>
              <w:rPr>
                <w:sz w:val="18"/>
                <w:szCs w:val="18"/>
                <w:color w:val="auto"/>
              </w:rPr>
            </w:pPr>
          </w:p>
        </w:tc>
        <w:tc>
          <w:tcPr>
            <w:tcW w:w="1020" w:type="dxa"/>
            <w:vAlign w:val="bottom"/>
            <w:gridSpan w:val="4"/>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368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Tax benefit and withholdings from deferred</w:t>
            </w:r>
          </w:p>
        </w:tc>
        <w:tc>
          <w:tcPr>
            <w:tcW w:w="120" w:type="dxa"/>
            <w:vAlign w:val="bottom"/>
            <w:shd w:val="clear" w:color="auto" w:fill="CCEEFF"/>
          </w:tcPr>
          <w:p>
            <w:pPr>
              <w:spacing w:after="0"/>
              <w:rPr>
                <w:sz w:val="14"/>
                <w:szCs w:val="14"/>
                <w:color w:val="auto"/>
              </w:rPr>
            </w:pPr>
          </w:p>
        </w:tc>
        <w:tc>
          <w:tcPr>
            <w:tcW w:w="1020" w:type="dxa"/>
            <w:vAlign w:val="bottom"/>
            <w:gridSpan w:val="4"/>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gridSpan w:val="2"/>
            <w:vMerge w:val="restart"/>
            <w:shd w:val="clear" w:color="auto" w:fill="CCEEFF"/>
          </w:tcPr>
          <w:p>
            <w:pPr>
              <w:ind w:left="1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3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compensation distributions</w:t>
            </w:r>
          </w:p>
        </w:tc>
        <w:tc>
          <w:tcPr>
            <w:tcW w:w="120" w:type="dxa"/>
            <w:vAlign w:val="bottom"/>
            <w:shd w:val="clear" w:color="auto" w:fill="CCEEFF"/>
          </w:tcPr>
          <w:p>
            <w:pPr>
              <w:spacing w:after="0"/>
              <w:rPr>
                <w:sz w:val="18"/>
                <w:szCs w:val="18"/>
                <w:color w:val="auto"/>
              </w:rPr>
            </w:pPr>
          </w:p>
        </w:tc>
        <w:tc>
          <w:tcPr>
            <w:tcW w:w="1020" w:type="dxa"/>
            <w:vAlign w:val="bottom"/>
            <w:gridSpan w:val="4"/>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680" w:type="dxa"/>
            <w:vAlign w:val="bottom"/>
            <w:gridSpan w:val="2"/>
          </w:tcPr>
          <w:p>
            <w:pPr>
              <w:ind w:left="20"/>
              <w:spacing w:after="0"/>
              <w:rPr>
                <w:sz w:val="20"/>
                <w:szCs w:val="20"/>
                <w:color w:val="auto"/>
              </w:rPr>
            </w:pPr>
            <w:r>
              <w:rPr>
                <w:rFonts w:ascii="Arial" w:cs="Arial" w:eastAsia="Arial" w:hAnsi="Arial"/>
                <w:sz w:val="16"/>
                <w:szCs w:val="16"/>
                <w:color w:val="auto"/>
              </w:rPr>
              <w:t>Stock-based compensation expense</w:t>
            </w:r>
          </w:p>
        </w:tc>
        <w:tc>
          <w:tcPr>
            <w:tcW w:w="120" w:type="dxa"/>
            <w:vAlign w:val="bottom"/>
          </w:tcPr>
          <w:p>
            <w:pPr>
              <w:spacing w:after="0"/>
              <w:rPr>
                <w:sz w:val="18"/>
                <w:szCs w:val="18"/>
                <w:color w:val="auto"/>
              </w:rPr>
            </w:pPr>
          </w:p>
        </w:tc>
        <w:tc>
          <w:tcPr>
            <w:tcW w:w="1020" w:type="dxa"/>
            <w:vAlign w:val="bottom"/>
            <w:gridSpan w:val="4"/>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4,163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ind w:left="1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4,163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368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Repurchase of shares of Class A Common Stock,</w:t>
            </w:r>
          </w:p>
        </w:tc>
        <w:tc>
          <w:tcPr>
            <w:tcW w:w="120" w:type="dxa"/>
            <w:vAlign w:val="bottom"/>
            <w:shd w:val="clear" w:color="auto" w:fill="CCEEFF"/>
          </w:tcPr>
          <w:p>
            <w:pPr>
              <w:spacing w:after="0"/>
              <w:rPr>
                <w:sz w:val="14"/>
                <w:szCs w:val="14"/>
                <w:color w:val="auto"/>
              </w:rPr>
            </w:pPr>
          </w:p>
        </w:tc>
        <w:tc>
          <w:tcPr>
            <w:tcW w:w="1020" w:type="dxa"/>
            <w:vAlign w:val="bottom"/>
            <w:gridSpan w:val="4"/>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40" w:type="dxa"/>
            <w:vAlign w:val="bottom"/>
            <w:gridSpan w:val="4"/>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(14,185)</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gridSpan w:val="2"/>
            <w:vMerge w:val="restart"/>
            <w:shd w:val="clear" w:color="auto" w:fill="CCEEFF"/>
          </w:tcPr>
          <w:p>
            <w:pPr>
              <w:ind w:left="1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(14,185)</w:t>
            </w: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3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including excise taxes</w:t>
            </w:r>
          </w:p>
        </w:tc>
        <w:tc>
          <w:tcPr>
            <w:tcW w:w="120" w:type="dxa"/>
            <w:vAlign w:val="bottom"/>
            <w:shd w:val="clear" w:color="auto" w:fill="CCEEFF"/>
          </w:tcPr>
          <w:p>
            <w:pPr>
              <w:spacing w:after="0"/>
              <w:rPr>
                <w:sz w:val="18"/>
                <w:szCs w:val="18"/>
                <w:color w:val="auto"/>
              </w:rPr>
            </w:pPr>
          </w:p>
        </w:tc>
        <w:tc>
          <w:tcPr>
            <w:tcW w:w="1020" w:type="dxa"/>
            <w:vAlign w:val="bottom"/>
            <w:gridSpan w:val="4"/>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4"/>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680" w:type="dxa"/>
            <w:vAlign w:val="bottom"/>
            <w:gridSpan w:val="2"/>
          </w:tcPr>
          <w:p>
            <w:pPr>
              <w:ind w:left="20"/>
              <w:spacing w:after="0"/>
              <w:rPr>
                <w:sz w:val="20"/>
                <w:szCs w:val="20"/>
                <w:color w:val="auto"/>
              </w:rPr>
            </w:pPr>
            <w:r>
              <w:rPr>
                <w:rFonts w:ascii="Arial" w:cs="Arial" w:eastAsia="Arial" w:hAnsi="Arial"/>
                <w:sz w:val="16"/>
                <w:szCs w:val="16"/>
                <w:color w:val="auto"/>
              </w:rPr>
              <w:t>Cash dividends on Common Stock:</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36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Class A — $0.2350 per share</w:t>
            </w:r>
          </w:p>
        </w:tc>
        <w:tc>
          <w:tcPr>
            <w:tcW w:w="120" w:type="dxa"/>
            <w:vAlign w:val="bottom"/>
            <w:shd w:val="clear" w:color="auto" w:fill="CCEEFF"/>
          </w:tcPr>
          <w:p>
            <w:pPr>
              <w:spacing w:after="0"/>
              <w:rPr>
                <w:sz w:val="19"/>
                <w:szCs w:val="19"/>
                <w:color w:val="auto"/>
              </w:rPr>
            </w:pPr>
          </w:p>
        </w:tc>
        <w:tc>
          <w:tcPr>
            <w:tcW w:w="102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(10,565)</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1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(10,565)</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68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Class B — $0.2184 per share</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gridSpan w:val="2"/>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gridSpan w:val="2"/>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(773)</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ind w:left="11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(773)</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Balances at October 31, 2023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352,421</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1,057,773</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gridSpan w:val="2"/>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(300,467)</w:t>
            </w:r>
          </w:p>
        </w:tc>
        <w:tc>
          <w:tcPr>
            <w:tcW w:w="120" w:type="dxa"/>
            <w:vAlign w:val="bottom"/>
            <w:tcBorders>
              <w:bottom w:val="single" w:sz="8" w:color="CCEEFF"/>
            </w:tcBorders>
            <w:gridSpan w:val="2"/>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(115,283)</w:t>
            </w: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994,992</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12"/>
          </w:tcPr>
          <w:p>
            <w:pPr>
              <w:spacing w:after="0"/>
              <w:rPr>
                <w:sz w:val="20"/>
                <w:szCs w:val="20"/>
                <w:color w:val="auto"/>
              </w:rPr>
            </w:pPr>
            <w:r>
              <w:rPr>
                <w:rFonts w:ascii="Arial" w:cs="Arial" w:eastAsia="Arial" w:hAnsi="Arial"/>
                <w:sz w:val="16"/>
                <w:szCs w:val="16"/>
                <w:b w:val="1"/>
                <w:bCs w:val="1"/>
                <w:color w:val="auto"/>
              </w:rPr>
              <w:t>Three months ended October 31, 2022</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4"/>
            <w:vMerge w:val="restart"/>
          </w:tcPr>
          <w:p>
            <w:pPr>
              <w:jc w:val="center"/>
              <w:ind w:right="260"/>
              <w:spacing w:after="0"/>
              <w:rPr>
                <w:sz w:val="20"/>
                <w:szCs w:val="20"/>
                <w:color w:val="auto"/>
              </w:rPr>
            </w:pPr>
            <w:r>
              <w:rPr>
                <w:rFonts w:ascii="Arial" w:cs="Arial" w:eastAsia="Arial" w:hAnsi="Arial"/>
                <w:sz w:val="16"/>
                <w:szCs w:val="16"/>
                <w:b w:val="1"/>
                <w:bCs w:val="1"/>
                <w:color w:val="auto"/>
                <w:w w:val="92"/>
              </w:rPr>
              <w:t>Common</w:t>
            </w:r>
          </w:p>
        </w:tc>
        <w:tc>
          <w:tcPr>
            <w:tcW w:w="120" w:type="dxa"/>
            <w:vAlign w:val="bottom"/>
          </w:tcPr>
          <w:p>
            <w:pPr>
              <w:spacing w:after="0"/>
              <w:rPr>
                <w:sz w:val="13"/>
                <w:szCs w:val="13"/>
                <w:color w:val="auto"/>
              </w:rPr>
            </w:pPr>
          </w:p>
        </w:tc>
        <w:tc>
          <w:tcPr>
            <w:tcW w:w="1040" w:type="dxa"/>
            <w:vAlign w:val="bottom"/>
            <w:gridSpan w:val="4"/>
          </w:tcPr>
          <w:p>
            <w:pPr>
              <w:jc w:val="center"/>
              <w:ind w:right="260"/>
              <w:spacing w:after="0" w:line="158" w:lineRule="exact"/>
              <w:rPr>
                <w:sz w:val="20"/>
                <w:szCs w:val="20"/>
                <w:color w:val="auto"/>
              </w:rPr>
            </w:pPr>
            <w:r>
              <w:rPr>
                <w:rFonts w:ascii="Arial" w:cs="Arial" w:eastAsia="Arial" w:hAnsi="Arial"/>
                <w:sz w:val="16"/>
                <w:szCs w:val="16"/>
                <w:b w:val="1"/>
                <w:bCs w:val="1"/>
                <w:color w:val="auto"/>
                <w:w w:val="94"/>
              </w:rPr>
              <w:t>Additional</w:t>
            </w:r>
          </w:p>
        </w:tc>
        <w:tc>
          <w:tcPr>
            <w:tcW w:w="100" w:type="dxa"/>
            <w:vAlign w:val="bottom"/>
          </w:tcPr>
          <w:p>
            <w:pPr>
              <w:spacing w:after="0"/>
              <w:rPr>
                <w:sz w:val="13"/>
                <w:szCs w:val="13"/>
                <w:color w:val="auto"/>
              </w:rPr>
            </w:pP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1"/>
              </w:rPr>
              <w:t>Retained</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6"/>
                <w:szCs w:val="16"/>
                <w:b w:val="1"/>
                <w:bCs w:val="1"/>
                <w:color w:val="auto"/>
                <w:w w:val="94"/>
              </w:rPr>
              <w:t>Treasury</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gridSpan w:val="3"/>
          </w:tcPr>
          <w:p>
            <w:pPr>
              <w:spacing w:after="0" w:line="158" w:lineRule="exact"/>
              <w:rPr>
                <w:sz w:val="20"/>
                <w:szCs w:val="20"/>
                <w:color w:val="auto"/>
              </w:rPr>
            </w:pPr>
            <w:r>
              <w:rPr>
                <w:rFonts w:ascii="Arial" w:cs="Arial" w:eastAsia="Arial" w:hAnsi="Arial"/>
                <w:sz w:val="16"/>
                <w:szCs w:val="16"/>
                <w:b w:val="1"/>
                <w:bCs w:val="1"/>
                <w:color w:val="auto"/>
                <w:w w:val="96"/>
              </w:rPr>
              <w:t>Accumulated Other</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center"/>
              <w:ind w:right="79"/>
              <w:spacing w:after="0" w:line="158" w:lineRule="exact"/>
              <w:rPr>
                <w:sz w:val="20"/>
                <w:szCs w:val="20"/>
                <w:color w:val="auto"/>
              </w:rPr>
            </w:pPr>
            <w:r>
              <w:rPr>
                <w:rFonts w:ascii="Arial" w:cs="Arial" w:eastAsia="Arial" w:hAnsi="Arial"/>
                <w:sz w:val="16"/>
                <w:szCs w:val="16"/>
                <w:b w:val="1"/>
                <w:bCs w:val="1"/>
                <w:color w:val="auto"/>
                <w:w w:val="94"/>
              </w:rPr>
              <w:t>Total</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4"/>
          </w:tcPr>
          <w:p>
            <w:pPr>
              <w:jc w:val="center"/>
              <w:ind w:right="280"/>
              <w:spacing w:after="0" w:line="162" w:lineRule="exact"/>
              <w:rPr>
                <w:sz w:val="20"/>
                <w:szCs w:val="20"/>
                <w:color w:val="auto"/>
              </w:rPr>
            </w:pPr>
            <w:r>
              <w:rPr>
                <w:rFonts w:ascii="Arial" w:cs="Arial" w:eastAsia="Arial" w:hAnsi="Arial"/>
                <w:sz w:val="16"/>
                <w:szCs w:val="16"/>
                <w:b w:val="1"/>
                <w:bCs w:val="1"/>
                <w:color w:val="auto"/>
                <w:w w:val="97"/>
              </w:rPr>
              <w:t>Paid-In</w:t>
            </w: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ind w:left="40"/>
              <w:spacing w:after="0" w:line="162" w:lineRule="exact"/>
              <w:rPr>
                <w:sz w:val="20"/>
                <w:szCs w:val="20"/>
                <w:color w:val="auto"/>
              </w:rPr>
            </w:pPr>
            <w:r>
              <w:rPr>
                <w:rFonts w:ascii="Arial" w:cs="Arial" w:eastAsia="Arial" w:hAnsi="Arial"/>
                <w:sz w:val="16"/>
                <w:szCs w:val="16"/>
                <w:b w:val="1"/>
                <w:bCs w:val="1"/>
                <w:color w:val="auto"/>
              </w:rPr>
              <w:t>Comprehensive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180"/>
              <w:spacing w:after="0" w:line="162" w:lineRule="exact"/>
              <w:rPr>
                <w:sz w:val="20"/>
                <w:szCs w:val="20"/>
                <w:color w:val="auto"/>
              </w:rPr>
            </w:pPr>
            <w:r>
              <w:rPr>
                <w:rFonts w:ascii="Arial" w:cs="Arial" w:eastAsia="Arial" w:hAnsi="Arial"/>
                <w:sz w:val="16"/>
                <w:szCs w:val="16"/>
                <w:b w:val="1"/>
                <w:bCs w:val="1"/>
                <w:color w:val="auto"/>
                <w:w w:val="89"/>
              </w:rPr>
              <w:t>Stockholders'</w:t>
            </w:r>
          </w:p>
        </w:tc>
        <w:tc>
          <w:tcPr>
            <w:tcW w:w="0" w:type="dxa"/>
            <w:vAlign w:val="bottom"/>
          </w:tcPr>
          <w:p>
            <w:pPr>
              <w:spacing w:after="0"/>
              <w:rPr>
                <w:sz w:val="1"/>
                <w:szCs w:val="1"/>
                <w:color w:val="auto"/>
              </w:rPr>
            </w:pPr>
          </w:p>
        </w:tc>
      </w:tr>
      <w:tr>
        <w:trPr>
          <w:trHeight w:val="213"/>
        </w:trPr>
        <w:tc>
          <w:tcPr>
            <w:tcW w:w="40" w:type="dxa"/>
            <w:vAlign w:val="bottom"/>
            <w:tcBorders>
              <w:bottom w:val="single" w:sz="8" w:color="CCEEFF"/>
            </w:tcBorders>
          </w:tcPr>
          <w:p>
            <w:pPr>
              <w:spacing w:after="0"/>
              <w:rPr>
                <w:sz w:val="18"/>
                <w:szCs w:val="18"/>
                <w:color w:val="auto"/>
              </w:rPr>
            </w:pPr>
          </w:p>
        </w:tc>
        <w:tc>
          <w:tcPr>
            <w:tcW w:w="36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7"/>
              </w:rPr>
              <w:t>Stock</w:t>
            </w:r>
          </w:p>
        </w:tc>
        <w:tc>
          <w:tcPr>
            <w:tcW w:w="10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3"/>
              </w:rPr>
              <w:t>Capital</w:t>
            </w:r>
          </w:p>
        </w:tc>
        <w:tc>
          <w:tcPr>
            <w:tcW w:w="10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3"/>
              </w:rPr>
              <w:t>Earnings</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Stock</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ind w:left="420"/>
              <w:spacing w:after="0"/>
              <w:rPr>
                <w:sz w:val="20"/>
                <w:szCs w:val="20"/>
                <w:color w:val="auto"/>
              </w:rPr>
            </w:pPr>
            <w:r>
              <w:rPr>
                <w:rFonts w:ascii="Arial" w:cs="Arial" w:eastAsia="Arial" w:hAnsi="Arial"/>
                <w:sz w:val="16"/>
                <w:szCs w:val="16"/>
                <w:b w:val="1"/>
                <w:bCs w:val="1"/>
                <w:color w:val="auto"/>
              </w:rPr>
              <w:t>Loss</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3"/>
              </w:rPr>
              <w:t>Equity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Balances at July 31, 2022</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345,266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892,417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(217,856)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(109,077)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911,298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Net income</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4"/>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40" w:type="dxa"/>
            <w:vAlign w:val="bottom"/>
            <w:gridSpan w:val="4"/>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39,441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ind w:left="10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39,441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7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Other comprehensive loss, net of tax</w:t>
            </w:r>
          </w:p>
        </w:tc>
        <w:tc>
          <w:tcPr>
            <w:tcW w:w="120" w:type="dxa"/>
            <w:vAlign w:val="bottom"/>
            <w:shd w:val="clear" w:color="auto" w:fill="CCEEFF"/>
          </w:tcPr>
          <w:p>
            <w:pPr>
              <w:spacing w:after="0"/>
              <w:rPr>
                <w:sz w:val="19"/>
                <w:szCs w:val="19"/>
                <w:color w:val="auto"/>
              </w:rPr>
            </w:pPr>
          </w:p>
        </w:tc>
        <w:tc>
          <w:tcPr>
            <w:tcW w:w="1020" w:type="dxa"/>
            <w:vAlign w:val="bottom"/>
            <w:gridSpan w:val="4"/>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4"/>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(17,437)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(17,437)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3720" w:type="dxa"/>
            <w:vAlign w:val="bottom"/>
            <w:gridSpan w:val="3"/>
          </w:tcPr>
          <w:p>
            <w:pPr>
              <w:ind w:left="20"/>
              <w:spacing w:after="0" w:line="166" w:lineRule="exact"/>
              <w:rPr>
                <w:sz w:val="20"/>
                <w:szCs w:val="20"/>
                <w:color w:val="auto"/>
              </w:rPr>
            </w:pPr>
            <w:r>
              <w:rPr>
                <w:rFonts w:ascii="Arial" w:cs="Arial" w:eastAsia="Arial" w:hAnsi="Arial"/>
                <w:sz w:val="16"/>
                <w:szCs w:val="16"/>
                <w:color w:val="auto"/>
                <w:w w:val="99"/>
              </w:rPr>
              <w:t>Issuance of shares of Class A Common Stock under</w:t>
            </w:r>
          </w:p>
        </w:tc>
        <w:tc>
          <w:tcPr>
            <w:tcW w:w="120" w:type="dxa"/>
            <w:vAlign w:val="bottom"/>
          </w:tcPr>
          <w:p>
            <w:pPr>
              <w:spacing w:after="0"/>
              <w:rPr>
                <w:sz w:val="14"/>
                <w:szCs w:val="14"/>
                <w:color w:val="auto"/>
              </w:rPr>
            </w:pPr>
          </w:p>
        </w:tc>
        <w:tc>
          <w:tcPr>
            <w:tcW w:w="1020" w:type="dxa"/>
            <w:vAlign w:val="bottom"/>
            <w:gridSpan w:val="4"/>
            <w:vMerge w:val="restart"/>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(2,226)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1,071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vMerge w:val="restart"/>
          </w:tcPr>
          <w:p>
            <w:pPr>
              <w:ind w:left="10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(1,155)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720" w:type="dxa"/>
            <w:vAlign w:val="bottom"/>
            <w:gridSpan w:val="3"/>
          </w:tcPr>
          <w:p>
            <w:pPr>
              <w:ind w:left="20"/>
              <w:spacing w:after="0"/>
              <w:rPr>
                <w:sz w:val="20"/>
                <w:szCs w:val="20"/>
                <w:color w:val="auto"/>
              </w:rPr>
            </w:pPr>
            <w:r>
              <w:rPr>
                <w:rFonts w:ascii="Arial" w:cs="Arial" w:eastAsia="Arial" w:hAnsi="Arial"/>
                <w:sz w:val="16"/>
                <w:szCs w:val="16"/>
                <w:color w:val="auto"/>
              </w:rPr>
              <w:t>stock plan</w:t>
            </w:r>
          </w:p>
        </w:tc>
        <w:tc>
          <w:tcPr>
            <w:tcW w:w="120" w:type="dxa"/>
            <w:vAlign w:val="bottom"/>
          </w:tcPr>
          <w:p>
            <w:pPr>
              <w:spacing w:after="0"/>
              <w:rPr>
                <w:sz w:val="18"/>
                <w:szCs w:val="18"/>
                <w:color w:val="auto"/>
              </w:rPr>
            </w:pPr>
          </w:p>
        </w:tc>
        <w:tc>
          <w:tcPr>
            <w:tcW w:w="1020" w:type="dxa"/>
            <w:vAlign w:val="bottom"/>
            <w:gridSpan w:val="4"/>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720" w:type="dxa"/>
            <w:vAlign w:val="bottom"/>
            <w:gridSpan w:val="3"/>
            <w:shd w:val="clear" w:color="auto" w:fill="CCEEFF"/>
          </w:tcPr>
          <w:p>
            <w:pPr>
              <w:ind w:left="20"/>
              <w:spacing w:after="0" w:line="169" w:lineRule="exact"/>
              <w:rPr>
                <w:sz w:val="20"/>
                <w:szCs w:val="20"/>
                <w:color w:val="auto"/>
              </w:rPr>
            </w:pPr>
            <w:r>
              <w:rPr>
                <w:rFonts w:ascii="Arial" w:cs="Arial" w:eastAsia="Arial" w:hAnsi="Arial"/>
                <w:sz w:val="16"/>
                <w:szCs w:val="16"/>
                <w:color w:val="auto"/>
              </w:rPr>
              <w:t>Tax benefit and withholdings from deferred</w:t>
            </w:r>
          </w:p>
        </w:tc>
        <w:tc>
          <w:tcPr>
            <w:tcW w:w="120" w:type="dxa"/>
            <w:vAlign w:val="bottom"/>
            <w:shd w:val="clear" w:color="auto" w:fill="CCEEFF"/>
          </w:tcPr>
          <w:p>
            <w:pPr>
              <w:spacing w:after="0"/>
              <w:rPr>
                <w:sz w:val="14"/>
                <w:szCs w:val="14"/>
                <w:color w:val="auto"/>
              </w:rPr>
            </w:pPr>
          </w:p>
        </w:tc>
        <w:tc>
          <w:tcPr>
            <w:tcW w:w="1020" w:type="dxa"/>
            <w:vAlign w:val="bottom"/>
            <w:gridSpan w:val="4"/>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gridSpan w:val="2"/>
            <w:vMerge w:val="restart"/>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7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compensation distributions</w:t>
            </w:r>
          </w:p>
        </w:tc>
        <w:tc>
          <w:tcPr>
            <w:tcW w:w="120" w:type="dxa"/>
            <w:vAlign w:val="bottom"/>
            <w:shd w:val="clear" w:color="auto" w:fill="CCEEFF"/>
          </w:tcPr>
          <w:p>
            <w:pPr>
              <w:spacing w:after="0"/>
              <w:rPr>
                <w:sz w:val="18"/>
                <w:szCs w:val="18"/>
                <w:color w:val="auto"/>
              </w:rPr>
            </w:pPr>
          </w:p>
        </w:tc>
        <w:tc>
          <w:tcPr>
            <w:tcW w:w="1020" w:type="dxa"/>
            <w:vAlign w:val="bottom"/>
            <w:gridSpan w:val="4"/>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20" w:type="dxa"/>
            <w:vAlign w:val="bottom"/>
            <w:gridSpan w:val="3"/>
          </w:tcPr>
          <w:p>
            <w:pPr>
              <w:ind w:left="20"/>
              <w:spacing w:after="0"/>
              <w:rPr>
                <w:sz w:val="20"/>
                <w:szCs w:val="20"/>
                <w:color w:val="auto"/>
              </w:rPr>
            </w:pPr>
            <w:r>
              <w:rPr>
                <w:rFonts w:ascii="Arial" w:cs="Arial" w:eastAsia="Arial" w:hAnsi="Arial"/>
                <w:sz w:val="16"/>
                <w:szCs w:val="16"/>
                <w:color w:val="auto"/>
              </w:rPr>
              <w:t>Stock-based compensation expense</w:t>
            </w:r>
          </w:p>
        </w:tc>
        <w:tc>
          <w:tcPr>
            <w:tcW w:w="120" w:type="dxa"/>
            <w:vAlign w:val="bottom"/>
          </w:tcPr>
          <w:p>
            <w:pPr>
              <w:spacing w:after="0"/>
              <w:rPr>
                <w:sz w:val="18"/>
                <w:szCs w:val="18"/>
                <w:color w:val="auto"/>
              </w:rPr>
            </w:pPr>
          </w:p>
        </w:tc>
        <w:tc>
          <w:tcPr>
            <w:tcW w:w="1020" w:type="dxa"/>
            <w:vAlign w:val="bottom"/>
            <w:gridSpan w:val="4"/>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2,958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ind w:left="10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2,958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Repurchase of shares of Class A Common Stock</w:t>
            </w:r>
          </w:p>
        </w:tc>
        <w:tc>
          <w:tcPr>
            <w:tcW w:w="120" w:type="dxa"/>
            <w:vAlign w:val="bottom"/>
            <w:shd w:val="clear" w:color="auto" w:fill="CCEEFF"/>
          </w:tcPr>
          <w:p>
            <w:pPr>
              <w:spacing w:after="0"/>
              <w:rPr>
                <w:sz w:val="19"/>
                <w:szCs w:val="19"/>
                <w:color w:val="auto"/>
              </w:rPr>
            </w:pPr>
          </w:p>
        </w:tc>
        <w:tc>
          <w:tcPr>
            <w:tcW w:w="1020" w:type="dxa"/>
            <w:vAlign w:val="bottom"/>
            <w:gridSpan w:val="4"/>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4"/>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(12,070)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(12,070)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20" w:type="dxa"/>
            <w:vAlign w:val="bottom"/>
            <w:gridSpan w:val="3"/>
          </w:tcPr>
          <w:p>
            <w:pPr>
              <w:ind w:left="20"/>
              <w:spacing w:after="0"/>
              <w:rPr>
                <w:sz w:val="20"/>
                <w:szCs w:val="20"/>
                <w:color w:val="auto"/>
              </w:rPr>
            </w:pPr>
            <w:r>
              <w:rPr>
                <w:rFonts w:ascii="Arial" w:cs="Arial" w:eastAsia="Arial" w:hAnsi="Arial"/>
                <w:sz w:val="16"/>
                <w:szCs w:val="16"/>
                <w:color w:val="auto"/>
              </w:rPr>
              <w:t>Cash dividends on Common Stock:</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CCEEFF"/>
          </w:tcPr>
          <w:p>
            <w:pPr>
              <w:spacing w:after="0"/>
              <w:rPr>
                <w:sz w:val="19"/>
                <w:szCs w:val="19"/>
                <w:color w:val="auto"/>
              </w:rPr>
            </w:pPr>
          </w:p>
        </w:tc>
        <w:tc>
          <w:tcPr>
            <w:tcW w:w="36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Class A — $0.2300 per share</w:t>
            </w:r>
          </w:p>
        </w:tc>
        <w:tc>
          <w:tcPr>
            <w:tcW w:w="120" w:type="dxa"/>
            <w:vAlign w:val="bottom"/>
            <w:shd w:val="clear" w:color="auto" w:fill="CCEEFF"/>
          </w:tcPr>
          <w:p>
            <w:pPr>
              <w:spacing w:after="0"/>
              <w:rPr>
                <w:sz w:val="19"/>
                <w:szCs w:val="19"/>
                <w:color w:val="auto"/>
              </w:rPr>
            </w:pPr>
          </w:p>
        </w:tc>
        <w:tc>
          <w:tcPr>
            <w:tcW w:w="1020" w:type="dxa"/>
            <w:vAlign w:val="bottom"/>
            <w:gridSpan w:val="4"/>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4"/>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(10,621)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CCEEFF"/>
            </w:tcBorders>
          </w:tcPr>
          <w:p>
            <w:pPr>
              <w:spacing w:after="0"/>
              <w:rPr>
                <w:sz w:val="18"/>
                <w:szCs w:val="18"/>
                <w:color w:val="auto"/>
              </w:rPr>
            </w:pPr>
          </w:p>
        </w:tc>
        <w:tc>
          <w:tcPr>
            <w:tcW w:w="366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Class B — $0.2134 per share</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ind w:left="106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Balances at October 31, 2022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346,064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920,482</w:t>
            </w:r>
          </w:p>
        </w:tc>
        <w:tc>
          <w:tcPr>
            <w:tcW w:w="2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(228,855)</w:t>
            </w:r>
          </w:p>
        </w:tc>
        <w:tc>
          <w:tcPr>
            <w:tcW w:w="20" w:type="dxa"/>
            <w:vAlign w:val="bottom"/>
            <w:shd w:val="clear" w:color="auto" w:fill="CCEEFF"/>
          </w:tcPr>
          <w:p>
            <w:pPr>
              <w:spacing w:after="0"/>
              <w:rPr>
                <w:sz w:val="19"/>
                <w:szCs w:val="19"/>
                <w:color w:val="auto"/>
              </w:rPr>
            </w:pPr>
          </w:p>
        </w:tc>
        <w:tc>
          <w:tcPr>
            <w:tcW w:w="24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(126,514)</w:t>
            </w:r>
          </w:p>
        </w:tc>
        <w:tc>
          <w:tcPr>
            <w:tcW w:w="2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911,725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BRADY CORPORATION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(Dollars in Thousands, 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299"/>
              <w:spacing w:after="0"/>
              <w:rPr>
                <w:sz w:val="20"/>
                <w:szCs w:val="20"/>
                <w:color w:val="auto"/>
              </w:rPr>
            </w:pPr>
            <w:r>
              <w:rPr>
                <w:rFonts w:ascii="Arial" w:cs="Arial" w:eastAsia="Arial" w:hAnsi="Arial"/>
                <w:sz w:val="16"/>
                <w:szCs w:val="16"/>
                <w:b w:val="1"/>
                <w:bCs w:val="1"/>
                <w:color w:val="auto"/>
                <w:w w:val="96"/>
              </w:rPr>
              <w:t>Three months ended October 31,</w:t>
            </w:r>
          </w:p>
        </w:tc>
      </w:tr>
      <w:tr>
        <w:trPr>
          <w:trHeight w:val="210"/>
        </w:trPr>
        <w:tc>
          <w:tcPr>
            <w:tcW w:w="8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r>
      <w:tr>
        <w:trPr>
          <w:trHeight w:val="19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activities:</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3"/>
        </w:trPr>
        <w:tc>
          <w:tcPr>
            <w:tcW w:w="8180" w:type="dxa"/>
            <w:vAlign w:val="bottom"/>
          </w:tcPr>
          <w:p>
            <w:pPr>
              <w:ind w:left="360"/>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47,241</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39,441</w:t>
            </w:r>
          </w:p>
        </w:tc>
      </w:tr>
      <w:tr>
        <w:trPr>
          <w:trHeight w:val="219"/>
        </w:trPr>
        <w:tc>
          <w:tcPr>
            <w:tcW w:w="8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3"/>
        </w:trPr>
        <w:tc>
          <w:tcPr>
            <w:tcW w:w="8180" w:type="dxa"/>
            <w:vAlign w:val="bottom"/>
          </w:tcPr>
          <w:p>
            <w:pPr>
              <w:ind w:left="68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7,466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8,665</w:t>
            </w:r>
          </w:p>
        </w:tc>
      </w:tr>
      <w:tr>
        <w:trPr>
          <w:trHeight w:val="219"/>
        </w:trPr>
        <w:tc>
          <w:tcPr>
            <w:tcW w:w="81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Stock-based compensation expense</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2,958</w:t>
            </w:r>
          </w:p>
        </w:tc>
      </w:tr>
      <w:tr>
        <w:trPr>
          <w:trHeight w:val="213"/>
        </w:trPr>
        <w:tc>
          <w:tcPr>
            <w:tcW w:w="8180" w:type="dxa"/>
            <w:vAlign w:val="bottom"/>
          </w:tcPr>
          <w:p>
            <w:pPr>
              <w:ind w:left="680"/>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(2,225)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(1,705)</w:t>
            </w:r>
          </w:p>
        </w:tc>
      </w:tr>
      <w:tr>
        <w:trPr>
          <w:trHeight w:val="219"/>
        </w:trPr>
        <w:tc>
          <w:tcPr>
            <w:tcW w:w="81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w:t>
            </w:r>
          </w:p>
        </w:tc>
      </w:tr>
      <w:tr>
        <w:trPr>
          <w:trHeight w:val="213"/>
        </w:trPr>
        <w:tc>
          <w:tcPr>
            <w:tcW w:w="8180" w:type="dxa"/>
            <w:vAlign w:val="bottom"/>
          </w:tcPr>
          <w:p>
            <w:pPr>
              <w:ind w:left="680"/>
              <w:spacing w:after="0"/>
              <w:rPr>
                <w:sz w:val="20"/>
                <w:szCs w:val="20"/>
                <w:color w:val="auto"/>
              </w:rPr>
            </w:pPr>
            <w:r>
              <w:rPr>
                <w:rFonts w:ascii="Arial" w:cs="Arial" w:eastAsia="Arial" w:hAnsi="Arial"/>
                <w:sz w:val="16"/>
                <w:szCs w:val="16"/>
                <w:color w:val="auto"/>
              </w:rPr>
              <w:t>Changes in operating assets and liabilities: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818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Accounts receivable</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w:t>
            </w:r>
          </w:p>
        </w:tc>
      </w:tr>
      <w:tr>
        <w:trPr>
          <w:trHeight w:val="213"/>
        </w:trPr>
        <w:tc>
          <w:tcPr>
            <w:tcW w:w="8180" w:type="dxa"/>
            <w:vAlign w:val="bottom"/>
          </w:tcPr>
          <w:p>
            <w:pPr>
              <w:ind w:left="1120"/>
              <w:spacing w:after="0"/>
              <w:rPr>
                <w:sz w:val="20"/>
                <w:szCs w:val="20"/>
                <w:color w:val="auto"/>
              </w:rPr>
            </w:pPr>
            <w:r>
              <w:rPr>
                <w:rFonts w:ascii="Arial" w:cs="Arial" w:eastAsia="Arial" w:hAnsi="Arial"/>
                <w:sz w:val="16"/>
                <w:szCs w:val="16"/>
                <w:color w:val="auto"/>
              </w:rPr>
              <w:t>Inventories</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6,152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(9,582)</w:t>
            </w:r>
          </w:p>
        </w:tc>
      </w:tr>
      <w:tr>
        <w:trPr>
          <w:trHeight w:val="219"/>
        </w:trPr>
        <w:tc>
          <w:tcPr>
            <w:tcW w:w="818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Prepaid expenses and other assets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(2,563)</w:t>
            </w:r>
          </w:p>
        </w:tc>
      </w:tr>
      <w:tr>
        <w:trPr>
          <w:trHeight w:val="213"/>
        </w:trPr>
        <w:tc>
          <w:tcPr>
            <w:tcW w:w="8180" w:type="dxa"/>
            <w:vAlign w:val="bottom"/>
          </w:tcPr>
          <w:p>
            <w:pPr>
              <w:ind w:left="1120"/>
              <w:spacing w:after="0"/>
              <w:rPr>
                <w:sz w:val="20"/>
                <w:szCs w:val="20"/>
                <w:color w:val="auto"/>
              </w:rPr>
            </w:pPr>
            <w:r>
              <w:rPr>
                <w:rFonts w:ascii="Arial" w:cs="Arial" w:eastAsia="Arial" w:hAnsi="Arial"/>
                <w:sz w:val="16"/>
                <w:szCs w:val="16"/>
                <w:color w:val="auto"/>
              </w:rPr>
              <w:t>Accounts payable and accrued liabilities</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(3,725)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(14,150)</w:t>
            </w:r>
          </w:p>
        </w:tc>
      </w:tr>
      <w:tr>
        <w:trPr>
          <w:trHeight w:val="219"/>
        </w:trPr>
        <w:tc>
          <w:tcPr>
            <w:tcW w:w="818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Income taxes</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5,757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5,945</w:t>
            </w:r>
          </w:p>
        </w:tc>
      </w:tr>
      <w:tr>
        <w:trPr>
          <w:trHeight w:val="206"/>
        </w:trPr>
        <w:tc>
          <w:tcPr>
            <w:tcW w:w="8180" w:type="dxa"/>
            <w:vAlign w:val="bottom"/>
          </w:tcPr>
          <w:p>
            <w:pPr>
              <w:ind w:left="152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62,273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27,999</w:t>
            </w:r>
          </w:p>
        </w:tc>
      </w:tr>
      <w:tr>
        <w:trPr>
          <w:trHeight w:val="219"/>
        </w:trPr>
        <w:tc>
          <w:tcPr>
            <w:tcW w:w="8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color w:val="auto"/>
              </w:rPr>
              <w:t>Investing activities: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Purchases of property, plant and equipment</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(11,279)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(3,861)</w:t>
            </w:r>
          </w:p>
        </w:tc>
      </w:tr>
      <w:tr>
        <w:trPr>
          <w:trHeight w:val="206"/>
        </w:trPr>
        <w:tc>
          <w:tcPr>
            <w:tcW w:w="8180" w:type="dxa"/>
            <w:vAlign w:val="bottom"/>
          </w:tcPr>
          <w:p>
            <w:pPr>
              <w:ind w:left="1520"/>
              <w:spacing w:after="0"/>
              <w:rPr>
                <w:sz w:val="20"/>
                <w:szCs w:val="20"/>
                <w:color w:val="auto"/>
              </w:rPr>
            </w:pPr>
            <w:r>
              <w:rPr>
                <w:rFonts w:ascii="Arial" w:cs="Arial" w:eastAsia="Arial" w:hAnsi="Arial"/>
                <w:sz w:val="16"/>
                <w:szCs w:val="16"/>
                <w:color w:val="auto"/>
              </w:rPr>
              <w:t>Net cash used in investing activities</w:t>
            </w: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(11,279)</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(3,861)</w:t>
            </w:r>
          </w:p>
        </w:tc>
      </w:tr>
      <w:tr>
        <w:trPr>
          <w:trHeight w:val="219"/>
        </w:trPr>
        <w:tc>
          <w:tcPr>
            <w:tcW w:w="8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color w:val="auto"/>
              </w:rPr>
              <w:t>Financing activities: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Payment of dividends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(11,338)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(11,376)</w:t>
            </w:r>
          </w:p>
        </w:tc>
      </w:tr>
      <w:tr>
        <w:trPr>
          <w:trHeight w:val="213"/>
        </w:trPr>
        <w:tc>
          <w:tcPr>
            <w:tcW w:w="8180" w:type="dxa"/>
            <w:vAlign w:val="bottom"/>
          </w:tcPr>
          <w:p>
            <w:pPr>
              <w:ind w:left="680"/>
              <w:spacing w:after="0"/>
              <w:rPr>
                <w:sz w:val="20"/>
                <w:szCs w:val="20"/>
                <w:color w:val="auto"/>
              </w:rPr>
            </w:pPr>
            <w:r>
              <w:rPr>
                <w:rFonts w:ascii="Arial" w:cs="Arial" w:eastAsia="Arial" w:hAnsi="Arial"/>
                <w:sz w:val="16"/>
                <w:szCs w:val="16"/>
                <w:color w:val="auto"/>
              </w:rPr>
              <w:t>Proceeds from exercise of stock options</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2,598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349</w:t>
            </w:r>
          </w:p>
        </w:tc>
      </w:tr>
      <w:tr>
        <w:trPr>
          <w:trHeight w:val="219"/>
        </w:trPr>
        <w:tc>
          <w:tcPr>
            <w:tcW w:w="81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Payments for employee taxes withheld from stock-based awards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(1,504)</w:t>
            </w:r>
          </w:p>
        </w:tc>
      </w:tr>
      <w:tr>
        <w:trPr>
          <w:trHeight w:val="213"/>
        </w:trPr>
        <w:tc>
          <w:tcPr>
            <w:tcW w:w="8180" w:type="dxa"/>
            <w:vAlign w:val="bottom"/>
          </w:tcPr>
          <w:p>
            <w:pPr>
              <w:ind w:left="680"/>
              <w:spacing w:after="0"/>
              <w:rPr>
                <w:sz w:val="20"/>
                <w:szCs w:val="20"/>
                <w:color w:val="auto"/>
              </w:rPr>
            </w:pPr>
            <w:r>
              <w:rPr>
                <w:rFonts w:ascii="Arial" w:cs="Arial" w:eastAsia="Arial" w:hAnsi="Arial"/>
                <w:sz w:val="16"/>
                <w:szCs w:val="16"/>
                <w:color w:val="auto"/>
              </w:rPr>
              <w:t>Purchase of treasury stock</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(14,121)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(12,070)</w:t>
            </w:r>
          </w:p>
        </w:tc>
      </w:tr>
      <w:tr>
        <w:trPr>
          <w:trHeight w:val="219"/>
        </w:trPr>
        <w:tc>
          <w:tcPr>
            <w:tcW w:w="81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Proceeds from borrowing on credit agreement</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38,551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36,000</w:t>
            </w:r>
          </w:p>
        </w:tc>
      </w:tr>
      <w:tr>
        <w:trPr>
          <w:trHeight w:val="213"/>
        </w:trPr>
        <w:tc>
          <w:tcPr>
            <w:tcW w:w="8180" w:type="dxa"/>
            <w:vAlign w:val="bottom"/>
          </w:tcPr>
          <w:p>
            <w:pPr>
              <w:ind w:left="680"/>
              <w:spacing w:after="0"/>
              <w:rPr>
                <w:sz w:val="20"/>
                <w:szCs w:val="20"/>
                <w:color w:val="auto"/>
              </w:rPr>
            </w:pPr>
            <w:r>
              <w:rPr>
                <w:rFonts w:ascii="Arial" w:cs="Arial" w:eastAsia="Arial" w:hAnsi="Arial"/>
                <w:sz w:val="16"/>
                <w:szCs w:val="16"/>
                <w:color w:val="auto"/>
              </w:rPr>
              <w:t>Repayment of borrowing on credit agreement</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(36,000)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(32,000)</w:t>
            </w:r>
          </w:p>
        </w:tc>
      </w:tr>
      <w:tr>
        <w:trPr>
          <w:trHeight w:val="219"/>
        </w:trPr>
        <w:tc>
          <w:tcPr>
            <w:tcW w:w="81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w:t>
            </w:r>
          </w:p>
        </w:tc>
      </w:tr>
      <w:tr>
        <w:trPr>
          <w:trHeight w:val="206"/>
        </w:trPr>
        <w:tc>
          <w:tcPr>
            <w:tcW w:w="8180" w:type="dxa"/>
            <w:vAlign w:val="bottom"/>
          </w:tcPr>
          <w:p>
            <w:pPr>
              <w:ind w:left="1520"/>
              <w:spacing w:after="0"/>
              <w:rPr>
                <w:sz w:val="20"/>
                <w:szCs w:val="20"/>
                <w:color w:val="auto"/>
              </w:rPr>
            </w:pPr>
            <w:r>
              <w:rPr>
                <w:rFonts w:ascii="Arial" w:cs="Arial" w:eastAsia="Arial" w:hAnsi="Arial"/>
                <w:sz w:val="16"/>
                <w:szCs w:val="16"/>
                <w:color w:val="auto"/>
              </w:rPr>
              <w:t>Net cash used in financing activities</w:t>
            </w: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(21,494)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(20,535)</w:t>
            </w:r>
          </w:p>
        </w:tc>
      </w:tr>
      <w:tr>
        <w:trPr>
          <w:trHeight w:val="219"/>
        </w:trPr>
        <w:tc>
          <w:tcPr>
            <w:tcW w:w="8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3"/>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(5,680)</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(3,201)</w:t>
            </w:r>
          </w:p>
        </w:tc>
      </w:tr>
      <w:tr>
        <w:trPr>
          <w:trHeight w:val="199"/>
        </w:trPr>
        <w:tc>
          <w:tcPr>
            <w:tcW w:w="8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bl>
    <w:p>
      <w:pPr>
        <w:spacing w:after="0" w:line="4" w:lineRule="exact"/>
        <w:rPr>
          <w:sz w:val="20"/>
          <w:szCs w:val="20"/>
          <w:color w:val="auto"/>
        </w:rPr>
      </w:pPr>
    </w:p>
    <w:p>
      <w:pPr>
        <w:sectPr>
          <w:pgSz w:w="11900" w:h="16838" w:orient="portrait"/>
          <w:cols w:equalWidth="0" w:num="1">
            <w:col w:w="11220"/>
          </w:cols>
          <w:pgMar w:left="320" w:top="121" w:right="359" w:bottom="1440" w:gutter="0" w:footer="0" w:header="0"/>
        </w:sectPr>
      </w:pPr>
    </w:p>
    <w:p>
      <w:pPr>
        <w:ind w:left="20"/>
        <w:spacing w:after="0"/>
        <w:rPr>
          <w:sz w:val="20"/>
          <w:szCs w:val="20"/>
          <w:color w:val="auto"/>
        </w:rPr>
      </w:pPr>
      <w:r>
        <w:rPr>
          <w:rFonts w:ascii="Arial" w:cs="Arial" w:eastAsia="Arial" w:hAnsi="Arial"/>
          <w:sz w:val="16"/>
          <w:szCs w:val="16"/>
          <w:color w:val="auto"/>
        </w:rPr>
        <w:t>Net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15175"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4"/>
          <w:szCs w:val="14"/>
          <w:color w:val="auto"/>
        </w:rPr>
        <w:t>Cash and cash equivalents, beginning of period</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and cash equivalents,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5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23,820</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402</w:t>
            </w:r>
          </w:p>
        </w:tc>
      </w:tr>
      <w:tr>
        <w:trPr>
          <w:trHeight w:val="219"/>
        </w:trPr>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151,532</w:t>
            </w: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114,069</w:t>
            </w:r>
          </w:p>
        </w:tc>
      </w:tr>
      <w:tr>
        <w:trPr>
          <w:trHeight w:val="210"/>
        </w:trPr>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175,352</w:t>
            </w:r>
          </w:p>
        </w:tc>
        <w:tc>
          <w:tcPr>
            <w:tcW w:w="12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114,471</w:t>
            </w:r>
          </w:p>
        </w:tc>
      </w:tr>
      <w:tr>
        <w:trPr>
          <w:trHeight w:val="24"/>
        </w:trPr>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460" w:space="720"/>
            <w:col w:w="3040"/>
          </w:cols>
          <w:pgMar w:left="320" w:top="121" w:right="359" w:bottom="1440" w:gutter="0" w:footer="0" w:header="0"/>
          <w:type w:val="continuous"/>
        </w:sectPr>
      </w:pP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BRADY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Three Months Ended October 31,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NOTE A — Basis of Presentation</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condensed consolidated financial statements included herein have been prepared by Brady Corporation and subsidiaries (the "Company," "Brady," "we," or "our") without audit, pursuant to the rules and regulations of the Securities and Exchange Commission. In the opinion of the Company, the foregoing statements contain all adjustments, consisting only of normal recurring adjustments necessary to present fairly the financial position of the Company as of October 31, 2023 and July 31, 2023, its results of operations, cash flows and comprehensive income for the three months ended October 31, 2023 and 2022. The condensed consolidated balance sheet as of July 31, 2023 has been derived from the audited consolidated financial statements as of that date. The preparation of financial statements in conformity with accounting principles generally accepted in the United States of America (“GAAP”) requires management to make estimates and assumptions that affect the reported amounts therein. Due to the inherent uncertainty involved in making estimates, actual results in future periods may differ from the estimates.</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GAAP have been omitted pursuant to rules and regulations of the Securities and Exchange Commission. Accordingly, the condensed consolidated financial statements do not include all of the information and footnotes required by GAAP for complete financial statement presentation. It is suggested that these condensed consolidated financial statements be read in conjunction with the consolidated financial statements and the notes thereto included in the Company’s Annual Report on Form 10-K for the year ended July 31, 2023.</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NOTE B — New Accounting Pronouncements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did not adopt any new accounting standards in the three months ended October 31, 2023. The Company also assessed recent Accounting Standard Updates issued by the Financial Accounting Standards Board, and the Company does not expect any of the standards to have a material impact on its condensed consolidated financial statements or disclosures.</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NOTE C — Additional Balance Sheet Information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Inventories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Inventories consisted of the following as of October 31, 2023 and July 31, 2023:</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ind w:left="60"/>
              <w:spacing w:after="0"/>
              <w:rPr>
                <w:sz w:val="20"/>
                <w:szCs w:val="20"/>
                <w:color w:val="auto"/>
              </w:rPr>
            </w:pPr>
            <w:r>
              <w:rPr>
                <w:rFonts w:ascii="Arial" w:cs="Arial" w:eastAsia="Arial" w:hAnsi="Arial"/>
                <w:sz w:val="16"/>
                <w:szCs w:val="16"/>
                <w:b w:val="1"/>
                <w:bCs w:val="1"/>
                <w:color w:val="auto"/>
              </w:rPr>
              <w:t>October 31, 2023</w:t>
            </w:r>
          </w:p>
        </w:tc>
        <w:tc>
          <w:tcPr>
            <w:tcW w:w="240" w:type="dxa"/>
            <w:vAlign w:val="bottom"/>
          </w:tcPr>
          <w:p>
            <w:pPr>
              <w:spacing w:after="0"/>
              <w:rPr>
                <w:sz w:val="18"/>
                <w:szCs w:val="18"/>
                <w:color w:val="auto"/>
              </w:rPr>
            </w:pPr>
          </w:p>
        </w:tc>
        <w:tc>
          <w:tcPr>
            <w:tcW w:w="1400" w:type="dxa"/>
            <w:vAlign w:val="bottom"/>
          </w:tcPr>
          <w:p>
            <w:pPr>
              <w:jc w:val="right"/>
              <w:ind w:right="299"/>
              <w:spacing w:after="0"/>
              <w:rPr>
                <w:sz w:val="20"/>
                <w:szCs w:val="20"/>
                <w:color w:val="auto"/>
              </w:rPr>
            </w:pPr>
            <w:r>
              <w:rPr>
                <w:rFonts w:ascii="Arial" w:cs="Arial" w:eastAsia="Arial" w:hAnsi="Arial"/>
                <w:sz w:val="16"/>
                <w:szCs w:val="16"/>
                <w:b w:val="1"/>
                <w:bCs w:val="1"/>
                <w:color w:val="auto"/>
              </w:rPr>
              <w:t>July 31, 2023</w:t>
            </w:r>
          </w:p>
        </w:tc>
      </w:tr>
      <w:tr>
        <w:trPr>
          <w:trHeight w:val="213"/>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Finished products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97,311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103,350</w:t>
            </w: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Work-in-process</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26,960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26,884</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Raw materials and supplies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42,645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46,844</w:t>
            </w:r>
          </w:p>
        </w:tc>
      </w:tr>
      <w:tr>
        <w:trPr>
          <w:trHeight w:val="206"/>
        </w:trPr>
        <w:tc>
          <w:tcPr>
            <w:tcW w:w="7840" w:type="dxa"/>
            <w:vAlign w:val="bottom"/>
          </w:tcPr>
          <w:p>
            <w:pPr>
              <w:ind w:left="220"/>
              <w:spacing w:after="0"/>
              <w:rPr>
                <w:sz w:val="20"/>
                <w:szCs w:val="20"/>
                <w:color w:val="auto"/>
              </w:rPr>
            </w:pPr>
            <w:r>
              <w:rPr>
                <w:rFonts w:ascii="Arial" w:cs="Arial" w:eastAsia="Arial" w:hAnsi="Arial"/>
                <w:sz w:val="16"/>
                <w:szCs w:val="16"/>
                <w:color w:val="auto"/>
              </w:rPr>
              <w:t>Total inventories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166,916</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177,078</w:t>
            </w:r>
          </w:p>
        </w:tc>
      </w:tr>
      <w:tr>
        <w:trPr>
          <w:trHeight w:val="24"/>
        </w:trPr>
        <w:tc>
          <w:tcPr>
            <w:tcW w:w="78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Property, plant and equipment</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Property, plant and equipment is presented net of accumulated depreciation in the amount of $293,708 and $292,680 as of October 31, 2023 and July 31, 2023, respectively.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NOTE D — Other Intangible Assets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intangible assets as of October 31, 2023 and July 31, 2023 consisted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5"/>
          </w:tcPr>
          <w:p>
            <w:pPr>
              <w:ind w:left="260"/>
              <w:spacing w:after="0"/>
              <w:rPr>
                <w:sz w:val="20"/>
                <w:szCs w:val="20"/>
                <w:color w:val="auto"/>
              </w:rPr>
            </w:pPr>
            <w:r>
              <w:rPr>
                <w:rFonts w:ascii="Arial" w:cs="Arial" w:eastAsia="Arial" w:hAnsi="Arial"/>
                <w:sz w:val="14"/>
                <w:szCs w:val="14"/>
                <w:b w:val="1"/>
                <w:bCs w:val="1"/>
                <w:color w:val="auto"/>
              </w:rPr>
              <w:t>October 31, 2023</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gridSpan w:val="5"/>
          </w:tcPr>
          <w:p>
            <w:pPr>
              <w:ind w:left="380"/>
              <w:spacing w:after="0"/>
              <w:rPr>
                <w:sz w:val="20"/>
                <w:szCs w:val="20"/>
                <w:color w:val="auto"/>
              </w:rPr>
            </w:pPr>
            <w:r>
              <w:rPr>
                <w:rFonts w:ascii="Arial" w:cs="Arial" w:eastAsia="Arial" w:hAnsi="Arial"/>
                <w:sz w:val="14"/>
                <w:szCs w:val="14"/>
                <w:b w:val="1"/>
                <w:bCs w:val="1"/>
                <w:color w:val="auto"/>
              </w:rPr>
              <w:t>July 31, 2023</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72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720" w:type="dxa"/>
            <w:vAlign w:val="bottom"/>
          </w:tcPr>
          <w:p>
            <w:pPr>
              <w:spacing w:after="0"/>
              <w:rPr>
                <w:sz w:val="11"/>
                <w:szCs w:val="11"/>
                <w:color w:val="auto"/>
              </w:rPr>
            </w:pPr>
          </w:p>
        </w:tc>
        <w:tc>
          <w:tcPr>
            <w:tcW w:w="122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8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5"/>
              </w:rPr>
              <w:t>Weighted</w:t>
            </w:r>
          </w:p>
        </w:tc>
        <w:tc>
          <w:tcPr>
            <w:tcW w:w="120" w:type="dxa"/>
            <w:vAlign w:val="bottom"/>
          </w:tcPr>
          <w:p>
            <w:pPr>
              <w:spacing w:after="0"/>
              <w:rPr>
                <w:sz w:val="11"/>
                <w:szCs w:val="11"/>
                <w:color w:val="auto"/>
              </w:rPr>
            </w:pPr>
          </w:p>
        </w:tc>
        <w:tc>
          <w:tcPr>
            <w:tcW w:w="8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720" w:type="dxa"/>
            <w:vAlign w:val="bottom"/>
          </w:tcPr>
          <w:p>
            <w:pPr>
              <w:spacing w:after="0"/>
              <w:rPr>
                <w:sz w:val="12"/>
                <w:szCs w:val="12"/>
                <w:color w:val="auto"/>
              </w:rPr>
            </w:pPr>
          </w:p>
        </w:tc>
        <w:tc>
          <w:tcPr>
            <w:tcW w:w="122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4"/>
              </w:rPr>
              <w:t>Net Book</w:t>
            </w:r>
          </w:p>
        </w:tc>
        <w:tc>
          <w:tcPr>
            <w:tcW w:w="100" w:type="dxa"/>
            <w:vAlign w:val="bottom"/>
          </w:tcPr>
          <w:p>
            <w:pPr>
              <w:spacing w:after="0"/>
              <w:rPr>
                <w:sz w:val="12"/>
                <w:szCs w:val="12"/>
                <w:color w:val="auto"/>
              </w:rPr>
            </w:pPr>
          </w:p>
        </w:tc>
        <w:tc>
          <w:tcPr>
            <w:tcW w:w="122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4"/>
              </w:rPr>
              <w:t>Net Book</w:t>
            </w:r>
          </w:p>
        </w:tc>
        <w:tc>
          <w:tcPr>
            <w:tcW w:w="0" w:type="dxa"/>
            <w:vAlign w:val="bottom"/>
          </w:tcPr>
          <w:p>
            <w:pPr>
              <w:spacing w:after="0"/>
              <w:rPr>
                <w:sz w:val="1"/>
                <w:szCs w:val="1"/>
                <w:color w:val="auto"/>
              </w:rPr>
            </w:pPr>
          </w:p>
        </w:tc>
      </w:tr>
      <w:tr>
        <w:trPr>
          <w:trHeight w:val="148"/>
        </w:trPr>
        <w:tc>
          <w:tcPr>
            <w:tcW w:w="2720" w:type="dxa"/>
            <w:vAlign w:val="bottom"/>
          </w:tcPr>
          <w:p>
            <w:pPr>
              <w:spacing w:after="0"/>
              <w:rPr>
                <w:sz w:val="12"/>
                <w:szCs w:val="12"/>
                <w:color w:val="auto"/>
              </w:rPr>
            </w:pPr>
          </w:p>
        </w:tc>
        <w:tc>
          <w:tcPr>
            <w:tcW w:w="12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10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12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272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Period (Years)</w:t>
            </w:r>
          </w:p>
        </w:tc>
        <w:tc>
          <w:tcPr>
            <w:tcW w:w="100" w:type="dxa"/>
            <w:vAlign w:val="bottom"/>
          </w:tcPr>
          <w:p>
            <w:pPr>
              <w:spacing w:after="0"/>
              <w:rPr>
                <w:sz w:val="17"/>
                <w:szCs w:val="17"/>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7"/>
                <w:szCs w:val="17"/>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7"/>
                <w:szCs w:val="17"/>
                <w:color w:val="auto"/>
              </w:rPr>
            </w:pPr>
          </w:p>
        </w:tc>
        <w:tc>
          <w:tcPr>
            <w:tcW w:w="720" w:type="dxa"/>
            <w:vAlign w:val="bottom"/>
          </w:tcPr>
          <w:p>
            <w:pPr>
              <w:jc w:val="right"/>
              <w:ind w:right="168"/>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Period (Years)</w:t>
            </w:r>
          </w:p>
        </w:tc>
        <w:tc>
          <w:tcPr>
            <w:tcW w:w="120" w:type="dxa"/>
            <w:vAlign w:val="bottom"/>
          </w:tcPr>
          <w:p>
            <w:pPr>
              <w:spacing w:after="0"/>
              <w:rPr>
                <w:sz w:val="17"/>
                <w:szCs w:val="17"/>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7"/>
                <w:szCs w:val="17"/>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7"/>
                <w:szCs w:val="17"/>
                <w:color w:val="auto"/>
              </w:rPr>
            </w:pPr>
          </w:p>
        </w:tc>
        <w:tc>
          <w:tcPr>
            <w:tcW w:w="720" w:type="dxa"/>
            <w:vAlign w:val="bottom"/>
          </w:tcPr>
          <w:p>
            <w:pPr>
              <w:jc w:val="right"/>
              <w:ind w:right="16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68"/>
        </w:trPr>
        <w:tc>
          <w:tcPr>
            <w:tcW w:w="2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Amortized other intangible assets:</w:t>
            </w:r>
          </w:p>
        </w:tc>
        <w:tc>
          <w:tcPr>
            <w:tcW w:w="110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74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98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72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12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72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100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720" w:type="dxa"/>
            <w:vAlign w:val="bottom"/>
            <w:tcBorders>
              <w:top w:val="single" w:sz="8" w:color="auto"/>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720" w:type="dxa"/>
            <w:vAlign w:val="bottom"/>
          </w:tcPr>
          <w:p>
            <w:pPr>
              <w:ind w:left="220"/>
              <w:spacing w:after="0"/>
              <w:rPr>
                <w:sz w:val="20"/>
                <w:szCs w:val="20"/>
                <w:color w:val="auto"/>
              </w:rPr>
            </w:pPr>
            <w:r>
              <w:rPr>
                <w:rFonts w:ascii="Arial" w:cs="Arial" w:eastAsia="Arial" w:hAnsi="Arial"/>
                <w:sz w:val="14"/>
                <w:szCs w:val="14"/>
                <w:color w:val="auto"/>
              </w:rPr>
              <w:t>Tradenames</w:t>
            </w:r>
          </w:p>
        </w:tc>
        <w:tc>
          <w:tcPr>
            <w:tcW w:w="1100" w:type="dxa"/>
            <w:vAlign w:val="bottom"/>
          </w:tcPr>
          <w:p>
            <w:pPr>
              <w:jc w:val="center"/>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1,087</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(970)</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117</w:t>
            </w:r>
          </w:p>
        </w:tc>
        <w:tc>
          <w:tcPr>
            <w:tcW w:w="1220" w:type="dxa"/>
            <w:vAlign w:val="bottom"/>
            <w:gridSpan w:val="2"/>
          </w:tcPr>
          <w:p>
            <w:pPr>
              <w:jc w:val="center"/>
              <w:ind w:left="2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1,114</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(947)</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Customer relationships</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63,508</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(17,491)</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46,017</w:t>
            </w:r>
          </w:p>
        </w:tc>
        <w:tc>
          <w:tcPr>
            <w:tcW w:w="1220" w:type="dxa"/>
            <w:vAlign w:val="bottom"/>
            <w:tcBorders>
              <w:bottom w:val="single" w:sz="8" w:color="CCEEFF"/>
            </w:tcBorders>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64,513</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(15,947)</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48,566</w:t>
            </w:r>
          </w:p>
        </w:tc>
        <w:tc>
          <w:tcPr>
            <w:tcW w:w="0" w:type="dxa"/>
            <w:vAlign w:val="bottom"/>
          </w:tcPr>
          <w:p>
            <w:pPr>
              <w:spacing w:after="0"/>
              <w:rPr>
                <w:sz w:val="1"/>
                <w:szCs w:val="1"/>
                <w:color w:val="auto"/>
              </w:rPr>
            </w:pPr>
          </w:p>
        </w:tc>
      </w:tr>
      <w:tr>
        <w:trPr>
          <w:trHeight w:val="182"/>
        </w:trPr>
        <w:tc>
          <w:tcPr>
            <w:tcW w:w="2720" w:type="dxa"/>
            <w:vAlign w:val="bottom"/>
          </w:tcPr>
          <w:p>
            <w:pPr>
              <w:ind w:left="220"/>
              <w:spacing w:after="0"/>
              <w:rPr>
                <w:sz w:val="20"/>
                <w:szCs w:val="20"/>
                <w:color w:val="auto"/>
              </w:rPr>
            </w:pPr>
            <w:r>
              <w:rPr>
                <w:rFonts w:ascii="Arial" w:cs="Arial" w:eastAsia="Arial" w:hAnsi="Arial"/>
                <w:sz w:val="14"/>
                <w:szCs w:val="14"/>
                <w:color w:val="auto"/>
              </w:rPr>
              <w:t>Technology</w:t>
            </w:r>
          </w:p>
        </w:tc>
        <w:tc>
          <w:tcPr>
            <w:tcW w:w="1100" w:type="dxa"/>
            <w:vAlign w:val="bottom"/>
          </w:tcPr>
          <w:p>
            <w:pPr>
              <w:jc w:val="center"/>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9,157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(4,650)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4,507</w:t>
            </w:r>
          </w:p>
        </w:tc>
        <w:tc>
          <w:tcPr>
            <w:tcW w:w="1220" w:type="dxa"/>
            <w:vAlign w:val="bottom"/>
            <w:gridSpan w:val="2"/>
          </w:tcPr>
          <w:p>
            <w:pPr>
              <w:jc w:val="center"/>
              <w:ind w:left="2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9,313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(4,235)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5,078</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Unamortized other intangible assets:</w:t>
            </w:r>
          </w:p>
        </w:tc>
        <w:tc>
          <w:tcPr>
            <w:tcW w:w="1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720" w:type="dxa"/>
            <w:vAlign w:val="bottom"/>
          </w:tcPr>
          <w:p>
            <w:pPr>
              <w:ind w:left="220"/>
              <w:spacing w:after="0"/>
              <w:rPr>
                <w:sz w:val="20"/>
                <w:szCs w:val="20"/>
                <w:color w:val="auto"/>
              </w:rPr>
            </w:pPr>
            <w:r>
              <w:rPr>
                <w:rFonts w:ascii="Arial" w:cs="Arial" w:eastAsia="Arial" w:hAnsi="Arial"/>
                <w:sz w:val="14"/>
                <w:szCs w:val="14"/>
                <w:color w:val="auto"/>
              </w:rPr>
              <w:t>Tradenames</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8,133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8,133</w:t>
            </w:r>
          </w:p>
        </w:tc>
        <w:tc>
          <w:tcPr>
            <w:tcW w:w="100" w:type="dxa"/>
            <w:vAlign w:val="bottom"/>
          </w:tcPr>
          <w:p>
            <w:pPr>
              <w:spacing w:after="0"/>
              <w:rPr>
                <w:sz w:val="15"/>
                <w:szCs w:val="15"/>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color w:val="auto"/>
              </w:rPr>
              <w:t>N/A</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8,285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8,285</w:t>
            </w:r>
          </w:p>
        </w:tc>
        <w:tc>
          <w:tcPr>
            <w:tcW w:w="0" w:type="dxa"/>
            <w:vAlign w:val="bottom"/>
          </w:tcPr>
          <w:p>
            <w:pPr>
              <w:spacing w:after="0"/>
              <w:rPr>
                <w:sz w:val="1"/>
                <w:szCs w:val="1"/>
                <w:color w:val="auto"/>
              </w:rPr>
            </w:pPr>
          </w:p>
        </w:tc>
      </w:tr>
      <w:tr>
        <w:trPr>
          <w:trHeight w:val="20"/>
        </w:trPr>
        <w:tc>
          <w:tcPr>
            <w:tcW w:w="27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81,885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(23,111)</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58,774</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83,225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(21,129)</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62,096</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change in the gross carrying amount of other intangible assets as of October 31, 2023 compared to July 31, 2023 was due to the effect of currency fluctuations during the three-month period. Amortization expense on intangible assets was $2,355 and $3,631 for the three months ended October 31, 2023 and 2022, respectively.</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NOTE E — Leases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leases certain manufacturing facilities, warehouse and office spaces, and vehicles accounted for as operating leases. Lease terms typically range from one year to ten years. As of October 31, 2023, the Company did not have any finance leases.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Operating lease expense was $4,065 and $3,780 for the three months ended October 31, 2023 and 2022, respectively, which was recognized in either "Cost of goods sold" or "Selling, general and administrative" expenses in the condensed consolidated statements of income, based on the nature of the lease. Short-term lease expense, variable lease expenses, and sublease income was immaterial to the condensed consolidated statements of income for the three months ended October 31, 2023 and 2022.</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Supplemental cash flow information related to the Company's operating leases for the three months ended October 31, 2023 and 2022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80" w:type="dxa"/>
            <w:vAlign w:val="bottom"/>
          </w:tcPr>
          <w:p>
            <w:pPr>
              <w:spacing w:after="0"/>
              <w:rPr>
                <w:sz w:val="18"/>
                <w:szCs w:val="18"/>
                <w:color w:val="auto"/>
              </w:rPr>
            </w:pPr>
          </w:p>
        </w:tc>
        <w:tc>
          <w:tcPr>
            <w:tcW w:w="27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October 31,</w:t>
            </w:r>
          </w:p>
        </w:tc>
        <w:tc>
          <w:tcPr>
            <w:tcW w:w="440" w:type="dxa"/>
            <w:vAlign w:val="bottom"/>
            <w:tcBorders>
              <w:bottom w:val="single" w:sz="8" w:color="auto"/>
            </w:tcBorders>
          </w:tcPr>
          <w:p>
            <w:pPr>
              <w:spacing w:after="0"/>
              <w:rPr>
                <w:sz w:val="18"/>
                <w:szCs w:val="18"/>
                <w:color w:val="auto"/>
              </w:rPr>
            </w:pPr>
          </w:p>
        </w:tc>
      </w:tr>
      <w:tr>
        <w:trPr>
          <w:trHeight w:val="210"/>
        </w:trPr>
        <w:tc>
          <w:tcPr>
            <w:tcW w:w="80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2023</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2022</w:t>
            </w:r>
          </w:p>
        </w:tc>
        <w:tc>
          <w:tcPr>
            <w:tcW w:w="440" w:type="dxa"/>
            <w:vAlign w:val="bottom"/>
            <w:tcBorders>
              <w:bottom w:val="single" w:sz="8" w:color="auto"/>
            </w:tcBorders>
          </w:tcPr>
          <w:p>
            <w:pPr>
              <w:spacing w:after="0"/>
              <w:rPr>
                <w:sz w:val="18"/>
                <w:szCs w:val="18"/>
                <w:color w:val="auto"/>
              </w:rPr>
            </w:pPr>
          </w:p>
        </w:tc>
      </w:tr>
      <w:tr>
        <w:trPr>
          <w:trHeight w:val="212"/>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cash flows from operating leases</w:t>
            </w: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4,431</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4,202</w:t>
            </w:r>
          </w:p>
        </w:tc>
      </w:tr>
      <w:tr>
        <w:trPr>
          <w:trHeight w:val="273"/>
        </w:trPr>
        <w:tc>
          <w:tcPr>
            <w:tcW w:w="8080" w:type="dxa"/>
            <w:vAlign w:val="bottom"/>
          </w:tcPr>
          <w:p>
            <w:pPr>
              <w:ind w:left="20"/>
              <w:spacing w:after="0"/>
              <w:rPr>
                <w:sz w:val="20"/>
                <w:szCs w:val="20"/>
                <w:color w:val="auto"/>
              </w:rPr>
            </w:pPr>
            <w:r>
              <w:rPr>
                <w:rFonts w:ascii="Arial" w:cs="Arial" w:eastAsia="Arial" w:hAnsi="Arial"/>
                <w:sz w:val="16"/>
                <w:szCs w:val="16"/>
                <w:color w:val="auto"/>
              </w:rPr>
              <w:t xml:space="preserve">Operating lease assets obtained in exchange for new operating lease liabilities </w:t>
            </w:r>
            <w:r>
              <w:rPr>
                <w:rFonts w:ascii="Arial" w:cs="Arial" w:eastAsia="Arial" w:hAnsi="Arial"/>
                <w:sz w:val="21"/>
                <w:szCs w:val="21"/>
                <w:color w:val="auto"/>
                <w:vertAlign w:val="superscript"/>
              </w:rPr>
              <w:t>(1)</w:t>
            </w:r>
          </w:p>
        </w:tc>
        <w:tc>
          <w:tcPr>
            <w:tcW w:w="102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1,656</w:t>
            </w: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102</w:t>
            </w:r>
          </w:p>
        </w:tc>
      </w:tr>
    </w:tbl>
    <w:p>
      <w:pPr>
        <w:ind w:left="500" w:hanging="168"/>
        <w:spacing w:after="0" w:line="230" w:lineRule="auto"/>
        <w:tabs>
          <w:tab w:leader="none" w:pos="500" w:val="left"/>
        </w:tabs>
        <w:numPr>
          <w:ilvl w:val="0"/>
          <w:numId w:val="3"/>
        </w:numPr>
        <w:rPr>
          <w:rFonts w:ascii="Arial" w:cs="Arial" w:eastAsia="Arial" w:hAnsi="Arial"/>
          <w:sz w:val="20"/>
          <w:szCs w:val="20"/>
          <w:color w:val="auto"/>
          <w:vertAlign w:val="superscript"/>
        </w:rPr>
      </w:pPr>
      <w:r>
        <w:rPr>
          <w:rFonts w:ascii="Arial" w:cs="Arial" w:eastAsia="Arial" w:hAnsi="Arial"/>
          <w:sz w:val="15"/>
          <w:szCs w:val="15"/>
          <w:color w:val="auto"/>
        </w:rPr>
        <w:t>Includes new leases and remeasurements or modifications of existing leases.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NOTE F — Accumulated Other Comprehensive Loss</w:t>
      </w:r>
    </w:p>
    <w:p>
      <w:pPr>
        <w:spacing w:after="0" w:line="171"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Other comprehensive loss consists of foreign currency translation adjustments which includes net investment hedges and long-term intercompany loan translation adjustments, unrealized gains from cash flow hedges and the unamortized gain on post-retirement plans, net of their related tax effects.</w:t>
      </w:r>
    </w:p>
    <w:p>
      <w:pPr>
        <w:spacing w:after="0" w:line="7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 illustrates the changes in the balances of each component of accumulated other comprehensive loss, net of tax, for the three months ended October 31, 2023:</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Unrealized gain</w:t>
            </w:r>
          </w:p>
        </w:tc>
        <w:tc>
          <w:tcPr>
            <w:tcW w:w="15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Unamortized gain</w:t>
            </w:r>
          </w:p>
        </w:tc>
        <w:tc>
          <w:tcPr>
            <w:tcW w:w="80" w:type="dxa"/>
            <w:vAlign w:val="bottom"/>
          </w:tcPr>
          <w:p>
            <w:pPr>
              <w:spacing w:after="0"/>
              <w:rPr>
                <w:sz w:val="16"/>
                <w:szCs w:val="16"/>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Foreign currency</w:t>
            </w:r>
          </w:p>
        </w:tc>
        <w:tc>
          <w:tcPr>
            <w:tcW w:w="14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w w:val="92"/>
              </w:rPr>
              <w:t>Accumulated other</w:t>
            </w:r>
          </w:p>
        </w:tc>
        <w:tc>
          <w:tcPr>
            <w:tcW w:w="0" w:type="dxa"/>
            <w:vAlign w:val="bottom"/>
          </w:tcPr>
          <w:p>
            <w:pPr>
              <w:spacing w:after="0"/>
              <w:rPr>
                <w:sz w:val="1"/>
                <w:szCs w:val="1"/>
                <w:color w:val="auto"/>
              </w:rPr>
            </w:pPr>
          </w:p>
        </w:tc>
      </w:tr>
      <w:tr>
        <w:trPr>
          <w:trHeight w:val="162"/>
        </w:trPr>
        <w:tc>
          <w:tcPr>
            <w:tcW w:w="5360" w:type="dxa"/>
            <w:vAlign w:val="bottom"/>
          </w:tcPr>
          <w:p>
            <w:pPr>
              <w:spacing w:after="0"/>
              <w:rPr>
                <w:sz w:val="14"/>
                <w:szCs w:val="14"/>
                <w:color w:val="auto"/>
              </w:rPr>
            </w:pPr>
          </w:p>
        </w:tc>
        <w:tc>
          <w:tcPr>
            <w:tcW w:w="1500" w:type="dxa"/>
            <w:vAlign w:val="bottom"/>
            <w:gridSpan w:val="3"/>
          </w:tcPr>
          <w:p>
            <w:pPr>
              <w:jc w:val="center"/>
              <w:ind w:right="120"/>
              <w:spacing w:after="0" w:line="162" w:lineRule="exact"/>
              <w:rPr>
                <w:sz w:val="20"/>
                <w:szCs w:val="20"/>
                <w:color w:val="auto"/>
              </w:rPr>
            </w:pPr>
            <w:r>
              <w:rPr>
                <w:rFonts w:ascii="Arial" w:cs="Arial" w:eastAsia="Arial" w:hAnsi="Arial"/>
                <w:sz w:val="16"/>
                <w:szCs w:val="16"/>
                <w:b w:val="1"/>
                <w:bCs w:val="1"/>
                <w:color w:val="auto"/>
                <w:w w:val="87"/>
              </w:rPr>
              <w:t>(loss) on cash flow</w:t>
            </w:r>
          </w:p>
        </w:tc>
        <w:tc>
          <w:tcPr>
            <w:tcW w:w="1500" w:type="dxa"/>
            <w:vAlign w:val="bottom"/>
            <w:gridSpan w:val="3"/>
          </w:tcPr>
          <w:p>
            <w:pPr>
              <w:jc w:val="center"/>
              <w:ind w:right="120"/>
              <w:spacing w:after="0" w:line="162" w:lineRule="exact"/>
              <w:rPr>
                <w:sz w:val="20"/>
                <w:szCs w:val="20"/>
                <w:color w:val="auto"/>
              </w:rPr>
            </w:pPr>
            <w:r>
              <w:rPr>
                <w:rFonts w:ascii="Arial" w:cs="Arial" w:eastAsia="Arial" w:hAnsi="Arial"/>
                <w:sz w:val="16"/>
                <w:szCs w:val="16"/>
                <w:b w:val="1"/>
                <w:bCs w:val="1"/>
                <w:color w:val="auto"/>
                <w:w w:val="91"/>
              </w:rPr>
              <w:t>on post-retirement</w:t>
            </w:r>
          </w:p>
        </w:tc>
        <w:tc>
          <w:tcPr>
            <w:tcW w:w="80" w:type="dxa"/>
            <w:vAlign w:val="bottom"/>
          </w:tcPr>
          <w:p>
            <w:pPr>
              <w:spacing w:after="0"/>
              <w:rPr>
                <w:sz w:val="14"/>
                <w:szCs w:val="14"/>
                <w:color w:val="auto"/>
              </w:rPr>
            </w:pPr>
          </w:p>
        </w:tc>
        <w:tc>
          <w:tcPr>
            <w:tcW w:w="140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92"/>
              </w:rPr>
              <w:t>translation</w:t>
            </w:r>
          </w:p>
        </w:tc>
        <w:tc>
          <w:tcPr>
            <w:tcW w:w="1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2"/>
              </w:rPr>
              <w:t>hedges</w:t>
            </w:r>
          </w:p>
        </w:tc>
        <w:tc>
          <w:tcPr>
            <w:tcW w:w="30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0"/>
              </w:rPr>
              <w:t>plans</w:t>
            </w:r>
          </w:p>
        </w:tc>
        <w:tc>
          <w:tcPr>
            <w:tcW w:w="8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adjustments</w:t>
            </w: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w w:val="87"/>
              </w:rPr>
              <w:t>comprehensive loss</w:t>
            </w:r>
          </w:p>
        </w:tc>
        <w:tc>
          <w:tcPr>
            <w:tcW w:w="0" w:type="dxa"/>
            <w:vAlign w:val="bottom"/>
          </w:tcPr>
          <w:p>
            <w:pPr>
              <w:spacing w:after="0"/>
              <w:rPr>
                <w:sz w:val="1"/>
                <w:szCs w:val="1"/>
                <w:color w:val="auto"/>
              </w:rPr>
            </w:pPr>
          </w:p>
        </w:tc>
      </w:tr>
      <w:tr>
        <w:trPr>
          <w:trHeight w:val="237"/>
        </w:trPr>
        <w:tc>
          <w:tcPr>
            <w:tcW w:w="5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Beginning balance, July 31, 2023</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(95,458)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(93,061)</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Other comprehensive loss before reclassification</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3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(744)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(20,364)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(21,108)</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Amounts reclassified from accumulated other comprehensive loss</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(1,114)</w:t>
            </w:r>
          </w:p>
        </w:tc>
        <w:tc>
          <w:tcPr>
            <w:tcW w:w="0" w:type="dxa"/>
            <w:vAlign w:val="bottom"/>
          </w:tcPr>
          <w:p>
            <w:pPr>
              <w:spacing w:after="0"/>
              <w:rPr>
                <w:sz w:val="1"/>
                <w:szCs w:val="1"/>
                <w:color w:val="auto"/>
              </w:rPr>
            </w:pPr>
          </w:p>
        </w:tc>
      </w:tr>
      <w:tr>
        <w:trPr>
          <w:trHeight w:val="213"/>
        </w:trPr>
        <w:tc>
          <w:tcPr>
            <w:tcW w:w="5360" w:type="dxa"/>
            <w:vAlign w:val="bottom"/>
          </w:tcPr>
          <w:p>
            <w:pPr>
              <w:ind w:left="20"/>
              <w:spacing w:after="0"/>
              <w:rPr>
                <w:sz w:val="20"/>
                <w:szCs w:val="20"/>
                <w:color w:val="auto"/>
              </w:rPr>
            </w:pPr>
            <w:r>
              <w:rPr>
                <w:rFonts w:ascii="Arial" w:cs="Arial" w:eastAsia="Arial" w:hAnsi="Arial"/>
                <w:sz w:val="16"/>
                <w:szCs w:val="16"/>
                <w:color w:val="auto"/>
              </w:rPr>
              <w:t>Ending balance, October 31, 2023</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605</w:t>
            </w: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(115,822)</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(115,283)</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increase in accumulated other comprehensive loss as of October 31, 2023 compared to July 31, 2023 was primarily due to the appreciation of the U.S. dollar against certain other currencies during the three-month period.</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changes in accumulated other comprehensive loss by component, net of tax, for the three months ended October 31, 2022 were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60" w:type="dxa"/>
            <w:vAlign w:val="bottom"/>
          </w:tcPr>
          <w:p>
            <w:pPr>
              <w:spacing w:after="0"/>
              <w:rPr>
                <w:sz w:val="16"/>
                <w:szCs w:val="16"/>
                <w:color w:val="auto"/>
              </w:rPr>
            </w:pPr>
          </w:p>
        </w:tc>
        <w:tc>
          <w:tcPr>
            <w:tcW w:w="150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91"/>
              </w:rPr>
              <w:t>Unrealized gain on</w:t>
            </w:r>
          </w:p>
        </w:tc>
        <w:tc>
          <w:tcPr>
            <w:tcW w:w="15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Unamortized gain</w:t>
            </w:r>
          </w:p>
        </w:tc>
        <w:tc>
          <w:tcPr>
            <w:tcW w:w="80" w:type="dxa"/>
            <w:vAlign w:val="bottom"/>
          </w:tcPr>
          <w:p>
            <w:pPr>
              <w:spacing w:after="0"/>
              <w:rPr>
                <w:sz w:val="16"/>
                <w:szCs w:val="16"/>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Foreign currency</w:t>
            </w:r>
          </w:p>
        </w:tc>
        <w:tc>
          <w:tcPr>
            <w:tcW w:w="14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w w:val="92"/>
              </w:rPr>
              <w:t>Accumulated other</w:t>
            </w:r>
          </w:p>
        </w:tc>
        <w:tc>
          <w:tcPr>
            <w:tcW w:w="0" w:type="dxa"/>
            <w:vAlign w:val="bottom"/>
          </w:tcPr>
          <w:p>
            <w:pPr>
              <w:spacing w:after="0"/>
              <w:rPr>
                <w:sz w:val="1"/>
                <w:szCs w:val="1"/>
                <w:color w:val="auto"/>
              </w:rPr>
            </w:pPr>
          </w:p>
        </w:tc>
      </w:tr>
      <w:tr>
        <w:trPr>
          <w:trHeight w:val="162"/>
        </w:trPr>
        <w:tc>
          <w:tcPr>
            <w:tcW w:w="5360" w:type="dxa"/>
            <w:vAlign w:val="bottom"/>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1500" w:type="dxa"/>
            <w:vAlign w:val="bottom"/>
            <w:gridSpan w:val="3"/>
          </w:tcPr>
          <w:p>
            <w:pPr>
              <w:jc w:val="center"/>
              <w:ind w:right="120"/>
              <w:spacing w:after="0" w:line="162" w:lineRule="exact"/>
              <w:rPr>
                <w:sz w:val="20"/>
                <w:szCs w:val="20"/>
                <w:color w:val="auto"/>
              </w:rPr>
            </w:pPr>
            <w:r>
              <w:rPr>
                <w:rFonts w:ascii="Arial" w:cs="Arial" w:eastAsia="Arial" w:hAnsi="Arial"/>
                <w:sz w:val="16"/>
                <w:szCs w:val="16"/>
                <w:b w:val="1"/>
                <w:bCs w:val="1"/>
                <w:color w:val="auto"/>
                <w:w w:val="91"/>
              </w:rPr>
              <w:t>on post-retirement</w:t>
            </w:r>
          </w:p>
        </w:tc>
        <w:tc>
          <w:tcPr>
            <w:tcW w:w="80" w:type="dxa"/>
            <w:vAlign w:val="bottom"/>
          </w:tcPr>
          <w:p>
            <w:pPr>
              <w:spacing w:after="0"/>
              <w:rPr>
                <w:sz w:val="14"/>
                <w:szCs w:val="14"/>
                <w:color w:val="auto"/>
              </w:rPr>
            </w:pPr>
          </w:p>
        </w:tc>
        <w:tc>
          <w:tcPr>
            <w:tcW w:w="140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92"/>
              </w:rPr>
              <w:t>translation</w:t>
            </w:r>
          </w:p>
        </w:tc>
        <w:tc>
          <w:tcPr>
            <w:tcW w:w="1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5"/>
              </w:rPr>
              <w:t>cash flow hedges</w:t>
            </w:r>
          </w:p>
        </w:tc>
        <w:tc>
          <w:tcPr>
            <w:tcW w:w="30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0"/>
              </w:rPr>
              <w:t>plans</w:t>
            </w:r>
          </w:p>
        </w:tc>
        <w:tc>
          <w:tcPr>
            <w:tcW w:w="8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adjustments</w:t>
            </w: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w w:val="87"/>
              </w:rPr>
              <w:t>comprehensive loss</w:t>
            </w:r>
          </w:p>
        </w:tc>
        <w:tc>
          <w:tcPr>
            <w:tcW w:w="0" w:type="dxa"/>
            <w:vAlign w:val="bottom"/>
          </w:tcPr>
          <w:p>
            <w:pPr>
              <w:spacing w:after="0"/>
              <w:rPr>
                <w:sz w:val="1"/>
                <w:szCs w:val="1"/>
                <w:color w:val="auto"/>
              </w:rPr>
            </w:pPr>
          </w:p>
        </w:tc>
      </w:tr>
      <w:tr>
        <w:trPr>
          <w:trHeight w:val="237"/>
        </w:trPr>
        <w:tc>
          <w:tcPr>
            <w:tcW w:w="5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Beginning balance, July 31, 2022</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(111,467)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(109,077)</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Other comprehensive income (loss) before reclassification</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813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(17,672)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(16,859)</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Amounts reclassified from accumulated other comprehensive loss</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w:t>
            </w:r>
          </w:p>
        </w:tc>
        <w:tc>
          <w:tcPr>
            <w:tcW w:w="0" w:type="dxa"/>
            <w:vAlign w:val="bottom"/>
          </w:tcPr>
          <w:p>
            <w:pPr>
              <w:spacing w:after="0"/>
              <w:rPr>
                <w:sz w:val="1"/>
                <w:szCs w:val="1"/>
                <w:color w:val="auto"/>
              </w:rPr>
            </w:pPr>
          </w:p>
        </w:tc>
      </w:tr>
      <w:tr>
        <w:trPr>
          <w:trHeight w:val="213"/>
        </w:trPr>
        <w:tc>
          <w:tcPr>
            <w:tcW w:w="5360" w:type="dxa"/>
            <w:vAlign w:val="bottom"/>
          </w:tcPr>
          <w:p>
            <w:pPr>
              <w:ind w:left="20"/>
              <w:spacing w:after="0"/>
              <w:rPr>
                <w:sz w:val="20"/>
                <w:szCs w:val="20"/>
                <w:color w:val="auto"/>
              </w:rPr>
            </w:pPr>
            <w:r>
              <w:rPr>
                <w:rFonts w:ascii="Arial" w:cs="Arial" w:eastAsia="Arial" w:hAnsi="Arial"/>
                <w:sz w:val="16"/>
                <w:szCs w:val="16"/>
                <w:color w:val="auto"/>
              </w:rPr>
              <w:t>Ending balance, October 31, 2022</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1,332</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1,293</w:t>
            </w: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(129,139)</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(126,514)</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increase in the accumulated other comprehensive loss as of October 31, 2022 compared to July 31, 2022 was primarily due to the appreciation of the U.S. dollar against certain other currencies during the three-month period.</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Of the amounts reclassified from accumulated other comprehensive loss during the three months ended October 31, 2023 and 2022, unrealized gains on cash flow hedges were reclassified to "Cost of goods sold" and unamortized gains on post-retirement plans were reclassified into "Investment and other income (expense)" on the condensed consolidated statements of income.</w:t>
      </w:r>
    </w:p>
    <w:p>
      <w:pPr>
        <w:spacing w:after="0" w:line="13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 illustrates the income tax (expense) benefit on the components of other comprehensive loss for the three months ended October 31, 2023 and 2022:</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6"/>
                <w:szCs w:val="16"/>
                <w:b w:val="1"/>
                <w:bCs w:val="1"/>
                <w:color w:val="auto"/>
                <w:w w:val="95"/>
              </w:rPr>
              <w:t>Three months ended October 31,</w:t>
            </w:r>
          </w:p>
        </w:tc>
      </w:tr>
      <w:tr>
        <w:trPr>
          <w:trHeight w:val="210"/>
        </w:trPr>
        <w:tc>
          <w:tcPr>
            <w:tcW w:w="8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r>
      <w:tr>
        <w:trPr>
          <w:trHeight w:val="19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 benefit related to items of other comprehensive loss:</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0"/>
        </w:trPr>
        <w:tc>
          <w:tcPr>
            <w:tcW w:w="8240" w:type="dxa"/>
            <w:vAlign w:val="bottom"/>
          </w:tcPr>
          <w:p>
            <w:pPr>
              <w:ind w:left="220"/>
              <w:spacing w:after="0"/>
              <w:rPr>
                <w:sz w:val="20"/>
                <w:szCs w:val="20"/>
                <w:color w:val="auto"/>
              </w:rPr>
            </w:pPr>
            <w:r>
              <w:rPr>
                <w:rFonts w:ascii="Arial" w:cs="Arial" w:eastAsia="Arial" w:hAnsi="Arial"/>
                <w:sz w:val="16"/>
                <w:szCs w:val="16"/>
                <w:color w:val="auto"/>
              </w:rPr>
              <w:t>Cash flow hedges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66</w:t>
            </w:r>
          </w:p>
        </w:tc>
      </w:tr>
    </w:tbl>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NOTE G — Revenue Recognition</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Company recognizes revenue when control of the product or service transfers to the customer at an amount that represents the consideration expected to be received in exchange for those products and services. The Company’s revenues are primarily from the sale of identification solutions and workplace safety products that are shipped and billed to customers. All revenue is from contracts with customers and is included in “Net sales” on the condensed consolidated statements of income. See Note H, “Segment Information,” for the Company’s disaggregated revenue disclosure.</w:t>
      </w:r>
    </w:p>
    <w:p>
      <w:pPr>
        <w:spacing w:after="0" w:line="10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Company offers extended warranty coverage that is included in the sales price of certain products, which it accounts for as service warranties. The Company accounts for the deferred revenue associated with extended service warranties as a contract liability. The balance of contract liabilities associated with service warranty performance obligations was $2,870 and $2,757 as of October 31, 2023 and July 31, 2023, respectively. The current portion and non-current portion of contract liabilities are included in “Other current liabilities” and “Other liabilities," respectively, on the condensed consolidated balance sheets. The Company recognized revenue of $314 and $306 during the three months ended October 31, 2023 and 2022, respectively, that was included in the contract liability balance at the beginning of the respective period from the amortization of extended service warranties. Of the contract liability balance outstanding at October 31, 2023, the Company expects to recognize 31% by the end of fiscal 2024, an additional 30% by the end of fiscal 2025, and the remaining balance thereafter.</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NOTE H — Segment Information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is organized and managed within two regions: Americas &amp; Asia and Europe &amp; Australia, which are the reportable segments.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net sales by segment and geographic region for the three months ended October 31, 2023 and 2022:</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6"/>
                <w:szCs w:val="16"/>
                <w:b w:val="1"/>
                <w:bCs w:val="1"/>
                <w:color w:val="auto"/>
                <w:w w:val="95"/>
              </w:rPr>
              <w:t>Three months ended October 31,</w:t>
            </w:r>
          </w:p>
        </w:tc>
        <w:tc>
          <w:tcPr>
            <w:tcW w:w="0" w:type="dxa"/>
            <w:vAlign w:val="bottom"/>
          </w:tcPr>
          <w:p>
            <w:pPr>
              <w:spacing w:after="0"/>
              <w:rPr>
                <w:sz w:val="1"/>
                <w:szCs w:val="1"/>
                <w:color w:val="auto"/>
              </w:rPr>
            </w:pPr>
          </w:p>
        </w:tc>
      </w:tr>
      <w:tr>
        <w:trPr>
          <w:trHeight w:val="210"/>
        </w:trPr>
        <w:tc>
          <w:tcPr>
            <w:tcW w:w="8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19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Americas &amp; Asia</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360"/>
              <w:spacing w:after="0"/>
              <w:rPr>
                <w:sz w:val="20"/>
                <w:szCs w:val="20"/>
                <w:color w:val="auto"/>
              </w:rPr>
            </w:pPr>
            <w:r>
              <w:rPr>
                <w:rFonts w:ascii="Arial" w:cs="Arial" w:eastAsia="Arial" w:hAnsi="Arial"/>
                <w:sz w:val="16"/>
                <w:szCs w:val="16"/>
                <w:i w:val="1"/>
                <w:iCs w:val="1"/>
                <w:color w:val="auto"/>
              </w:rPr>
              <w:t>Americas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196,286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191,329</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ind w:left="360"/>
              <w:spacing w:after="0"/>
              <w:rPr>
                <w:sz w:val="20"/>
                <w:szCs w:val="20"/>
                <w:color w:val="auto"/>
              </w:rPr>
            </w:pPr>
            <w:r>
              <w:rPr>
                <w:rFonts w:ascii="Arial" w:cs="Arial" w:eastAsia="Arial" w:hAnsi="Arial"/>
                <w:sz w:val="16"/>
                <w:szCs w:val="16"/>
                <w:i w:val="1"/>
                <w:iCs w:val="1"/>
                <w:color w:val="auto"/>
              </w:rPr>
              <w:t>Asia</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25,340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27,166</w:t>
            </w:r>
          </w:p>
        </w:tc>
        <w:tc>
          <w:tcPr>
            <w:tcW w:w="0" w:type="dxa"/>
            <w:vAlign w:val="bottom"/>
          </w:tcPr>
          <w:p>
            <w:pPr>
              <w:spacing w:after="0"/>
              <w:rPr>
                <w:sz w:val="1"/>
                <w:szCs w:val="1"/>
                <w:color w:val="auto"/>
              </w:rPr>
            </w:pPr>
          </w:p>
        </w:tc>
      </w:tr>
      <w:tr>
        <w:trPr>
          <w:trHeight w:val="234"/>
        </w:trPr>
        <w:tc>
          <w:tcPr>
            <w:tcW w:w="8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221,626</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218,495</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Europe &amp; Australia</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2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360"/>
              <w:spacing w:after="0"/>
              <w:rPr>
                <w:sz w:val="20"/>
                <w:szCs w:val="20"/>
                <w:color w:val="auto"/>
              </w:rPr>
            </w:pPr>
            <w:r>
              <w:rPr>
                <w:rFonts w:ascii="Arial" w:cs="Arial" w:eastAsia="Arial" w:hAnsi="Arial"/>
                <w:sz w:val="16"/>
                <w:szCs w:val="16"/>
                <w:i w:val="1"/>
                <w:iCs w:val="1"/>
                <w:color w:val="auto"/>
              </w:rPr>
              <w:t>Europe</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96,333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90,192</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ind w:left="360"/>
              <w:spacing w:after="0"/>
              <w:rPr>
                <w:sz w:val="20"/>
                <w:szCs w:val="20"/>
                <w:color w:val="auto"/>
              </w:rPr>
            </w:pPr>
            <w:r>
              <w:rPr>
                <w:rFonts w:ascii="Arial" w:cs="Arial" w:eastAsia="Arial" w:hAnsi="Arial"/>
                <w:sz w:val="16"/>
                <w:szCs w:val="16"/>
                <w:i w:val="1"/>
                <w:iCs w:val="1"/>
                <w:color w:val="auto"/>
              </w:rPr>
              <w:t>Australia</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14,024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13,882</w:t>
            </w:r>
          </w:p>
        </w:tc>
        <w:tc>
          <w:tcPr>
            <w:tcW w:w="0" w:type="dxa"/>
            <w:vAlign w:val="bottom"/>
          </w:tcPr>
          <w:p>
            <w:pPr>
              <w:spacing w:after="0"/>
              <w:rPr>
                <w:sz w:val="1"/>
                <w:szCs w:val="1"/>
                <w:color w:val="auto"/>
              </w:rPr>
            </w:pPr>
          </w:p>
        </w:tc>
      </w:tr>
      <w:tr>
        <w:trPr>
          <w:trHeight w:val="234"/>
        </w:trPr>
        <w:tc>
          <w:tcPr>
            <w:tcW w:w="8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110,357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104,074</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2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Company</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331,983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322,569</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segment profit for the three months ended October 31, 2023 and 2022:</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40" w:type="dxa"/>
            <w:vAlign w:val="bottom"/>
          </w:tcPr>
          <w:p>
            <w:pPr>
              <w:spacing w:after="0"/>
              <w:rPr>
                <w:sz w:val="18"/>
                <w:szCs w:val="18"/>
                <w:color w:val="auto"/>
              </w:rPr>
            </w:pPr>
          </w:p>
        </w:tc>
        <w:tc>
          <w:tcPr>
            <w:tcW w:w="2980" w:type="dxa"/>
            <w:vAlign w:val="bottom"/>
            <w:tcBorders>
              <w:bottom w:val="single" w:sz="8" w:color="auto"/>
            </w:tcBorders>
            <w:gridSpan w:val="5"/>
          </w:tcPr>
          <w:p>
            <w:pPr>
              <w:jc w:val="right"/>
              <w:ind w:right="279"/>
              <w:spacing w:after="0"/>
              <w:rPr>
                <w:sz w:val="20"/>
                <w:szCs w:val="20"/>
                <w:color w:val="auto"/>
              </w:rPr>
            </w:pPr>
            <w:r>
              <w:rPr>
                <w:rFonts w:ascii="Arial" w:cs="Arial" w:eastAsia="Arial" w:hAnsi="Arial"/>
                <w:sz w:val="16"/>
                <w:szCs w:val="16"/>
                <w:b w:val="1"/>
                <w:bCs w:val="1"/>
                <w:color w:val="auto"/>
              </w:rPr>
              <w:t>Three months ended October 31,</w:t>
            </w:r>
          </w:p>
        </w:tc>
      </w:tr>
      <w:tr>
        <w:trPr>
          <w:trHeight w:val="210"/>
        </w:trPr>
        <w:tc>
          <w:tcPr>
            <w:tcW w:w="82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r>
      <w:tr>
        <w:trPr>
          <w:trHeight w:val="19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profit:</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8240" w:type="dxa"/>
            <w:vAlign w:val="bottom"/>
          </w:tcPr>
          <w:p>
            <w:pPr>
              <w:ind w:left="360"/>
              <w:spacing w:after="0"/>
              <w:rPr>
                <w:sz w:val="20"/>
                <w:szCs w:val="20"/>
                <w:color w:val="auto"/>
              </w:rPr>
            </w:pPr>
            <w:r>
              <w:rPr>
                <w:rFonts w:ascii="Arial" w:cs="Arial" w:eastAsia="Arial" w:hAnsi="Arial"/>
                <w:sz w:val="16"/>
                <w:szCs w:val="16"/>
                <w:color w:val="auto"/>
              </w:rPr>
              <w:t>Americas &amp; Asia</w:t>
            </w:r>
          </w:p>
        </w:tc>
        <w:tc>
          <w:tcPr>
            <w:tcW w:w="900" w:type="dxa"/>
            <w:vAlign w:val="bottom"/>
          </w:tcPr>
          <w:p>
            <w:pPr>
              <w:jc w:val="right"/>
              <w:ind w:right="71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w w:val="89"/>
              </w:rPr>
              <w:t>49,897</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41,145</w:t>
            </w:r>
          </w:p>
        </w:tc>
      </w:tr>
      <w:tr>
        <w:trPr>
          <w:trHeight w:val="219"/>
        </w:trPr>
        <w:tc>
          <w:tcPr>
            <w:tcW w:w="8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Europe &amp; Australia</w:t>
            </w: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16,744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16,758</w:t>
            </w:r>
          </w:p>
        </w:tc>
      </w:tr>
      <w:tr>
        <w:trPr>
          <w:trHeight w:val="207"/>
        </w:trPr>
        <w:tc>
          <w:tcPr>
            <w:tcW w:w="8240" w:type="dxa"/>
            <w:vAlign w:val="bottom"/>
          </w:tcPr>
          <w:p>
            <w:pPr>
              <w:ind w:left="360"/>
              <w:spacing w:after="0"/>
              <w:rPr>
                <w:sz w:val="20"/>
                <w:szCs w:val="20"/>
                <w:color w:val="auto"/>
              </w:rPr>
            </w:pPr>
            <w:r>
              <w:rPr>
                <w:rFonts w:ascii="Arial" w:cs="Arial" w:eastAsia="Arial" w:hAnsi="Arial"/>
                <w:sz w:val="16"/>
                <w:szCs w:val="16"/>
                <w:color w:val="auto"/>
              </w:rPr>
              <w:t>Total Company</w:t>
            </w:r>
          </w:p>
        </w:tc>
        <w:tc>
          <w:tcPr>
            <w:tcW w:w="90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66,641</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57,903</w:t>
            </w:r>
          </w:p>
        </w:tc>
      </w:tr>
      <w:tr>
        <w:trPr>
          <w:trHeight w:val="23"/>
        </w:trPr>
        <w:tc>
          <w:tcPr>
            <w:tcW w:w="82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reconciliation of segment profit to income before income taxes for the three months ended October 31, 2023 and 2022:</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40" w:type="dxa"/>
            <w:vAlign w:val="bottom"/>
          </w:tcPr>
          <w:p>
            <w:pPr>
              <w:spacing w:after="0"/>
              <w:rPr>
                <w:sz w:val="18"/>
                <w:szCs w:val="18"/>
                <w:color w:val="auto"/>
              </w:rPr>
            </w:pPr>
          </w:p>
        </w:tc>
        <w:tc>
          <w:tcPr>
            <w:tcW w:w="2980" w:type="dxa"/>
            <w:vAlign w:val="bottom"/>
            <w:tcBorders>
              <w:bottom w:val="single" w:sz="8" w:color="auto"/>
            </w:tcBorders>
            <w:gridSpan w:val="5"/>
          </w:tcPr>
          <w:p>
            <w:pPr>
              <w:jc w:val="right"/>
              <w:ind w:right="279"/>
              <w:spacing w:after="0"/>
              <w:rPr>
                <w:sz w:val="20"/>
                <w:szCs w:val="20"/>
                <w:color w:val="auto"/>
              </w:rPr>
            </w:pPr>
            <w:r>
              <w:rPr>
                <w:rFonts w:ascii="Arial" w:cs="Arial" w:eastAsia="Arial" w:hAnsi="Arial"/>
                <w:sz w:val="16"/>
                <w:szCs w:val="16"/>
                <w:b w:val="1"/>
                <w:bCs w:val="1"/>
                <w:color w:val="auto"/>
              </w:rPr>
              <w:t>Three months ended October 31,</w:t>
            </w:r>
          </w:p>
        </w:tc>
      </w:tr>
      <w:tr>
        <w:trPr>
          <w:trHeight w:val="210"/>
        </w:trPr>
        <w:tc>
          <w:tcPr>
            <w:tcW w:w="82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r>
      <w:tr>
        <w:trPr>
          <w:trHeight w:val="212"/>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profit from reportable segments</w:t>
            </w: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66,641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57,903</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Unallocated amounts:</w:t>
            </w: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8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Administrative costs</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(6,911)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(6,517)</w:t>
            </w:r>
          </w:p>
        </w:tc>
      </w:tr>
      <w:tr>
        <w:trPr>
          <w:trHeight w:val="213"/>
        </w:trPr>
        <w:tc>
          <w:tcPr>
            <w:tcW w:w="8240" w:type="dxa"/>
            <w:vAlign w:val="bottom"/>
          </w:tcPr>
          <w:p>
            <w:pPr>
              <w:ind w:left="360"/>
              <w:spacing w:after="0"/>
              <w:rPr>
                <w:sz w:val="20"/>
                <w:szCs w:val="20"/>
                <w:color w:val="auto"/>
              </w:rPr>
            </w:pPr>
            <w:r>
              <w:rPr>
                <w:rFonts w:ascii="Arial" w:cs="Arial" w:eastAsia="Arial" w:hAnsi="Arial"/>
                <w:sz w:val="16"/>
                <w:szCs w:val="16"/>
                <w:color w:val="auto"/>
              </w:rPr>
              <w:t>Investment and other income (expense)</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438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(157)</w:t>
            </w:r>
          </w:p>
        </w:tc>
      </w:tr>
      <w:tr>
        <w:trPr>
          <w:trHeight w:val="219"/>
        </w:trPr>
        <w:tc>
          <w:tcPr>
            <w:tcW w:w="8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expense</w:t>
            </w: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(894)</w:t>
            </w:r>
          </w:p>
        </w:tc>
      </w:tr>
      <w:tr>
        <w:trPr>
          <w:trHeight w:val="207"/>
        </w:trPr>
        <w:tc>
          <w:tcPr>
            <w:tcW w:w="824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90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59,402</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50,335</w:t>
            </w:r>
          </w:p>
        </w:tc>
      </w:tr>
      <w:tr>
        <w:trPr>
          <w:trHeight w:val="23"/>
        </w:trPr>
        <w:tc>
          <w:tcPr>
            <w:tcW w:w="82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NOTE I – Stock-Based Compensation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Incentive Stock Plans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has an incentive stock plan under which the Board of Directors may grant nonqualified stock options to purchase shares of Class A Nonvoting Common Stock, restricted stock units ("RSUs"), performance-based restricted stock units ("PRSUs"), or restricted and unrestricted shares of Class A Nonvoting Common Stock to employees and non-employee directors. Certain awards may be subject to pre-established performance goals. The majority of the Company’s annual share-based awards are granted in the first quarter of the fiscal year.</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Total stock-based compensation expense recognized during the three months ended October 31, 2023 and 2022 was $4,163 and $2,958, respectively. The total income tax benefit recognized in the condensed consolidated statements of income was $425 and $192 during the three months ended October 31, 2023 and 2022, respectively.</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Options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stock options issued under the plan have an exercise price equal to the market price of the Company's stock at the date of the grant and generally vest ratably over three years, with one-third becoming exercisable one year after the grant date and one-third additional in each of the succeeding two years. Options issued under the plan, referred to herein as “time-based” options, generally expire ten years from the date of grant.</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has estimated the fair value of its time-based options granted during the three months ended October 31, 2023 and 2022, using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Black-Scholes option valuation model. The weighted-average assumptions used in the Black-Scholes valuation model are reflected in the following table: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40" w:type="dxa"/>
            <w:vAlign w:val="bottom"/>
            <w:tcBorders>
              <w:bottom w:val="single" w:sz="8" w:color="auto"/>
            </w:tcBorders>
            <w:gridSpan w:val="3"/>
          </w:tcPr>
          <w:p>
            <w:pPr>
              <w:jc w:val="right"/>
              <w:ind w:right="859"/>
              <w:spacing w:after="0"/>
              <w:rPr>
                <w:sz w:val="20"/>
                <w:szCs w:val="20"/>
                <w:color w:val="auto"/>
              </w:rPr>
            </w:pPr>
            <w:r>
              <w:rPr>
                <w:rFonts w:ascii="Arial" w:cs="Arial" w:eastAsia="Arial" w:hAnsi="Arial"/>
                <w:sz w:val="16"/>
                <w:szCs w:val="16"/>
                <w:b w:val="1"/>
                <w:bCs w:val="1"/>
                <w:color w:val="auto"/>
              </w:rPr>
              <w:t>Three months ended October 31,</w:t>
            </w:r>
          </w:p>
        </w:tc>
      </w:tr>
      <w:tr>
        <w:trPr>
          <w:trHeight w:val="213"/>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Black-Scholes Option Valuation Assumptions</w:t>
            </w:r>
          </w:p>
        </w:tc>
        <w:tc>
          <w:tcPr>
            <w:tcW w:w="100" w:type="dxa"/>
            <w:vAlign w:val="bottom"/>
            <w:tcBorders>
              <w:bottom w:val="single" w:sz="8" w:color="CCEEFF"/>
            </w:tcBorders>
          </w:tcPr>
          <w:p>
            <w:pPr>
              <w:spacing w:after="0"/>
              <w:rPr>
                <w:sz w:val="18"/>
                <w:szCs w:val="18"/>
                <w:color w:val="auto"/>
              </w:rPr>
            </w:pPr>
          </w:p>
        </w:tc>
        <w:tc>
          <w:tcPr>
            <w:tcW w:w="202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02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2022</w:t>
            </w:r>
          </w:p>
        </w:tc>
      </w:tr>
      <w:tr>
        <w:trPr>
          <w:trHeight w:val="212"/>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Expected term (in years)</w:t>
            </w:r>
          </w:p>
        </w:tc>
        <w:tc>
          <w:tcPr>
            <w:tcW w:w="2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r>
      <w:tr>
        <w:trPr>
          <w:trHeight w:val="213"/>
        </w:trPr>
        <w:tc>
          <w:tcPr>
            <w:tcW w:w="7100" w:type="dxa"/>
            <w:vAlign w:val="bottom"/>
            <w:gridSpan w:val="2"/>
          </w:tcPr>
          <w:p>
            <w:pPr>
              <w:ind w:left="20"/>
              <w:spacing w:after="0"/>
              <w:rPr>
                <w:sz w:val="20"/>
                <w:szCs w:val="20"/>
                <w:color w:val="auto"/>
              </w:rPr>
            </w:pPr>
            <w:r>
              <w:rPr>
                <w:rFonts w:ascii="Arial" w:cs="Arial" w:eastAsia="Arial" w:hAnsi="Arial"/>
                <w:sz w:val="16"/>
                <w:szCs w:val="16"/>
                <w:color w:val="auto"/>
              </w:rPr>
              <w:t>Expected volatility</w:t>
            </w:r>
          </w:p>
        </w:tc>
        <w:tc>
          <w:tcPr>
            <w:tcW w:w="2020" w:type="dxa"/>
            <w:vAlign w:val="bottom"/>
          </w:tcPr>
          <w:p>
            <w:pPr>
              <w:jc w:val="right"/>
              <w:spacing w:after="0"/>
              <w:rPr>
                <w:sz w:val="20"/>
                <w:szCs w:val="20"/>
                <w:color w:val="auto"/>
              </w:rPr>
            </w:pPr>
            <w:r>
              <w:rPr>
                <w:rFonts w:ascii="Arial" w:cs="Arial" w:eastAsia="Arial" w:hAnsi="Arial"/>
                <w:sz w:val="16"/>
                <w:szCs w:val="16"/>
                <w:color w:val="auto"/>
              </w:rPr>
              <w:t>30.2 %</w:t>
            </w:r>
          </w:p>
        </w:tc>
        <w:tc>
          <w:tcPr>
            <w:tcW w:w="10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29.6 %</w:t>
            </w:r>
          </w:p>
        </w:tc>
      </w:tr>
      <w:tr>
        <w:trPr>
          <w:trHeight w:val="219"/>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Expected dividend yield</w:t>
            </w:r>
          </w:p>
        </w:tc>
        <w:tc>
          <w:tcPr>
            <w:tcW w:w="2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2.0 %</w:t>
            </w:r>
          </w:p>
        </w:tc>
      </w:tr>
      <w:tr>
        <w:trPr>
          <w:trHeight w:val="210"/>
        </w:trPr>
        <w:tc>
          <w:tcPr>
            <w:tcW w:w="7100" w:type="dxa"/>
            <w:vAlign w:val="bottom"/>
            <w:gridSpan w:val="2"/>
          </w:tcPr>
          <w:p>
            <w:pPr>
              <w:ind w:left="20"/>
              <w:spacing w:after="0"/>
              <w:rPr>
                <w:sz w:val="20"/>
                <w:szCs w:val="20"/>
                <w:color w:val="auto"/>
              </w:rPr>
            </w:pPr>
            <w:r>
              <w:rPr>
                <w:rFonts w:ascii="Arial" w:cs="Arial" w:eastAsia="Arial" w:hAnsi="Arial"/>
                <w:sz w:val="16"/>
                <w:szCs w:val="16"/>
                <w:color w:val="auto"/>
              </w:rPr>
              <w:t>Risk-free interest rate</w:t>
            </w:r>
          </w:p>
        </w:tc>
        <w:tc>
          <w:tcPr>
            <w:tcW w:w="2020" w:type="dxa"/>
            <w:vAlign w:val="bottom"/>
          </w:tcPr>
          <w:p>
            <w:pPr>
              <w:jc w:val="right"/>
              <w:spacing w:after="0"/>
              <w:rPr>
                <w:sz w:val="20"/>
                <w:szCs w:val="20"/>
                <w:color w:val="auto"/>
              </w:rPr>
            </w:pPr>
            <w:r>
              <w:rPr>
                <w:rFonts w:ascii="Arial" w:cs="Arial" w:eastAsia="Arial" w:hAnsi="Arial"/>
                <w:sz w:val="16"/>
                <w:szCs w:val="16"/>
                <w:color w:val="auto"/>
              </w:rPr>
              <w:t>4.7 %</w:t>
            </w:r>
          </w:p>
        </w:tc>
        <w:tc>
          <w:tcPr>
            <w:tcW w:w="10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3.7 %</w:t>
            </w:r>
          </w:p>
        </w:tc>
      </w:tr>
    </w:tbl>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stock option activity for the three months ended October 31, 2023:</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Weighted</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88"/>
              </w:rPr>
              <w:t>Weighted</w:t>
            </w:r>
          </w:p>
        </w:tc>
        <w:tc>
          <w:tcPr>
            <w:tcW w:w="132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1"/>
              </w:rPr>
              <w:t>Average</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Options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32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0"/>
              </w:rPr>
              <w:t>Remaining</w:t>
            </w:r>
          </w:p>
        </w:tc>
        <w:tc>
          <w:tcPr>
            <w:tcW w:w="180" w:type="dxa"/>
            <w:vAlign w:val="bottom"/>
          </w:tcPr>
          <w:p>
            <w:pPr>
              <w:spacing w:after="0"/>
              <w:rPr>
                <w:sz w:val="14"/>
                <w:szCs w:val="14"/>
                <w:color w:val="auto"/>
              </w:rPr>
            </w:pPr>
          </w:p>
        </w:tc>
        <w:tc>
          <w:tcPr>
            <w:tcW w:w="102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w w:val="95"/>
              </w:rPr>
              <w:t>Aggregate</w:t>
            </w:r>
          </w:p>
        </w:tc>
        <w:tc>
          <w:tcPr>
            <w:tcW w:w="0" w:type="dxa"/>
            <w:vAlign w:val="bottom"/>
          </w:tcPr>
          <w:p>
            <w:pPr>
              <w:spacing w:after="0"/>
              <w:rPr>
                <w:sz w:val="1"/>
                <w:szCs w:val="1"/>
                <w:color w:val="auto"/>
              </w:rPr>
            </w:pPr>
          </w:p>
        </w:tc>
      </w:tr>
      <w:tr>
        <w:trPr>
          <w:trHeight w:val="162"/>
        </w:trPr>
        <w:tc>
          <w:tcPr>
            <w:tcW w:w="60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Time-Based Options</w:t>
            </w:r>
          </w:p>
        </w:tc>
        <w:tc>
          <w:tcPr>
            <w:tcW w:w="100" w:type="dxa"/>
            <w:vAlign w:val="bottom"/>
            <w:vMerge w:val="restart"/>
          </w:tcPr>
          <w:p>
            <w:pPr>
              <w:spacing w:after="0"/>
              <w:rPr>
                <w:sz w:val="14"/>
                <w:szCs w:val="14"/>
                <w:color w:val="auto"/>
              </w:rPr>
            </w:pPr>
          </w:p>
        </w:tc>
        <w:tc>
          <w:tcPr>
            <w:tcW w:w="1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88"/>
              </w:rPr>
              <w:t>Average</w:t>
            </w:r>
          </w:p>
        </w:tc>
        <w:tc>
          <w:tcPr>
            <w:tcW w:w="132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2"/>
              </w:rPr>
              <w:t>Contractual</w:t>
            </w:r>
          </w:p>
        </w:tc>
        <w:tc>
          <w:tcPr>
            <w:tcW w:w="1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60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2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Outstanding</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1"/>
              </w:rPr>
              <w:t>Exercise Price</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Term</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Intrinsic Value</w:t>
            </w:r>
          </w:p>
        </w:tc>
        <w:tc>
          <w:tcPr>
            <w:tcW w:w="0" w:type="dxa"/>
            <w:vAlign w:val="bottom"/>
          </w:tcPr>
          <w:p>
            <w:pPr>
              <w:spacing w:after="0"/>
              <w:rPr>
                <w:sz w:val="1"/>
                <w:szCs w:val="1"/>
                <w:color w:val="auto"/>
              </w:rPr>
            </w:pPr>
          </w:p>
        </w:tc>
      </w:tr>
      <w:tr>
        <w:trPr>
          <w:trHeight w:val="212"/>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Outstanding at July 31, 2023</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1,546,783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42.05</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100" w:type="dxa"/>
            <w:vAlign w:val="bottom"/>
            <w:gridSpan w:val="2"/>
          </w:tcPr>
          <w:p>
            <w:pPr>
              <w:ind w:left="20"/>
              <w:spacing w:after="0"/>
              <w:rPr>
                <w:sz w:val="20"/>
                <w:szCs w:val="20"/>
                <w:color w:val="auto"/>
              </w:rPr>
            </w:pPr>
            <w:r>
              <w:rPr>
                <w:rFonts w:ascii="Arial" w:cs="Arial" w:eastAsia="Arial" w:hAnsi="Arial"/>
                <w:sz w:val="16"/>
                <w:szCs w:val="16"/>
                <w:color w:val="auto"/>
              </w:rPr>
              <w:t>Granted</w:t>
            </w:r>
          </w:p>
        </w:tc>
        <w:tc>
          <w:tcPr>
            <w:tcW w:w="1220" w:type="dxa"/>
            <w:vAlign w:val="bottom"/>
          </w:tcPr>
          <w:p>
            <w:pPr>
              <w:jc w:val="right"/>
              <w:spacing w:after="0"/>
              <w:rPr>
                <w:sz w:val="20"/>
                <w:szCs w:val="20"/>
                <w:color w:val="auto"/>
              </w:rPr>
            </w:pPr>
            <w:r>
              <w:rPr>
                <w:rFonts w:ascii="Arial" w:cs="Arial" w:eastAsia="Arial" w:hAnsi="Arial"/>
                <w:sz w:val="16"/>
                <w:szCs w:val="16"/>
                <w:color w:val="auto"/>
              </w:rPr>
              <w:t>52,097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54.80</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Exercised</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(174,370)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36.57</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1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Forfeited</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(5,433)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48.82</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Outstanding at October 31, 2023</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1,419,077</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43.17</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12,727</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6"/>
                <w:szCs w:val="16"/>
                <w:color w:val="auto"/>
              </w:rPr>
              <w:t>Exercisable at October 31, 2023</w:t>
            </w: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42.17</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100" w:type="dxa"/>
            <w:vAlign w:val="bottom"/>
            <w:gridSpan w:val="2"/>
            <w:vMerge w:val="continue"/>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1,195,029</w:t>
            </w:r>
          </w:p>
        </w:tc>
        <w:tc>
          <w:tcPr>
            <w:tcW w:w="200" w:type="dxa"/>
            <w:vAlign w:val="bottom"/>
            <w:gridSpan w:val="2"/>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11,851</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additional stock option information: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80" w:type="dxa"/>
            <w:vAlign w:val="bottom"/>
          </w:tcPr>
          <w:p>
            <w:pPr>
              <w:spacing w:after="0"/>
              <w:rPr>
                <w:sz w:val="18"/>
                <w:szCs w:val="18"/>
                <w:color w:val="auto"/>
              </w:rPr>
            </w:pPr>
          </w:p>
        </w:tc>
        <w:tc>
          <w:tcPr>
            <w:tcW w:w="334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6"/>
                <w:szCs w:val="16"/>
                <w:b w:val="1"/>
                <w:bCs w:val="1"/>
                <w:color w:val="auto"/>
              </w:rPr>
              <w:t>Three months ended October 31,</w:t>
            </w:r>
          </w:p>
        </w:tc>
        <w:tc>
          <w:tcPr>
            <w:tcW w:w="620" w:type="dxa"/>
            <w:vAlign w:val="bottom"/>
            <w:tcBorders>
              <w:bottom w:val="single" w:sz="8" w:color="auto"/>
            </w:tcBorders>
          </w:tcPr>
          <w:p>
            <w:pPr>
              <w:spacing w:after="0"/>
              <w:rPr>
                <w:sz w:val="18"/>
                <w:szCs w:val="18"/>
                <w:color w:val="auto"/>
              </w:rPr>
            </w:pPr>
          </w:p>
        </w:tc>
      </w:tr>
      <w:tr>
        <w:trPr>
          <w:trHeight w:val="210"/>
        </w:trPr>
        <w:tc>
          <w:tcPr>
            <w:tcW w:w="728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2023</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2022</w:t>
            </w:r>
          </w:p>
        </w:tc>
        <w:tc>
          <w:tcPr>
            <w:tcW w:w="620" w:type="dxa"/>
            <w:vAlign w:val="bottom"/>
            <w:tcBorders>
              <w:bottom w:val="single" w:sz="8" w:color="auto"/>
            </w:tcBorders>
          </w:tcPr>
          <w:p>
            <w:pPr>
              <w:spacing w:after="0"/>
              <w:rPr>
                <w:sz w:val="18"/>
                <w:szCs w:val="18"/>
                <w:color w:val="auto"/>
              </w:rPr>
            </w:pPr>
          </w:p>
        </w:tc>
      </w:tr>
      <w:tr>
        <w:trPr>
          <w:trHeight w:val="212"/>
        </w:trPr>
        <w:tc>
          <w:tcPr>
            <w:tcW w:w="7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fair value of options granted during the period</w:t>
            </w:r>
          </w:p>
        </w:tc>
        <w:tc>
          <w:tcPr>
            <w:tcW w:w="1300" w:type="dxa"/>
            <w:vAlign w:val="bottom"/>
            <w:shd w:val="clear" w:color="auto" w:fill="CCEEFF"/>
          </w:tcPr>
          <w:p>
            <w:pPr>
              <w:jc w:val="right"/>
              <w:ind w:right="111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16.42</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3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12.06</w:t>
            </w:r>
          </w:p>
        </w:tc>
      </w:tr>
      <w:tr>
        <w:trPr>
          <w:trHeight w:val="213"/>
        </w:trPr>
        <w:tc>
          <w:tcPr>
            <w:tcW w:w="7280" w:type="dxa"/>
            <w:vAlign w:val="bottom"/>
          </w:tcPr>
          <w:p>
            <w:pPr>
              <w:ind w:left="20"/>
              <w:spacing w:after="0"/>
              <w:rPr>
                <w:sz w:val="20"/>
                <w:szCs w:val="20"/>
                <w:color w:val="auto"/>
              </w:rPr>
            </w:pPr>
            <w:r>
              <w:rPr>
                <w:rFonts w:ascii="Arial" w:cs="Arial" w:eastAsia="Arial" w:hAnsi="Arial"/>
                <w:sz w:val="16"/>
                <w:szCs w:val="16"/>
                <w:color w:val="auto"/>
              </w:rPr>
              <w:t>Intrinsic value of options exercised during the period (in thousands)</w:t>
            </w:r>
          </w:p>
        </w:tc>
        <w:tc>
          <w:tcPr>
            <w:tcW w:w="1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3,410</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364</w:t>
            </w:r>
          </w:p>
        </w:tc>
      </w:tr>
      <w:tr>
        <w:trPr>
          <w:trHeight w:val="219"/>
        </w:trPr>
        <w:tc>
          <w:tcPr>
            <w:tcW w:w="7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of options vested during the period (in thousands)</w:t>
            </w:r>
          </w:p>
        </w:tc>
        <w:tc>
          <w:tcPr>
            <w:tcW w:w="13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2,458</w:t>
            </w:r>
          </w:p>
        </w:tc>
      </w:tr>
      <w:tr>
        <w:trPr>
          <w:trHeight w:val="213"/>
        </w:trPr>
        <w:tc>
          <w:tcPr>
            <w:tcW w:w="7280" w:type="dxa"/>
            <w:vAlign w:val="bottom"/>
          </w:tcPr>
          <w:p>
            <w:pPr>
              <w:ind w:left="20"/>
              <w:spacing w:after="0"/>
              <w:rPr>
                <w:sz w:val="20"/>
                <w:szCs w:val="20"/>
                <w:color w:val="auto"/>
              </w:rPr>
            </w:pPr>
            <w:r>
              <w:rPr>
                <w:rFonts w:ascii="Arial" w:cs="Arial" w:eastAsia="Arial" w:hAnsi="Arial"/>
                <w:sz w:val="16"/>
                <w:szCs w:val="16"/>
                <w:color w:val="auto"/>
              </w:rPr>
              <w:t>Cash received from the exercise of stock options during the period (in thousands)</w:t>
            </w:r>
          </w:p>
        </w:tc>
        <w:tc>
          <w:tcPr>
            <w:tcW w:w="1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2,598</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349</w:t>
            </w:r>
          </w:p>
        </w:tc>
      </w:tr>
      <w:tr>
        <w:trPr>
          <w:trHeight w:val="219"/>
        </w:trPr>
        <w:tc>
          <w:tcPr>
            <w:tcW w:w="7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benefit on options exercised during the period (in thousands)</w:t>
            </w:r>
          </w:p>
        </w:tc>
        <w:tc>
          <w:tcPr>
            <w:tcW w:w="13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r>
    </w:tbl>
    <w:p>
      <w:pPr>
        <w:spacing w:after="0" w:line="24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of October 31, 2023, total unrecognized compensation cost related to stock options was $1,608 pre-tax, net of estimated forfeitures, which the Company expects to recognize over a weighted-average period of 2.1 years.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RSUs</w:t>
      </w:r>
    </w:p>
    <w:p>
      <w:pPr>
        <w:spacing w:after="0" w:line="17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RSUs issued under the plan have a grant date fair value equal to the market price of the Company's stock at the date of grant and generally vest ratably over three years, with one-third vesting one year after the grant date and one-third additional in each of the succeeding two years.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RSU activity for the three months ended October 31, 2023:</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center"/>
              <w:ind w:right="59"/>
              <w:spacing w:after="0"/>
              <w:rPr>
                <w:sz w:val="20"/>
                <w:szCs w:val="20"/>
                <w:color w:val="auto"/>
              </w:rPr>
            </w:pPr>
            <w:r>
              <w:rPr>
                <w:rFonts w:ascii="Arial" w:cs="Arial" w:eastAsia="Arial" w:hAnsi="Arial"/>
                <w:sz w:val="16"/>
                <w:szCs w:val="16"/>
                <w:b w:val="1"/>
                <w:bCs w:val="1"/>
                <w:color w:val="auto"/>
                <w:w w:val="90"/>
              </w:rPr>
              <w:t>Weighted Average</w:t>
            </w:r>
          </w:p>
        </w:tc>
        <w:tc>
          <w:tcPr>
            <w:tcW w:w="0" w:type="dxa"/>
            <w:vAlign w:val="bottom"/>
          </w:tcPr>
          <w:p>
            <w:pPr>
              <w:spacing w:after="0"/>
              <w:rPr>
                <w:sz w:val="1"/>
                <w:szCs w:val="1"/>
                <w:color w:val="auto"/>
              </w:rPr>
            </w:pPr>
          </w:p>
        </w:tc>
      </w:tr>
      <w:tr>
        <w:trPr>
          <w:trHeight w:val="162"/>
        </w:trPr>
        <w:tc>
          <w:tcPr>
            <w:tcW w:w="8020" w:type="dxa"/>
            <w:vAlign w:val="bottom"/>
          </w:tcPr>
          <w:p>
            <w:pPr>
              <w:spacing w:after="0"/>
              <w:rPr>
                <w:sz w:val="14"/>
                <w:szCs w:val="14"/>
                <w:color w:val="auto"/>
              </w:rPr>
            </w:pPr>
          </w:p>
        </w:tc>
        <w:tc>
          <w:tcPr>
            <w:tcW w:w="154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Number of Shares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w w:val="96"/>
              </w:rPr>
              <w:t>Grant Date Fair</w:t>
            </w:r>
          </w:p>
        </w:tc>
        <w:tc>
          <w:tcPr>
            <w:tcW w:w="0" w:type="dxa"/>
            <w:vAlign w:val="bottom"/>
          </w:tcPr>
          <w:p>
            <w:pPr>
              <w:spacing w:after="0"/>
              <w:rPr>
                <w:sz w:val="1"/>
                <w:szCs w:val="1"/>
                <w:color w:val="auto"/>
              </w:rPr>
            </w:pPr>
          </w:p>
        </w:tc>
      </w:tr>
      <w:tr>
        <w:trPr>
          <w:trHeight w:val="213"/>
        </w:trPr>
        <w:tc>
          <w:tcPr>
            <w:tcW w:w="802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Non-vested RSUs as of July 31, 2023</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133,868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46.55</w:t>
            </w:r>
          </w:p>
        </w:tc>
        <w:tc>
          <w:tcPr>
            <w:tcW w:w="0" w:type="dxa"/>
            <w:vAlign w:val="bottom"/>
          </w:tcPr>
          <w:p>
            <w:pPr>
              <w:spacing w:after="0"/>
              <w:rPr>
                <w:sz w:val="1"/>
                <w:szCs w:val="1"/>
                <w:color w:val="auto"/>
              </w:rPr>
            </w:pPr>
          </w:p>
        </w:tc>
      </w:tr>
      <w:tr>
        <w:trPr>
          <w:trHeight w:val="213"/>
        </w:trPr>
        <w:tc>
          <w:tcPr>
            <w:tcW w:w="8020" w:type="dxa"/>
            <w:vAlign w:val="bottom"/>
          </w:tcPr>
          <w:p>
            <w:pPr>
              <w:ind w:left="20"/>
              <w:spacing w:after="0"/>
              <w:rPr>
                <w:sz w:val="20"/>
                <w:szCs w:val="20"/>
                <w:color w:val="auto"/>
              </w:rPr>
            </w:pPr>
            <w:r>
              <w:rPr>
                <w:rFonts w:ascii="Arial" w:cs="Arial" w:eastAsia="Arial" w:hAnsi="Arial"/>
                <w:sz w:val="16"/>
                <w:szCs w:val="16"/>
                <w:color w:val="auto"/>
              </w:rPr>
              <w:t>Granted</w:t>
            </w:r>
          </w:p>
        </w:tc>
        <w:tc>
          <w:tcPr>
            <w:tcW w:w="1540" w:type="dxa"/>
            <w:vAlign w:val="bottom"/>
          </w:tcPr>
          <w:p>
            <w:pPr>
              <w:jc w:val="right"/>
              <w:spacing w:after="0"/>
              <w:rPr>
                <w:sz w:val="20"/>
                <w:szCs w:val="20"/>
                <w:color w:val="auto"/>
              </w:rPr>
            </w:pPr>
            <w:r>
              <w:rPr>
                <w:rFonts w:ascii="Arial" w:cs="Arial" w:eastAsia="Arial" w:hAnsi="Arial"/>
                <w:sz w:val="16"/>
                <w:szCs w:val="16"/>
                <w:color w:val="auto"/>
              </w:rPr>
              <w:t>86,286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54.80</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(53,888)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45.23</w:t>
            </w:r>
          </w:p>
        </w:tc>
        <w:tc>
          <w:tcPr>
            <w:tcW w:w="0" w:type="dxa"/>
            <w:vAlign w:val="bottom"/>
          </w:tcPr>
          <w:p>
            <w:pPr>
              <w:spacing w:after="0"/>
              <w:rPr>
                <w:sz w:val="1"/>
                <w:szCs w:val="1"/>
                <w:color w:val="auto"/>
              </w:rPr>
            </w:pPr>
          </w:p>
        </w:tc>
      </w:tr>
      <w:tr>
        <w:trPr>
          <w:trHeight w:val="21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Forfeited</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48.92</w:t>
            </w:r>
          </w:p>
        </w:tc>
        <w:tc>
          <w:tcPr>
            <w:tcW w:w="0" w:type="dxa"/>
            <w:vAlign w:val="bottom"/>
          </w:tcPr>
          <w:p>
            <w:pPr>
              <w:spacing w:after="0"/>
              <w:rPr>
                <w:sz w:val="1"/>
                <w:szCs w:val="1"/>
                <w:color w:val="auto"/>
              </w:rPr>
            </w:pPr>
          </w:p>
        </w:tc>
      </w:tr>
      <w:tr>
        <w:trPr>
          <w:trHeight w:val="234"/>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Non-vested RSUs as of October 31, 2023</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164,783</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51.28</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RSUs granted during the three months ended October 31, 2022 had a weighted-average grant date fair value of $44.70. The total fair value of RSUs vested during three months ended October 31, 2023 and 2022 was $2,974 and $2,608, respectively.</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October 31, 2023, total unrecognized compensation cost related to RSUs was $4,504 pre-tax, net of estimated forfeitures, which the Company expects to recognize over a weighted-average period of 2.3 years.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PRSUs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PRSUs are contingent on the achievement of predetermined market and performance targets. The PRSUs granted under the plan vest at the end of a three-year performance period provided the service period and specified performance targets are met. For the PRSUs granted during the three months ended October 31, 2023, awards will vest based on achievement of performance conditions relating to Company revenue and diluted EPS targets. For the PRSUs granted during the three months ended October 31, 2022 and 2021, the vesting criteria for 50% of the grant is based upon the Company's total shareholder return ("TSR") relative to the S&amp;P 600 SmallCap Industrials Index over a three-year performance period, and the vesting criteria for the other 50% of the grant is based upon Company revenue targets.</w:t>
      </w:r>
    </w:p>
    <w:p>
      <w:pPr>
        <w:spacing w:after="0" w:line="1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PRSUs granted during the three months ended October 31, 2023 had a fair value determined by the average of the high and low stock price on the date of the grant. For unvested awards with a market value condition, a third-party valuation is utilized to determine the fair value using a Monte Carlo simulation for that portion of the award.</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PRSU activity for the three months ended October 31, 2023:</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center"/>
              <w:ind w:right="59"/>
              <w:spacing w:after="0"/>
              <w:rPr>
                <w:sz w:val="20"/>
                <w:szCs w:val="20"/>
                <w:color w:val="auto"/>
              </w:rPr>
            </w:pPr>
            <w:r>
              <w:rPr>
                <w:rFonts w:ascii="Arial" w:cs="Arial" w:eastAsia="Arial" w:hAnsi="Arial"/>
                <w:sz w:val="16"/>
                <w:szCs w:val="16"/>
                <w:b w:val="1"/>
                <w:bCs w:val="1"/>
                <w:color w:val="auto"/>
                <w:w w:val="90"/>
              </w:rPr>
              <w:t>Weighted Average</w:t>
            </w:r>
          </w:p>
        </w:tc>
        <w:tc>
          <w:tcPr>
            <w:tcW w:w="0" w:type="dxa"/>
            <w:vAlign w:val="bottom"/>
          </w:tcPr>
          <w:p>
            <w:pPr>
              <w:spacing w:after="0"/>
              <w:rPr>
                <w:sz w:val="1"/>
                <w:szCs w:val="1"/>
                <w:color w:val="auto"/>
              </w:rPr>
            </w:pPr>
          </w:p>
        </w:tc>
      </w:tr>
      <w:tr>
        <w:trPr>
          <w:trHeight w:val="162"/>
        </w:trPr>
        <w:tc>
          <w:tcPr>
            <w:tcW w:w="8000" w:type="dxa"/>
            <w:vAlign w:val="bottom"/>
          </w:tcPr>
          <w:p>
            <w:pPr>
              <w:spacing w:after="0"/>
              <w:rPr>
                <w:sz w:val="14"/>
                <w:szCs w:val="14"/>
                <w:color w:val="auto"/>
              </w:rPr>
            </w:pPr>
          </w:p>
        </w:tc>
        <w:tc>
          <w:tcPr>
            <w:tcW w:w="15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Number of Shares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w w:val="96"/>
              </w:rPr>
              <w:t>Grant Date Fair</w:t>
            </w:r>
          </w:p>
        </w:tc>
        <w:tc>
          <w:tcPr>
            <w:tcW w:w="0" w:type="dxa"/>
            <w:vAlign w:val="bottom"/>
          </w:tcPr>
          <w:p>
            <w:pPr>
              <w:spacing w:after="0"/>
              <w:rPr>
                <w:sz w:val="1"/>
                <w:szCs w:val="1"/>
                <w:color w:val="auto"/>
              </w:rPr>
            </w:pPr>
          </w:p>
        </w:tc>
      </w:tr>
      <w:tr>
        <w:trPr>
          <w:trHeight w:val="213"/>
        </w:trPr>
        <w:tc>
          <w:tcPr>
            <w:tcW w:w="80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Non-vested PRSUs as of July 31, 2023</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63,448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58.39</w:t>
            </w:r>
          </w:p>
        </w:tc>
        <w:tc>
          <w:tcPr>
            <w:tcW w:w="0" w:type="dxa"/>
            <w:vAlign w:val="bottom"/>
          </w:tcPr>
          <w:p>
            <w:pPr>
              <w:spacing w:after="0"/>
              <w:rPr>
                <w:sz w:val="1"/>
                <w:szCs w:val="1"/>
                <w:color w:val="auto"/>
              </w:rPr>
            </w:pPr>
          </w:p>
        </w:tc>
      </w:tr>
      <w:tr>
        <w:trPr>
          <w:trHeight w:val="213"/>
        </w:trPr>
        <w:tc>
          <w:tcPr>
            <w:tcW w:w="8000" w:type="dxa"/>
            <w:vAlign w:val="bottom"/>
          </w:tcPr>
          <w:p>
            <w:pPr>
              <w:ind w:left="20"/>
              <w:spacing w:after="0"/>
              <w:rPr>
                <w:sz w:val="20"/>
                <w:szCs w:val="20"/>
                <w:color w:val="auto"/>
              </w:rPr>
            </w:pPr>
            <w:r>
              <w:rPr>
                <w:rFonts w:ascii="Arial" w:cs="Arial" w:eastAsia="Arial" w:hAnsi="Arial"/>
                <w:sz w:val="16"/>
                <w:szCs w:val="16"/>
                <w:color w:val="auto"/>
              </w:rPr>
              <w:t>Granted</w:t>
            </w:r>
          </w:p>
        </w:tc>
        <w:tc>
          <w:tcPr>
            <w:tcW w:w="1560" w:type="dxa"/>
            <w:vAlign w:val="bottom"/>
          </w:tcPr>
          <w:p>
            <w:pPr>
              <w:jc w:val="right"/>
              <w:spacing w:after="0"/>
              <w:rPr>
                <w:sz w:val="20"/>
                <w:szCs w:val="20"/>
                <w:color w:val="auto"/>
              </w:rPr>
            </w:pPr>
            <w:r>
              <w:rPr>
                <w:rFonts w:ascii="Arial" w:cs="Arial" w:eastAsia="Arial" w:hAnsi="Arial"/>
                <w:sz w:val="16"/>
                <w:szCs w:val="16"/>
                <w:color w:val="auto"/>
              </w:rPr>
              <w:t>65,956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51.16</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60.73</w:t>
            </w:r>
          </w:p>
        </w:tc>
        <w:tc>
          <w:tcPr>
            <w:tcW w:w="0" w:type="dxa"/>
            <w:vAlign w:val="bottom"/>
          </w:tcPr>
          <w:p>
            <w:pPr>
              <w:spacing w:after="0"/>
              <w:rPr>
                <w:sz w:val="1"/>
                <w:szCs w:val="1"/>
                <w:color w:val="auto"/>
              </w:rPr>
            </w:pPr>
          </w:p>
        </w:tc>
      </w:tr>
      <w:tr>
        <w:trPr>
          <w:trHeight w:val="213"/>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Forfeited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(19,436)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60.73</w:t>
            </w:r>
          </w:p>
        </w:tc>
        <w:tc>
          <w:tcPr>
            <w:tcW w:w="0" w:type="dxa"/>
            <w:vAlign w:val="bottom"/>
          </w:tcPr>
          <w:p>
            <w:pPr>
              <w:spacing w:after="0"/>
              <w:rPr>
                <w:sz w:val="1"/>
                <w:szCs w:val="1"/>
                <w:color w:val="auto"/>
              </w:rPr>
            </w:pPr>
          </w:p>
        </w:tc>
      </w:tr>
      <w:tr>
        <w:trPr>
          <w:trHeight w:val="235"/>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Non-vested PRSUs as of October 31, 2023</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107,182</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53.46</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PRSUs granted during the three months ended October 31, 2022 had a weighted-average grant date fair value of $55.77. The total fair value of PRSUs vested during three months ended October 31, 2023 and 2022 was $141 and $889, respectively.</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October 31, 2023, total unrecognized compensation cost related to PRSUs was $4,167 pre-tax, net of estimated forfeitures, which the Company expects to recognize over a weighted-average period of 2.5 years.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NOTE J — Net Income per Common Share</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Reconciliations of the numerator and denominator of the basic and diluted per share computations for the Company’s Class A and Class B common stock are summarized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60" w:type="dxa"/>
            <w:vAlign w:val="bottom"/>
          </w:tcPr>
          <w:p>
            <w:pPr>
              <w:spacing w:after="0"/>
              <w:rPr>
                <w:sz w:val="18"/>
                <w:szCs w:val="18"/>
                <w:color w:val="auto"/>
              </w:rPr>
            </w:pPr>
          </w:p>
        </w:tc>
        <w:tc>
          <w:tcPr>
            <w:tcW w:w="3140" w:type="dxa"/>
            <w:vAlign w:val="bottom"/>
            <w:tcBorders>
              <w:bottom w:val="single" w:sz="8" w:color="auto"/>
            </w:tcBorders>
            <w:gridSpan w:val="5"/>
          </w:tcPr>
          <w:p>
            <w:pPr>
              <w:jc w:val="right"/>
              <w:ind w:right="359"/>
              <w:spacing w:after="0"/>
              <w:rPr>
                <w:sz w:val="20"/>
                <w:szCs w:val="20"/>
                <w:color w:val="auto"/>
              </w:rPr>
            </w:pPr>
            <w:r>
              <w:rPr>
                <w:rFonts w:ascii="Arial" w:cs="Arial" w:eastAsia="Arial" w:hAnsi="Arial"/>
                <w:sz w:val="16"/>
                <w:szCs w:val="16"/>
                <w:b w:val="1"/>
                <w:bCs w:val="1"/>
                <w:color w:val="auto"/>
              </w:rPr>
              <w:t>Three months ended October 31,</w:t>
            </w:r>
          </w:p>
        </w:tc>
      </w:tr>
      <w:tr>
        <w:trPr>
          <w:trHeight w:val="210"/>
        </w:trPr>
        <w:tc>
          <w:tcPr>
            <w:tcW w:w="806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r>
      <w:tr>
        <w:trPr>
          <w:trHeight w:val="19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Numerator (in thousands):</w:t>
            </w:r>
          </w:p>
        </w:tc>
        <w:tc>
          <w:tcPr>
            <w:tcW w:w="9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3"/>
        </w:trPr>
        <w:tc>
          <w:tcPr>
            <w:tcW w:w="8060" w:type="dxa"/>
            <w:vAlign w:val="bottom"/>
          </w:tcPr>
          <w:p>
            <w:pPr>
              <w:ind w:left="360"/>
              <w:spacing w:after="0"/>
              <w:rPr>
                <w:sz w:val="20"/>
                <w:szCs w:val="20"/>
                <w:color w:val="auto"/>
              </w:rPr>
            </w:pPr>
            <w:r>
              <w:rPr>
                <w:rFonts w:ascii="Arial" w:cs="Arial" w:eastAsia="Arial" w:hAnsi="Arial"/>
                <w:sz w:val="16"/>
                <w:szCs w:val="16"/>
                <w:color w:val="auto"/>
              </w:rPr>
              <w:t>Net income (Numerator for basic and diluted income per Class A Nonvoting Common Share)</w:t>
            </w: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98"/>
              </w:rPr>
              <w:t>47,241</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39,441</w:t>
            </w:r>
          </w:p>
        </w:tc>
      </w:tr>
      <w:tr>
        <w:trPr>
          <w:trHeight w:val="219"/>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Less:</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3"/>
        </w:trPr>
        <w:tc>
          <w:tcPr>
            <w:tcW w:w="8060" w:type="dxa"/>
            <w:vAlign w:val="bottom"/>
          </w:tcPr>
          <w:p>
            <w:pPr>
              <w:ind w:left="680"/>
              <w:spacing w:after="0"/>
              <w:rPr>
                <w:sz w:val="20"/>
                <w:szCs w:val="20"/>
                <w:color w:val="auto"/>
              </w:rPr>
            </w:pPr>
            <w:r>
              <w:rPr>
                <w:rFonts w:ascii="Arial" w:cs="Arial" w:eastAsia="Arial" w:hAnsi="Arial"/>
                <w:sz w:val="16"/>
                <w:szCs w:val="16"/>
                <w:color w:val="auto"/>
              </w:rPr>
              <w:t>Preferential dividends</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(748)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(769)</w:t>
            </w:r>
          </w:p>
        </w:tc>
      </w:tr>
      <w:tr>
        <w:trPr>
          <w:trHeight w:val="219"/>
        </w:trPr>
        <w:tc>
          <w:tcPr>
            <w:tcW w:w="80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Preferential dividends on dilutive stock options</w:t>
            </w: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07"/>
        </w:trPr>
        <w:tc>
          <w:tcPr>
            <w:tcW w:w="8060" w:type="dxa"/>
            <w:vAlign w:val="bottom"/>
          </w:tcPr>
          <w:p>
            <w:pPr>
              <w:ind w:left="360"/>
              <w:spacing w:after="0"/>
              <w:rPr>
                <w:sz w:val="20"/>
                <w:szCs w:val="20"/>
                <w:color w:val="auto"/>
              </w:rPr>
            </w:pPr>
            <w:r>
              <w:rPr>
                <w:rFonts w:ascii="Arial" w:cs="Arial" w:eastAsia="Arial" w:hAnsi="Arial"/>
                <w:sz w:val="16"/>
                <w:szCs w:val="16"/>
                <w:color w:val="auto"/>
              </w:rPr>
              <w:t>Numerator for basic and diluted income per Class B Voting Common Share</w:t>
            </w: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46,488</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38,668</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Denominator (in thousands):</w:t>
            </w:r>
          </w:p>
        </w:tc>
        <w:tc>
          <w:tcPr>
            <w:tcW w:w="9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13"/>
        </w:trPr>
        <w:tc>
          <w:tcPr>
            <w:tcW w:w="8060" w:type="dxa"/>
            <w:vAlign w:val="bottom"/>
          </w:tcPr>
          <w:p>
            <w:pPr>
              <w:ind w:left="360"/>
              <w:spacing w:after="0"/>
              <w:rPr>
                <w:sz w:val="20"/>
                <w:szCs w:val="20"/>
                <w:color w:val="auto"/>
              </w:rPr>
            </w:pPr>
            <w:r>
              <w:rPr>
                <w:rFonts w:ascii="Arial" w:cs="Arial" w:eastAsia="Arial" w:hAnsi="Arial"/>
                <w:sz w:val="16"/>
                <w:szCs w:val="16"/>
                <w:color w:val="auto"/>
              </w:rPr>
              <w:t>Denominator for basic income per share for both Class A and Class B</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8"/>
              </w:rPr>
              <w:t>48,505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49,868</w:t>
            </w:r>
          </w:p>
        </w:tc>
      </w:tr>
      <w:tr>
        <w:trPr>
          <w:trHeight w:val="219"/>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Plus: Effect of dilutive equity awards</w:t>
            </w: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w:t>
            </w:r>
          </w:p>
        </w:tc>
      </w:tr>
      <w:tr>
        <w:trPr>
          <w:trHeight w:val="207"/>
        </w:trPr>
        <w:tc>
          <w:tcPr>
            <w:tcW w:w="8060" w:type="dxa"/>
            <w:vAlign w:val="bottom"/>
          </w:tcPr>
          <w:p>
            <w:pPr>
              <w:ind w:left="360"/>
              <w:spacing w:after="0"/>
              <w:rPr>
                <w:sz w:val="20"/>
                <w:szCs w:val="20"/>
                <w:color w:val="auto"/>
              </w:rPr>
            </w:pPr>
            <w:r>
              <w:rPr>
                <w:rFonts w:ascii="Arial" w:cs="Arial" w:eastAsia="Arial" w:hAnsi="Arial"/>
                <w:sz w:val="16"/>
                <w:szCs w:val="16"/>
                <w:color w:val="auto"/>
              </w:rPr>
              <w:t>Denominator for diluted income per share for both Class A and Class B</w:t>
            </w:r>
          </w:p>
        </w:tc>
        <w:tc>
          <w:tcPr>
            <w:tcW w:w="9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48,811</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50,090</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per Class A Nonvoting Common Share:</w:t>
            </w:r>
          </w:p>
        </w:tc>
        <w:tc>
          <w:tcPr>
            <w:tcW w:w="9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13"/>
        </w:trPr>
        <w:tc>
          <w:tcPr>
            <w:tcW w:w="8060" w:type="dxa"/>
            <w:vAlign w:val="bottom"/>
          </w:tcPr>
          <w:p>
            <w:pPr>
              <w:ind w:left="680"/>
              <w:spacing w:after="0"/>
              <w:rPr>
                <w:sz w:val="20"/>
                <w:szCs w:val="20"/>
                <w:color w:val="auto"/>
              </w:rPr>
            </w:pPr>
            <w:r>
              <w:rPr>
                <w:rFonts w:ascii="Arial" w:cs="Arial" w:eastAsia="Arial" w:hAnsi="Arial"/>
                <w:sz w:val="16"/>
                <w:szCs w:val="16"/>
                <w:color w:val="auto"/>
              </w:rPr>
              <w:t>Basic</w:t>
            </w: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0.97</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0.79</w:t>
            </w:r>
          </w:p>
        </w:tc>
      </w:tr>
      <w:tr>
        <w:trPr>
          <w:trHeight w:val="219"/>
        </w:trPr>
        <w:tc>
          <w:tcPr>
            <w:tcW w:w="80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Diluted</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0.79</w:t>
            </w: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Net income per Class B Voting Common Share:</w:t>
            </w: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80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Basic</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0.78</w:t>
            </w:r>
          </w:p>
        </w:tc>
      </w:tr>
      <w:tr>
        <w:trPr>
          <w:trHeight w:val="210"/>
        </w:trPr>
        <w:tc>
          <w:tcPr>
            <w:tcW w:w="8060" w:type="dxa"/>
            <w:vAlign w:val="bottom"/>
          </w:tcPr>
          <w:p>
            <w:pPr>
              <w:ind w:left="680"/>
              <w:spacing w:after="0"/>
              <w:rPr>
                <w:sz w:val="20"/>
                <w:szCs w:val="20"/>
                <w:color w:val="auto"/>
              </w:rPr>
            </w:pPr>
            <w:r>
              <w:rPr>
                <w:rFonts w:ascii="Arial" w:cs="Arial" w:eastAsia="Arial" w:hAnsi="Arial"/>
                <w:sz w:val="16"/>
                <w:szCs w:val="16"/>
                <w:color w:val="auto"/>
              </w:rPr>
              <w:t>Diluted</w:t>
            </w: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0.95</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0.77</w:t>
            </w:r>
          </w:p>
        </w:tc>
      </w:tr>
    </w:tbl>
    <w:p>
      <w:pPr>
        <w:spacing w:after="0" w:line="2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Potentially dilutive securities attributable to outstanding stock options and restricted stock units were excluded from the calculation of diluted earnings per share where the combined exercise price and average unamortized fair value were greater than the average market price of the Company's Class A Nonvoting Common Stock because the effect would have been anti-dilutive. The amount of anti-dilutive shares were 313,787 and 583,533 for the three months ended October 31, 2023 and 2022, respectively.</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NOTE K — Fair Value Measurements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accordance with fair value accounting guidance, the Company determines fair value based on the exchange price that would be received to sell an asset or paid to transfer a liability in an orderly transaction between market participants. The inputs used to measure fair value are classified into the following hierarchy:</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Unadjusted quoted prices in active markets for identical instruments that are accessible as of the reporting date.</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Other significant pricing inputs that are either directly or indirectly observable.</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Significant unobservable pricing inputs, which result in the use of management's own assumptions.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the Company's financial assets and liabilities that were accounted for at fair value on a recurring basis at October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2023 and July 31, 2023:</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60" w:type="dxa"/>
            <w:vAlign w:val="bottom"/>
          </w:tcPr>
          <w:p>
            <w:pPr>
              <w:spacing w:after="0"/>
              <w:rPr>
                <w:sz w:val="16"/>
                <w:szCs w:val="16"/>
                <w:color w:val="auto"/>
              </w:rPr>
            </w:pPr>
          </w:p>
        </w:tc>
        <w:tc>
          <w:tcPr>
            <w:tcW w:w="142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October 31, 2023</w:t>
            </w:r>
          </w:p>
        </w:tc>
        <w:tc>
          <w:tcPr>
            <w:tcW w:w="160" w:type="dxa"/>
            <w:vAlign w:val="bottom"/>
          </w:tcPr>
          <w:p>
            <w:pPr>
              <w:spacing w:after="0"/>
              <w:rPr>
                <w:sz w:val="16"/>
                <w:szCs w:val="16"/>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July 31, 2023</w:t>
            </w:r>
          </w:p>
        </w:tc>
        <w:tc>
          <w:tcPr>
            <w:tcW w:w="1320" w:type="dxa"/>
            <w:vAlign w:val="bottom"/>
          </w:tcPr>
          <w:p>
            <w:pPr>
              <w:ind w:left="300"/>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13"/>
        </w:trPr>
        <w:tc>
          <w:tcPr>
            <w:tcW w:w="7060" w:type="dxa"/>
            <w:vAlign w:val="bottom"/>
          </w:tcPr>
          <w:p>
            <w:pPr>
              <w:spacing w:after="0"/>
              <w:rPr>
                <w:sz w:val="18"/>
                <w:szCs w:val="18"/>
                <w:color w:val="auto"/>
              </w:rPr>
            </w:pPr>
          </w:p>
        </w:tc>
        <w:tc>
          <w:tcPr>
            <w:tcW w:w="142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320" w:type="dxa"/>
            <w:vAlign w:val="bottom"/>
          </w:tcPr>
          <w:p>
            <w:pPr>
              <w:ind w:left="300"/>
              <w:spacing w:after="0"/>
              <w:rPr>
                <w:sz w:val="20"/>
                <w:szCs w:val="20"/>
                <w:color w:val="auto"/>
              </w:rPr>
            </w:pPr>
            <w:r>
              <w:rPr>
                <w:rFonts w:ascii="Arial" w:cs="Arial" w:eastAsia="Arial" w:hAnsi="Arial"/>
                <w:sz w:val="16"/>
                <w:szCs w:val="16"/>
                <w:b w:val="1"/>
                <w:bCs w:val="1"/>
                <w:color w:val="auto"/>
              </w:rPr>
              <w:t>Hierarchy</w:t>
            </w:r>
          </w:p>
        </w:tc>
        <w:tc>
          <w:tcPr>
            <w:tcW w:w="0" w:type="dxa"/>
            <w:vAlign w:val="bottom"/>
          </w:tcPr>
          <w:p>
            <w:pPr>
              <w:spacing w:after="0"/>
              <w:rPr>
                <w:sz w:val="1"/>
                <w:szCs w:val="1"/>
                <w:color w:val="auto"/>
              </w:rPr>
            </w:pPr>
          </w:p>
        </w:tc>
      </w:tr>
      <w:tr>
        <w:trPr>
          <w:trHeight w:val="199"/>
        </w:trPr>
        <w:tc>
          <w:tcPr>
            <w:tcW w:w="7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4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060" w:type="dxa"/>
            <w:vAlign w:val="bottom"/>
          </w:tcPr>
          <w:p>
            <w:pPr>
              <w:ind w:left="220"/>
              <w:spacing w:after="0"/>
              <w:rPr>
                <w:sz w:val="20"/>
                <w:szCs w:val="20"/>
                <w:color w:val="auto"/>
              </w:rPr>
            </w:pPr>
            <w:r>
              <w:rPr>
                <w:rFonts w:ascii="Arial" w:cs="Arial" w:eastAsia="Arial" w:hAnsi="Arial"/>
                <w:sz w:val="16"/>
                <w:szCs w:val="16"/>
                <w:color w:val="auto"/>
              </w:rPr>
              <w:t>Deferred compensation plan assets</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16,584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18,288</w:t>
            </w:r>
          </w:p>
        </w:tc>
        <w:tc>
          <w:tcPr>
            <w:tcW w:w="120" w:type="dxa"/>
            <w:vAlign w:val="bottom"/>
          </w:tcPr>
          <w:p>
            <w:pPr>
              <w:spacing w:after="0"/>
              <w:rPr>
                <w:sz w:val="18"/>
                <w:szCs w:val="18"/>
                <w:color w:val="auto"/>
              </w:rPr>
            </w:pPr>
          </w:p>
        </w:tc>
        <w:tc>
          <w:tcPr>
            <w:tcW w:w="1320" w:type="dxa"/>
            <w:vAlign w:val="bottom"/>
          </w:tcPr>
          <w:p>
            <w:pPr>
              <w:ind w:left="820"/>
              <w:spacing w:after="0"/>
              <w:rPr>
                <w:sz w:val="20"/>
                <w:szCs w:val="20"/>
                <w:color w:val="auto"/>
              </w:rPr>
            </w:pPr>
            <w:r>
              <w:rPr>
                <w:rFonts w:ascii="Arial" w:cs="Arial" w:eastAsia="Arial" w:hAnsi="Arial"/>
                <w:sz w:val="16"/>
                <w:szCs w:val="16"/>
                <w:color w:val="auto"/>
                <w:w w:val="92"/>
              </w:rPr>
              <w:t>Level 1</w:t>
            </w: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exchange contracts</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ind w:left="820"/>
              <w:spacing w:after="0"/>
              <w:rPr>
                <w:sz w:val="20"/>
                <w:szCs w:val="20"/>
                <w:color w:val="auto"/>
              </w:rPr>
            </w:pPr>
            <w:r>
              <w:rPr>
                <w:rFonts w:ascii="Arial" w:cs="Arial" w:eastAsia="Arial" w:hAnsi="Arial"/>
                <w:sz w:val="16"/>
                <w:szCs w:val="16"/>
                <w:color w:val="auto"/>
                <w:w w:val="92"/>
              </w:rPr>
              <w:t>Level 2</w:t>
            </w:r>
          </w:p>
        </w:tc>
        <w:tc>
          <w:tcPr>
            <w:tcW w:w="0" w:type="dxa"/>
            <w:vAlign w:val="bottom"/>
          </w:tcPr>
          <w:p>
            <w:pPr>
              <w:spacing w:after="0"/>
              <w:rPr>
                <w:sz w:val="1"/>
                <w:szCs w:val="1"/>
                <w:color w:val="auto"/>
              </w:rPr>
            </w:pPr>
          </w:p>
        </w:tc>
      </w:tr>
      <w:tr>
        <w:trPr>
          <w:trHeight w:val="213"/>
        </w:trPr>
        <w:tc>
          <w:tcPr>
            <w:tcW w:w="706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exchange contracts</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ind w:left="820"/>
              <w:spacing w:after="0"/>
              <w:rPr>
                <w:sz w:val="20"/>
                <w:szCs w:val="20"/>
                <w:color w:val="auto"/>
              </w:rPr>
            </w:pPr>
            <w:r>
              <w:rPr>
                <w:rFonts w:ascii="Arial" w:cs="Arial" w:eastAsia="Arial" w:hAnsi="Arial"/>
                <w:sz w:val="16"/>
                <w:szCs w:val="16"/>
                <w:color w:val="auto"/>
                <w:w w:val="92"/>
              </w:rPr>
              <w:t>Level 2</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methods and assumptions were used to estimate the fair value of each class of financial instrument:</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Deferred compensation plan assets: </w:t>
      </w:r>
      <w:r>
        <w:rPr>
          <w:rFonts w:ascii="Arial" w:cs="Arial" w:eastAsia="Arial" w:hAnsi="Arial"/>
          <w:sz w:val="18"/>
          <w:szCs w:val="18"/>
          <w:color w:val="auto"/>
        </w:rPr>
        <w:t>The Company’s deferred compensation investments consist of investments in mutual funds, which are included in</w:t>
      </w:r>
      <w:r>
        <w:rPr>
          <w:rFonts w:ascii="Arial" w:cs="Arial" w:eastAsia="Arial" w:hAnsi="Arial"/>
          <w:sz w:val="18"/>
          <w:szCs w:val="18"/>
          <w:i w:val="1"/>
          <w:iCs w:val="1"/>
          <w:color w:val="auto"/>
        </w:rPr>
        <w:t xml:space="preserve"> </w:t>
      </w:r>
      <w:r>
        <w:rPr>
          <w:rFonts w:ascii="Arial" w:cs="Arial" w:eastAsia="Arial" w:hAnsi="Arial"/>
          <w:sz w:val="18"/>
          <w:szCs w:val="18"/>
          <w:color w:val="auto"/>
        </w:rPr>
        <w:t>"Other assets" on the condensed consolidated balance sheets. These investments were classified as Level 1 as the shares of these investments trade with sufficient frequency and volume to enable us to obtain pricing information on an ongoing basis.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Foreign exchange contracts: </w:t>
      </w:r>
      <w:r>
        <w:rPr>
          <w:rFonts w:ascii="Arial" w:cs="Arial" w:eastAsia="Arial" w:hAnsi="Arial"/>
          <w:sz w:val="18"/>
          <w:szCs w:val="18"/>
          <w:color w:val="auto"/>
        </w:rPr>
        <w:t>The Company’s foreign exchange contracts were classified as Level 2 as the fair value was based on the present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future cash flows using external models that use observable inputs, such as interest rates, yield curves and foreign exchange rates. See Note L, “Derivatives and Hedging Activities,” for additional information.</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fair values of cash and cash equivalents, accounts receivable, accounts payable, and other liabilities approximated carrying values due to their short-term nature.</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NOTE L — Derivatives and Hedging Activities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utilizes forward foreign exchange currency contracts to reduce the exchange rate risk of specific foreign currency denominated transactions. These contracts typically require the exchange of a foreign currency for U.S. dollars at a fixed rate on a future date, with maturities of less than 18 months, which qualify as cash flow hedges or net investment hedges under the accounting guidance for derivative instruments and hedging activities. The primary objective of the Company’s foreign currency exchange risk management program is to minimize the impact of currency movements due to transactions in other than the respective subsidiaries’ functional currency and to minimize the impact of currency movements on the Company’s net investment denominated in a currency other than the U.S. dollar. To achieve this objective, the Company hedges a portion of known exposures using forward foreign exchange currency contracts.</w:t>
      </w:r>
    </w:p>
    <w:p>
      <w:pPr>
        <w:spacing w:after="0" w:line="14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Main foreign currency exposures are related to transactions denominated in the British Pound, Euro, Canadian dollar, Australian dollar, Mexican Peso, Chinese Yuan, Malaysian Ringgit and Singapore dollar. Generally, these risk management transactions will involve the use of foreign currency derivatives to minimize the impact of currency movements on non-functional currency transactions.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U.S. dollar equivalent notional amounts of outstanding forward exchange contracts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Arial" w:cs="Arial" w:eastAsia="Arial" w:hAnsi="Arial"/>
                <w:sz w:val="16"/>
                <w:szCs w:val="16"/>
                <w:b w:val="1"/>
                <w:bCs w:val="1"/>
                <w:color w:val="auto"/>
              </w:rPr>
              <w:t>October 31, 2023</w:t>
            </w:r>
          </w:p>
        </w:tc>
        <w:tc>
          <w:tcPr>
            <w:tcW w:w="200" w:type="dxa"/>
            <w:vAlign w:val="bottom"/>
          </w:tcPr>
          <w:p>
            <w:pPr>
              <w:spacing w:after="0"/>
              <w:rPr>
                <w:sz w:val="18"/>
                <w:szCs w:val="18"/>
                <w:color w:val="auto"/>
              </w:rPr>
            </w:pPr>
          </w:p>
        </w:tc>
        <w:tc>
          <w:tcPr>
            <w:tcW w:w="1320" w:type="dxa"/>
            <w:vAlign w:val="bottom"/>
          </w:tcPr>
          <w:p>
            <w:pPr>
              <w:jc w:val="right"/>
              <w:ind w:right="219"/>
              <w:spacing w:after="0"/>
              <w:rPr>
                <w:sz w:val="20"/>
                <w:szCs w:val="20"/>
                <w:color w:val="auto"/>
              </w:rPr>
            </w:pPr>
            <w:r>
              <w:rPr>
                <w:rFonts w:ascii="Arial" w:cs="Arial" w:eastAsia="Arial" w:hAnsi="Arial"/>
                <w:sz w:val="16"/>
                <w:szCs w:val="16"/>
                <w:b w:val="1"/>
                <w:bCs w:val="1"/>
                <w:color w:val="auto"/>
              </w:rPr>
              <w:t>July 31, 2023</w:t>
            </w:r>
          </w:p>
        </w:tc>
      </w:tr>
      <w:tr>
        <w:trPr>
          <w:trHeight w:val="212"/>
        </w:trPr>
        <w:tc>
          <w:tcPr>
            <w:tcW w:w="8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Designated as cash flow hedges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63,760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39,661</w:t>
            </w:r>
          </w:p>
        </w:tc>
      </w:tr>
      <w:tr>
        <w:trPr>
          <w:trHeight w:val="213"/>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Non-designated hedges</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4,485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4,803</w:t>
            </w:r>
          </w:p>
        </w:tc>
      </w:tr>
      <w:tr>
        <w:trPr>
          <w:trHeight w:val="238"/>
        </w:trPr>
        <w:tc>
          <w:tcPr>
            <w:tcW w:w="8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foreign exchange contracts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68,245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44,464</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 Hedges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has designated a portion of its forward foreign exchange contracts as cash flow hedges and recorded these contracts at fair value on the condensed consolidated balance sheets. For these instruments, the effective portion of the gain or loss on the derivative is reported as a component of other comprehensive income ("OCI") and reclassified into income in the same period or periods during which the hedged transaction affects income. As of October 31, 2023 and July 31, 2023, unrealized gains of $2 and $1,580 have been included in OCI, respectively.</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Investment Hedges</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Company has designated certain third party foreign currency denominated debt borrowed under its credit agreement as net investment hedges. These debt obligations, denominated in Euros and British Pounds, were designated as net investment hedges to hedge portions of the Company's net investment in its European operations. The Company’s foreign currency denominated debt obligations are valued under a market approach using publicized spot prices, and the net gains or losses attributable to the changes in spot prices are recorded as cumulative translation within AOCI and are included in the foreign currency translation adjustments section of the condensed consolidated statements of comprehensive income. As of October 31, 2023 and July 31, 2023, the cumulative balance recognized in accumulated other comprehensive income were losses of $238 and $1,746, respectively, on any outstanding foreign currency denominated debt obligations.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amount of pre-tax gains and losses related to derivatives designated as hedging instruments: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00" w:type="dxa"/>
            <w:vAlign w:val="bottom"/>
          </w:tcPr>
          <w:p>
            <w:pPr>
              <w:spacing w:after="0"/>
              <w:rPr>
                <w:sz w:val="18"/>
                <w:szCs w:val="18"/>
                <w:color w:val="auto"/>
              </w:rPr>
            </w:pPr>
          </w:p>
        </w:tc>
        <w:tc>
          <w:tcPr>
            <w:tcW w:w="27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October 31,</w:t>
            </w:r>
          </w:p>
        </w:tc>
        <w:tc>
          <w:tcPr>
            <w:tcW w:w="380" w:type="dxa"/>
            <w:vAlign w:val="bottom"/>
            <w:tcBorders>
              <w:bottom w:val="single" w:sz="8" w:color="auto"/>
            </w:tcBorders>
          </w:tcPr>
          <w:p>
            <w:pPr>
              <w:spacing w:after="0"/>
              <w:rPr>
                <w:sz w:val="18"/>
                <w:szCs w:val="18"/>
                <w:color w:val="auto"/>
              </w:rPr>
            </w:pPr>
          </w:p>
        </w:tc>
      </w:tr>
      <w:tr>
        <w:trPr>
          <w:trHeight w:val="210"/>
        </w:trPr>
        <w:tc>
          <w:tcPr>
            <w:tcW w:w="8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2022</w:t>
            </w:r>
          </w:p>
        </w:tc>
        <w:tc>
          <w:tcPr>
            <w:tcW w:w="380" w:type="dxa"/>
            <w:vAlign w:val="bottom"/>
            <w:tcBorders>
              <w:bottom w:val="single" w:sz="8" w:color="auto"/>
            </w:tcBorders>
          </w:tcPr>
          <w:p>
            <w:pPr>
              <w:spacing w:after="0"/>
              <w:rPr>
                <w:sz w:val="18"/>
                <w:szCs w:val="18"/>
                <w:color w:val="auto"/>
              </w:rPr>
            </w:pPr>
          </w:p>
        </w:tc>
      </w:tr>
      <w:tr>
        <w:trPr>
          <w:trHeight w:val="199"/>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(Losses) gains recognized in OCI:</w:t>
            </w:r>
          </w:p>
        </w:tc>
        <w:tc>
          <w:tcPr>
            <w:tcW w:w="10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r>
      <w:tr>
        <w:trPr>
          <w:trHeight w:val="213"/>
        </w:trPr>
        <w:tc>
          <w:tcPr>
            <w:tcW w:w="8100" w:type="dxa"/>
            <w:vAlign w:val="bottom"/>
          </w:tcPr>
          <w:p>
            <w:pPr>
              <w:ind w:left="140"/>
              <w:spacing w:after="0"/>
              <w:rPr>
                <w:sz w:val="20"/>
                <w:szCs w:val="20"/>
                <w:color w:val="auto"/>
              </w:rPr>
            </w:pPr>
            <w:r>
              <w:rPr>
                <w:rFonts w:ascii="Arial" w:cs="Arial" w:eastAsia="Arial" w:hAnsi="Arial"/>
                <w:sz w:val="16"/>
                <w:szCs w:val="16"/>
                <w:color w:val="auto"/>
              </w:rPr>
              <w:t>Forward exchange contracts (cash flow hedges)</w:t>
            </w:r>
          </w:p>
        </w:tc>
        <w:tc>
          <w:tcPr>
            <w:tcW w:w="1000" w:type="dxa"/>
            <w:vAlign w:val="bottom"/>
          </w:tcPr>
          <w:p>
            <w:pPr>
              <w:jc w:val="right"/>
              <w:ind w:right="81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(294)</w:t>
            </w:r>
          </w:p>
        </w:tc>
        <w:tc>
          <w:tcPr>
            <w:tcW w:w="100" w:type="dxa"/>
            <w:vAlign w:val="bottom"/>
          </w:tcPr>
          <w:p>
            <w:pPr>
              <w:spacing w:after="0"/>
              <w:rPr>
                <w:sz w:val="18"/>
                <w:szCs w:val="18"/>
                <w:color w:val="auto"/>
              </w:rPr>
            </w:pPr>
          </w:p>
        </w:tc>
        <w:tc>
          <w:tcPr>
            <w:tcW w:w="1140" w:type="dxa"/>
            <w:vAlign w:val="bottom"/>
          </w:tcPr>
          <w:p>
            <w:pPr>
              <w:jc w:val="right"/>
              <w:ind w:right="959"/>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893</w:t>
            </w:r>
          </w:p>
        </w:tc>
      </w:tr>
      <w:tr>
        <w:trPr>
          <w:trHeight w:val="219"/>
        </w:trPr>
        <w:tc>
          <w:tcPr>
            <w:tcW w:w="8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Foreign currency denominated debt (net investment hedges)</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1,508</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100" w:type="dxa"/>
            <w:vAlign w:val="bottom"/>
          </w:tcPr>
          <w:p>
            <w:pPr>
              <w:ind w:left="20"/>
              <w:spacing w:after="0"/>
              <w:rPr>
                <w:sz w:val="20"/>
                <w:szCs w:val="20"/>
                <w:color w:val="auto"/>
              </w:rPr>
            </w:pPr>
            <w:r>
              <w:rPr>
                <w:rFonts w:ascii="Arial" w:cs="Arial" w:eastAsia="Arial" w:hAnsi="Arial"/>
                <w:sz w:val="16"/>
                <w:szCs w:val="16"/>
                <w:b w:val="1"/>
                <w:bCs w:val="1"/>
                <w:color w:val="auto"/>
              </w:rPr>
              <w:t>Gains reclassified from OCI into cost of goods sold:</w:t>
            </w: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9"/>
        </w:trPr>
        <w:tc>
          <w:tcPr>
            <w:tcW w:w="8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Forward exchange contracts (cash flow hedges)</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1,285</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w:t>
            </w: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Fair values of derivative instruments in the condensed consolidated balance sheets were as follows: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Derivatives designated as hedging instruments:</w:t>
      </w:r>
    </w:p>
    <w:p>
      <w:pPr>
        <w:spacing w:after="0" w:line="3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Foreign exchange contracts (cash flow hedges)</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4"/>
          <w:szCs w:val="14"/>
          <w:color w:val="auto"/>
        </w:rPr>
        <w:t>Foreign currency denominated debt (net investment hedges)</w:t>
      </w:r>
    </w:p>
    <w:p>
      <w:pPr>
        <w:spacing w:after="0" w:line="51" w:lineRule="exact"/>
        <w:rPr>
          <w:sz w:val="20"/>
          <w:szCs w:val="20"/>
          <w:color w:val="auto"/>
        </w:rPr>
      </w:pPr>
    </w:p>
    <w:p>
      <w:pPr>
        <w:jc w:val="right"/>
        <w:ind w:left="40" w:right="560"/>
        <w:spacing w:after="0" w:line="352" w:lineRule="auto"/>
        <w:rPr>
          <w:sz w:val="20"/>
          <w:szCs w:val="20"/>
          <w:color w:val="auto"/>
        </w:rPr>
      </w:pPr>
      <w:r>
        <w:rPr>
          <w:rFonts w:ascii="Arial" w:cs="Arial" w:eastAsia="Arial" w:hAnsi="Arial"/>
          <w:sz w:val="14"/>
          <w:szCs w:val="14"/>
          <w:b w:val="1"/>
          <w:bCs w:val="1"/>
          <w:color w:val="auto"/>
        </w:rPr>
        <w:t xml:space="preserve">Derivatives not designated as hedging instruments: </w:t>
      </w:r>
      <w:r>
        <w:rPr>
          <w:rFonts w:ascii="Arial" w:cs="Arial" w:eastAsia="Arial" w:hAnsi="Arial"/>
          <w:sz w:val="14"/>
          <w:szCs w:val="14"/>
          <w:color w:val="auto"/>
        </w:rPr>
        <w:t>Foreign exchange contracts (non-designated hedges)</w:t>
      </w:r>
    </w:p>
    <w:p>
      <w:pPr>
        <w:ind w:left="40"/>
        <w:spacing w:after="0"/>
        <w:rPr>
          <w:sz w:val="20"/>
          <w:szCs w:val="20"/>
          <w:color w:val="auto"/>
        </w:rPr>
      </w:pPr>
      <w:r>
        <w:rPr>
          <w:rFonts w:ascii="Arial" w:cs="Arial" w:eastAsia="Arial" w:hAnsi="Arial"/>
          <w:sz w:val="16"/>
          <w:szCs w:val="16"/>
          <w:b w:val="1"/>
          <w:bCs w:val="1"/>
          <w:color w:val="auto"/>
        </w:rPr>
        <w:t>Total derivative instruments</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w w:val="92"/>
              </w:rPr>
              <w:t>October 31, 2023</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w w:val="91"/>
              </w:rPr>
              <w:t>July 31, 2023</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40" w:type="dxa"/>
            <w:vAlign w:val="bottom"/>
          </w:tcPr>
          <w:p>
            <w:pPr>
              <w:spacing w:after="0"/>
              <w:rPr>
                <w:sz w:val="13"/>
                <w:szCs w:val="13"/>
                <w:color w:val="auto"/>
              </w:rPr>
            </w:pPr>
          </w:p>
        </w:tc>
        <w:tc>
          <w:tcPr>
            <w:tcW w:w="800" w:type="dxa"/>
            <w:vAlign w:val="bottom"/>
          </w:tcPr>
          <w:p>
            <w:pPr>
              <w:jc w:val="center"/>
              <w:ind w:right="59"/>
              <w:spacing w:after="0" w:line="158" w:lineRule="exact"/>
              <w:rPr>
                <w:sz w:val="20"/>
                <w:szCs w:val="20"/>
                <w:color w:val="auto"/>
              </w:rPr>
            </w:pPr>
            <w:r>
              <w:rPr>
                <w:rFonts w:ascii="Arial" w:cs="Arial" w:eastAsia="Arial" w:hAnsi="Arial"/>
                <w:sz w:val="16"/>
                <w:szCs w:val="16"/>
                <w:b w:val="1"/>
                <w:bCs w:val="1"/>
                <w:color w:val="auto"/>
                <w:w w:val="91"/>
              </w:rPr>
              <w:t>Prepaid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5"/>
              </w:rPr>
              <w:t>Prepaid</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94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84"/>
              </w:rPr>
              <w:t>expenses and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3"/>
              </w:rPr>
              <w:t>Other</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center"/>
              <w:ind w:right="100"/>
              <w:spacing w:after="0" w:line="162" w:lineRule="exact"/>
              <w:rPr>
                <w:sz w:val="20"/>
                <w:szCs w:val="20"/>
                <w:color w:val="auto"/>
              </w:rPr>
            </w:pPr>
            <w:r>
              <w:rPr>
                <w:rFonts w:ascii="Arial" w:cs="Arial" w:eastAsia="Arial" w:hAnsi="Arial"/>
                <w:sz w:val="16"/>
                <w:szCs w:val="16"/>
                <w:b w:val="1"/>
                <w:bCs w:val="1"/>
                <w:color w:val="auto"/>
                <w:w w:val="86"/>
              </w:rPr>
              <w:t>expenses and</w:t>
            </w:r>
          </w:p>
        </w:tc>
        <w:tc>
          <w:tcPr>
            <w:tcW w:w="100" w:type="dxa"/>
            <w:vAlign w:val="bottom"/>
          </w:tcPr>
          <w:p>
            <w:pPr>
              <w:spacing w:after="0"/>
              <w:rPr>
                <w:sz w:val="14"/>
                <w:szCs w:val="14"/>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3"/>
              </w:rPr>
              <w:t>Other</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80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w w:val="94"/>
              </w:rPr>
              <w:t>other</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Long-term</w:t>
            </w:r>
          </w:p>
        </w:tc>
        <w:tc>
          <w:tcPr>
            <w:tcW w:w="160" w:type="dxa"/>
            <w:vAlign w:val="bottom"/>
          </w:tcPr>
          <w:p>
            <w:pPr>
              <w:spacing w:after="0"/>
              <w:rPr>
                <w:sz w:val="14"/>
                <w:szCs w:val="14"/>
                <w:color w:val="auto"/>
              </w:rPr>
            </w:pPr>
          </w:p>
        </w:tc>
        <w:tc>
          <w:tcPr>
            <w:tcW w:w="90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9"/>
              </w:rPr>
              <w:t>other</w:t>
            </w: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98"/>
              </w:rPr>
              <w:t>Long-term</w:t>
            </w: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80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94"/>
              </w:rPr>
              <w:t>current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94"/>
              </w:rPr>
              <w:t>current</w:t>
            </w:r>
          </w:p>
        </w:tc>
        <w:tc>
          <w:tcPr>
            <w:tcW w:w="1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4"/>
              </w:rPr>
              <w:t>current</w:t>
            </w:r>
          </w:p>
        </w:tc>
        <w:tc>
          <w:tcPr>
            <w:tcW w:w="100" w:type="dxa"/>
            <w:vAlign w:val="bottom"/>
          </w:tcPr>
          <w:p>
            <w:pPr>
              <w:spacing w:after="0"/>
              <w:rPr>
                <w:sz w:val="14"/>
                <w:szCs w:val="14"/>
                <w:color w:val="auto"/>
              </w:rPr>
            </w:pPr>
          </w:p>
        </w:tc>
        <w:tc>
          <w:tcPr>
            <w:tcW w:w="88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94"/>
              </w:rPr>
              <w:t>current</w:t>
            </w:r>
          </w:p>
        </w:tc>
        <w:tc>
          <w:tcPr>
            <w:tcW w:w="1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0"/>
              </w:rPr>
              <w:t>assets</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3"/>
              </w:rPr>
              <w:t>liabilities</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0"/>
              </w:rPr>
              <w:t>Obligations</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0"/>
              </w:rPr>
              <w:t>assets</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3"/>
              </w:rPr>
              <w:t>liabilities</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3"/>
              </w:rPr>
              <w:t>Obligations</w:t>
            </w:r>
          </w:p>
        </w:tc>
        <w:tc>
          <w:tcPr>
            <w:tcW w:w="0" w:type="dxa"/>
            <w:vAlign w:val="bottom"/>
          </w:tcPr>
          <w:p>
            <w:pPr>
              <w:spacing w:after="0"/>
              <w:rPr>
                <w:sz w:val="1"/>
                <w:szCs w:val="1"/>
                <w:color w:val="auto"/>
              </w:rPr>
            </w:pPr>
          </w:p>
        </w:tc>
      </w:tr>
      <w:tr>
        <w:trPr>
          <w:trHeight w:val="409"/>
        </w:trPr>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235</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488</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485</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36,267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36,716</w:t>
            </w:r>
          </w:p>
        </w:tc>
        <w:tc>
          <w:tcPr>
            <w:tcW w:w="0" w:type="dxa"/>
            <w:vAlign w:val="bottom"/>
          </w:tcPr>
          <w:p>
            <w:pPr>
              <w:spacing w:after="0"/>
              <w:rPr>
                <w:sz w:val="1"/>
                <w:szCs w:val="1"/>
                <w:color w:val="auto"/>
              </w:rPr>
            </w:pPr>
          </w:p>
        </w:tc>
      </w:tr>
      <w:tr>
        <w:trPr>
          <w:trHeight w:val="435"/>
        </w:trPr>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247</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488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36,267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492</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36,716</w:t>
            </w:r>
          </w:p>
        </w:tc>
        <w:tc>
          <w:tcPr>
            <w:tcW w:w="0" w:type="dxa"/>
            <w:vAlign w:val="bottom"/>
          </w:tcPr>
          <w:p>
            <w:pPr>
              <w:spacing w:after="0"/>
              <w:rPr>
                <w:sz w:val="1"/>
                <w:szCs w:val="1"/>
                <w:color w:val="auto"/>
              </w:rPr>
            </w:pPr>
          </w:p>
        </w:tc>
      </w:tr>
      <w:tr>
        <w:trPr>
          <w:trHeight w:val="23"/>
        </w:trPr>
        <w:tc>
          <w:tcPr>
            <w:tcW w:w="14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-3072130</wp:posOffset>
            </wp:positionH>
            <wp:positionV relativeFrom="paragraph">
              <wp:posOffset>-864870</wp:posOffset>
            </wp:positionV>
            <wp:extent cx="7115175"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-3072130</wp:posOffset>
            </wp:positionH>
            <wp:positionV relativeFrom="paragraph">
              <wp:posOffset>-591185</wp:posOffset>
            </wp:positionV>
            <wp:extent cx="7115175"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-3072130</wp:posOffset>
            </wp:positionH>
            <wp:positionV relativeFrom="paragraph">
              <wp:posOffset>-316865</wp:posOffset>
            </wp:positionV>
            <wp:extent cx="7115175"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40" w:space="720"/>
            <w:col w:w="6380"/>
          </w:cols>
          <w:pgMar w:left="320" w:top="122" w:right="339" w:bottom="1440" w:gutter="0" w:footer="0" w:header="0"/>
          <w:type w:val="continuous"/>
        </w:sect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NOTE M – Income Taxes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income tax rate for the three months ended October 31, 2023 and 2022 was 20.5% and 21.6%, respectively. The decrease in income tax rate for three months ended October 31, 2023 was primarily due to tax benefits from stock-based compensation and other permanent adjustments. The Company expects its ongoing annual income tax rate to be approximately 22% based on its current global business mix and based on tax laws and statutory rates currently in effect.</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NOTE N — Contingencies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normal course of business, the Company is subject to a variety of investigations, claims, suits, and other legal proceedings, including but not limited to, intellectual property, employment, unclaimed property, tort, and breach of contract matters. Any legal proceedings are subject to inherent uncertainties, and these matters and their potential effects may change in the future. The Company records a liability for contingencies when a loss is deemed to be probable and the loss can be reasonably estimated. The Company currently believes that the outcomes of such proceedings will not have a material adverse impact on its business, financial position, results of operations or cash flows.</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NOTE O — Subsequent Events</w:t>
      </w:r>
    </w:p>
    <w:p>
      <w:pPr>
        <w:spacing w:after="0" w:line="171" w:lineRule="exact"/>
        <w:rPr>
          <w:sz w:val="20"/>
          <w:szCs w:val="20"/>
          <w:color w:val="auto"/>
        </w:rPr>
      </w:pPr>
    </w:p>
    <w:p>
      <w:pPr>
        <w:ind w:right="300" w:firstLine="324"/>
        <w:spacing w:after="0" w:line="308" w:lineRule="auto"/>
        <w:rPr>
          <w:sz w:val="20"/>
          <w:szCs w:val="20"/>
          <w:color w:val="auto"/>
        </w:rPr>
      </w:pPr>
      <w:r>
        <w:rPr>
          <w:rFonts w:ascii="Arial" w:cs="Arial" w:eastAsia="Arial" w:hAnsi="Arial"/>
          <w:sz w:val="17"/>
          <w:szCs w:val="17"/>
          <w:color w:val="auto"/>
        </w:rPr>
        <w:t>On November 14, 2023, the Board of Directors declared a quarterly cash dividend to shareholders of the Company’s Class A and Class B Common Stock of $0.235 per share payable on January 31, 2024 to shareholders of record at the close of business on January 10, 2024.</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Brady Corporation is a global manufacturer and supplier of identification solutions and workplace safety products that identify and protect premises, products and people. The Company is organized and managed on a geographic basis with two reportable segments: Americas &amp; Asia and Europe &amp; Australia. Within each of the reportable segments, the Company sells products under the product identification, wire identification, healthcare identification and safety and facility identification product lines to a diverse base of customers. The product identification, wire identification, and healthcare identification product lines include high-performance and innovative products that are designed, manufactured, and distributed within the Company’s value chain. The safety and facility identification product line includes a broad range of stock and custom products that the Company manufactures, as well as a wide variety of products that the Company purchases and resells as a distributor.</w:t>
      </w:r>
    </w:p>
    <w:p>
      <w:pPr>
        <w:spacing w:after="0" w:line="12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ability to provide customers with a broad range of proprietary, customized and diverse products for use in various applications across multiple industries and geographies, along with a commitment to quality and service, have made Brady a leader in many of its markets. Brady's long-term sales growth and profitability will depend not only on the overall economic environment and our ability to successfully navigate changes in the macro environment, but also on our ability to develop and market innovative products, deliver a high level of customer service, advance our digital capabilities, and continuously improve the efficiency of our global operations. Our strategy for growth includes an increased focus on certain industries and products, streamlining our product offerings, expanding into higher growth end-markets, improving the overall customer experience, developing technologically advanced, innovative, and proprietary products, and improving our digital capabilities.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are key initiatives supporting our strategy in fiscal 2024:</w:t>
      </w:r>
    </w:p>
    <w:p>
      <w:pPr>
        <w:spacing w:after="0" w:line="171" w:lineRule="exact"/>
        <w:rPr>
          <w:sz w:val="20"/>
          <w:szCs w:val="20"/>
          <w:color w:val="auto"/>
        </w:rPr>
      </w:pPr>
    </w:p>
    <w:p>
      <w:pPr>
        <w:ind w:left="660" w:right="20" w:hanging="328"/>
        <w:spacing w:after="0" w:line="25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Investing in organic growth by enhancing our research and development process and utilizing customer feedback and observations to develop innovative new products that solve customer needs and improve environmental sustainability.</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Providing our customers with the highest level of customer service.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Expanding and enhancing our sales capabilities through an improved digital presence and the use of data-driven marketing automation tools.</w:t>
      </w:r>
    </w:p>
    <w:p>
      <w:pPr>
        <w:spacing w:after="0" w:line="32" w:lineRule="exact"/>
        <w:rPr>
          <w:rFonts w:ascii="Arial" w:cs="Arial" w:eastAsia="Arial" w:hAnsi="Arial"/>
          <w:sz w:val="16"/>
          <w:szCs w:val="16"/>
          <w:color w:val="auto"/>
        </w:rPr>
      </w:pPr>
    </w:p>
    <w:p>
      <w:pPr>
        <w:ind w:left="660" w:right="2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Maintaining profitability through pricing mechanisms to mitigate the impacts of ongoing supply chain disruptions and inflationary pressures while ensuring prices are market competitive.</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Integrating recent acquisitions to further enhance our strategic position and accelerate long-term sales growth.</w:t>
      </w:r>
    </w:p>
    <w:p>
      <w:pPr>
        <w:spacing w:after="0" w:line="9" w:lineRule="exact"/>
        <w:rPr>
          <w:rFonts w:ascii="Arial" w:cs="Arial" w:eastAsia="Arial" w:hAnsi="Arial"/>
          <w:sz w:val="18"/>
          <w:szCs w:val="18"/>
          <w:color w:val="auto"/>
        </w:rPr>
      </w:pPr>
    </w:p>
    <w:p>
      <w:pPr>
        <w:ind w:left="660" w:hanging="328"/>
        <w:spacing w:after="0" w:line="265"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color w:val="auto"/>
        </w:rPr>
        <w:t>Driving operational excellence and executing sustainable efficiency gains within our selling, general and administrative structures and within our global operations including insourcing of critical products and manufacturing activities while reducing our environmental footprint.</w:t>
      </w:r>
    </w:p>
    <w:p>
      <w:pPr>
        <w:ind w:left="660" w:right="20" w:hanging="328"/>
        <w:spacing w:after="0" w:line="26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Building on our culture of diversity, equity and inclusion to increase employee engagement and enhance recruitment and retention practices in order to drive differentiated performance and execute our strategy.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Macroeconomic Conditions and Trends</w:t>
      </w:r>
    </w:p>
    <w:p>
      <w:pPr>
        <w:spacing w:after="0" w:line="17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Company has experienced, and expects to continue to experience, inflationary pressures and supply chain and other business disruptions. The Company has taken and will continue to take actions to mitigate inflation issues through pricing actions and the execution of sustainable efficiency gains.</w:t>
      </w:r>
    </w:p>
    <w:p>
      <w:pPr>
        <w:spacing w:after="0" w:line="7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believe we have the financial strength to continue to invest in organic sales growth opportunities including sales, marketing and R&amp;D as well as inorganic sales opportunities including acquisitions, while continuing to drive sustainable efficiency gains and automation in our operations and selling, general and administrative ("SG&amp;A") functions and return capital to our shareholders in the form of dividends and share repurchases. At October 31, 2023, we had cash of $175.4 million, as well as a credit agreement with $245.8 million available for future borrowing, which can be increased up to $1,090.8 million at the Company's option and subject to certain conditions, for total available liquidity of $1,266.1 million.</w:t>
      </w:r>
    </w:p>
    <w:p>
      <w:pPr>
        <w:spacing w:after="0" w:line="12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believe that our financial resources and liquidity levels including the remaining undrawn amount of the credit agreement and our ability to increase that credit line as necessary are sufficient to manage the continuing impact of economic or geopolitical events which may result in reduced sales, net income, or cash provided by operating activities. Refer to Risk Factors, included in Part I, Item 1A of our Annual Report on Form 10-K for the year ended July 31, 2023, for further discussion of the possible impact of global economic or geopolitical events on our business.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of Operations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comparability of the operating results for the three months ended October 31, 2023 compared to the three months ended October 31, 2022 has been impacted by the divestiture of two non-core businesses, one in March 2023 and another in October 2023. Both divestitures impacted the Americas &amp; Asia reportable segment.</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comparison of results of operating income for the three months ended October 31, 2023 and 2022 is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5"/>
          </w:tcPr>
          <w:p>
            <w:pPr>
              <w:ind w:left="140"/>
              <w:spacing w:after="0"/>
              <w:rPr>
                <w:sz w:val="20"/>
                <w:szCs w:val="20"/>
                <w:color w:val="auto"/>
              </w:rPr>
            </w:pPr>
            <w:r>
              <w:rPr>
                <w:rFonts w:ascii="Arial" w:cs="Arial" w:eastAsia="Arial" w:hAnsi="Arial"/>
                <w:sz w:val="16"/>
                <w:szCs w:val="16"/>
                <w:b w:val="1"/>
                <w:bCs w:val="1"/>
                <w:color w:val="auto"/>
              </w:rPr>
              <w:t>Three months ended October 31,</w:t>
            </w:r>
          </w:p>
        </w:tc>
        <w:tc>
          <w:tcPr>
            <w:tcW w:w="1220" w:type="dxa"/>
            <w:vAlign w:val="bottom"/>
            <w:tcBorders>
              <w:bottom w:val="single" w:sz="8" w:color="auto"/>
            </w:tcBorders>
          </w:tcPr>
          <w:p>
            <w:pPr>
              <w:spacing w:after="0"/>
              <w:rPr>
                <w:sz w:val="18"/>
                <w:szCs w:val="18"/>
                <w:color w:val="auto"/>
              </w:rPr>
            </w:pPr>
          </w:p>
        </w:tc>
      </w:tr>
      <w:tr>
        <w:trPr>
          <w:trHeight w:val="213"/>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 Sales</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 Sales</w:t>
            </w:r>
          </w:p>
        </w:tc>
      </w:tr>
      <w:tr>
        <w:trPr>
          <w:trHeight w:val="212"/>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sales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331,983</w:t>
            </w:r>
          </w:p>
        </w:tc>
        <w:tc>
          <w:tcPr>
            <w:tcW w:w="12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322,569</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3"/>
        </w:trPr>
        <w:tc>
          <w:tcPr>
            <w:tcW w:w="5900" w:type="dxa"/>
            <w:vAlign w:val="bottom"/>
          </w:tcPr>
          <w:p>
            <w:pPr>
              <w:ind w:left="20"/>
              <w:spacing w:after="0"/>
              <w:rPr>
                <w:sz w:val="20"/>
                <w:szCs w:val="20"/>
                <w:color w:val="auto"/>
              </w:rPr>
            </w:pPr>
            <w:r>
              <w:rPr>
                <w:rFonts w:ascii="Arial" w:cs="Arial" w:eastAsia="Arial" w:hAnsi="Arial"/>
                <w:sz w:val="16"/>
                <w:szCs w:val="16"/>
                <w:b w:val="1"/>
                <w:bCs w:val="1"/>
                <w:color w:val="auto"/>
              </w:rPr>
              <w:t>Gross margin</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171,719</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51.7 %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155,264</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48.1 %</w:t>
            </w:r>
          </w:p>
        </w:tc>
      </w:tr>
      <w:tr>
        <w:trPr>
          <w:trHeight w:val="219"/>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5900" w:type="dxa"/>
            <w:vAlign w:val="bottom"/>
          </w:tcPr>
          <w:p>
            <w:pPr>
              <w:ind w:left="260"/>
              <w:spacing w:after="0"/>
              <w:rPr>
                <w:sz w:val="20"/>
                <w:szCs w:val="20"/>
                <w:color w:val="auto"/>
              </w:rPr>
            </w:pPr>
            <w:r>
              <w:rPr>
                <w:rFonts w:ascii="Arial" w:cs="Arial" w:eastAsia="Arial" w:hAnsi="Arial"/>
                <w:sz w:val="16"/>
                <w:szCs w:val="16"/>
                <w:color w:val="auto"/>
              </w:rPr>
              <w:t>Research and development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15,702</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4.7 %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13,933</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4.3 %</w:t>
            </w:r>
          </w:p>
        </w:tc>
      </w:tr>
      <w:tr>
        <w:trPr>
          <w:trHeight w:val="219"/>
        </w:trPr>
        <w:tc>
          <w:tcPr>
            <w:tcW w:w="59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Selling, general and administrative</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96,287</w:t>
            </w:r>
          </w:p>
        </w:tc>
        <w:tc>
          <w:tcPr>
            <w:tcW w:w="12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29.0 %</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89,945</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27.9 %</w:t>
            </w:r>
          </w:p>
        </w:tc>
      </w:tr>
      <w:tr>
        <w:trPr>
          <w:trHeight w:val="207"/>
        </w:trPr>
        <w:tc>
          <w:tcPr>
            <w:tcW w:w="5900" w:type="dxa"/>
            <w:vAlign w:val="bottom"/>
            <w:tcBorders>
              <w:bottom w:val="single" w:sz="8" w:color="CCEEFF"/>
            </w:tcBorders>
          </w:tcPr>
          <w:p>
            <w:pPr>
              <w:ind w:left="580"/>
              <w:spacing w:after="0"/>
              <w:rPr>
                <w:sz w:val="20"/>
                <w:szCs w:val="20"/>
                <w:color w:val="auto"/>
              </w:rPr>
            </w:pPr>
            <w:r>
              <w:rPr>
                <w:rFonts w:ascii="Arial" w:cs="Arial" w:eastAsia="Arial" w:hAnsi="Arial"/>
                <w:sz w:val="16"/>
                <w:szCs w:val="16"/>
                <w:color w:val="auto"/>
              </w:rPr>
              <w:t>Total operating expenses</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111,989</w:t>
            </w:r>
          </w:p>
        </w:tc>
        <w:tc>
          <w:tcPr>
            <w:tcW w:w="12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33.7 %</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103,878</w:t>
            </w: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32.2 %</w:t>
            </w:r>
          </w:p>
        </w:tc>
      </w:tr>
      <w:tr>
        <w:trPr>
          <w:trHeight w:val="232"/>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59,730</w:t>
            </w:r>
          </w:p>
        </w:tc>
        <w:tc>
          <w:tcPr>
            <w:tcW w:w="120" w:type="dxa"/>
            <w:vAlign w:val="bottom"/>
            <w:shd w:val="clear" w:color="auto" w:fill="CCEEFF"/>
          </w:tcPr>
          <w:p>
            <w:pPr>
              <w:spacing w:after="0"/>
              <w:rPr>
                <w:sz w:val="20"/>
                <w:szCs w:val="20"/>
                <w:color w:val="auto"/>
              </w:rPr>
            </w:pPr>
          </w:p>
        </w:tc>
        <w:tc>
          <w:tcPr>
            <w:tcW w:w="162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18.0 %  $</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51,386</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15.9 %</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References in this Form 10-Q to “organic sales” refer to sales calculated in accordance with GAAP, excluding the impact of foreign currency translation and sales recorded from divested companies up to the first anniversary of their divestiture. The Company's organic sales disclosures exclude the effects of foreign currency translation as foreign currency translation is subject to volatility that can obscure underlying business .trends. Management believes that the non-GAAP financial measure of organic sales is meaningful to investors as it provides them with useful information to aid in identifying underlying sales trends in our businesses and facilitating comparisons of our sales performance with prior periods.</w:t>
      </w:r>
    </w:p>
    <w:p>
      <w:pPr>
        <w:spacing w:after="0" w:line="1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sales for the three months ended October 31, 2023 increased 2.9% to $332.0 million compared to $322.6 million in the same period in the prior year. The increase consisted of organic sales growth of 2.7% and an increase from foreign currency translation of 1.5%, partially offset by a decrease of 1.3% due to divestitures. Organic sales grew 3.3% in the Americas &amp; Asia segment and 1.4% in the Europe &amp; Australia segment during the three months ended October 31, 2023 compared to the same period in the prior year.</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Gross margin increased 10.6% to $171.7 million in the three months ended October 31, 2023 compared to $155.3 million in the same period in the prior year. As a percentage of net sales, gross margin increased to 51.7% in the three months ended October 31, 2023 compared to 48.1% in the same period in the prior year. The increase in gross margin as a percentage of net sales was primarily due to product mix, reductions in freight expenses, and improvements in inventory management.</w:t>
      </w:r>
    </w:p>
    <w:p>
      <w:pPr>
        <w:spacing w:after="0" w:line="133"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R&amp;D expenses increased 12.7% to $15.7 million in the three months ended October 31, 2023 compared to $13.9 million in the same period in the prior year. As a percentage of net sales, R&amp;D expenses increased to 4.7% in the three months ended October 31, 2023 compared to 4.3% in the same period in the prior year. The increase in R&amp;D spending was primarily due to an increase in R&amp;D headcount in the Americas &amp; Asia segment. The Company remains committed to investing in new product development to increase sales within our businesses. Investments in new printing systems, materials and the build out of a comprehensive industrial track and trace solution remain the primary focus of R&amp;D expenditures in fiscal 2024.</w:t>
      </w:r>
    </w:p>
    <w:p>
      <w:pPr>
        <w:spacing w:after="0" w:line="10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SG&amp;A expenses include selling and administrative costs directly attributed to the Americas &amp; Asia and Europe &amp; Australia segments, as well as certain other corporate administrative expenses including finance, information technology, human resources and other administrative expenses. SG&amp;A expenses increased 7.1% to $96.3 million in the three months ended October 31, 2023 compared to $89.9 million in the same period in the prior year. As a percentage of sales, SG&amp;A increased to 29.0% in the three months ended October 31, 2023, compared to 27.9% in the same period in the prior year. The increase in SG&amp;A expenses was primarily due to increased headcount in sales and technology roles, foreign currency translation and investments in digital advertising, partially offset by a decrease in amortization expense.</w:t>
      </w:r>
    </w:p>
    <w:p>
      <w:pPr>
        <w:spacing w:after="0" w:line="1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Operating income increased 16.2% to $59.7 million in the three months ended October 31, 2023, compared to $51.4 million in the same period in the prior year. The increase in operating income was due to an increase in segment profit in the Americas &amp; Asia segment as a result of organic sales growth and improved gross profit margin as noted above.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TO NET INCOME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5"/>
          </w:tcPr>
          <w:p>
            <w:pPr>
              <w:ind w:left="140"/>
              <w:spacing w:after="0"/>
              <w:rPr>
                <w:sz w:val="20"/>
                <w:szCs w:val="20"/>
                <w:color w:val="auto"/>
              </w:rPr>
            </w:pPr>
            <w:r>
              <w:rPr>
                <w:rFonts w:ascii="Arial" w:cs="Arial" w:eastAsia="Arial" w:hAnsi="Arial"/>
                <w:sz w:val="16"/>
                <w:szCs w:val="16"/>
                <w:b w:val="1"/>
                <w:bCs w:val="1"/>
                <w:color w:val="auto"/>
              </w:rPr>
              <w:t>Three months ended October 31,</w:t>
            </w:r>
          </w:p>
        </w:tc>
        <w:tc>
          <w:tcPr>
            <w:tcW w:w="1220" w:type="dxa"/>
            <w:vAlign w:val="bottom"/>
            <w:tcBorders>
              <w:bottom w:val="single" w:sz="8" w:color="auto"/>
            </w:tcBorders>
          </w:tcPr>
          <w:p>
            <w:pPr>
              <w:spacing w:after="0"/>
              <w:rPr>
                <w:sz w:val="18"/>
                <w:szCs w:val="18"/>
                <w:color w:val="auto"/>
              </w:rPr>
            </w:pPr>
          </w:p>
        </w:tc>
      </w:tr>
      <w:tr>
        <w:trPr>
          <w:trHeight w:val="213"/>
        </w:trPr>
        <w:tc>
          <w:tcPr>
            <w:tcW w:w="5900" w:type="dxa"/>
            <w:vAlign w:val="bottom"/>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8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1320" w:type="dxa"/>
            <w:vAlign w:val="bottom"/>
            <w:gridSpan w:val="2"/>
          </w:tcPr>
          <w:p>
            <w:pPr>
              <w:ind w:left="320"/>
              <w:spacing w:after="0"/>
              <w:rPr>
                <w:sz w:val="20"/>
                <w:szCs w:val="20"/>
                <w:color w:val="auto"/>
              </w:rPr>
            </w:pPr>
            <w:r>
              <w:rPr>
                <w:rFonts w:ascii="Arial" w:cs="Arial" w:eastAsia="Arial" w:hAnsi="Arial"/>
                <w:sz w:val="16"/>
                <w:szCs w:val="16"/>
                <w:b w:val="1"/>
                <w:bCs w:val="1"/>
                <w:color w:val="auto"/>
              </w:rPr>
              <w:t>% Sales</w:t>
            </w:r>
          </w:p>
        </w:tc>
        <w:tc>
          <w:tcPr>
            <w:tcW w:w="30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220" w:type="dxa"/>
            <w:vAlign w:val="bottom"/>
          </w:tcPr>
          <w:p>
            <w:pPr>
              <w:jc w:val="right"/>
              <w:ind w:right="259"/>
              <w:spacing w:after="0"/>
              <w:rPr>
                <w:sz w:val="20"/>
                <w:szCs w:val="20"/>
                <w:color w:val="auto"/>
              </w:rPr>
            </w:pPr>
            <w:r>
              <w:rPr>
                <w:rFonts w:ascii="Arial" w:cs="Arial" w:eastAsia="Arial" w:hAnsi="Arial"/>
                <w:sz w:val="16"/>
                <w:szCs w:val="16"/>
                <w:b w:val="1"/>
                <w:bCs w:val="1"/>
                <w:color w:val="auto"/>
              </w:rPr>
              <w:t>% Sales</w:t>
            </w:r>
          </w:p>
        </w:tc>
      </w:tr>
      <w:tr>
        <w:trPr>
          <w:trHeight w:val="212"/>
        </w:trPr>
        <w:tc>
          <w:tcPr>
            <w:tcW w:w="5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59,730</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18.0 %</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51,386</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15.9 %</w:t>
            </w:r>
          </w:p>
        </w:tc>
      </w:tr>
      <w:tr>
        <w:trPr>
          <w:trHeight w:val="213"/>
        </w:trPr>
        <w:tc>
          <w:tcPr>
            <w:tcW w:w="5900" w:type="dxa"/>
            <w:vAlign w:val="bottom"/>
          </w:tcPr>
          <w:p>
            <w:pPr>
              <w:ind w:left="20"/>
              <w:spacing w:after="0"/>
              <w:rPr>
                <w:sz w:val="20"/>
                <w:szCs w:val="20"/>
                <w:color w:val="auto"/>
              </w:rPr>
            </w:pPr>
            <w:r>
              <w:rPr>
                <w:rFonts w:ascii="Arial" w:cs="Arial" w:eastAsia="Arial" w:hAnsi="Arial"/>
                <w:sz w:val="16"/>
                <w:szCs w:val="16"/>
                <w:color w:val="auto"/>
              </w:rPr>
              <w:t>Other income (expense):</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59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Investment and other income (expense)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13"/>
        </w:trPr>
        <w:tc>
          <w:tcPr>
            <w:tcW w:w="5900" w:type="dxa"/>
            <w:vAlign w:val="bottom"/>
            <w:tcBorders>
              <w:bottom w:val="single" w:sz="8" w:color="CCEEFF"/>
            </w:tcBorders>
          </w:tcPr>
          <w:p>
            <w:pPr>
              <w:ind w:left="400"/>
              <w:spacing w:after="0"/>
              <w:rPr>
                <w:sz w:val="20"/>
                <w:szCs w:val="20"/>
                <w:color w:val="auto"/>
              </w:rPr>
            </w:pPr>
            <w:r>
              <w:rPr>
                <w:rFonts w:ascii="Arial" w:cs="Arial" w:eastAsia="Arial" w:hAnsi="Arial"/>
                <w:sz w:val="16"/>
                <w:szCs w:val="16"/>
                <w:color w:val="auto"/>
              </w:rPr>
              <w:t>Interest expense</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(766)</w:t>
            </w:r>
          </w:p>
        </w:tc>
        <w:tc>
          <w:tcPr>
            <w:tcW w:w="1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(894)</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r>
      <w:tr>
        <w:trPr>
          <w:trHeight w:val="212"/>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59,402</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50,335</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15.6 %</w:t>
            </w:r>
          </w:p>
        </w:tc>
      </w:tr>
      <w:tr>
        <w:trPr>
          <w:trHeight w:val="213"/>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12,161</w:t>
            </w:r>
          </w:p>
        </w:tc>
        <w:tc>
          <w:tcPr>
            <w:tcW w:w="1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3.7 %</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10,894</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3.4 %</w:t>
            </w:r>
          </w:p>
        </w:tc>
      </w:tr>
      <w:tr>
        <w:trPr>
          <w:trHeight w:val="238"/>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47,241</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14.2 %</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39,441</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12.2 %</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Investment and other income was $0.4 million in the three months ended October 31, 2023 compared to investment and other expense of $0.2 million in the same period in the prior year. The change was primarily due to an increase in interest income which was partially offset by a decrease in the market value of securities held in deferred compensation plans.</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Interest expense decreased to $0.8 million in the three months ended October 31, 2023 compared to $0.9 million in the same period in the prior year. The decrease in interest expense was primarily due to a decrease in outstanding borrowings on the Company's credit agreement, which was partially offset by an increase in interest rates on the Company's credit agreement compared to the same period in the prior year.</w:t>
      </w:r>
    </w:p>
    <w:p>
      <w:pPr>
        <w:spacing w:after="0" w:line="11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Company’s income tax rate was 20.5% and 21.6% for the three months ended October 31, 2023 and 2022, respectively. Refer to Note M “Income Taxes” for additional information on the Company's income tax rates.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Business Segment Operating Results</w:t>
      </w:r>
    </w:p>
    <w:p>
      <w:pPr>
        <w:spacing w:after="0" w:line="17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Company evaluates short-term segment performance based on segment profit and customer sales. Interest expense, investment and other income (expense), income tax expense, and certain corporate administrative expenses are excluded when evaluating segment performance.</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segment information for the three months ended October 31, 2023 and 2022:</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00" w:type="dxa"/>
            <w:vAlign w:val="bottom"/>
          </w:tcPr>
          <w:p>
            <w:pPr>
              <w:spacing w:after="0"/>
              <w:rPr>
                <w:sz w:val="18"/>
                <w:szCs w:val="18"/>
                <w:color w:val="auto"/>
              </w:rPr>
            </w:pPr>
          </w:p>
        </w:tc>
        <w:tc>
          <w:tcPr>
            <w:tcW w:w="3340" w:type="dxa"/>
            <w:vAlign w:val="bottom"/>
            <w:tcBorders>
              <w:bottom w:val="single" w:sz="8" w:color="auto"/>
            </w:tcBorders>
            <w:gridSpan w:val="5"/>
          </w:tcPr>
          <w:p>
            <w:pPr>
              <w:jc w:val="right"/>
              <w:ind w:right="459"/>
              <w:spacing w:after="0"/>
              <w:rPr>
                <w:sz w:val="20"/>
                <w:szCs w:val="20"/>
                <w:color w:val="auto"/>
              </w:rPr>
            </w:pPr>
            <w:r>
              <w:rPr>
                <w:rFonts w:ascii="Arial" w:cs="Arial" w:eastAsia="Arial" w:hAnsi="Arial"/>
                <w:sz w:val="16"/>
                <w:szCs w:val="16"/>
                <w:b w:val="1"/>
                <w:bCs w:val="1"/>
                <w:color w:val="auto"/>
              </w:rPr>
              <w:t>Three months ended October 31,</w:t>
            </w:r>
          </w:p>
        </w:tc>
        <w:tc>
          <w:tcPr>
            <w:tcW w:w="0" w:type="dxa"/>
            <w:vAlign w:val="bottom"/>
          </w:tcPr>
          <w:p>
            <w:pPr>
              <w:spacing w:after="0"/>
              <w:rPr>
                <w:sz w:val="1"/>
                <w:szCs w:val="1"/>
                <w:color w:val="auto"/>
              </w:rPr>
            </w:pPr>
          </w:p>
        </w:tc>
      </w:tr>
      <w:tr>
        <w:trPr>
          <w:trHeight w:val="210"/>
        </w:trPr>
        <w:tc>
          <w:tcPr>
            <w:tcW w:w="79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199"/>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SALES GROWTH INFORMATION</w:t>
            </w:r>
          </w:p>
        </w:tc>
        <w:tc>
          <w:tcPr>
            <w:tcW w:w="9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90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Americas &amp; Asia</w:t>
            </w:r>
          </w:p>
        </w:tc>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Organic</w:t>
            </w: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4.0 %</w:t>
            </w:r>
          </w:p>
        </w:tc>
        <w:tc>
          <w:tcPr>
            <w:tcW w:w="0" w:type="dxa"/>
            <w:vAlign w:val="bottom"/>
          </w:tcPr>
          <w:p>
            <w:pPr>
              <w:spacing w:after="0"/>
              <w:rPr>
                <w:sz w:val="1"/>
                <w:szCs w:val="1"/>
                <w:color w:val="auto"/>
              </w:rPr>
            </w:pPr>
          </w:p>
        </w:tc>
      </w:tr>
      <w:tr>
        <w:trPr>
          <w:trHeight w:val="213"/>
        </w:trPr>
        <w:tc>
          <w:tcPr>
            <w:tcW w:w="7900" w:type="dxa"/>
            <w:vAlign w:val="bottom"/>
          </w:tcPr>
          <w:p>
            <w:pPr>
              <w:ind w:left="360"/>
              <w:spacing w:after="0"/>
              <w:rPr>
                <w:sz w:val="20"/>
                <w:szCs w:val="20"/>
                <w:color w:val="auto"/>
              </w:rPr>
            </w:pPr>
            <w:r>
              <w:rPr>
                <w:rFonts w:ascii="Arial" w:cs="Arial" w:eastAsia="Arial" w:hAnsi="Arial"/>
                <w:sz w:val="16"/>
                <w:szCs w:val="16"/>
                <w:color w:val="auto"/>
              </w:rPr>
              <w:t>Currency</w:t>
            </w:r>
          </w:p>
        </w:tc>
        <w:tc>
          <w:tcPr>
            <w:tcW w:w="9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Divestiture</w:t>
            </w:r>
          </w:p>
        </w:tc>
        <w:tc>
          <w:tcPr>
            <w:tcW w:w="9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06"/>
        </w:trPr>
        <w:tc>
          <w:tcPr>
            <w:tcW w:w="7900" w:type="dxa"/>
            <w:vAlign w:val="bottom"/>
          </w:tcPr>
          <w:p>
            <w:pPr>
              <w:ind w:left="360"/>
              <w:spacing w:after="0"/>
              <w:rPr>
                <w:sz w:val="20"/>
                <w:szCs w:val="20"/>
                <w:color w:val="auto"/>
              </w:rPr>
            </w:pPr>
            <w:r>
              <w:rPr>
                <w:rFonts w:ascii="Arial" w:cs="Arial" w:eastAsia="Arial" w:hAnsi="Arial"/>
                <w:sz w:val="16"/>
                <w:szCs w:val="16"/>
                <w:color w:val="auto"/>
              </w:rPr>
              <w:t>Total</w:t>
            </w:r>
          </w:p>
        </w:tc>
        <w:tc>
          <w:tcPr>
            <w:tcW w:w="9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1.4 %</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2.6 %</w:t>
            </w:r>
          </w:p>
        </w:tc>
        <w:tc>
          <w:tcPr>
            <w:tcW w:w="0" w:type="dxa"/>
            <w:vAlign w:val="bottom"/>
          </w:tcPr>
          <w:p>
            <w:pPr>
              <w:spacing w:after="0"/>
              <w:rPr>
                <w:sz w:val="1"/>
                <w:szCs w:val="1"/>
                <w:color w:val="auto"/>
              </w:rPr>
            </w:pP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Europe &amp; Australia</w:t>
            </w:r>
          </w:p>
        </w:tc>
        <w:tc>
          <w:tcPr>
            <w:tcW w:w="9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900" w:type="dxa"/>
            <w:vAlign w:val="bottom"/>
          </w:tcPr>
          <w:p>
            <w:pPr>
              <w:ind w:left="360"/>
              <w:spacing w:after="0"/>
              <w:rPr>
                <w:sz w:val="20"/>
                <w:szCs w:val="20"/>
                <w:color w:val="auto"/>
              </w:rPr>
            </w:pPr>
            <w:r>
              <w:rPr>
                <w:rFonts w:ascii="Arial" w:cs="Arial" w:eastAsia="Arial" w:hAnsi="Arial"/>
                <w:sz w:val="16"/>
                <w:szCs w:val="16"/>
                <w:color w:val="auto"/>
              </w:rPr>
              <w:t>Organic</w:t>
            </w:r>
          </w:p>
        </w:tc>
        <w:tc>
          <w:tcPr>
            <w:tcW w:w="9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12.8 %</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Currency</w:t>
            </w:r>
          </w:p>
        </w:tc>
        <w:tc>
          <w:tcPr>
            <w:tcW w:w="9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4.6 %</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07"/>
        </w:trPr>
        <w:tc>
          <w:tcPr>
            <w:tcW w:w="7900" w:type="dxa"/>
            <w:vAlign w:val="bottom"/>
          </w:tcPr>
          <w:p>
            <w:pPr>
              <w:ind w:left="360"/>
              <w:spacing w:after="0"/>
              <w:rPr>
                <w:sz w:val="20"/>
                <w:szCs w:val="20"/>
                <w:color w:val="auto"/>
              </w:rPr>
            </w:pPr>
            <w:r>
              <w:rPr>
                <w:rFonts w:ascii="Arial" w:cs="Arial" w:eastAsia="Arial" w:hAnsi="Arial"/>
                <w:sz w:val="16"/>
                <w:szCs w:val="16"/>
                <w:color w:val="auto"/>
              </w:rPr>
              <w:t>Total</w:t>
            </w:r>
          </w:p>
        </w:tc>
        <w:tc>
          <w:tcPr>
            <w:tcW w:w="9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6.0 %</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Total Company</w:t>
            </w:r>
          </w:p>
        </w:tc>
        <w:tc>
          <w:tcPr>
            <w:tcW w:w="9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900" w:type="dxa"/>
            <w:vAlign w:val="bottom"/>
          </w:tcPr>
          <w:p>
            <w:pPr>
              <w:ind w:left="360"/>
              <w:spacing w:after="0"/>
              <w:rPr>
                <w:sz w:val="20"/>
                <w:szCs w:val="20"/>
                <w:color w:val="auto"/>
              </w:rPr>
            </w:pPr>
            <w:r>
              <w:rPr>
                <w:rFonts w:ascii="Arial" w:cs="Arial" w:eastAsia="Arial" w:hAnsi="Arial"/>
                <w:sz w:val="16"/>
                <w:szCs w:val="16"/>
                <w:color w:val="auto"/>
              </w:rPr>
              <w:t>Organic</w:t>
            </w:r>
          </w:p>
        </w:tc>
        <w:tc>
          <w:tcPr>
            <w:tcW w:w="9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2.7 %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6.9 %</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Currency</w:t>
            </w: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13"/>
        </w:trPr>
        <w:tc>
          <w:tcPr>
            <w:tcW w:w="79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Divestiture</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34"/>
        </w:trPr>
        <w:tc>
          <w:tcPr>
            <w:tcW w:w="7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9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2.9 %</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0.3 %</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SEGMENT PROFIT</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90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Americas &amp; Asia</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5"/>
              </w:rPr>
              <w:t>49,897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41,145</w:t>
            </w:r>
          </w:p>
        </w:tc>
        <w:tc>
          <w:tcPr>
            <w:tcW w:w="0" w:type="dxa"/>
            <w:vAlign w:val="bottom"/>
          </w:tcPr>
          <w:p>
            <w:pPr>
              <w:spacing w:after="0"/>
              <w:rPr>
                <w:sz w:val="1"/>
                <w:szCs w:val="1"/>
                <w:color w:val="auto"/>
              </w:rPr>
            </w:pPr>
          </w:p>
        </w:tc>
      </w:tr>
      <w:tr>
        <w:trPr>
          <w:trHeight w:val="213"/>
        </w:trPr>
        <w:tc>
          <w:tcPr>
            <w:tcW w:w="79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Europe &amp; Australia</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5"/>
              </w:rPr>
              <w:t>16,744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16,758</w:t>
            </w:r>
          </w:p>
        </w:tc>
        <w:tc>
          <w:tcPr>
            <w:tcW w:w="0" w:type="dxa"/>
            <w:vAlign w:val="bottom"/>
          </w:tcPr>
          <w:p>
            <w:pPr>
              <w:spacing w:after="0"/>
              <w:rPr>
                <w:sz w:val="1"/>
                <w:szCs w:val="1"/>
                <w:color w:val="auto"/>
              </w:rPr>
            </w:pPr>
          </w:p>
        </w:tc>
      </w:tr>
      <w:tr>
        <w:trPr>
          <w:trHeight w:val="235"/>
        </w:trPr>
        <w:tc>
          <w:tcPr>
            <w:tcW w:w="7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5"/>
              </w:rPr>
              <w:t>66,641</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57,903</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SEGMENT PROFIT AS A PERCENT OF NET SALES</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90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Americas &amp; Asia</w:t>
            </w: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18.8 %</w:t>
            </w:r>
          </w:p>
        </w:tc>
        <w:tc>
          <w:tcPr>
            <w:tcW w:w="0" w:type="dxa"/>
            <w:vAlign w:val="bottom"/>
          </w:tcPr>
          <w:p>
            <w:pPr>
              <w:spacing w:after="0"/>
              <w:rPr>
                <w:sz w:val="1"/>
                <w:szCs w:val="1"/>
                <w:color w:val="auto"/>
              </w:rPr>
            </w:pPr>
          </w:p>
        </w:tc>
      </w:tr>
      <w:tr>
        <w:trPr>
          <w:trHeight w:val="213"/>
        </w:trPr>
        <w:tc>
          <w:tcPr>
            <w:tcW w:w="79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Europe &amp; Australia</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15.2 %</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16.1 %</w:t>
            </w:r>
          </w:p>
        </w:tc>
        <w:tc>
          <w:tcPr>
            <w:tcW w:w="0" w:type="dxa"/>
            <w:vAlign w:val="bottom"/>
          </w:tcPr>
          <w:p>
            <w:pPr>
              <w:spacing w:after="0"/>
              <w:rPr>
                <w:sz w:val="1"/>
                <w:szCs w:val="1"/>
                <w:color w:val="auto"/>
              </w:rPr>
            </w:pPr>
          </w:p>
        </w:tc>
      </w:tr>
      <w:tr>
        <w:trPr>
          <w:trHeight w:val="235"/>
        </w:trPr>
        <w:tc>
          <w:tcPr>
            <w:tcW w:w="7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9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20.1 %</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18.0 %</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Americas &amp; Asia</w:t>
      </w:r>
    </w:p>
    <w:p>
      <w:pPr>
        <w:spacing w:after="0" w:line="17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Americas &amp; Asia net sales increased 1.4% to $221.6 million in the three months ended October 31, 2023 compared to $218.5 million in the same period in the prior year, which consisted of organic sales growth of 3.3% and a decrease of 1.9% due to the divestiture of two businesses.</w:t>
      </w:r>
    </w:p>
    <w:p>
      <w:pPr>
        <w:spacing w:after="0" w:line="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Organic sales in the Americas increased in the mid-single digits in the three months ended October 31, 2023. Organic sales growth was primarily driven by the wire identification, safety and facility identification, and product identification product lines, which was partially offset by an organic sales decline in the healthcare identification product line.</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Organic sales in Asia declined in the mid-single digits in the three months ended October 31, 2023. The organic sales decline was primarily driven by decreased volume in China, which was partially offset by increased volume in India and Japan.</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Segment profit increased 21.3% to $49.9 million in the three months ended October 31, 2023 compared to $41.1 million in the same period in the prior year. As a percentage of net sales, segment profit increased to 22.5% from 18.8% in the same period in the prior year. The increase in segment profit was primarily due to increased sales volumes in the Americas, reductions in freight costs, as well as our ongoing efforts to streamline manufacturing processes through automation.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 &amp; Australia</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Europe &amp; Australia net sales increased 6.0% to $110.4 million in the three months ended October 31, 2023 compared to $104.1 million in the same period in the prior year, which consisted of organic sales growth of 1.4% and an increase from foreign currency translation of 4.6%.</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Organic sales in Europe increased in the low-single digits in the three months ended October 31, 2023. Organic sales grew in the safety and facility identification product line, which was partially offset by an organic sales decline in the product identification and wire identification product lines. The increase in organic sales in Europe was primarily driven by growth in Western Europe, which was partially offset by a decline in sales in the United Kingdom.</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Organic sales in Australia increased in the mid-single digits in the three months ended October 31, 2023. Organic sales were driven by consistent growth in both digital and sales from all other channels, which was primarily the result of price increases implemented in the prior year and sales volume in all major product lines.</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Segment profit was essentially flat at $16.7 million in the three months ended October 31, 2023 compared to $16.8 million in the same period of the prior year. As a percentage of net sales, segment profit decreased to 15.2% from 16.1% in the same period of the prior year. The decrease in segment profit was primarily due to increasing labor and other costs as a result of ongoing inflation, which were partially offset by pricing actions taken by the Company implemented during the prior fiscal year.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 and Capital Resources</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Company's cash balances are generated and held in numerous locations throughout the world. At October 31, 2023, approximately 98% of the Company's cash and cash equivalents were held outside the United States. The Company's organic and inorganic growth has historically been funded by a combination of cash provided by operating activities and debt financing. The Company believes that its cash flow from operating activities and its borrowing capacity are sufficient to fund its anticipated requirements for working capital, capital expenditures, research and development, common stock repurchases, and dividend payments for the next 12 months. Although the Company believes these sources of cash are currently sufficient to fund domestic operations, annual cash needs could require repatriation of cash to the U.S. from foreign jurisdictions, which may result in additional tax payments.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and cash equivalents were $175.4 million at October 31, 2023, an increase of $23.8 million from July 31, 2023. The significant changes were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6"/>
                <w:szCs w:val="16"/>
                <w:b w:val="1"/>
                <w:bCs w:val="1"/>
                <w:color w:val="auto"/>
                <w:w w:val="96"/>
              </w:rPr>
              <w:t>Three months ended October 31,</w:t>
            </w:r>
          </w:p>
        </w:tc>
      </w:tr>
      <w:tr>
        <w:trPr>
          <w:trHeight w:val="213"/>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r>
      <w:tr>
        <w:trPr>
          <w:trHeight w:val="199"/>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flow provided by (used in):</w:t>
            </w: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3"/>
        </w:trPr>
        <w:tc>
          <w:tcPr>
            <w:tcW w:w="8100" w:type="dxa"/>
            <w:vAlign w:val="bottom"/>
          </w:tcPr>
          <w:p>
            <w:pPr>
              <w:ind w:left="360"/>
              <w:spacing w:after="0"/>
              <w:rPr>
                <w:sz w:val="20"/>
                <w:szCs w:val="20"/>
                <w:color w:val="auto"/>
              </w:rPr>
            </w:pPr>
            <w:r>
              <w:rPr>
                <w:rFonts w:ascii="Arial" w:cs="Arial" w:eastAsia="Arial" w:hAnsi="Arial"/>
                <w:sz w:val="16"/>
                <w:szCs w:val="16"/>
                <w:color w:val="auto"/>
              </w:rPr>
              <w:t>Operating activities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62,273</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27,999</w:t>
            </w:r>
          </w:p>
        </w:tc>
      </w:tr>
      <w:tr>
        <w:trPr>
          <w:trHeight w:val="219"/>
        </w:trPr>
        <w:tc>
          <w:tcPr>
            <w:tcW w:w="8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Investing activities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(3,861)</w:t>
            </w:r>
          </w:p>
        </w:tc>
      </w:tr>
      <w:tr>
        <w:trPr>
          <w:trHeight w:val="213"/>
        </w:trPr>
        <w:tc>
          <w:tcPr>
            <w:tcW w:w="8100" w:type="dxa"/>
            <w:vAlign w:val="bottom"/>
          </w:tcPr>
          <w:p>
            <w:pPr>
              <w:ind w:left="360"/>
              <w:spacing w:after="0"/>
              <w:rPr>
                <w:sz w:val="20"/>
                <w:szCs w:val="20"/>
                <w:color w:val="auto"/>
              </w:rPr>
            </w:pPr>
            <w:r>
              <w:rPr>
                <w:rFonts w:ascii="Arial" w:cs="Arial" w:eastAsia="Arial" w:hAnsi="Arial"/>
                <w:sz w:val="16"/>
                <w:szCs w:val="16"/>
                <w:color w:val="auto"/>
              </w:rPr>
              <w:t>Financing activities</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(21,494)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(20,535)</w:t>
            </w:r>
          </w:p>
        </w:tc>
      </w:tr>
      <w:tr>
        <w:trPr>
          <w:trHeight w:val="219"/>
        </w:trPr>
        <w:tc>
          <w:tcPr>
            <w:tcW w:w="8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Effect of exchange rate changes on cash</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(5,680)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(3,201)</w:t>
            </w:r>
          </w:p>
        </w:tc>
      </w:tr>
      <w:tr>
        <w:trPr>
          <w:trHeight w:val="206"/>
        </w:trPr>
        <w:tc>
          <w:tcPr>
            <w:tcW w:w="8100" w:type="dxa"/>
            <w:vAlign w:val="bottom"/>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23,820</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w:t>
            </w:r>
          </w:p>
        </w:tc>
      </w:tr>
      <w:tr>
        <w:trPr>
          <w:trHeight w:val="24"/>
        </w:trPr>
        <w:tc>
          <w:tcPr>
            <w:tcW w:w="8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24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provided by operating activities was $62.3 million in the three months ended October 31, 2023, compared to $28.0 million in the same period of the prior year. The increase in cash provided by operating activities was primarily due to improved profitability and reduced inventory levels compared to elevated inventory levels in the prior year to reduce the risk of supply chain disruption.</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used in investing activities consisted of $11.3 million of capital expenditures in the three months ended October 31, 2023, compared to $3.9 million of capital expenditures in the same period of the prior year. The increase in cash used in investing activities is primarily due to facility construction costs in Europe.</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used in financing activities was $21.5 million in the three months ended October 31, 2023 compared to $20.5 million in the same period of the prior year. The increase in cash used in financing activities was primarily due to increased share repurchases during the three months ended October 31, 2023 compared to the same period in the prior year.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Material Cash Requirements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material cash requirements for known contractual obligations include capital expenditures, borrowings on our credit agreement and lease obligations. We believe that net cash provided by operating activities will continue to be adequate to meet our liquidity and capital needs for these items over the next 12 months and in the long-term beyond the next 12 months. We also have cash requirements for purchase orders and contracts for the purchase of inventory and other goods and services, which are based on current and anticipated customer needs and are fulfilled by our suppliers within short time horizons. We do not have significant agreements for the purchase of inventory or other goods or services specifying minimum order quantities. In addition, we may have liabilities for uncertain tax positions, but we do not believe that the cash requirements to meet any of these liabilities will be material.</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August 1, 2019, the Company and certain of its subsidiaries entered into an unsecured $200 million multi-currency credit agreement with a group of five banks.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December 21, 2021, the Company and certain of its subsidiaries entered into an amendment to the credit agreement dated August 1, 2019 to adjust to alternative benchmarks due to the elimination of the London Inter-bank Offered Rate (“LIBOR”).</w:t>
      </w:r>
    </w:p>
    <w:p>
      <w:pPr>
        <w:spacing w:after="0" w:line="11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November 14, 2022, the Company and certain of its subsidiaries entered into a Second Amendment to Credit Agreement (“Amendment No. 2”) with a group of six banks, which amended the original credit agreement dated August 1, 2019. Amendment No. 2 amended the credit agreement to, among other items, (a) increase the lending commitments by $100 million for total lending commitments of $300 million, (b) extend the final maturity date to November 14, 2027, (c) increase the interest rate on certain borrowings by 0.125%, and (d) increase the available amount under the credit agreement, at the Company's option and subject to certain conditions, from $300 million up to (i) an amount equal to the incremental borrowing necessary to bring the Company's consolidated net debt-to-EBITDA ratio as defined in the credit agreement to 2.5 to 1.0 plus (ii) $200 million. Borrowings under Amendment No. 2 are unsecured and are guaranteed by certain of the Company's domestic subsidiaries.</w:t>
      </w:r>
    </w:p>
    <w:p>
      <w:pPr>
        <w:spacing w:after="0" w:line="12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October 31, 2023, the outstanding balance on the Company's credit agreement was $52.3 million. The maximum amount outstanding on the credit agreement during the three months ended October 31, 2023 was $56.2 million. As of October 31, 2023, the U.S. dollar-denominated borrowings of $16.0 million bear interest at 6.3%; the Euro-denominated borrowings of €25.0 million bear interest at 4.7%; and the British Pound-denominated borrowings of £8.0 million bear interest</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at 6.1%. The Company had letters of credit outstanding under the credit agreement of $2.0 million as of October 31, 2023 and there was $245.8 million available for future borrowing, which can be increased to $1,090.8 million at the Company's option, subject to certain conditions. The credit agreement has a final maturity date of November 14, 2027. As such, borrowings were classified as long-term on the condensed consolidated balance sheets.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 Compliance</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Company's credit agreement requires it to maintain certain financial covenants, including a ratio of debt to the trailing twelve months EBITDA, as defined in the debt agreements, of not more than a 3.5 to 1.0 ratio (leverage ratio) and the trailing twelve months EBITDA to interest expense of not less than a 3.0 to 1.0 ratio (interest expense coverage). As of October 31, 2023, the Company was in compliance with these financial covenants, with a ratio of debt to EBITDA, as defined by the agreements, equal to 0.18 to 1.0 and the interest expense coverage ratio equal to 82.0 to 1.0.</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this quarterly report on Form 10-Q, statements that are not reported financial results or other historic information are “forward-looking statements.” These forward-looking statements relate to, among other things, the Company's future financial position, business strategy, targets, projected sales, costs, income, capital expenditures, debt levels and cash flows, and plans and objectives of management for future operations.</w:t>
      </w:r>
    </w:p>
    <w:p>
      <w:pPr>
        <w:spacing w:after="0" w:line="11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use of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w:t>
      </w:r>
    </w:p>
    <w:p>
      <w:pPr>
        <w:spacing w:after="0" w:line="11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Increased cost of raw materials, labor and freight as well as raw material shortages and supply chain disruptions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Decreased demand for the Company's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Ability to compete effectively or to successfully execute the Company's strategy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Ability to develop technologically advanced products that meet customer demands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Difficulties in protecting websites, networks, and systems against security breaches and difficulties in preventing phishing attacks, social engineering or malicious break-ins</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Ability to identify, integrate, and grow acquired companies, and to manage contingent liabilities from divested businesses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associated with the loss of key employees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Extensive regulations by U.S. and non-U.S. governmental and self-regulatory entities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Litigation, including product liability claims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Adverse impacts of the novel coronavirus ("COVID-19") pandemic or other pandemics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Foreign currency fluctuations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 write-offs of goodwill and other intangible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tax legislation and tax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Differing interests of voting and non-voting shareholders</w:t>
      </w:r>
    </w:p>
    <w:p>
      <w:pPr>
        <w:spacing w:after="0" w:line="9" w:lineRule="exact"/>
        <w:rPr>
          <w:rFonts w:ascii="Arial" w:cs="Arial" w:eastAsia="Arial" w:hAnsi="Arial"/>
          <w:sz w:val="18"/>
          <w:szCs w:val="18"/>
          <w:color w:val="auto"/>
        </w:rPr>
      </w:pPr>
    </w:p>
    <w:p>
      <w:pPr>
        <w:jc w:val="both"/>
        <w:ind w:left="660" w:hanging="328"/>
        <w:spacing w:after="0" w:line="253"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Numerous other matters of national, regional and global scale, including major public health crises and government responses thereto and those of a political, economic, business, competitive, and regulatory nature contained from time to time in Brady's U.S. Securities and Exchange Commission filings, including, but not limited to, those factors listed in the “Risk Factors” section within Item 1A of Part I of Brady's Form 10-K for the year ended July 31, 2023.</w:t>
      </w:r>
    </w:p>
    <w:p>
      <w:pPr>
        <w:spacing w:after="0" w:line="13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These uncertainties may cause Brady's actual future results to be materially different than those expressed in its forward-looking statements. Brady does not undertake to update its forward-looking statements except as required by law.</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Refer to the Company’s annual report on Form 10-K for the year ended July 31, 2023. There has been no material change in this information since the 2023 Form 10-K.</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Brady Corporation maintains disclosure controls and procedures that are designed to ensure that information required to be disclosed by the Company in the reports filed by the Company under the Securities Exchange Act of 1934, as amended (the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“Exchange Act”), is recorded, processed, summarized and reported within the time periods specified in the SEC’s rules and forms. Disclosure controls and procedures include, without limitation, controls and procedures designed to ensure that information required to be disclosed by the Company in the reports the Company files under the Exchange Act is accumulated and communicated to the Company’s management, including the Company’s principal executive and principal financial officers, or persons performing similar functions, as appropriate to allow timely decisions regarding required disclosure. The Company carried out an evaluation, under the supervision and with the participation of its management, including its President and Chief Executive Officer (the "Chief Executive Officer") and its Chief Financial Officer, Chief Accounting Officer and Treasurer (the "Chief Financial Officer"), of the effectiveness of the design and operation of the Company’s disclosure controls and procedures pursuant to Rule 13a-15 of the Exchange Act. Based on that evaluation, the Company’s Chief Executive Officer and Chief Financial Officer concluded that the Company’s disclosure controls and procedures are effective as of the end of the period covered by this report.</w:t>
      </w:r>
    </w:p>
    <w:p>
      <w:pPr>
        <w:spacing w:after="0" w:line="12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There were no changes in the Company's internal control over financial reporting (as defined in Exchange Act Rules 13a-15(f) and 15d-15(f)) that occurred during the Company's most recently completed fiscal quarter that have materially affected, or are reasonably likely to materially affect, the Company's internal control over financial reporting.</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business, results of operations, financial condition, and cash flows are subject to various risks and uncertainties, including those described in Part I, Item 1A, “Risk Factors” of Company’s Annual Report on Form 10-K for the year ended July 31, 2023. There have been no material changes from the risk factors set forth in the 2023 Form 10-K.</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ITEM 2. UNREGISTERED SALES OF EQUITY SECURITIES, USE OF PROCEEDS AND ISSUER PURCHASES OF EQUITY SECURITIES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maintains a share repurchase program for the Company's Class A Nonvoting Common Stock. The program may be implemented by purchasing shares in the open market or in privately negotiated transactions, with repurchased shares available for use in connection with the Company's stock-based plans and for other corporate purposes.</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August 30, 2023, the Company's Board of Directors authorized an increase in the Company's share repurchase program, authorizing the repurchase of an additional $100.0 million of the Company's Class A Nonvoting Common Stock, which expanded upon the Company's prior authorization for a total authorized amount of $100.7 million. The share repurchase program may be implemented from time to time on the open market or in privately negotiated transactions and has no expiration date. As of October 31, 2023, there were $95.9 million worth of shares authorized to purchase remaining pursuant to the existing share repurchase program.</w:t>
      </w:r>
    </w:p>
    <w:p>
      <w:pPr>
        <w:spacing w:after="0" w:line="13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provides information with respect to the purchases by the Company of Class A Nonvoting Common Stock during the three months ended October 31, 2023:</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6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1"/>
              </w:rPr>
              <w:t>Total Number of Shares</w:t>
            </w:r>
          </w:p>
        </w:tc>
        <w:tc>
          <w:tcPr>
            <w:tcW w:w="100" w:type="dxa"/>
            <w:vAlign w:val="bottom"/>
          </w:tcPr>
          <w:p>
            <w:pPr>
              <w:spacing w:after="0"/>
              <w:rPr>
                <w:sz w:val="16"/>
                <w:szCs w:val="16"/>
                <w:color w:val="auto"/>
              </w:rPr>
            </w:pPr>
          </w:p>
        </w:tc>
        <w:tc>
          <w:tcPr>
            <w:tcW w:w="1740" w:type="dxa"/>
            <w:vAlign w:val="bottom"/>
          </w:tcPr>
          <w:p>
            <w:pPr>
              <w:jc w:val="center"/>
              <w:ind w:right="19"/>
              <w:spacing w:after="0"/>
              <w:rPr>
                <w:sz w:val="20"/>
                <w:szCs w:val="20"/>
                <w:color w:val="auto"/>
              </w:rPr>
            </w:pPr>
            <w:r>
              <w:rPr>
                <w:rFonts w:ascii="Arial" w:cs="Arial" w:eastAsia="Arial" w:hAnsi="Arial"/>
                <w:sz w:val="16"/>
                <w:szCs w:val="16"/>
                <w:b w:val="1"/>
                <w:bCs w:val="1"/>
                <w:color w:val="auto"/>
                <w:w w:val="94"/>
              </w:rPr>
              <w:t>Approximate Dollar</w:t>
            </w:r>
          </w:p>
        </w:tc>
        <w:tc>
          <w:tcPr>
            <w:tcW w:w="0" w:type="dxa"/>
            <w:vAlign w:val="bottom"/>
          </w:tcPr>
          <w:p>
            <w:pPr>
              <w:spacing w:after="0"/>
              <w:rPr>
                <w:sz w:val="1"/>
                <w:szCs w:val="1"/>
                <w:color w:val="auto"/>
              </w:rPr>
            </w:pPr>
          </w:p>
        </w:tc>
      </w:tr>
      <w:tr>
        <w:trPr>
          <w:trHeight w:val="162"/>
        </w:trPr>
        <w:tc>
          <w:tcPr>
            <w:tcW w:w="3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84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1"/>
              </w:rPr>
              <w:t>Value of Shares that May</w:t>
            </w:r>
          </w:p>
        </w:tc>
        <w:tc>
          <w:tcPr>
            <w:tcW w:w="0" w:type="dxa"/>
            <w:vAlign w:val="bottom"/>
          </w:tcPr>
          <w:p>
            <w:pPr>
              <w:spacing w:after="0"/>
              <w:rPr>
                <w:sz w:val="1"/>
                <w:szCs w:val="1"/>
                <w:color w:val="auto"/>
              </w:rPr>
            </w:pPr>
          </w:p>
        </w:tc>
      </w:tr>
      <w:tr>
        <w:trPr>
          <w:trHeight w:val="162"/>
        </w:trPr>
        <w:tc>
          <w:tcPr>
            <w:tcW w:w="3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Total Number of Shares</w:t>
            </w:r>
          </w:p>
        </w:tc>
        <w:tc>
          <w:tcPr>
            <w:tcW w:w="100" w:type="dxa"/>
            <w:vAlign w:val="bottom"/>
          </w:tcPr>
          <w:p>
            <w:pPr>
              <w:spacing w:after="0"/>
              <w:rPr>
                <w:sz w:val="14"/>
                <w:szCs w:val="14"/>
                <w:color w:val="auto"/>
              </w:rPr>
            </w:pPr>
          </w:p>
        </w:tc>
        <w:tc>
          <w:tcPr>
            <w:tcW w:w="18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Average Price Paid per</w:t>
            </w:r>
          </w:p>
        </w:tc>
        <w:tc>
          <w:tcPr>
            <w:tcW w:w="196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89"/>
              </w:rPr>
              <w:t>Purchased as Part of</w:t>
            </w:r>
          </w:p>
        </w:tc>
        <w:tc>
          <w:tcPr>
            <w:tcW w:w="184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1"/>
              </w:rPr>
              <w:t>Yet Be Purchased Under</w:t>
            </w:r>
          </w:p>
        </w:tc>
        <w:tc>
          <w:tcPr>
            <w:tcW w:w="0" w:type="dxa"/>
            <w:vAlign w:val="bottom"/>
          </w:tcPr>
          <w:p>
            <w:pPr>
              <w:spacing w:after="0"/>
              <w:rPr>
                <w:sz w:val="1"/>
                <w:szCs w:val="1"/>
                <w:color w:val="auto"/>
              </w:rPr>
            </w:pPr>
          </w:p>
        </w:tc>
      </w:tr>
      <w:tr>
        <w:trPr>
          <w:trHeight w:val="162"/>
        </w:trPr>
        <w:tc>
          <w:tcPr>
            <w:tcW w:w="34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100" w:type="dxa"/>
            <w:vAlign w:val="bottom"/>
            <w:vMerge w:val="restart"/>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196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w w:val="90"/>
              </w:rPr>
              <w:t>Publicly Announced</w:t>
            </w:r>
          </w:p>
        </w:tc>
        <w:tc>
          <w:tcPr>
            <w:tcW w:w="100" w:type="dxa"/>
            <w:vAlign w:val="bottom"/>
          </w:tcPr>
          <w:p>
            <w:pPr>
              <w:spacing w:after="0"/>
              <w:rPr>
                <w:sz w:val="14"/>
                <w:szCs w:val="14"/>
                <w:color w:val="auto"/>
              </w:rPr>
            </w:pPr>
          </w:p>
        </w:tc>
        <w:tc>
          <w:tcPr>
            <w:tcW w:w="174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w w:val="93"/>
              </w:rPr>
              <w:t>the Plan</w:t>
            </w:r>
          </w:p>
        </w:tc>
        <w:tc>
          <w:tcPr>
            <w:tcW w:w="0" w:type="dxa"/>
            <w:vAlign w:val="bottom"/>
          </w:tcPr>
          <w:p>
            <w:pPr>
              <w:spacing w:after="0"/>
              <w:rPr>
                <w:sz w:val="1"/>
                <w:szCs w:val="1"/>
                <w:color w:val="auto"/>
              </w:rPr>
            </w:pPr>
          </w:p>
        </w:tc>
      </w:tr>
      <w:tr>
        <w:trPr>
          <w:trHeight w:val="213"/>
        </w:trPr>
        <w:tc>
          <w:tcPr>
            <w:tcW w:w="34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8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Purchased</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Share</w:t>
            </w:r>
          </w:p>
        </w:tc>
        <w:tc>
          <w:tcPr>
            <w:tcW w:w="80" w:type="dxa"/>
            <w:vAlign w:val="bottom"/>
            <w:tcBorders>
              <w:bottom w:val="single" w:sz="8" w:color="CCEEFF"/>
            </w:tcBorders>
          </w:tcPr>
          <w:p>
            <w:pPr>
              <w:spacing w:after="0"/>
              <w:rPr>
                <w:sz w:val="18"/>
                <w:szCs w:val="18"/>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Plans</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1"/>
              </w:rPr>
              <w:t>(Dollars in Thousands)</w:t>
            </w:r>
          </w:p>
        </w:tc>
        <w:tc>
          <w:tcPr>
            <w:tcW w:w="0" w:type="dxa"/>
            <w:vAlign w:val="bottom"/>
          </w:tcPr>
          <w:p>
            <w:pPr>
              <w:spacing w:after="0"/>
              <w:rPr>
                <w:sz w:val="1"/>
                <w:szCs w:val="1"/>
                <w:color w:val="auto"/>
              </w:rPr>
            </w:pPr>
          </w:p>
        </w:tc>
      </w:tr>
      <w:tr>
        <w:trPr>
          <w:trHeight w:val="212"/>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August 1, 2023 - August 31, 2023</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187,186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49.51</w:t>
            </w:r>
          </w:p>
        </w:tc>
        <w:tc>
          <w:tcPr>
            <w:tcW w:w="8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187,186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100,747</w:t>
            </w:r>
          </w:p>
        </w:tc>
        <w:tc>
          <w:tcPr>
            <w:tcW w:w="0" w:type="dxa"/>
            <w:vAlign w:val="bottom"/>
          </w:tcPr>
          <w:p>
            <w:pPr>
              <w:spacing w:after="0"/>
              <w:rPr>
                <w:sz w:val="1"/>
                <w:szCs w:val="1"/>
                <w:color w:val="auto"/>
              </w:rPr>
            </w:pPr>
          </w:p>
        </w:tc>
      </w:tr>
      <w:tr>
        <w:trPr>
          <w:trHeight w:val="213"/>
        </w:trPr>
        <w:tc>
          <w:tcPr>
            <w:tcW w:w="3580" w:type="dxa"/>
            <w:vAlign w:val="bottom"/>
            <w:gridSpan w:val="2"/>
          </w:tcPr>
          <w:p>
            <w:pPr>
              <w:ind w:left="20"/>
              <w:spacing w:after="0"/>
              <w:rPr>
                <w:sz w:val="20"/>
                <w:szCs w:val="20"/>
                <w:color w:val="auto"/>
              </w:rPr>
            </w:pPr>
            <w:r>
              <w:rPr>
                <w:rFonts w:ascii="Arial" w:cs="Arial" w:eastAsia="Arial" w:hAnsi="Arial"/>
                <w:sz w:val="16"/>
                <w:szCs w:val="16"/>
                <w:color w:val="auto"/>
              </w:rPr>
              <w:t>September 1, 2023 - September 30, 2023</w:t>
            </w:r>
          </w:p>
        </w:tc>
        <w:tc>
          <w:tcPr>
            <w:tcW w:w="1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100,747</w:t>
            </w:r>
          </w:p>
        </w:tc>
        <w:tc>
          <w:tcPr>
            <w:tcW w:w="0" w:type="dxa"/>
            <w:vAlign w:val="bottom"/>
          </w:tcPr>
          <w:p>
            <w:pPr>
              <w:spacing w:after="0"/>
              <w:rPr>
                <w:sz w:val="1"/>
                <w:szCs w:val="1"/>
                <w:color w:val="auto"/>
              </w:rPr>
            </w:pPr>
          </w:p>
        </w:tc>
      </w:tr>
      <w:tr>
        <w:trPr>
          <w:trHeight w:val="219"/>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October 1, 2023 - October 31, 2023</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92,497</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52.48</w:t>
            </w:r>
          </w:p>
        </w:tc>
        <w:tc>
          <w:tcPr>
            <w:tcW w:w="80" w:type="dxa"/>
            <w:vAlign w:val="bottom"/>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92,497</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95,893</w:t>
            </w:r>
          </w:p>
        </w:tc>
        <w:tc>
          <w:tcPr>
            <w:tcW w:w="0" w:type="dxa"/>
            <w:vAlign w:val="bottom"/>
          </w:tcPr>
          <w:p>
            <w:pPr>
              <w:spacing w:after="0"/>
              <w:rPr>
                <w:sz w:val="1"/>
                <w:szCs w:val="1"/>
                <w:color w:val="auto"/>
              </w:rPr>
            </w:pPr>
          </w:p>
        </w:tc>
      </w:tr>
      <w:tr>
        <w:trPr>
          <w:trHeight w:val="206"/>
        </w:trPr>
        <w:tc>
          <w:tcPr>
            <w:tcW w:w="358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279,683</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50.49</w:t>
            </w:r>
          </w:p>
        </w:tc>
        <w:tc>
          <w:tcPr>
            <w:tcW w:w="80" w:type="dxa"/>
            <w:vAlign w:val="bottom"/>
          </w:tcPr>
          <w:p>
            <w:pPr>
              <w:spacing w:after="0"/>
              <w:rPr>
                <w:sz w:val="17"/>
                <w:szCs w:val="17"/>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279,683</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95,893</w:t>
            </w:r>
          </w:p>
        </w:tc>
        <w:tc>
          <w:tcPr>
            <w:tcW w:w="0" w:type="dxa"/>
            <w:vAlign w:val="bottom"/>
          </w:tcPr>
          <w:p>
            <w:pPr>
              <w:spacing w:after="0"/>
              <w:rPr>
                <w:sz w:val="1"/>
                <w:szCs w:val="1"/>
                <w:color w:val="auto"/>
              </w:rPr>
            </w:pPr>
          </w:p>
        </w:tc>
      </w:tr>
      <w:tr>
        <w:trPr>
          <w:trHeight w:val="24"/>
        </w:trPr>
        <w:tc>
          <w:tcPr>
            <w:tcW w:w="3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ITEM 5. OTHER INFORMATION</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three months ended October 31, 2023, no director or Section 16 officer of the Company adopted or terminated a “Rule 10b5-1 trading arrangement” or “non-Rule 10b5-1 trading arrangement,” as each term is identified in Item 408(a) of Regulation S-K.</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60" w:type="dxa"/>
            <w:vAlign w:val="bottom"/>
            <w:gridSpan w:val="2"/>
          </w:tcPr>
          <w:p>
            <w:pPr>
              <w:spacing w:after="0"/>
              <w:rPr>
                <w:sz w:val="20"/>
                <w:szCs w:val="20"/>
                <w:color w:val="auto"/>
              </w:rPr>
            </w:pPr>
            <w:r>
              <w:rPr>
                <w:rFonts w:ascii="Arial" w:cs="Arial" w:eastAsia="Arial" w:hAnsi="Arial"/>
                <w:sz w:val="18"/>
                <w:szCs w:val="18"/>
                <w:color w:val="auto"/>
              </w:rPr>
              <w:t>ITEM 6. EXHIBITS</w:t>
            </w:r>
          </w:p>
        </w:tc>
        <w:tc>
          <w:tcPr>
            <w:tcW w:w="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418"/>
        </w:trPr>
        <w:tc>
          <w:tcPr>
            <w:tcW w:w="256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 No.</w:t>
            </w:r>
          </w:p>
        </w:tc>
        <w:tc>
          <w:tcPr>
            <w:tcW w:w="20" w:type="dxa"/>
            <w:vAlign w:val="bottom"/>
          </w:tcPr>
          <w:p>
            <w:pPr>
              <w:spacing w:after="0"/>
              <w:rPr>
                <w:sz w:val="24"/>
                <w:szCs w:val="24"/>
                <w:color w:val="auto"/>
              </w:rPr>
            </w:pPr>
          </w:p>
        </w:tc>
        <w:tc>
          <w:tcPr>
            <w:tcW w:w="8620" w:type="dxa"/>
            <w:vAlign w:val="bottom"/>
            <w:gridSpan w:val="5"/>
          </w:tcPr>
          <w:p>
            <w:pPr>
              <w:ind w:left="320"/>
              <w:spacing w:after="0"/>
              <w:rPr>
                <w:sz w:val="20"/>
                <w:szCs w:val="20"/>
                <w:color w:val="auto"/>
              </w:rPr>
            </w:pPr>
            <w:r>
              <w:rPr>
                <w:rFonts w:ascii="Arial" w:cs="Arial" w:eastAsia="Arial" w:hAnsi="Arial"/>
                <w:sz w:val="18"/>
                <w:szCs w:val="18"/>
                <w:b w:val="1"/>
                <w:bCs w:val="1"/>
                <w:color w:val="auto"/>
              </w:rPr>
              <w:t>Exhibit Description</w:t>
            </w:r>
          </w:p>
        </w:tc>
      </w:tr>
      <w:tr>
        <w:trPr>
          <w:trHeight w:val="439"/>
        </w:trPr>
        <w:tc>
          <w:tcPr>
            <w:tcW w:w="23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62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0000FF"/>
              </w:rPr>
              <w:t>Rule 13a-14(a)/15d-14(a) Certification of Russell R. Shaller</w:t>
            </w:r>
          </w:p>
        </w:tc>
      </w:tr>
      <w:tr>
        <w:trPr>
          <w:trHeight w:val="479"/>
        </w:trPr>
        <w:tc>
          <w:tcPr>
            <w:tcW w:w="2320" w:type="dxa"/>
            <w:vAlign w:val="bottom"/>
          </w:tcPr>
          <w:p>
            <w:pPr>
              <w:ind w:left="20"/>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6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92"/>
              </w:rPr>
              <w:t>Rule 13a-14(a)/15d-14(a) Certification of Ann E. Thornton</w:t>
            </w:r>
          </w:p>
        </w:tc>
        <w:tc>
          <w:tcPr>
            <w:tcW w:w="60" w:type="dxa"/>
            <w:vAlign w:val="bottom"/>
            <w:tcBorders>
              <w:top w:val="single" w:sz="8" w:color="0000FF"/>
            </w:tcBorders>
          </w:tcPr>
          <w:p>
            <w:pPr>
              <w:spacing w:after="0"/>
              <w:rPr>
                <w:sz w:val="24"/>
                <w:szCs w:val="24"/>
                <w:color w:val="auto"/>
              </w:rPr>
            </w:pPr>
          </w:p>
        </w:tc>
        <w:tc>
          <w:tcPr>
            <w:tcW w:w="4300" w:type="dxa"/>
            <w:vAlign w:val="bottom"/>
          </w:tcPr>
          <w:p>
            <w:pPr>
              <w:spacing w:after="0"/>
              <w:rPr>
                <w:sz w:val="24"/>
                <w:szCs w:val="24"/>
                <w:color w:val="auto"/>
              </w:rPr>
            </w:pPr>
          </w:p>
        </w:tc>
      </w:tr>
      <w:tr>
        <w:trPr>
          <w:trHeight w:val="480"/>
        </w:trPr>
        <w:tc>
          <w:tcPr>
            <w:tcW w:w="2320" w:type="dxa"/>
            <w:vAlign w:val="bottom"/>
          </w:tcPr>
          <w:p>
            <w:pPr>
              <w:ind w:left="20"/>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1"/>
              </w:rPr>
              <w:t>Section 1350 Certification of Russell R. Shaller</w:t>
            </w:r>
          </w:p>
        </w:tc>
        <w:tc>
          <w:tcPr>
            <w:tcW w:w="5180" w:type="dxa"/>
            <w:vAlign w:val="bottom"/>
            <w:gridSpan w:val="3"/>
          </w:tcPr>
          <w:p>
            <w:pPr>
              <w:spacing w:after="0"/>
              <w:rPr>
                <w:sz w:val="24"/>
                <w:szCs w:val="24"/>
                <w:color w:val="auto"/>
              </w:rPr>
            </w:pPr>
          </w:p>
        </w:tc>
      </w:tr>
      <w:tr>
        <w:trPr>
          <w:trHeight w:val="480"/>
        </w:trPr>
        <w:tc>
          <w:tcPr>
            <w:tcW w:w="2320" w:type="dxa"/>
            <w:vAlign w:val="bottom"/>
          </w:tcPr>
          <w:p>
            <w:pPr>
              <w:ind w:left="20"/>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20" w:type="dxa"/>
            <w:vAlign w:val="bottom"/>
            <w:gridSpan w:val="5"/>
          </w:tcPr>
          <w:p>
            <w:pPr>
              <w:spacing w:after="0"/>
              <w:rPr>
                <w:sz w:val="20"/>
                <w:szCs w:val="20"/>
                <w:color w:val="auto"/>
              </w:rPr>
            </w:pPr>
            <w:r>
              <w:rPr>
                <w:rFonts w:ascii="Arial" w:cs="Arial" w:eastAsia="Arial" w:hAnsi="Arial"/>
                <w:sz w:val="18"/>
                <w:szCs w:val="18"/>
                <w:color w:val="0000FF"/>
              </w:rPr>
              <w:t>Section 1350 Certification of Ann E. Thornton</w:t>
            </w:r>
          </w:p>
        </w:tc>
      </w:tr>
      <w:tr>
        <w:trPr>
          <w:trHeight w:val="20"/>
        </w:trPr>
        <w:tc>
          <w:tcPr>
            <w:tcW w:w="2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60" w:type="dxa"/>
            <w:vAlign w:val="bottom"/>
            <w:shd w:val="clear" w:color="auto" w:fill="0000FF"/>
          </w:tcPr>
          <w:p>
            <w:pPr>
              <w:spacing w:after="0" w:line="20" w:lineRule="exact"/>
              <w:rPr>
                <w:sz w:val="1"/>
                <w:szCs w:val="1"/>
                <w:color w:val="auto"/>
              </w:rPr>
            </w:pPr>
          </w:p>
        </w:tc>
        <w:tc>
          <w:tcPr>
            <w:tcW w:w="5260" w:type="dxa"/>
            <w:vAlign w:val="bottom"/>
            <w:gridSpan w:val="4"/>
          </w:tcPr>
          <w:p>
            <w:pPr>
              <w:spacing w:after="0" w:line="20" w:lineRule="exact"/>
              <w:rPr>
                <w:sz w:val="1"/>
                <w:szCs w:val="1"/>
                <w:color w:val="auto"/>
              </w:rPr>
            </w:pPr>
          </w:p>
        </w:tc>
      </w:tr>
      <w:tr>
        <w:trPr>
          <w:trHeight w:val="466"/>
        </w:trPr>
        <w:tc>
          <w:tcPr>
            <w:tcW w:w="256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8620" w:type="dxa"/>
            <w:vAlign w:val="bottom"/>
            <w:gridSpan w:val="5"/>
          </w:tcPr>
          <w:p>
            <w:pPr>
              <w:spacing w:after="0"/>
              <w:rPr>
                <w:sz w:val="20"/>
                <w:szCs w:val="20"/>
                <w:color w:val="auto"/>
              </w:rPr>
            </w:pPr>
            <w:r>
              <w:rPr>
                <w:rFonts w:ascii="Arial" w:cs="Arial" w:eastAsia="Arial" w:hAnsi="Arial"/>
                <w:sz w:val="18"/>
                <w:szCs w:val="18"/>
                <w:color w:val="auto"/>
                <w:w w:val="92"/>
              </w:rPr>
              <w:t>XBRL Instance Document (The instance document does not appear in the interactive data file because its XBRL tags</w:t>
            </w:r>
          </w:p>
        </w:tc>
      </w:tr>
      <w:tr>
        <w:trPr>
          <w:trHeight w:val="230"/>
        </w:trPr>
        <w:tc>
          <w:tcPr>
            <w:tcW w:w="2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20" w:type="dxa"/>
            <w:vAlign w:val="bottom"/>
            <w:gridSpan w:val="5"/>
          </w:tcPr>
          <w:p>
            <w:pPr>
              <w:spacing w:after="0"/>
              <w:rPr>
                <w:sz w:val="20"/>
                <w:szCs w:val="20"/>
                <w:color w:val="auto"/>
              </w:rPr>
            </w:pPr>
            <w:r>
              <w:rPr>
                <w:rFonts w:ascii="Arial" w:cs="Arial" w:eastAsia="Arial" w:hAnsi="Arial"/>
                <w:sz w:val="18"/>
                <w:szCs w:val="18"/>
                <w:color w:val="auto"/>
              </w:rPr>
              <w:t>are embedded within the inline XBRL document.)</w:t>
            </w:r>
          </w:p>
        </w:tc>
      </w:tr>
      <w:tr>
        <w:trPr>
          <w:trHeight w:val="512"/>
        </w:trPr>
        <w:tc>
          <w:tcPr>
            <w:tcW w:w="256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8620" w:type="dxa"/>
            <w:vAlign w:val="bottom"/>
            <w:gridSpan w:val="5"/>
          </w:tcPr>
          <w:p>
            <w:pPr>
              <w:spacing w:after="0"/>
              <w:rPr>
                <w:sz w:val="20"/>
                <w:szCs w:val="20"/>
                <w:color w:val="auto"/>
              </w:rPr>
            </w:pPr>
            <w:r>
              <w:rPr>
                <w:rFonts w:ascii="Arial" w:cs="Arial" w:eastAsia="Arial" w:hAnsi="Arial"/>
                <w:sz w:val="18"/>
                <w:szCs w:val="18"/>
                <w:color w:val="auto"/>
              </w:rPr>
              <w:t>XBRL Taxonomy Schema Document</w:t>
            </w:r>
          </w:p>
        </w:tc>
      </w:tr>
      <w:tr>
        <w:trPr>
          <w:trHeight w:val="499"/>
        </w:trPr>
        <w:tc>
          <w:tcPr>
            <w:tcW w:w="256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8620" w:type="dxa"/>
            <w:vAlign w:val="bottom"/>
            <w:gridSpan w:val="5"/>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500"/>
        </w:trPr>
        <w:tc>
          <w:tcPr>
            <w:tcW w:w="256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8620" w:type="dxa"/>
            <w:vAlign w:val="bottom"/>
            <w:gridSpan w:val="5"/>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499"/>
        </w:trPr>
        <w:tc>
          <w:tcPr>
            <w:tcW w:w="256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8620" w:type="dxa"/>
            <w:vAlign w:val="bottom"/>
            <w:gridSpan w:val="5"/>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500"/>
        </w:trPr>
        <w:tc>
          <w:tcPr>
            <w:tcW w:w="256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8620" w:type="dxa"/>
            <w:vAlign w:val="bottom"/>
            <w:gridSpan w:val="5"/>
          </w:tcPr>
          <w:p>
            <w:pPr>
              <w:spacing w:after="0"/>
              <w:rPr>
                <w:sz w:val="20"/>
                <w:szCs w:val="20"/>
                <w:color w:val="auto"/>
              </w:rPr>
            </w:pPr>
            <w:r>
              <w:rPr>
                <w:rFonts w:ascii="Arial" w:cs="Arial" w:eastAsia="Arial" w:hAnsi="Arial"/>
                <w:sz w:val="18"/>
                <w:szCs w:val="18"/>
                <w:color w:val="auto"/>
              </w:rPr>
              <w:t>XBRL Taxonomy Presentation Label Linkbase Document</w:t>
            </w:r>
          </w:p>
        </w:tc>
      </w:tr>
      <w:tr>
        <w:trPr>
          <w:trHeight w:val="500"/>
        </w:trPr>
        <w:tc>
          <w:tcPr>
            <w:tcW w:w="2320" w:type="dxa"/>
            <w:vAlign w:val="bottom"/>
          </w:tcPr>
          <w:p>
            <w:pPr>
              <w:ind w:left="20"/>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20" w:type="dxa"/>
            <w:vAlign w:val="bottom"/>
            <w:gridSpan w:val="5"/>
          </w:tcPr>
          <w:p>
            <w:pPr>
              <w:spacing w:after="0"/>
              <w:rPr>
                <w:sz w:val="20"/>
                <w:szCs w:val="20"/>
                <w:color w:val="auto"/>
              </w:rPr>
            </w:pPr>
            <w:r>
              <w:rPr>
                <w:rFonts w:ascii="Arial" w:cs="Arial" w:eastAsia="Arial" w:hAnsi="Arial"/>
                <w:sz w:val="18"/>
                <w:szCs w:val="18"/>
                <w:color w:val="auto"/>
              </w:rPr>
              <w:t>Cover Page Inline XBRL data (contained in Exhibit 101)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SIGNATURES</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7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160" w:type="dxa"/>
            <w:vAlign w:val="bottom"/>
          </w:tcPr>
          <w:p>
            <w:pPr>
              <w:spacing w:after="0"/>
              <w:rPr>
                <w:sz w:val="20"/>
                <w:szCs w:val="20"/>
                <w:color w:val="auto"/>
              </w:rPr>
            </w:pPr>
          </w:p>
        </w:tc>
        <w:tc>
          <w:tcPr>
            <w:tcW w:w="4060" w:type="dxa"/>
            <w:vAlign w:val="bottom"/>
          </w:tcPr>
          <w:p>
            <w:pPr>
              <w:ind w:left="300"/>
              <w:spacing w:after="0"/>
              <w:rPr>
                <w:sz w:val="20"/>
                <w:szCs w:val="20"/>
                <w:color w:val="auto"/>
              </w:rPr>
            </w:pPr>
            <w:r>
              <w:rPr>
                <w:rFonts w:ascii="Arial" w:cs="Arial" w:eastAsia="Arial" w:hAnsi="Arial"/>
                <w:sz w:val="18"/>
                <w:szCs w:val="18"/>
                <w:color w:val="auto"/>
              </w:rPr>
              <w:t>BRADY CORPORATION</w:t>
            </w:r>
          </w:p>
        </w:tc>
      </w:tr>
      <w:tr>
        <w:trPr>
          <w:trHeight w:val="499"/>
        </w:trPr>
        <w:tc>
          <w:tcPr>
            <w:tcW w:w="7160" w:type="dxa"/>
            <w:vAlign w:val="bottom"/>
          </w:tcPr>
          <w:p>
            <w:pPr>
              <w:spacing w:after="0"/>
              <w:rPr>
                <w:sz w:val="20"/>
                <w:szCs w:val="20"/>
                <w:color w:val="auto"/>
              </w:rPr>
            </w:pPr>
            <w:r>
              <w:rPr>
                <w:rFonts w:ascii="Arial" w:cs="Arial" w:eastAsia="Arial" w:hAnsi="Arial"/>
                <w:sz w:val="18"/>
                <w:szCs w:val="18"/>
                <w:color w:val="auto"/>
              </w:rPr>
              <w:t>Date: November 16, 2023</w:t>
            </w:r>
          </w:p>
        </w:tc>
        <w:tc>
          <w:tcPr>
            <w:tcW w:w="40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/s/ RUSSELL R. SHALLER</w:t>
            </w:r>
          </w:p>
        </w:tc>
      </w:tr>
      <w:tr>
        <w:trPr>
          <w:trHeight w:val="222"/>
        </w:trPr>
        <w:tc>
          <w:tcPr>
            <w:tcW w:w="7160" w:type="dxa"/>
            <w:vAlign w:val="bottom"/>
          </w:tcPr>
          <w:p>
            <w:pPr>
              <w:spacing w:after="0"/>
              <w:rPr>
                <w:sz w:val="19"/>
                <w:szCs w:val="19"/>
                <w:color w:val="auto"/>
              </w:rPr>
            </w:pPr>
          </w:p>
        </w:tc>
        <w:tc>
          <w:tcPr>
            <w:tcW w:w="4060" w:type="dxa"/>
            <w:vAlign w:val="bottom"/>
          </w:tcPr>
          <w:p>
            <w:pPr>
              <w:ind w:left="300"/>
              <w:spacing w:after="0"/>
              <w:rPr>
                <w:sz w:val="20"/>
                <w:szCs w:val="20"/>
                <w:color w:val="auto"/>
              </w:rPr>
            </w:pPr>
            <w:r>
              <w:rPr>
                <w:rFonts w:ascii="Arial" w:cs="Arial" w:eastAsia="Arial" w:hAnsi="Arial"/>
                <w:sz w:val="18"/>
                <w:szCs w:val="18"/>
                <w:color w:val="auto"/>
              </w:rPr>
              <w:t>Russell R. Shaller</w:t>
            </w:r>
          </w:p>
        </w:tc>
      </w:tr>
      <w:tr>
        <w:trPr>
          <w:trHeight w:val="229"/>
        </w:trPr>
        <w:tc>
          <w:tcPr>
            <w:tcW w:w="7160" w:type="dxa"/>
            <w:vAlign w:val="bottom"/>
          </w:tcPr>
          <w:p>
            <w:pPr>
              <w:spacing w:after="0"/>
              <w:rPr>
                <w:sz w:val="19"/>
                <w:szCs w:val="19"/>
                <w:color w:val="auto"/>
              </w:rPr>
            </w:pPr>
          </w:p>
        </w:tc>
        <w:tc>
          <w:tcPr>
            <w:tcW w:w="4060" w:type="dxa"/>
            <w:vAlign w:val="bottom"/>
          </w:tcPr>
          <w:p>
            <w:pPr>
              <w:ind w:left="30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7160" w:type="dxa"/>
            <w:vAlign w:val="bottom"/>
          </w:tcPr>
          <w:p>
            <w:pPr>
              <w:spacing w:after="0"/>
              <w:rPr>
                <w:sz w:val="20"/>
                <w:szCs w:val="20"/>
                <w:color w:val="auto"/>
              </w:rPr>
            </w:pPr>
          </w:p>
        </w:tc>
        <w:tc>
          <w:tcPr>
            <w:tcW w:w="4060" w:type="dxa"/>
            <w:vAlign w:val="bottom"/>
          </w:tcPr>
          <w:p>
            <w:pPr>
              <w:ind w:left="300"/>
              <w:spacing w:after="0"/>
              <w:rPr>
                <w:sz w:val="20"/>
                <w:szCs w:val="20"/>
                <w:color w:val="auto"/>
              </w:rPr>
            </w:pPr>
            <w:r>
              <w:rPr>
                <w:rFonts w:ascii="Arial" w:cs="Arial" w:eastAsia="Arial" w:hAnsi="Arial"/>
                <w:sz w:val="18"/>
                <w:szCs w:val="18"/>
                <w:color w:val="auto"/>
              </w:rPr>
              <w:t>(Principal Executive Officer)</w:t>
            </w:r>
          </w:p>
        </w:tc>
      </w:tr>
      <w:tr>
        <w:trPr>
          <w:trHeight w:val="742"/>
        </w:trPr>
        <w:tc>
          <w:tcPr>
            <w:tcW w:w="7160" w:type="dxa"/>
            <w:vAlign w:val="bottom"/>
          </w:tcPr>
          <w:p>
            <w:pPr>
              <w:spacing w:after="0"/>
              <w:rPr>
                <w:sz w:val="20"/>
                <w:szCs w:val="20"/>
                <w:color w:val="auto"/>
              </w:rPr>
            </w:pPr>
            <w:r>
              <w:rPr>
                <w:rFonts w:ascii="Arial" w:cs="Arial" w:eastAsia="Arial" w:hAnsi="Arial"/>
                <w:sz w:val="18"/>
                <w:szCs w:val="18"/>
                <w:color w:val="auto"/>
              </w:rPr>
              <w:t>Date: November 16, 2023</w:t>
            </w:r>
          </w:p>
        </w:tc>
        <w:tc>
          <w:tcPr>
            <w:tcW w:w="40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/s/ ANN E. THORNTON</w:t>
            </w:r>
          </w:p>
        </w:tc>
      </w:tr>
      <w:tr>
        <w:trPr>
          <w:trHeight w:val="222"/>
        </w:trPr>
        <w:tc>
          <w:tcPr>
            <w:tcW w:w="7160" w:type="dxa"/>
            <w:vAlign w:val="bottom"/>
          </w:tcPr>
          <w:p>
            <w:pPr>
              <w:spacing w:after="0"/>
              <w:rPr>
                <w:sz w:val="19"/>
                <w:szCs w:val="19"/>
                <w:color w:val="auto"/>
              </w:rPr>
            </w:pPr>
          </w:p>
        </w:tc>
        <w:tc>
          <w:tcPr>
            <w:tcW w:w="4060" w:type="dxa"/>
            <w:vAlign w:val="bottom"/>
          </w:tcPr>
          <w:p>
            <w:pPr>
              <w:ind w:left="300"/>
              <w:spacing w:after="0"/>
              <w:rPr>
                <w:sz w:val="20"/>
                <w:szCs w:val="20"/>
                <w:color w:val="auto"/>
              </w:rPr>
            </w:pPr>
            <w:r>
              <w:rPr>
                <w:rFonts w:ascii="Arial" w:cs="Arial" w:eastAsia="Arial" w:hAnsi="Arial"/>
                <w:sz w:val="18"/>
                <w:szCs w:val="18"/>
                <w:color w:val="auto"/>
              </w:rPr>
              <w:t>Ann E. Thornton</w:t>
            </w:r>
          </w:p>
        </w:tc>
      </w:tr>
      <w:tr>
        <w:trPr>
          <w:trHeight w:val="189"/>
        </w:trPr>
        <w:tc>
          <w:tcPr>
            <w:tcW w:w="7160" w:type="dxa"/>
            <w:vAlign w:val="bottom"/>
          </w:tcPr>
          <w:p>
            <w:pPr>
              <w:spacing w:after="0"/>
              <w:rPr>
                <w:sz w:val="16"/>
                <w:szCs w:val="16"/>
                <w:color w:val="auto"/>
              </w:rPr>
            </w:pPr>
          </w:p>
        </w:tc>
        <w:tc>
          <w:tcPr>
            <w:tcW w:w="4060" w:type="dxa"/>
            <w:vAlign w:val="bottom"/>
          </w:tcPr>
          <w:p>
            <w:pPr>
              <w:ind w:left="300"/>
              <w:spacing w:after="0" w:line="189" w:lineRule="exact"/>
              <w:rPr>
                <w:sz w:val="20"/>
                <w:szCs w:val="20"/>
                <w:color w:val="auto"/>
              </w:rPr>
            </w:pPr>
            <w:r>
              <w:rPr>
                <w:rFonts w:ascii="Arial" w:cs="Arial" w:eastAsia="Arial" w:hAnsi="Arial"/>
                <w:sz w:val="18"/>
                <w:szCs w:val="18"/>
                <w:color w:val="auto"/>
                <w:w w:val="98"/>
              </w:rPr>
              <w:t>Chief Financial Officer, Chief Accounting Officer</w:t>
            </w:r>
          </w:p>
        </w:tc>
      </w:tr>
      <w:tr>
        <w:trPr>
          <w:trHeight w:val="229"/>
        </w:trPr>
        <w:tc>
          <w:tcPr>
            <w:tcW w:w="7160" w:type="dxa"/>
            <w:vAlign w:val="bottom"/>
          </w:tcPr>
          <w:p>
            <w:pPr>
              <w:spacing w:after="0"/>
              <w:rPr>
                <w:sz w:val="19"/>
                <w:szCs w:val="19"/>
                <w:color w:val="auto"/>
              </w:rPr>
            </w:pPr>
          </w:p>
        </w:tc>
        <w:tc>
          <w:tcPr>
            <w:tcW w:w="4060" w:type="dxa"/>
            <w:vAlign w:val="bottom"/>
          </w:tcPr>
          <w:p>
            <w:pPr>
              <w:ind w:left="300"/>
              <w:spacing w:after="0"/>
              <w:rPr>
                <w:sz w:val="20"/>
                <w:szCs w:val="20"/>
                <w:color w:val="auto"/>
              </w:rPr>
            </w:pPr>
            <w:r>
              <w:rPr>
                <w:rFonts w:ascii="Arial" w:cs="Arial" w:eastAsia="Arial" w:hAnsi="Arial"/>
                <w:sz w:val="18"/>
                <w:szCs w:val="18"/>
                <w:color w:val="auto"/>
              </w:rPr>
              <w:t>and Treasurer</w:t>
            </w:r>
          </w:p>
        </w:tc>
      </w:tr>
      <w:tr>
        <w:trPr>
          <w:trHeight w:val="189"/>
        </w:trPr>
        <w:tc>
          <w:tcPr>
            <w:tcW w:w="7160" w:type="dxa"/>
            <w:vAlign w:val="bottom"/>
          </w:tcPr>
          <w:p>
            <w:pPr>
              <w:spacing w:after="0"/>
              <w:rPr>
                <w:sz w:val="16"/>
                <w:szCs w:val="16"/>
                <w:color w:val="auto"/>
              </w:rPr>
            </w:pPr>
          </w:p>
        </w:tc>
        <w:tc>
          <w:tcPr>
            <w:tcW w:w="4060" w:type="dxa"/>
            <w:vAlign w:val="bottom"/>
          </w:tcPr>
          <w:p>
            <w:pPr>
              <w:ind w:left="300"/>
              <w:spacing w:after="0" w:line="189" w:lineRule="exact"/>
              <w:rPr>
                <w:sz w:val="20"/>
                <w:szCs w:val="20"/>
                <w:color w:val="auto"/>
              </w:rPr>
            </w:pPr>
            <w:r>
              <w:rPr>
                <w:rFonts w:ascii="Arial" w:cs="Arial" w:eastAsia="Arial" w:hAnsi="Arial"/>
                <w:sz w:val="18"/>
                <w:szCs w:val="18"/>
                <w:color w:val="auto"/>
              </w:rPr>
              <w:t>(Principal Financial Officer and Principal</w:t>
            </w:r>
          </w:p>
        </w:tc>
      </w:tr>
      <w:tr>
        <w:trPr>
          <w:trHeight w:val="230"/>
        </w:trPr>
        <w:tc>
          <w:tcPr>
            <w:tcW w:w="7160" w:type="dxa"/>
            <w:vAlign w:val="bottom"/>
          </w:tcPr>
          <w:p>
            <w:pPr>
              <w:spacing w:after="0"/>
              <w:rPr>
                <w:sz w:val="20"/>
                <w:szCs w:val="20"/>
                <w:color w:val="auto"/>
              </w:rPr>
            </w:pPr>
          </w:p>
        </w:tc>
        <w:tc>
          <w:tcPr>
            <w:tcW w:w="4060" w:type="dxa"/>
            <w:vAlign w:val="bottom"/>
          </w:tcPr>
          <w:p>
            <w:pPr>
              <w:ind w:left="300"/>
              <w:spacing w:after="0"/>
              <w:rPr>
                <w:sz w:val="20"/>
                <w:szCs w:val="20"/>
                <w:color w:val="auto"/>
              </w:rPr>
            </w:pPr>
            <w:r>
              <w:rPr>
                <w:rFonts w:ascii="Arial" w:cs="Arial" w:eastAsia="Arial" w:hAnsi="Arial"/>
                <w:sz w:val="18"/>
                <w:szCs w:val="18"/>
                <w:color w:val="auto"/>
              </w:rPr>
              <w:t>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21"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Russell R. Shaller, certify that:</w:t>
      </w:r>
    </w:p>
    <w:p>
      <w:pPr>
        <w:spacing w:after="0" w:line="104" w:lineRule="exact"/>
        <w:rPr>
          <w:sz w:val="20"/>
          <w:szCs w:val="20"/>
          <w:color w:val="auto"/>
        </w:rPr>
      </w:pPr>
    </w:p>
    <w:p>
      <w:pPr>
        <w:ind w:left="700" w:hanging="247"/>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Brady Corporation;</w:t>
      </w:r>
    </w:p>
    <w:p>
      <w:pPr>
        <w:spacing w:after="0" w:line="171" w:lineRule="exact"/>
        <w:rPr>
          <w:rFonts w:ascii="Arial" w:cs="Arial" w:eastAsia="Arial" w:hAnsi="Arial"/>
          <w:sz w:val="18"/>
          <w:szCs w:val="18"/>
          <w:color w:val="auto"/>
        </w:rPr>
      </w:pPr>
    </w:p>
    <w:p>
      <w:pPr>
        <w:ind w:firstLine="453"/>
        <w:spacing w:after="0" w:line="342" w:lineRule="auto"/>
        <w:tabs>
          <w:tab w:leader="none" w:pos="705"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453"/>
        <w:spacing w:after="0" w:line="277" w:lineRule="auto"/>
        <w:tabs>
          <w:tab w:leader="none" w:pos="702"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firstLine="453"/>
        <w:spacing w:after="0" w:line="308" w:lineRule="auto"/>
        <w:tabs>
          <w:tab w:leader="none" w:pos="702" w:val="left"/>
        </w:tabs>
        <w:numPr>
          <w:ilvl w:val="0"/>
          <w:numId w:val="6"/>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 w:lineRule="exact"/>
        <w:rPr>
          <w:sz w:val="20"/>
          <w:szCs w:val="20"/>
          <w:color w:val="auto"/>
        </w:rPr>
      </w:pPr>
    </w:p>
    <w:p>
      <w:pPr>
        <w:jc w:val="both"/>
        <w:ind w:firstLine="453"/>
        <w:spacing w:after="0" w:line="263" w:lineRule="auto"/>
        <w:tabs>
          <w:tab w:leader="none" w:pos="65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firstLine="453"/>
        <w:spacing w:after="0" w:line="263" w:lineRule="auto"/>
        <w:tabs>
          <w:tab w:leader="none" w:pos="679" w:val="left"/>
        </w:tabs>
        <w:numPr>
          <w:ilvl w:val="0"/>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right="20" w:firstLine="453"/>
        <w:spacing w:after="0" w:line="277" w:lineRule="auto"/>
        <w:tabs>
          <w:tab w:leader="none" w:pos="677" w:val="left"/>
        </w:tabs>
        <w:numPr>
          <w:ilvl w:val="0"/>
          <w:numId w:val="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firstLine="453"/>
        <w:spacing w:after="0" w:line="263" w:lineRule="auto"/>
        <w:tabs>
          <w:tab w:leader="none" w:pos="658"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sz w:val="20"/>
          <w:szCs w:val="20"/>
          <w:color w:val="auto"/>
        </w:rPr>
      </w:pPr>
    </w:p>
    <w:p>
      <w:pPr>
        <w:ind w:firstLine="453"/>
        <w:spacing w:after="0" w:line="277" w:lineRule="auto"/>
        <w:tabs>
          <w:tab w:leader="none" w:pos="73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49" w:lineRule="exact"/>
        <w:rPr>
          <w:sz w:val="20"/>
          <w:szCs w:val="20"/>
          <w:color w:val="auto"/>
        </w:rPr>
      </w:pPr>
    </w:p>
    <w:p>
      <w:pPr>
        <w:ind w:right="20" w:firstLine="453"/>
        <w:spacing w:after="0" w:line="277" w:lineRule="auto"/>
        <w:tabs>
          <w:tab w:leader="none" w:pos="644"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firstLine="453"/>
        <w:spacing w:after="0" w:line="277" w:lineRule="auto"/>
        <w:tabs>
          <w:tab w:leader="none" w:pos="651"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16, 2023</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RUSSELL R. SHALLER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&amp;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Ann E. Thornton, certify that:</w:t>
      </w:r>
    </w:p>
    <w:p>
      <w:pPr>
        <w:spacing w:after="0" w:line="104" w:lineRule="exact"/>
        <w:rPr>
          <w:sz w:val="20"/>
          <w:szCs w:val="20"/>
          <w:color w:val="auto"/>
        </w:rPr>
      </w:pPr>
    </w:p>
    <w:p>
      <w:pPr>
        <w:ind w:left="700" w:hanging="247"/>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Brady Corporation;</w:t>
      </w:r>
    </w:p>
    <w:p>
      <w:pPr>
        <w:spacing w:after="0" w:line="171" w:lineRule="exact"/>
        <w:rPr>
          <w:rFonts w:ascii="Arial" w:cs="Arial" w:eastAsia="Arial" w:hAnsi="Arial"/>
          <w:sz w:val="18"/>
          <w:szCs w:val="18"/>
          <w:color w:val="auto"/>
        </w:rPr>
      </w:pPr>
    </w:p>
    <w:p>
      <w:pPr>
        <w:ind w:firstLine="453"/>
        <w:spacing w:after="0" w:line="342" w:lineRule="auto"/>
        <w:tabs>
          <w:tab w:leader="none" w:pos="705"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453"/>
        <w:spacing w:after="0" w:line="277" w:lineRule="auto"/>
        <w:tabs>
          <w:tab w:leader="none" w:pos="702"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firstLine="453"/>
        <w:spacing w:after="0" w:line="308" w:lineRule="auto"/>
        <w:tabs>
          <w:tab w:leader="none" w:pos="702" w:val="left"/>
        </w:tabs>
        <w:numPr>
          <w:ilvl w:val="0"/>
          <w:numId w:val="10"/>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 w:lineRule="exact"/>
        <w:rPr>
          <w:sz w:val="20"/>
          <w:szCs w:val="20"/>
          <w:color w:val="auto"/>
        </w:rPr>
      </w:pPr>
    </w:p>
    <w:p>
      <w:pPr>
        <w:jc w:val="both"/>
        <w:ind w:firstLine="453"/>
        <w:spacing w:after="0" w:line="263" w:lineRule="auto"/>
        <w:tabs>
          <w:tab w:leader="none" w:pos="65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firstLine="453"/>
        <w:spacing w:after="0" w:line="263" w:lineRule="auto"/>
        <w:tabs>
          <w:tab w:leader="none" w:pos="679"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right="20" w:firstLine="453"/>
        <w:spacing w:after="0" w:line="277" w:lineRule="auto"/>
        <w:tabs>
          <w:tab w:leader="none" w:pos="677" w:val="left"/>
        </w:tabs>
        <w:numPr>
          <w:ilvl w:val="0"/>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firstLine="453"/>
        <w:spacing w:after="0" w:line="263" w:lineRule="auto"/>
        <w:tabs>
          <w:tab w:leader="none" w:pos="658"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sz w:val="20"/>
          <w:szCs w:val="20"/>
          <w:color w:val="auto"/>
        </w:rPr>
      </w:pPr>
    </w:p>
    <w:p>
      <w:pPr>
        <w:ind w:firstLine="453"/>
        <w:spacing w:after="0" w:line="277" w:lineRule="auto"/>
        <w:tabs>
          <w:tab w:leader="none" w:pos="73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49" w:lineRule="exact"/>
        <w:rPr>
          <w:sz w:val="20"/>
          <w:szCs w:val="20"/>
          <w:color w:val="auto"/>
        </w:rPr>
      </w:pPr>
    </w:p>
    <w:p>
      <w:pPr>
        <w:ind w:right="20" w:firstLine="453"/>
        <w:spacing w:after="0" w:line="277" w:lineRule="auto"/>
        <w:tabs>
          <w:tab w:leader="none" w:pos="644"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firstLine="453"/>
        <w:spacing w:after="0" w:line="277" w:lineRule="auto"/>
        <w:tabs>
          <w:tab w:leader="none" w:pos="651"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16, 2023</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ANN E. THORNTON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 Chief Accounting Officer and Treasurer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 and Principal Accounting Officer)</w:t>
      </w:r>
    </w:p>
    <w:p>
      <w:pPr>
        <w:sectPr>
          <w:pgSz w:w="11900" w:h="16838" w:orient="portrait"/>
          <w:cols w:equalWidth="0" w:num="1">
            <w:col w:w="11240"/>
          </w:cols>
          <w:pgMar w:left="320" w:top="891"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75"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49" w:lineRule="exact"/>
        <w:rPr>
          <w:sz w:val="20"/>
          <w:szCs w:val="20"/>
          <w:color w:val="auto"/>
        </w:rPr>
      </w:pPr>
    </w:p>
    <w:p>
      <w:pPr>
        <w:ind w:right="20" w:firstLine="453"/>
        <w:spacing w:after="0" w:line="277" w:lineRule="auto"/>
        <w:tabs>
          <w:tab w:leader="none" w:pos="71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October 31, 2023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firstLine="453"/>
        <w:spacing w:after="0" w:line="277"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that Form 10-Q fairly presents, in all material respects, the financial conditions and results of operations of the Company.</w:t>
      </w:r>
    </w:p>
    <w:p>
      <w:pPr>
        <w:spacing w:after="0" w:line="200" w:lineRule="exact"/>
        <w:rPr>
          <w:sz w:val="20"/>
          <w:szCs w:val="20"/>
          <w:color w:val="auto"/>
        </w:rPr>
      </w:pPr>
    </w:p>
    <w:p>
      <w:pPr>
        <w:spacing w:after="0" w:line="34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16, 2023</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RUSSELL R. SHALLER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&amp;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pacing w:after="0" w:line="251"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p>
      <w:pPr>
        <w:sectPr>
          <w:pgSz w:w="11900" w:h="16838" w:orient="portrait"/>
          <w:cols w:equalWidth="0" w:num="1">
            <w:col w:w="11240"/>
          </w:cols>
          <w:pgMar w:left="320" w:top="891"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75"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her knowledge that:</w:t>
      </w:r>
    </w:p>
    <w:p>
      <w:pPr>
        <w:spacing w:after="0" w:line="49" w:lineRule="exact"/>
        <w:rPr>
          <w:sz w:val="20"/>
          <w:szCs w:val="20"/>
          <w:color w:val="auto"/>
        </w:rPr>
      </w:pPr>
    </w:p>
    <w:p>
      <w:pPr>
        <w:ind w:right="20" w:firstLine="453"/>
        <w:spacing w:after="0" w:line="277" w:lineRule="auto"/>
        <w:tabs>
          <w:tab w:leader="none" w:pos="7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October 31, 2023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firstLine="453"/>
        <w:spacing w:after="0" w:line="277"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that Form 10-Q fairly presents, in all material respects, the financial conditions and results of operations of the Company.</w:t>
      </w:r>
    </w:p>
    <w:p>
      <w:pPr>
        <w:spacing w:after="0" w:line="200" w:lineRule="exact"/>
        <w:rPr>
          <w:sz w:val="20"/>
          <w:szCs w:val="20"/>
          <w:color w:val="auto"/>
        </w:rPr>
      </w:pPr>
    </w:p>
    <w:p>
      <w:pPr>
        <w:spacing w:after="0" w:line="34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16, 2023</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ANN E. THORNTON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034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 Chief Accounting Officer and Treasurer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51"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lowerLetter"/>
      <w:start w:val="1"/>
    </w:lvl>
  </w:abstractNum>
  <w:abstractNum w:abstractNumId="7">
    <w:nsid w:val="1190CDE7"/>
    <w:multiLevelType w:val="hybridMultilevel"/>
    <w:lvl w:ilvl="0">
      <w:lvlJc w:val="left"/>
      <w:lvlText w:val="(%1)"/>
      <w:numFmt w:val="decimal"/>
      <w:start w:val="5"/>
    </w:lvl>
  </w:abstractNum>
  <w:abstractNum w:abstractNumId="8">
    <w:nsid w:val="66EF438D"/>
    <w:multiLevelType w:val="hybridMultilevel"/>
    <w:lvl w:ilvl="0">
      <w:lvlJc w:val="left"/>
      <w:lvlText w:val="%1)"/>
      <w:numFmt w:val="lowerLetter"/>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decimal"/>
      <w:start w:val="5"/>
    </w:lvl>
  </w:abstractNum>
  <w:abstractNum w:abstractNumId="12">
    <w:nsid w:val="DED7263"/>
    <w:multiLevelType w:val="hybridMultilevel"/>
    <w:lvl w:ilvl="0">
      <w:lvlJc w:val="left"/>
      <w:lvlText w:val="%1)"/>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2023-11-16T06:18:14Z</dcterms:created>
  <dcterms:modified xsi:type="dcterms:W3CDTF">2023-11-16T06:18:14Z</dcterms:modified>
</cp:coreProperties>
</file>