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217170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440"/>
          </w:cols>
          <w:pgMar w:left="240" w:top="733" w:right="21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40" w:space="720"/>
            <w:col w:w="3180"/>
          </w:cols>
          <w:pgMar w:left="240" w:top="733" w:right="219" w:bottom="1440" w:gutter="0" w:footer="0" w:header="0"/>
          <w:type w:val="continuous"/>
        </w:sectPr>
      </w:pPr>
    </w:p>
    <w:p>
      <w:pPr>
        <w:jc w:val="center"/>
        <w:ind w:right="178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20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00" w:space="720"/>
            <w:col w:w="3320"/>
          </w:cols>
          <w:pgMar w:left="240" w:top="733" w:right="21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440"/>
          </w:cols>
          <w:pgMar w:left="240" w:top="733" w:right="219" w:bottom="1440" w:gutter="0" w:footer="0" w:header="0"/>
          <w:type w:val="continuous"/>
        </w:sectPr>
      </w:pPr>
    </w:p>
    <w:p>
      <w:pPr>
        <w:spacing w:after="0" w:line="38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680" w:firstLine="35"/>
        <w:spacing w:after="0" w:line="415" w:lineRule="auto"/>
        <w:tabs>
          <w:tab w:leader="none" w:pos="71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6300" w:type="dxa"/>
            <w:vAlign w:val="bottom"/>
            <w:tcBorders>
              <w:top w:val="single" w:sz="8" w:color="auto"/>
              <w:left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3420" w:type="dxa"/>
            <w:vAlign w:val="bottom"/>
            <w:tcBorders>
              <w:top w:val="single" w:sz="8" w:color="auto"/>
              <w:right w:val="single" w:sz="8" w:color="auto"/>
            </w:tcBorders>
          </w:tcPr>
          <w:p>
            <w:pPr>
              <w:spacing w:after="0"/>
              <w:rPr>
                <w:sz w:val="19"/>
                <w:szCs w:val="19"/>
                <w:color w:val="auto"/>
              </w:rPr>
            </w:pPr>
          </w:p>
        </w:tc>
      </w:tr>
      <w:tr>
        <w:trPr>
          <w:trHeight w:val="234"/>
        </w:trPr>
        <w:tc>
          <w:tcPr>
            <w:tcW w:w="6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37"/>
        </w:trPr>
        <w:tc>
          <w:tcPr>
            <w:tcW w:w="6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40"/>
          </w:cols>
          <w:pgMar w:left="240" w:top="733" w:right="21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7"/>
          <w:szCs w:val="17"/>
          <w:color w:val="auto"/>
        </w:rPr>
        <w:t>ENTRY INTO A MATERIAL DEFINITIVE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1, 2019, Brady Corporation (the “Corporation”) and certain of its subsidiaries entered into an unsecured $200 million revolving credit agreement with a group of five banks that replaced and terminated the Corporation’s previous $300 million revolving credit agreement that had been entered into on September 25, 2015. No fees were paid by the Corporation for terminating the previous credit agreement prior to its expiration date.</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new credit agreement, which has a final maturity date of August 1, 2024, the Corporation has the option to select either a base interest rate (based upon the higher of (i) the federal funds rate plus one-half of 1%, (ii) the prime rate of Bank of Montreal plus a margin based on the Corporation’s consolidated net leverage ratio or (iii) the one-month LIBOR rate plus 1%) or a Eurocurrency interest rate (at the LIBOR rate plus a margin based on the Corporation’s consolidated net leverage ratio). The new credit agreement is guaranteed by certain of the Corporation’s domestic subsidiaries and contains various financial covenants, including a debt-to-EBITDA ratio of 3.50-to-1.0 and an interest coverage ratio of 3.0-to-1.0. A commitment fee is payable on the unused amount of the credit facility. The Corporation intends to use the flexibility provided by the new credit agreement to refinance existing debt, finance working capital and capital expenditures, and for other general corporate purposes.</w:t>
      </w:r>
    </w:p>
    <w:p>
      <w:pPr>
        <w:spacing w:after="0" w:line="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new credit agreement does not purport to be complete and is qualified in its entirety by reference to the full text of the agreement, a copy of which is filed as Exhibit 10.1 to this report and is incorporated herein by reference.</w:t>
      </w:r>
    </w:p>
    <w:p>
      <w:pPr>
        <w:spacing w:after="0" w:line="33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1.02</w:t>
      </w:r>
      <w:r>
        <w:rPr>
          <w:sz w:val="20"/>
          <w:szCs w:val="20"/>
          <w:color w:val="auto"/>
        </w:rPr>
        <w:tab/>
      </w:r>
      <w:r>
        <w:rPr>
          <w:rFonts w:ascii="Arial" w:cs="Arial" w:eastAsia="Arial" w:hAnsi="Arial"/>
          <w:sz w:val="17"/>
          <w:szCs w:val="17"/>
          <w:color w:val="auto"/>
        </w:rPr>
        <w:t>TERMINATION OF A MATERIAL DEFINITIVE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38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2.03</w:t>
      </w:r>
      <w:r>
        <w:rPr>
          <w:sz w:val="20"/>
          <w:szCs w:val="20"/>
          <w:color w:val="auto"/>
        </w:rPr>
        <w:tab/>
      </w:r>
      <w:r>
        <w:rPr>
          <w:rFonts w:ascii="Arial" w:cs="Arial" w:eastAsia="Arial" w:hAnsi="Arial"/>
          <w:sz w:val="17"/>
          <w:szCs w:val="17"/>
          <w:color w:val="auto"/>
        </w:rPr>
        <w:t>CREATION OF A DIRECT FINANCIAL OBLIGATION OR AN OBLIGATION UNDER AN OFF-</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BALANCE SHEET ARRANGEMENT OF A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38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10.1</w:t>
            </w:r>
          </w:p>
        </w:tc>
        <w:tc>
          <w:tcPr>
            <w:tcW w:w="80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Credit Agreement, dated as of August 1, 2019, by and among Brady Corporation and certain of its subsidiaries,</w:t>
              </w:r>
            </w:hyperlink>
          </w:p>
        </w:tc>
      </w:tr>
      <w:tr>
        <w:trPr>
          <w:trHeight w:val="196"/>
        </w:trPr>
        <w:tc>
          <w:tcPr>
            <w:tcW w:w="940" w:type="dxa"/>
            <w:vAlign w:val="bottom"/>
          </w:tcPr>
          <w:p>
            <w:pPr>
              <w:spacing w:after="0"/>
              <w:rPr>
                <w:sz w:val="17"/>
                <w:szCs w:val="17"/>
                <w:color w:val="auto"/>
              </w:rPr>
            </w:pPr>
          </w:p>
        </w:tc>
        <w:tc>
          <w:tcPr>
            <w:tcW w:w="8020" w:type="dxa"/>
            <w:vAlign w:val="bottom"/>
            <w:gridSpan w:val="2"/>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the lenders listed therein and BMO Harris Bank, N.A., as administrative agent and L/C issuer.</w:t>
              </w:r>
            </w:hyperlink>
          </w:p>
        </w:tc>
      </w:tr>
      <w:tr>
        <w:trPr>
          <w:trHeight w:val="20"/>
        </w:trPr>
        <w:tc>
          <w:tcPr>
            <w:tcW w:w="940" w:type="dxa"/>
            <w:vAlign w:val="bottom"/>
          </w:tcPr>
          <w:p>
            <w:pPr>
              <w:spacing w:after="0" w:line="20" w:lineRule="exact"/>
              <w:rPr>
                <w:sz w:val="1"/>
                <w:szCs w:val="1"/>
                <w:color w:val="auto"/>
              </w:rPr>
            </w:pPr>
          </w:p>
        </w:tc>
        <w:tc>
          <w:tcPr>
            <w:tcW w:w="67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74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CREDIT AGREEMENT</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Dated as of August 1, 2019</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among</w:t>
      </w:r>
    </w:p>
    <w:p>
      <w:pPr>
        <w:spacing w:after="0" w:line="210"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BRADY CORPORATION</w:t>
      </w:r>
      <w:r>
        <w:rPr>
          <w:rFonts w:ascii="Arial" w:cs="Arial" w:eastAsia="Arial" w:hAnsi="Arial"/>
          <w:sz w:val="20"/>
          <w:szCs w:val="20"/>
          <w:color w:val="auto"/>
        </w:rPr>
        <w:t>,</w:t>
      </w:r>
    </w:p>
    <w:p>
      <w:pPr>
        <w:spacing w:after="0" w:line="21"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and</w:t>
      </w:r>
    </w:p>
    <w:p>
      <w:pPr>
        <w:jc w:val="center"/>
        <w:ind w:right="1240"/>
        <w:spacing w:after="0"/>
        <w:rPr>
          <w:sz w:val="20"/>
          <w:szCs w:val="20"/>
          <w:color w:val="auto"/>
        </w:rPr>
      </w:pPr>
      <w:r>
        <w:rPr>
          <w:rFonts w:ascii="Arial" w:cs="Arial" w:eastAsia="Arial" w:hAnsi="Arial"/>
          <w:sz w:val="20"/>
          <w:szCs w:val="20"/>
          <w:b w:val="1"/>
          <w:bCs w:val="1"/>
          <w:color w:val="auto"/>
        </w:rPr>
        <w:t>CERTAIN SUBSIDIARIES OF BRADY CORPORATION IDENTIFIED HEREIN</w:t>
      </w:r>
      <w:r>
        <w:rPr>
          <w:rFonts w:ascii="Arial" w:cs="Arial" w:eastAsia="Arial" w:hAnsi="Arial"/>
          <w:sz w:val="20"/>
          <w:szCs w:val="20"/>
          <w:color w:val="auto"/>
        </w:rPr>
        <w:t>,</w:t>
      </w:r>
    </w:p>
    <w:p>
      <w:pPr>
        <w:jc w:val="center"/>
        <w:ind w:right="1180"/>
        <w:spacing w:after="0"/>
        <w:rPr>
          <w:sz w:val="20"/>
          <w:szCs w:val="20"/>
          <w:color w:val="auto"/>
        </w:rPr>
      </w:pPr>
      <w:r>
        <w:rPr>
          <w:rFonts w:ascii="Arial" w:cs="Arial" w:eastAsia="Arial" w:hAnsi="Arial"/>
          <w:sz w:val="20"/>
          <w:szCs w:val="20"/>
          <w:color w:val="auto"/>
        </w:rPr>
        <w:t>as Borrowers,</w:t>
      </w: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CERTAIN SUBSIDIARIES OF THE BORROWERS IDENTIFIED HEREIN</w:t>
      </w:r>
      <w:r>
        <w:rPr>
          <w:rFonts w:ascii="Arial" w:cs="Arial" w:eastAsia="Arial" w:hAnsi="Arial"/>
          <w:sz w:val="20"/>
          <w:szCs w:val="20"/>
          <w:color w:val="auto"/>
        </w:rPr>
        <w:t>,</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Guarantors,</w:t>
      </w:r>
    </w:p>
    <w:p>
      <w:pPr>
        <w:spacing w:after="0" w:line="194"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THE LENDERS PARTY HERETO</w:t>
      </w:r>
      <w:r>
        <w:rPr>
          <w:rFonts w:ascii="Arial" w:cs="Arial" w:eastAsia="Arial" w:hAnsi="Arial"/>
          <w:sz w:val="20"/>
          <w:szCs w:val="20"/>
          <w:color w:val="auto"/>
        </w:rPr>
        <w:t>,</w:t>
      </w:r>
    </w:p>
    <w:p>
      <w:pPr>
        <w:spacing w:after="0" w:line="216"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BMO HARRIS BANK N.A.</w:t>
      </w:r>
      <w:r>
        <w:rPr>
          <w:rFonts w:ascii="Arial" w:cs="Arial" w:eastAsia="Arial" w:hAnsi="Arial"/>
          <w:sz w:val="20"/>
          <w:szCs w:val="20"/>
          <w:color w:val="auto"/>
        </w:rPr>
        <w:t>,</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Administrative Agent, Swing Line Lender and L/C Issuer,</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as Syndication Agent and L/C Issuer,</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WELLS FARGO BANK, N.A.</w:t>
      </w:r>
      <w:r>
        <w:rPr>
          <w:rFonts w:ascii="Arial" w:cs="Arial" w:eastAsia="Arial" w:hAnsi="Arial"/>
          <w:sz w:val="20"/>
          <w:szCs w:val="20"/>
          <w:color w:val="auto"/>
        </w:rPr>
        <w:t>,</w:t>
      </w:r>
    </w:p>
    <w:p>
      <w:pPr>
        <w:spacing w:after="0" w:line="22"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as Documentation Agent</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Arranged By:</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BMO CAPITAL MARKETS</w:t>
      </w:r>
    </w:p>
    <w:p>
      <w:pPr>
        <w:jc w:val="center"/>
        <w:ind w:right="1240"/>
        <w:spacing w:after="0"/>
        <w:rPr>
          <w:sz w:val="20"/>
          <w:szCs w:val="20"/>
          <w:color w:val="auto"/>
        </w:rPr>
      </w:pPr>
      <w:r>
        <w:rPr>
          <w:rFonts w:ascii="Arial" w:cs="Arial" w:eastAsia="Arial" w:hAnsi="Arial"/>
          <w:sz w:val="20"/>
          <w:szCs w:val="20"/>
          <w:color w:val="auto"/>
        </w:rPr>
        <w:t>and</w:t>
      </w:r>
    </w:p>
    <w:p>
      <w:pPr>
        <w:jc w:val="center"/>
        <w:ind w:right="1240"/>
        <w:spacing w:after="0"/>
        <w:rPr>
          <w:sz w:val="20"/>
          <w:szCs w:val="20"/>
          <w:color w:val="auto"/>
        </w:rPr>
      </w:pPr>
      <w:r>
        <w:rPr>
          <w:rFonts w:ascii="Arial" w:cs="Arial" w:eastAsia="Arial" w:hAnsi="Arial"/>
          <w:sz w:val="20"/>
          <w:szCs w:val="20"/>
          <w:b w:val="1"/>
          <w:bCs w:val="1"/>
          <w:color w:val="auto"/>
        </w:rPr>
        <w:t>BOFA SECURITIES, INC.</w:t>
      </w:r>
      <w:r>
        <w:rPr>
          <w:rFonts w:ascii="Arial" w:cs="Arial" w:eastAsia="Arial" w:hAnsi="Arial"/>
          <w:sz w:val="20"/>
          <w:szCs w:val="20"/>
          <w:color w:val="auto"/>
        </w:rPr>
        <w:t>,</w:t>
      </w:r>
    </w:p>
    <w:p>
      <w:pPr>
        <w:jc w:val="center"/>
        <w:ind w:right="1180"/>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10220"/>
          </w:cols>
          <w:pgMar w:left="1440" w:top="36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40" w:type="dxa"/>
            <w:vAlign w:val="bottom"/>
            <w:gridSpan w:val="6"/>
          </w:tcPr>
          <w:p>
            <w:pPr>
              <w:ind w:left="8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4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220" w:type="dxa"/>
            <w:vAlign w:val="bottom"/>
            <w:tcBorders>
              <w:bottom w:val="single" w:sz="8" w:color="CCEEFF"/>
            </w:tcBorders>
            <w:gridSpan w:val="36"/>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1 DEFINITIONS AND ACCOUNTING TERMS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Defined Terms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100" w:type="dxa"/>
            <w:vAlign w:val="bottom"/>
            <w:tcBorders>
              <w:bottom w:val="single" w:sz="8" w:color="auto"/>
            </w:tcBorders>
            <w:gridSpan w:val="24"/>
            <w:shd w:val="clear" w:color="auto" w:fill="CCEEFF"/>
          </w:tcPr>
          <w:p>
            <w:pPr>
              <w:spacing w:after="0" w:line="202" w:lineRule="exact"/>
              <w:rPr>
                <w:sz w:val="20"/>
                <w:szCs w:val="20"/>
                <w:color w:val="auto"/>
              </w:rPr>
            </w:pPr>
            <w:r>
              <w:rPr>
                <w:rFonts w:ascii="Arial" w:cs="Arial" w:eastAsia="Arial" w:hAnsi="Arial"/>
                <w:sz w:val="18"/>
                <w:szCs w:val="18"/>
                <w:color w:val="auto"/>
                <w:w w:val="91"/>
              </w:rPr>
              <w:t>Other Interpretive Provisions</w:t>
            </w:r>
          </w:p>
        </w:tc>
        <w:tc>
          <w:tcPr>
            <w:tcW w:w="804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Accounting Terms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28</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Rounding</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29</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References to Agreements and Laws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29</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Exchange Rates; Currency Equivalents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29</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2800" w:type="dxa"/>
            <w:vAlign w:val="bottom"/>
            <w:tcBorders>
              <w:top w:val="single" w:sz="8" w:color="auto"/>
            </w:tcBorders>
            <w:gridSpan w:val="29"/>
          </w:tcPr>
          <w:p>
            <w:pPr>
              <w:spacing w:after="0" w:line="202" w:lineRule="exact"/>
              <w:rPr>
                <w:sz w:val="20"/>
                <w:szCs w:val="20"/>
                <w:color w:val="auto"/>
              </w:rPr>
            </w:pPr>
            <w:r>
              <w:rPr>
                <w:rFonts w:ascii="Arial" w:cs="Arial" w:eastAsia="Arial" w:hAnsi="Arial"/>
                <w:sz w:val="18"/>
                <w:szCs w:val="18"/>
                <w:color w:val="auto"/>
              </w:rPr>
              <w:t>Additional Alternative Currencies</w:t>
            </w:r>
          </w:p>
        </w:tc>
        <w:tc>
          <w:tcPr>
            <w:tcW w:w="7340" w:type="dxa"/>
            <w:vAlign w:val="bottom"/>
            <w:tcBorders>
              <w:top w:val="single" w:sz="8" w:color="CCEEFF"/>
            </w:tcBorders>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30</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460" w:type="dxa"/>
            <w:vAlign w:val="bottom"/>
            <w:tcBorders>
              <w:bottom w:val="single" w:sz="8" w:color="auto"/>
            </w:tcBorders>
            <w:gridSpan w:val="18"/>
            <w:shd w:val="clear" w:color="auto" w:fill="CCEEFF"/>
          </w:tcPr>
          <w:p>
            <w:pPr>
              <w:spacing w:after="0" w:line="202" w:lineRule="exact"/>
              <w:rPr>
                <w:sz w:val="20"/>
                <w:szCs w:val="20"/>
                <w:color w:val="auto"/>
              </w:rPr>
            </w:pPr>
            <w:r>
              <w:rPr>
                <w:rFonts w:ascii="Arial" w:cs="Arial" w:eastAsia="Arial" w:hAnsi="Arial"/>
                <w:sz w:val="18"/>
                <w:szCs w:val="18"/>
                <w:color w:val="auto"/>
                <w:w w:val="89"/>
              </w:rPr>
              <w:t>Change of Currency</w:t>
            </w:r>
          </w:p>
        </w:tc>
        <w:tc>
          <w:tcPr>
            <w:tcW w:w="8680" w:type="dxa"/>
            <w:vAlign w:val="bottom"/>
            <w:tcBorders>
              <w:bottom w:val="single" w:sz="8" w:color="CCEEFF"/>
            </w:tcBorders>
            <w:gridSpan w:val="1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Times of Day</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31</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820" w:type="dxa"/>
            <w:vAlign w:val="bottom"/>
            <w:tcBorders>
              <w:bottom w:val="single" w:sz="8" w:color="auto"/>
            </w:tcBorders>
            <w:gridSpan w:val="21"/>
            <w:shd w:val="clear" w:color="auto" w:fill="CCEEFF"/>
          </w:tcPr>
          <w:p>
            <w:pPr>
              <w:spacing w:after="0" w:line="202" w:lineRule="exact"/>
              <w:rPr>
                <w:sz w:val="20"/>
                <w:szCs w:val="20"/>
                <w:color w:val="auto"/>
              </w:rPr>
            </w:pPr>
            <w:r>
              <w:rPr>
                <w:rFonts w:ascii="Arial" w:cs="Arial" w:eastAsia="Arial" w:hAnsi="Arial"/>
                <w:sz w:val="18"/>
                <w:szCs w:val="18"/>
                <w:color w:val="auto"/>
                <w:w w:val="92"/>
              </w:rPr>
              <w:t>Letter of Credit Amounts</w:t>
            </w:r>
          </w:p>
        </w:tc>
        <w:tc>
          <w:tcPr>
            <w:tcW w:w="832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Luxembourg Terms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31</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gridSpan w:val="36"/>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II THE COMMITMENTS AND CREDIT EXTENSIONS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Revolving Loans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32</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3880" w:type="dxa"/>
            <w:vAlign w:val="bottom"/>
            <w:tcBorders>
              <w:bottom w:val="single" w:sz="8" w:color="auto"/>
            </w:tcBorders>
            <w:gridSpan w:val="31"/>
            <w:shd w:val="clear" w:color="auto" w:fill="CCEEFF"/>
          </w:tcPr>
          <w:p>
            <w:pPr>
              <w:spacing w:after="0" w:line="202" w:lineRule="exact"/>
              <w:rPr>
                <w:sz w:val="20"/>
                <w:szCs w:val="20"/>
                <w:color w:val="auto"/>
              </w:rPr>
            </w:pPr>
            <w:r>
              <w:rPr>
                <w:rFonts w:ascii="Arial" w:cs="Arial" w:eastAsia="Arial" w:hAnsi="Arial"/>
                <w:sz w:val="18"/>
                <w:szCs w:val="18"/>
                <w:color w:val="auto"/>
                <w:w w:val="90"/>
              </w:rPr>
              <w:t>Borrowings, Conversions and Continuations of Loans</w:t>
            </w:r>
          </w:p>
        </w:tc>
        <w:tc>
          <w:tcPr>
            <w:tcW w:w="6260" w:type="dxa"/>
            <w:vAlign w:val="bottom"/>
            <w:tcBorders>
              <w:bottom w:val="single" w:sz="8" w:color="CCEEFF"/>
            </w:tcBorders>
            <w:gridSpan w:val="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Letters of Credit</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34</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1320" w:type="dxa"/>
            <w:vAlign w:val="bottom"/>
            <w:tcBorders>
              <w:bottom w:val="single" w:sz="8" w:color="auto"/>
            </w:tcBorders>
            <w:gridSpan w:val="15"/>
            <w:shd w:val="clear" w:color="auto" w:fill="CCEEFF"/>
          </w:tcPr>
          <w:p>
            <w:pPr>
              <w:spacing w:after="0" w:line="202" w:lineRule="exact"/>
              <w:rPr>
                <w:sz w:val="20"/>
                <w:szCs w:val="20"/>
                <w:color w:val="auto"/>
              </w:rPr>
            </w:pPr>
            <w:r>
              <w:rPr>
                <w:rFonts w:ascii="Arial" w:cs="Arial" w:eastAsia="Arial" w:hAnsi="Arial"/>
                <w:sz w:val="18"/>
                <w:szCs w:val="18"/>
                <w:color w:val="auto"/>
                <w:w w:val="91"/>
              </w:rPr>
              <w:t>Swing Line Loans</w:t>
            </w:r>
          </w:p>
        </w:tc>
        <w:tc>
          <w:tcPr>
            <w:tcW w:w="8820" w:type="dxa"/>
            <w:vAlign w:val="bottom"/>
            <w:tcBorders>
              <w:bottom w:val="single" w:sz="8" w:color="CCEEFF"/>
            </w:tcBorders>
            <w:gridSpan w:val="2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Prepayments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46</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Termination or Reduction of Aggregate Revolving Commitments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47</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4700" w:type="dxa"/>
            <w:vAlign w:val="bottom"/>
            <w:tcBorders>
              <w:top w:val="single" w:sz="8" w:color="auto"/>
            </w:tcBorders>
            <w:gridSpan w:val="34"/>
          </w:tcPr>
          <w:p>
            <w:pPr>
              <w:spacing w:after="0" w:line="202" w:lineRule="exact"/>
              <w:rPr>
                <w:sz w:val="20"/>
                <w:szCs w:val="20"/>
                <w:color w:val="auto"/>
              </w:rPr>
            </w:pPr>
            <w:r>
              <w:rPr>
                <w:rFonts w:ascii="Arial" w:cs="Arial" w:eastAsia="Arial" w:hAnsi="Arial"/>
                <w:sz w:val="18"/>
                <w:szCs w:val="18"/>
                <w:color w:val="auto"/>
              </w:rPr>
              <w:t>Repayment of Loans</w:t>
            </w:r>
          </w:p>
        </w:tc>
        <w:tc>
          <w:tcPr>
            <w:tcW w:w="544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47</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54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86"/>
              </w:rPr>
              <w:t>Interest</w:t>
            </w:r>
          </w:p>
        </w:tc>
        <w:tc>
          <w:tcPr>
            <w:tcW w:w="9600" w:type="dxa"/>
            <w:vAlign w:val="bottom"/>
            <w:tcBorders>
              <w:bottom w:val="single" w:sz="8" w:color="CCEEFF"/>
            </w:tcBorders>
            <w:gridSpan w:val="3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Fees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48</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2400" w:type="dxa"/>
            <w:vAlign w:val="bottom"/>
            <w:tcBorders>
              <w:bottom w:val="single" w:sz="8" w:color="auto"/>
            </w:tcBorders>
            <w:gridSpan w:val="26"/>
            <w:shd w:val="clear" w:color="auto" w:fill="CCEEFF"/>
          </w:tcPr>
          <w:p>
            <w:pPr>
              <w:spacing w:after="0" w:line="202" w:lineRule="exact"/>
              <w:rPr>
                <w:sz w:val="20"/>
                <w:szCs w:val="20"/>
                <w:color w:val="auto"/>
              </w:rPr>
            </w:pPr>
            <w:r>
              <w:rPr>
                <w:rFonts w:ascii="Arial" w:cs="Arial" w:eastAsia="Arial" w:hAnsi="Arial"/>
                <w:sz w:val="18"/>
                <w:szCs w:val="18"/>
                <w:color w:val="auto"/>
                <w:w w:val="89"/>
              </w:rPr>
              <w:t>Computation of Interest and Fees</w:t>
            </w:r>
          </w:p>
        </w:tc>
        <w:tc>
          <w:tcPr>
            <w:tcW w:w="7740" w:type="dxa"/>
            <w:vAlign w:val="bottom"/>
            <w:tcBorders>
              <w:bottom w:val="single" w:sz="8" w:color="CCEEFF"/>
            </w:tcBorders>
            <w:gridSpan w:val="9"/>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Evidence of Debt</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49</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4000" w:type="dxa"/>
            <w:vAlign w:val="bottom"/>
            <w:tcBorders>
              <w:bottom w:val="single" w:sz="8" w:color="auto"/>
            </w:tcBorders>
            <w:gridSpan w:val="33"/>
            <w:shd w:val="clear" w:color="auto" w:fill="CCEEFF"/>
          </w:tcPr>
          <w:p>
            <w:pPr>
              <w:spacing w:after="0" w:line="202" w:lineRule="exact"/>
              <w:rPr>
                <w:sz w:val="20"/>
                <w:szCs w:val="20"/>
                <w:color w:val="auto"/>
              </w:rPr>
            </w:pPr>
            <w:r>
              <w:rPr>
                <w:rFonts w:ascii="Arial" w:cs="Arial" w:eastAsia="Arial" w:hAnsi="Arial"/>
                <w:sz w:val="18"/>
                <w:szCs w:val="18"/>
                <w:color w:val="auto"/>
                <w:w w:val="91"/>
              </w:rPr>
              <w:t>Payments Generally; Administrative Agent’s Clawback</w:t>
            </w:r>
          </w:p>
        </w:tc>
        <w:tc>
          <w:tcPr>
            <w:tcW w:w="61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Sharing of Payments by Lenders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51</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Designated Borrowers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52</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1600" w:type="dxa"/>
            <w:vAlign w:val="bottom"/>
            <w:tcBorders>
              <w:top w:val="single" w:sz="8" w:color="auto"/>
            </w:tcBorders>
            <w:gridSpan w:val="20"/>
          </w:tcPr>
          <w:p>
            <w:pPr>
              <w:spacing w:after="0" w:line="202" w:lineRule="exact"/>
              <w:rPr>
                <w:sz w:val="20"/>
                <w:szCs w:val="20"/>
                <w:color w:val="auto"/>
              </w:rPr>
            </w:pPr>
            <w:r>
              <w:rPr>
                <w:rFonts w:ascii="Arial" w:cs="Arial" w:eastAsia="Arial" w:hAnsi="Arial"/>
                <w:sz w:val="18"/>
                <w:szCs w:val="18"/>
                <w:color w:val="auto"/>
              </w:rPr>
              <w:t>Cash Collateral</w:t>
            </w:r>
          </w:p>
        </w:tc>
        <w:tc>
          <w:tcPr>
            <w:tcW w:w="8540" w:type="dxa"/>
            <w:vAlign w:val="bottom"/>
            <w:tcBorders>
              <w:top w:val="single" w:sz="8" w:color="CCEEFF"/>
            </w:tcBorders>
            <w:gridSpan w:val="1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53</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Defaulting Lenders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Extension of Maturity Date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56</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gridSpan w:val="36"/>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III TAXES, YIELD PROTECTION AND ILLEGALITY</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Taxes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58</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Illegality</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62</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0140" w:type="dxa"/>
            <w:vAlign w:val="bottom"/>
            <w:gridSpan w:val="35"/>
          </w:tcPr>
          <w:p>
            <w:pPr>
              <w:spacing w:after="0" w:line="202" w:lineRule="exact"/>
              <w:rPr>
                <w:sz w:val="20"/>
                <w:szCs w:val="20"/>
                <w:color w:val="auto"/>
              </w:rPr>
            </w:pPr>
            <w:r>
              <w:rPr>
                <w:rFonts w:ascii="Arial" w:cs="Arial" w:eastAsia="Arial" w:hAnsi="Arial"/>
                <w:sz w:val="18"/>
                <w:szCs w:val="18"/>
                <w:color w:val="auto"/>
              </w:rPr>
              <w:t>Inability to Determine Rates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63</w:t>
              </w:r>
            </w:hyperlink>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Increased Cost and Reduced Return; Capital Adequacy</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64</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3.05</w:t>
            </w:r>
          </w:p>
        </w:tc>
        <w:tc>
          <w:tcPr>
            <w:tcW w:w="3960" w:type="dxa"/>
            <w:vAlign w:val="bottom"/>
            <w:tcBorders>
              <w:top w:val="single" w:sz="8" w:color="auto"/>
            </w:tcBorders>
            <w:gridSpan w:val="32"/>
          </w:tcPr>
          <w:p>
            <w:pPr>
              <w:spacing w:after="0" w:line="202" w:lineRule="exact"/>
              <w:rPr>
                <w:sz w:val="20"/>
                <w:szCs w:val="20"/>
                <w:color w:val="auto"/>
              </w:rPr>
            </w:pPr>
            <w:r>
              <w:rPr>
                <w:rFonts w:ascii="Arial" w:cs="Arial" w:eastAsia="Arial" w:hAnsi="Arial"/>
                <w:sz w:val="18"/>
                <w:szCs w:val="18"/>
                <w:color w:val="auto"/>
              </w:rPr>
              <w:t>Compensation for Losses</w:t>
            </w:r>
          </w:p>
        </w:tc>
        <w:tc>
          <w:tcPr>
            <w:tcW w:w="6180" w:type="dxa"/>
            <w:vAlign w:val="bottom"/>
            <w:tcBorders>
              <w:top w:val="single" w:sz="8" w:color="CCEEFF"/>
            </w:tcBorders>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65</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Matters Applicable to all Requests for Compensation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66</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3.07</w:t>
            </w:r>
          </w:p>
        </w:tc>
        <w:tc>
          <w:tcPr>
            <w:tcW w:w="3820" w:type="dxa"/>
            <w:vAlign w:val="bottom"/>
            <w:tcBorders>
              <w:top w:val="single" w:sz="8" w:color="auto"/>
            </w:tcBorders>
            <w:gridSpan w:val="30"/>
          </w:tcPr>
          <w:p>
            <w:pPr>
              <w:spacing w:after="0" w:line="202" w:lineRule="exact"/>
              <w:rPr>
                <w:sz w:val="20"/>
                <w:szCs w:val="20"/>
                <w:color w:val="auto"/>
              </w:rPr>
            </w:pPr>
            <w:r>
              <w:rPr>
                <w:rFonts w:ascii="Arial" w:cs="Arial" w:eastAsia="Arial" w:hAnsi="Arial"/>
                <w:sz w:val="18"/>
                <w:szCs w:val="18"/>
                <w:color w:val="auto"/>
              </w:rPr>
              <w:t>Successor LIBOR</w:t>
            </w:r>
          </w:p>
        </w:tc>
        <w:tc>
          <w:tcPr>
            <w:tcW w:w="6320" w:type="dxa"/>
            <w:vAlign w:val="bottom"/>
            <w:tcBorders>
              <w:top w:val="single" w:sz="8" w:color="CCEE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66</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Survival</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36"/>
          </w:tcPr>
          <w:p>
            <w:pPr>
              <w:ind w:left="40"/>
              <w:spacing w:after="0" w:line="202" w:lineRule="exact"/>
              <w:rPr>
                <w:sz w:val="20"/>
                <w:szCs w:val="20"/>
                <w:color w:val="auto"/>
              </w:rPr>
            </w:pPr>
            <w:r>
              <w:rPr>
                <w:rFonts w:ascii="Arial" w:cs="Arial" w:eastAsia="Arial" w:hAnsi="Arial"/>
                <w:sz w:val="18"/>
                <w:szCs w:val="18"/>
                <w:color w:val="auto"/>
              </w:rPr>
              <w:t>ARTICLE IV GUARANTY</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68</w:t>
              </w:r>
            </w:hyperlink>
          </w:p>
        </w:tc>
      </w:tr>
      <w:tr>
        <w:trPr>
          <w:trHeight w:val="48"/>
        </w:trPr>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014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auto"/>
              </w:rPr>
              <w:t>The Guaranty</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68</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52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80" w:type="dxa"/>
            <w:vAlign w:val="bottom"/>
          </w:tcPr>
          <w:p>
            <w:pPr>
              <w:jc w:val="right"/>
              <w:spacing w:after="0"/>
              <w:rPr>
                <w:sz w:val="20"/>
                <w:szCs w:val="20"/>
                <w:color w:val="auto"/>
              </w:rPr>
            </w:pPr>
            <w:r>
              <w:rPr>
                <w:rFonts w:ascii="Arial" w:cs="Arial" w:eastAsia="Arial" w:hAnsi="Arial"/>
                <w:sz w:val="18"/>
                <w:szCs w:val="18"/>
                <w:color w:val="auto"/>
              </w:rPr>
              <w:t>4.02</w:t>
            </w:r>
          </w:p>
        </w:tc>
        <w:tc>
          <w:tcPr>
            <w:tcW w:w="10140" w:type="dxa"/>
            <w:vAlign w:val="bottom"/>
            <w:gridSpan w:val="37"/>
          </w:tcPr>
          <w:p>
            <w:pPr>
              <w:spacing w:after="0"/>
              <w:rPr>
                <w:sz w:val="20"/>
                <w:szCs w:val="20"/>
                <w:color w:val="auto"/>
              </w:rPr>
            </w:pPr>
            <w:r>
              <w:rPr>
                <w:rFonts w:ascii="Arial" w:cs="Arial" w:eastAsia="Arial" w:hAnsi="Arial"/>
                <w:sz w:val="18"/>
                <w:szCs w:val="18"/>
                <w:color w:val="auto"/>
              </w:rPr>
              <w:t>Obligations Unconditional</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68</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Reinstatement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69</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Certain Additional Waivers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69</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Remedies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69</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Rights of Contribution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70</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3300" w:type="dxa"/>
            <w:vAlign w:val="bottom"/>
            <w:tcBorders>
              <w:bottom w:val="single" w:sz="8" w:color="auto"/>
            </w:tcBorders>
            <w:gridSpan w:val="36"/>
            <w:shd w:val="clear" w:color="auto" w:fill="CCEEFF"/>
          </w:tcPr>
          <w:p>
            <w:pPr>
              <w:spacing w:after="0" w:line="202" w:lineRule="exact"/>
              <w:rPr>
                <w:sz w:val="20"/>
                <w:szCs w:val="20"/>
                <w:color w:val="auto"/>
              </w:rPr>
            </w:pPr>
            <w:r>
              <w:rPr>
                <w:rFonts w:ascii="Arial" w:cs="Arial" w:eastAsia="Arial" w:hAnsi="Arial"/>
                <w:sz w:val="18"/>
                <w:szCs w:val="18"/>
                <w:color w:val="auto"/>
                <w:w w:val="89"/>
              </w:rPr>
              <w:t>Guarantee of Payment; Continuing Guarantee</w:t>
            </w:r>
          </w:p>
        </w:tc>
        <w:tc>
          <w:tcPr>
            <w:tcW w:w="6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Keepwell</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70</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gridSpan w:val="38"/>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V CONDITIONS PRECEDENT TO CREDIT EXTENSIONS</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5.01</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Conditions of Initial Credit Extension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71</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Conditions to all Credit Extensions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38"/>
          </w:tcPr>
          <w:p>
            <w:pPr>
              <w:ind w:left="40"/>
              <w:spacing w:after="0" w:line="202" w:lineRule="exact"/>
              <w:rPr>
                <w:sz w:val="20"/>
                <w:szCs w:val="20"/>
                <w:color w:val="auto"/>
              </w:rPr>
            </w:pPr>
            <w:r>
              <w:rPr>
                <w:rFonts w:ascii="Arial" w:cs="Arial" w:eastAsia="Arial" w:hAnsi="Arial"/>
                <w:sz w:val="18"/>
                <w:szCs w:val="18"/>
                <w:color w:val="auto"/>
              </w:rPr>
              <w:t>ARTICLE VI REPRESENTATIONS AND WARRANTIES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r>
      <w:tr>
        <w:trPr>
          <w:trHeight w:val="48"/>
        </w:trPr>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6.01</w:t>
            </w:r>
          </w:p>
        </w:tc>
        <w:tc>
          <w:tcPr>
            <w:tcW w:w="1240" w:type="dxa"/>
            <w:vAlign w:val="bottom"/>
            <w:tcBorders>
              <w:bottom w:val="single" w:sz="8" w:color="auto"/>
            </w:tcBorders>
            <w:gridSpan w:val="12"/>
            <w:shd w:val="clear" w:color="auto" w:fill="CCEEFF"/>
          </w:tcPr>
          <w:p>
            <w:pPr>
              <w:spacing w:after="0" w:line="202" w:lineRule="exact"/>
              <w:rPr>
                <w:sz w:val="20"/>
                <w:szCs w:val="20"/>
                <w:color w:val="auto"/>
              </w:rPr>
            </w:pPr>
            <w:r>
              <w:rPr>
                <w:rFonts w:ascii="Arial" w:cs="Arial" w:eastAsia="Arial" w:hAnsi="Arial"/>
                <w:sz w:val="18"/>
                <w:szCs w:val="18"/>
                <w:color w:val="auto"/>
                <w:w w:val="89"/>
              </w:rPr>
              <w:t>Organization, etc</w:t>
            </w:r>
          </w:p>
        </w:tc>
        <w:tc>
          <w:tcPr>
            <w:tcW w:w="8900" w:type="dxa"/>
            <w:vAlign w:val="bottom"/>
            <w:tcBorders>
              <w:bottom w:val="single" w:sz="8" w:color="CCEEFF"/>
            </w:tcBorders>
            <w:gridSpan w:val="25"/>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Authorization; No Conflict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Validity and Binding Nature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6.04</w:t>
            </w:r>
          </w:p>
        </w:tc>
        <w:tc>
          <w:tcPr>
            <w:tcW w:w="2020" w:type="dxa"/>
            <w:vAlign w:val="bottom"/>
            <w:tcBorders>
              <w:top w:val="single" w:sz="8" w:color="auto"/>
            </w:tcBorders>
            <w:gridSpan w:val="24"/>
          </w:tcPr>
          <w:p>
            <w:pPr>
              <w:spacing w:after="0" w:line="202" w:lineRule="exact"/>
              <w:rPr>
                <w:sz w:val="20"/>
                <w:szCs w:val="20"/>
                <w:color w:val="auto"/>
              </w:rPr>
            </w:pPr>
            <w:r>
              <w:rPr>
                <w:rFonts w:ascii="Arial" w:cs="Arial" w:eastAsia="Arial" w:hAnsi="Arial"/>
                <w:sz w:val="18"/>
                <w:szCs w:val="18"/>
                <w:color w:val="auto"/>
              </w:rPr>
              <w:t>Financial Condition</w:t>
            </w:r>
          </w:p>
        </w:tc>
        <w:tc>
          <w:tcPr>
            <w:tcW w:w="8120" w:type="dxa"/>
            <w:vAlign w:val="bottom"/>
            <w:tcBorders>
              <w:top w:val="single" w:sz="8" w:color="CCEEFF"/>
            </w:tcBorders>
            <w:gridSpan w:val="13"/>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No Material Adverse Change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2100" w:type="dxa"/>
            <w:vAlign w:val="bottom"/>
            <w:tcBorders>
              <w:top w:val="single" w:sz="8" w:color="auto"/>
            </w:tcBorders>
            <w:gridSpan w:val="25"/>
          </w:tcPr>
          <w:p>
            <w:pPr>
              <w:spacing w:after="0" w:line="202" w:lineRule="exact"/>
              <w:rPr>
                <w:sz w:val="20"/>
                <w:szCs w:val="20"/>
                <w:color w:val="auto"/>
              </w:rPr>
            </w:pPr>
            <w:r>
              <w:rPr>
                <w:rFonts w:ascii="Arial" w:cs="Arial" w:eastAsia="Arial" w:hAnsi="Arial"/>
                <w:sz w:val="18"/>
                <w:szCs w:val="18"/>
                <w:color w:val="auto"/>
              </w:rPr>
              <w:t>Litigation</w:t>
            </w:r>
          </w:p>
        </w:tc>
        <w:tc>
          <w:tcPr>
            <w:tcW w:w="8040" w:type="dxa"/>
            <w:vAlign w:val="bottom"/>
            <w:tcBorders>
              <w:top w:val="single" w:sz="8" w:color="CCEEFF"/>
            </w:tcBorders>
            <w:gridSpan w:val="12"/>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6.07</w:t>
            </w:r>
          </w:p>
        </w:tc>
        <w:tc>
          <w:tcPr>
            <w:tcW w:w="1760" w:type="dxa"/>
            <w:vAlign w:val="bottom"/>
            <w:tcBorders>
              <w:bottom w:val="single" w:sz="8" w:color="auto"/>
            </w:tcBorders>
            <w:gridSpan w:val="19"/>
            <w:shd w:val="clear" w:color="auto" w:fill="CCEEFF"/>
          </w:tcPr>
          <w:p>
            <w:pPr>
              <w:spacing w:after="0" w:line="202" w:lineRule="exact"/>
              <w:rPr>
                <w:sz w:val="20"/>
                <w:szCs w:val="20"/>
                <w:color w:val="auto"/>
              </w:rPr>
            </w:pPr>
            <w:r>
              <w:rPr>
                <w:rFonts w:ascii="Arial" w:cs="Arial" w:eastAsia="Arial" w:hAnsi="Arial"/>
                <w:sz w:val="18"/>
                <w:szCs w:val="18"/>
                <w:color w:val="auto"/>
                <w:w w:val="90"/>
              </w:rPr>
              <w:t>Ownership of Properties</w:t>
            </w:r>
          </w:p>
        </w:tc>
        <w:tc>
          <w:tcPr>
            <w:tcW w:w="8380" w:type="dxa"/>
            <w:vAlign w:val="bottom"/>
            <w:tcBorders>
              <w:bottom w:val="single" w:sz="8" w:color="CCEEFF"/>
            </w:tcBorders>
            <w:gridSpan w:val="18"/>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Subsidiaries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Pension Plans and Plan Assets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6.10</w:t>
            </w:r>
          </w:p>
        </w:tc>
        <w:tc>
          <w:tcPr>
            <w:tcW w:w="2180" w:type="dxa"/>
            <w:vAlign w:val="bottom"/>
            <w:tcBorders>
              <w:top w:val="single" w:sz="8" w:color="auto"/>
            </w:tcBorders>
            <w:gridSpan w:val="27"/>
          </w:tcPr>
          <w:p>
            <w:pPr>
              <w:spacing w:after="0" w:line="202" w:lineRule="exact"/>
              <w:rPr>
                <w:sz w:val="20"/>
                <w:szCs w:val="20"/>
                <w:color w:val="auto"/>
              </w:rPr>
            </w:pPr>
            <w:r>
              <w:rPr>
                <w:rFonts w:ascii="Arial" w:cs="Arial" w:eastAsia="Arial" w:hAnsi="Arial"/>
                <w:sz w:val="18"/>
                <w:szCs w:val="18"/>
                <w:color w:val="auto"/>
              </w:rPr>
              <w:t>Investment Company Act</w:t>
            </w:r>
          </w:p>
        </w:tc>
        <w:tc>
          <w:tcPr>
            <w:tcW w:w="7960" w:type="dxa"/>
            <w:vAlign w:val="bottom"/>
            <w:tcBorders>
              <w:top w:val="single" w:sz="8" w:color="CCEEFF"/>
            </w:tcBorders>
            <w:gridSpan w:val="10"/>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c>
          <w:tcPr>
            <w:tcW w:w="960" w:type="dxa"/>
            <w:vAlign w:val="bottom"/>
            <w:tcBorders>
              <w:bottom w:val="single" w:sz="8" w:color="auto"/>
            </w:tcBorders>
            <w:gridSpan w:val="9"/>
            <w:shd w:val="clear" w:color="auto" w:fill="CCEEFF"/>
          </w:tcPr>
          <w:p>
            <w:pPr>
              <w:spacing w:after="0" w:line="202" w:lineRule="exact"/>
              <w:rPr>
                <w:sz w:val="20"/>
                <w:szCs w:val="20"/>
                <w:color w:val="auto"/>
              </w:rPr>
            </w:pPr>
            <w:r>
              <w:rPr>
                <w:rFonts w:ascii="Arial" w:cs="Arial" w:eastAsia="Arial" w:hAnsi="Arial"/>
                <w:sz w:val="18"/>
                <w:szCs w:val="18"/>
                <w:color w:val="auto"/>
                <w:w w:val="90"/>
              </w:rPr>
              <w:t>Regulation U</w:t>
            </w:r>
          </w:p>
        </w:tc>
        <w:tc>
          <w:tcPr>
            <w:tcW w:w="9180" w:type="dxa"/>
            <w:vAlign w:val="bottom"/>
            <w:tcBorders>
              <w:bottom w:val="single" w:sz="8" w:color="CCEEFF"/>
            </w:tcBorders>
            <w:gridSpan w:val="28"/>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Taxes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1660" w:type="dxa"/>
            <w:vAlign w:val="bottom"/>
            <w:tcBorders>
              <w:bottom w:val="single" w:sz="8" w:color="auto"/>
            </w:tcBorders>
            <w:gridSpan w:val="18"/>
            <w:shd w:val="clear" w:color="auto" w:fill="CCEEFF"/>
          </w:tcPr>
          <w:p>
            <w:pPr>
              <w:spacing w:after="0" w:line="202" w:lineRule="exact"/>
              <w:rPr>
                <w:sz w:val="20"/>
                <w:szCs w:val="20"/>
                <w:color w:val="auto"/>
              </w:rPr>
            </w:pPr>
            <w:r>
              <w:rPr>
                <w:rFonts w:ascii="Arial" w:cs="Arial" w:eastAsia="Arial" w:hAnsi="Arial"/>
                <w:sz w:val="18"/>
                <w:szCs w:val="18"/>
                <w:color w:val="auto"/>
                <w:w w:val="91"/>
              </w:rPr>
              <w:t>Environmental Matters</w:t>
            </w:r>
          </w:p>
        </w:tc>
        <w:tc>
          <w:tcPr>
            <w:tcW w:w="8480" w:type="dxa"/>
            <w:vAlign w:val="bottom"/>
            <w:tcBorders>
              <w:bottom w:val="single" w:sz="8" w:color="CCEEFF"/>
            </w:tcBorders>
            <w:gridSpan w:val="19"/>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Information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c>
          <w:tcPr>
            <w:tcW w:w="800" w:type="dxa"/>
            <w:vAlign w:val="bottom"/>
            <w:tcBorders>
              <w:bottom w:val="single" w:sz="8" w:color="auto"/>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91"/>
              </w:rPr>
              <w:t>No Default</w:t>
            </w:r>
          </w:p>
        </w:tc>
        <w:tc>
          <w:tcPr>
            <w:tcW w:w="9340" w:type="dxa"/>
            <w:vAlign w:val="bottom"/>
            <w:tcBorders>
              <w:bottom w:val="single" w:sz="8" w:color="CCEEFF"/>
            </w:tcBorders>
            <w:gridSpan w:val="31"/>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6.16</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Designated Borrower Joinder Agreement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OFAC</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Anti-Corruption Laws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77</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2760" w:type="dxa"/>
            <w:vAlign w:val="bottom"/>
            <w:tcBorders>
              <w:bottom w:val="single" w:sz="8" w:color="auto"/>
            </w:tcBorders>
            <w:gridSpan w:val="31"/>
            <w:shd w:val="clear" w:color="auto" w:fill="CCEEFF"/>
          </w:tcPr>
          <w:p>
            <w:pPr>
              <w:spacing w:after="0" w:line="202" w:lineRule="exact"/>
              <w:rPr>
                <w:sz w:val="20"/>
                <w:szCs w:val="20"/>
                <w:color w:val="auto"/>
              </w:rPr>
            </w:pPr>
            <w:r>
              <w:rPr>
                <w:rFonts w:ascii="Arial" w:cs="Arial" w:eastAsia="Arial" w:hAnsi="Arial"/>
                <w:sz w:val="18"/>
                <w:szCs w:val="18"/>
                <w:color w:val="auto"/>
                <w:w w:val="90"/>
              </w:rPr>
              <w:t>Luxembourg Specific Representations</w:t>
            </w:r>
          </w:p>
        </w:tc>
        <w:tc>
          <w:tcPr>
            <w:tcW w:w="7380" w:type="dxa"/>
            <w:vAlign w:val="bottom"/>
            <w:tcBorders>
              <w:bottom w:val="single" w:sz="8" w:color="CCEEFF"/>
            </w:tcBorders>
            <w:gridSpan w:val="6"/>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Beneficial Ownership Certification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77</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No EEA Financial Institution</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38"/>
          </w:tcPr>
          <w:p>
            <w:pPr>
              <w:ind w:left="40"/>
              <w:spacing w:after="0" w:line="202" w:lineRule="exact"/>
              <w:rPr>
                <w:sz w:val="20"/>
                <w:szCs w:val="20"/>
                <w:color w:val="auto"/>
              </w:rPr>
            </w:pPr>
            <w:r>
              <w:rPr>
                <w:rFonts w:ascii="Arial" w:cs="Arial" w:eastAsia="Arial" w:hAnsi="Arial"/>
                <w:sz w:val="18"/>
                <w:szCs w:val="18"/>
                <w:color w:val="auto"/>
              </w:rPr>
              <w:t>ARTICLE VII COVENANTS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77</w:t>
              </w:r>
            </w:hyperlink>
          </w:p>
        </w:tc>
      </w:tr>
      <w:tr>
        <w:trPr>
          <w:trHeight w:val="48"/>
        </w:trPr>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w:t>
            </w:r>
          </w:p>
        </w:tc>
        <w:tc>
          <w:tcPr>
            <w:tcW w:w="3140" w:type="dxa"/>
            <w:vAlign w:val="bottom"/>
            <w:tcBorders>
              <w:bottom w:val="single" w:sz="8" w:color="auto"/>
            </w:tcBorders>
            <w:gridSpan w:val="34"/>
            <w:shd w:val="clear" w:color="auto" w:fill="CCEEFF"/>
          </w:tcPr>
          <w:p>
            <w:pPr>
              <w:spacing w:after="0" w:line="202" w:lineRule="exact"/>
              <w:rPr>
                <w:sz w:val="20"/>
                <w:szCs w:val="20"/>
                <w:color w:val="auto"/>
              </w:rPr>
            </w:pPr>
            <w:r>
              <w:rPr>
                <w:rFonts w:ascii="Arial" w:cs="Arial" w:eastAsia="Arial" w:hAnsi="Arial"/>
                <w:sz w:val="18"/>
                <w:szCs w:val="18"/>
                <w:color w:val="auto"/>
                <w:w w:val="90"/>
              </w:rPr>
              <w:t>Reports, Certificates and Other Information</w:t>
            </w:r>
          </w:p>
        </w:tc>
        <w:tc>
          <w:tcPr>
            <w:tcW w:w="700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7.02</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Books, Records and Inspections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80</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700" w:type="dxa"/>
            <w:vAlign w:val="bottom"/>
            <w:tcBorders>
              <w:bottom w:val="single" w:sz="8" w:color="auto"/>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w w:val="85"/>
              </w:rPr>
              <w:t>Insurance</w:t>
            </w:r>
          </w:p>
        </w:tc>
        <w:tc>
          <w:tcPr>
            <w:tcW w:w="9440" w:type="dxa"/>
            <w:vAlign w:val="bottom"/>
            <w:tcBorders>
              <w:bottom w:val="single" w:sz="8" w:color="CCEEFF"/>
            </w:tcBorders>
            <w:gridSpan w:val="3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Compliance with Laws; Payment of Taxes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81</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Maintenance of Existence, etc</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81</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7.06</w:t>
            </w:r>
          </w:p>
        </w:tc>
        <w:tc>
          <w:tcPr>
            <w:tcW w:w="2160" w:type="dxa"/>
            <w:vAlign w:val="bottom"/>
            <w:tcBorders>
              <w:top w:val="single" w:sz="8" w:color="auto"/>
            </w:tcBorders>
            <w:gridSpan w:val="26"/>
          </w:tcPr>
          <w:p>
            <w:pPr>
              <w:spacing w:after="0" w:line="202" w:lineRule="exact"/>
              <w:rPr>
                <w:sz w:val="20"/>
                <w:szCs w:val="20"/>
                <w:color w:val="auto"/>
              </w:rPr>
            </w:pPr>
            <w:r>
              <w:rPr>
                <w:rFonts w:ascii="Arial" w:cs="Arial" w:eastAsia="Arial" w:hAnsi="Arial"/>
                <w:sz w:val="18"/>
                <w:szCs w:val="18"/>
                <w:color w:val="auto"/>
              </w:rPr>
              <w:t>Financial Covenants</w:t>
            </w:r>
          </w:p>
        </w:tc>
        <w:tc>
          <w:tcPr>
            <w:tcW w:w="798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81</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w:t>
            </w:r>
          </w:p>
        </w:tc>
        <w:tc>
          <w:tcPr>
            <w:tcW w:w="10140" w:type="dxa"/>
            <w:vAlign w:val="bottom"/>
            <w:gridSpan w:val="37"/>
            <w:shd w:val="clear" w:color="auto" w:fill="CCEEFF"/>
          </w:tcPr>
          <w:p>
            <w:pPr>
              <w:spacing w:after="0" w:line="202" w:lineRule="exact"/>
              <w:rPr>
                <w:sz w:val="20"/>
                <w:szCs w:val="20"/>
                <w:color w:val="auto"/>
              </w:rPr>
            </w:pPr>
            <w:r>
              <w:rPr>
                <w:rFonts w:ascii="Arial" w:cs="Arial" w:eastAsia="Arial" w:hAnsi="Arial"/>
                <w:sz w:val="18"/>
                <w:szCs w:val="18"/>
                <w:color w:val="auto"/>
              </w:rPr>
              <w:t>Limitations on Debt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82</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7.08</w:t>
            </w:r>
          </w:p>
        </w:tc>
        <w:tc>
          <w:tcPr>
            <w:tcW w:w="1440" w:type="dxa"/>
            <w:vAlign w:val="bottom"/>
            <w:tcBorders>
              <w:top w:val="single" w:sz="8" w:color="auto"/>
            </w:tcBorders>
            <w:gridSpan w:val="14"/>
          </w:tcPr>
          <w:p>
            <w:pPr>
              <w:spacing w:after="0" w:line="202" w:lineRule="exact"/>
              <w:rPr>
                <w:sz w:val="20"/>
                <w:szCs w:val="20"/>
                <w:color w:val="auto"/>
              </w:rPr>
            </w:pPr>
            <w:r>
              <w:rPr>
                <w:rFonts w:ascii="Arial" w:cs="Arial" w:eastAsia="Arial" w:hAnsi="Arial"/>
                <w:sz w:val="18"/>
                <w:szCs w:val="18"/>
                <w:color w:val="auto"/>
              </w:rPr>
              <w:t>Liens</w:t>
            </w:r>
          </w:p>
        </w:tc>
        <w:tc>
          <w:tcPr>
            <w:tcW w:w="8700" w:type="dxa"/>
            <w:vAlign w:val="bottom"/>
            <w:tcBorders>
              <w:top w:val="single" w:sz="8" w:color="CCEEFF"/>
            </w:tcBorders>
            <w:gridSpan w:val="23"/>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83</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c>
          <w:tcPr>
            <w:tcW w:w="3240" w:type="dxa"/>
            <w:vAlign w:val="bottom"/>
            <w:tcBorders>
              <w:bottom w:val="single" w:sz="8" w:color="auto"/>
            </w:tcBorders>
            <w:gridSpan w:val="35"/>
            <w:shd w:val="clear" w:color="auto" w:fill="CCEEFF"/>
          </w:tcPr>
          <w:p>
            <w:pPr>
              <w:spacing w:after="0" w:line="202" w:lineRule="exact"/>
              <w:rPr>
                <w:sz w:val="20"/>
                <w:szCs w:val="20"/>
                <w:color w:val="auto"/>
              </w:rPr>
            </w:pPr>
            <w:r>
              <w:rPr>
                <w:rFonts w:ascii="Arial" w:cs="Arial" w:eastAsia="Arial" w:hAnsi="Arial"/>
                <w:sz w:val="18"/>
                <w:szCs w:val="18"/>
                <w:color w:val="auto"/>
                <w:w w:val="88"/>
              </w:rPr>
              <w:t>Fundamental Changes, Consolidations, Sales</w:t>
            </w:r>
          </w:p>
        </w:tc>
        <w:tc>
          <w:tcPr>
            <w:tcW w:w="69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86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7.10</w:t>
            </w:r>
          </w:p>
        </w:tc>
        <w:tc>
          <w:tcPr>
            <w:tcW w:w="10140" w:type="dxa"/>
            <w:vAlign w:val="bottom"/>
            <w:gridSpan w:val="37"/>
          </w:tcPr>
          <w:p>
            <w:pPr>
              <w:spacing w:after="0" w:line="202" w:lineRule="exact"/>
              <w:rPr>
                <w:sz w:val="20"/>
                <w:szCs w:val="20"/>
                <w:color w:val="auto"/>
              </w:rPr>
            </w:pPr>
            <w:r>
              <w:rPr>
                <w:rFonts w:ascii="Arial" w:cs="Arial" w:eastAsia="Arial" w:hAnsi="Arial"/>
                <w:sz w:val="18"/>
                <w:szCs w:val="18"/>
                <w:color w:val="auto"/>
              </w:rPr>
              <w:t>Use of Proceeds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87</w:t>
              </w:r>
            </w:hyperlink>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7160" w:type="dxa"/>
            <w:vAlign w:val="bottom"/>
            <w:gridSpan w:val="33"/>
            <w:shd w:val="clear" w:color="auto" w:fill="CCEEFF"/>
          </w:tcPr>
          <w:p>
            <w:pPr>
              <w:spacing w:after="0"/>
              <w:rPr>
                <w:sz w:val="20"/>
                <w:szCs w:val="20"/>
                <w:color w:val="auto"/>
              </w:rPr>
            </w:pPr>
            <w:r>
              <w:rPr>
                <w:rFonts w:ascii="Arial" w:cs="Arial" w:eastAsia="Arial" w:hAnsi="Arial"/>
                <w:sz w:val="18"/>
                <w:szCs w:val="18"/>
                <w:color w:val="auto"/>
              </w:rPr>
              <w:t>Further Assurances</w:t>
            </w:r>
          </w:p>
        </w:tc>
        <w:tc>
          <w:tcPr>
            <w:tcW w:w="3180" w:type="dxa"/>
            <w:vAlign w:val="bottom"/>
            <w:gridSpan w:val="4"/>
            <w:shd w:val="clear" w:color="auto" w:fill="CCEEFF"/>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87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Transactions with Affiliates</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17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w w:val="89"/>
              </w:rPr>
              <w:t>Employee Benefit Plans</w:t>
            </w:r>
          </w:p>
        </w:tc>
        <w:tc>
          <w:tcPr>
            <w:tcW w:w="5420" w:type="dxa"/>
            <w:vAlign w:val="bottom"/>
            <w:gridSpan w:val="16"/>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7.14</w:t>
            </w:r>
          </w:p>
        </w:tc>
        <w:tc>
          <w:tcPr>
            <w:tcW w:w="1740" w:type="dxa"/>
            <w:vAlign w:val="bottom"/>
            <w:gridSpan w:val="17"/>
          </w:tcPr>
          <w:p>
            <w:pPr>
              <w:spacing w:after="0" w:line="202" w:lineRule="exact"/>
              <w:rPr>
                <w:sz w:val="20"/>
                <w:szCs w:val="20"/>
                <w:color w:val="auto"/>
              </w:rPr>
            </w:pPr>
            <w:r>
              <w:rPr>
                <w:rFonts w:ascii="Arial" w:cs="Arial" w:eastAsia="Arial" w:hAnsi="Arial"/>
                <w:sz w:val="18"/>
                <w:szCs w:val="18"/>
                <w:color w:val="auto"/>
              </w:rPr>
              <w:t>Environmental Laws</w:t>
            </w:r>
          </w:p>
        </w:tc>
        <w:tc>
          <w:tcPr>
            <w:tcW w:w="5420" w:type="dxa"/>
            <w:vAlign w:val="bottom"/>
            <w:gridSpan w:val="16"/>
          </w:tcPr>
          <w:p>
            <w:pPr>
              <w:spacing w:after="0"/>
              <w:rPr>
                <w:sz w:val="17"/>
                <w:szCs w:val="17"/>
                <w:color w:val="auto"/>
              </w:rPr>
            </w:pP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88</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w:t>
            </w:r>
          </w:p>
        </w:tc>
        <w:tc>
          <w:tcPr>
            <w:tcW w:w="138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color w:val="auto"/>
                <w:w w:val="91"/>
              </w:rPr>
              <w:t>Business Activities</w:t>
            </w:r>
          </w:p>
        </w:tc>
        <w:tc>
          <w:tcPr>
            <w:tcW w:w="5780" w:type="dxa"/>
            <w:vAlign w:val="bottom"/>
            <w:gridSpan w:val="24"/>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89</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7.16</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Non-Guarantor Domestic Subsidiaries</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89</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w:t>
            </w:r>
          </w:p>
        </w:tc>
        <w:tc>
          <w:tcPr>
            <w:tcW w:w="7160" w:type="dxa"/>
            <w:vAlign w:val="bottom"/>
            <w:gridSpan w:val="33"/>
            <w:shd w:val="clear" w:color="auto" w:fill="CCEEFF"/>
          </w:tcPr>
          <w:p>
            <w:pPr>
              <w:spacing w:after="0" w:line="202" w:lineRule="exact"/>
              <w:rPr>
                <w:sz w:val="20"/>
                <w:szCs w:val="20"/>
                <w:color w:val="auto"/>
              </w:rPr>
            </w:pPr>
            <w:r>
              <w:rPr>
                <w:rFonts w:ascii="Arial" w:cs="Arial" w:eastAsia="Arial" w:hAnsi="Arial"/>
                <w:sz w:val="18"/>
                <w:szCs w:val="18"/>
                <w:color w:val="auto"/>
              </w:rPr>
              <w:t>Investments</w:t>
            </w: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89</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Burdensome Agreements</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90</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w:t>
            </w:r>
          </w:p>
        </w:tc>
        <w:tc>
          <w:tcPr>
            <w:tcW w:w="180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auto"/>
                <w:w w:val="89"/>
              </w:rPr>
              <w:t>Organization Documents</w:t>
            </w:r>
          </w:p>
        </w:tc>
        <w:tc>
          <w:tcPr>
            <w:tcW w:w="5360" w:type="dxa"/>
            <w:vAlign w:val="bottom"/>
            <w:gridSpan w:val="14"/>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91</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1800" w:type="dxa"/>
            <w:vAlign w:val="bottom"/>
            <w:gridSpan w:val="19"/>
          </w:tcPr>
          <w:p>
            <w:pPr>
              <w:spacing w:after="0" w:line="202" w:lineRule="exact"/>
              <w:rPr>
                <w:sz w:val="20"/>
                <w:szCs w:val="20"/>
                <w:color w:val="auto"/>
              </w:rPr>
            </w:pPr>
            <w:r>
              <w:rPr>
                <w:rFonts w:ascii="Arial" w:cs="Arial" w:eastAsia="Arial" w:hAnsi="Arial"/>
                <w:sz w:val="18"/>
                <w:szCs w:val="18"/>
                <w:color w:val="auto"/>
              </w:rPr>
              <w:t>Sanctions</w:t>
            </w:r>
          </w:p>
        </w:tc>
        <w:tc>
          <w:tcPr>
            <w:tcW w:w="5360" w:type="dxa"/>
            <w:vAlign w:val="bottom"/>
            <w:gridSpan w:val="14"/>
          </w:tcPr>
          <w:p>
            <w:pPr>
              <w:spacing w:after="0"/>
              <w:rPr>
                <w:sz w:val="17"/>
                <w:szCs w:val="17"/>
                <w:color w:val="auto"/>
              </w:rPr>
            </w:pP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91</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1600" w:type="dxa"/>
            <w:vAlign w:val="bottom"/>
            <w:gridSpan w:val="13"/>
            <w:shd w:val="clear" w:color="auto" w:fill="CCEEFF"/>
          </w:tcPr>
          <w:p>
            <w:pPr>
              <w:spacing w:after="0" w:line="202" w:lineRule="exact"/>
              <w:rPr>
                <w:sz w:val="20"/>
                <w:szCs w:val="20"/>
                <w:color w:val="auto"/>
              </w:rPr>
            </w:pPr>
            <w:r>
              <w:rPr>
                <w:rFonts w:ascii="Arial" w:cs="Arial" w:eastAsia="Arial" w:hAnsi="Arial"/>
                <w:sz w:val="18"/>
                <w:szCs w:val="18"/>
                <w:color w:val="auto"/>
                <w:w w:val="93"/>
              </w:rPr>
              <w:t>Anti-Corruption Laws</w:t>
            </w:r>
          </w:p>
        </w:tc>
        <w:tc>
          <w:tcPr>
            <w:tcW w:w="5560" w:type="dxa"/>
            <w:vAlign w:val="bottom"/>
            <w:gridSpan w:val="20"/>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91</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240" w:type="dxa"/>
            <w:vAlign w:val="bottom"/>
            <w:gridSpan w:val="34"/>
          </w:tcPr>
          <w:p>
            <w:pPr>
              <w:ind w:left="40"/>
              <w:spacing w:after="0" w:line="202" w:lineRule="exact"/>
              <w:rPr>
                <w:sz w:val="20"/>
                <w:szCs w:val="20"/>
                <w:color w:val="auto"/>
              </w:rPr>
            </w:pPr>
            <w:r>
              <w:rPr>
                <w:rFonts w:ascii="Arial" w:cs="Arial" w:eastAsia="Arial" w:hAnsi="Arial"/>
                <w:sz w:val="18"/>
                <w:szCs w:val="18"/>
                <w:color w:val="auto"/>
              </w:rPr>
              <w:t>ARTICLE VIII [RESERVED]</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91</w:t>
              </w:r>
            </w:hyperlink>
          </w:p>
        </w:tc>
      </w:tr>
      <w:tr>
        <w:trPr>
          <w:trHeight w:val="48"/>
        </w:trPr>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240" w:type="dxa"/>
            <w:vAlign w:val="bottom"/>
            <w:gridSpan w:val="34"/>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IX EVENTS OF DEFAULT AND REMEDIES</w:t>
            </w: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91</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Events of Default</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91</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40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auto"/>
                <w:w w:val="90"/>
              </w:rPr>
              <w:t>Remedies Upon Event of Default</w:t>
            </w:r>
          </w:p>
        </w:tc>
        <w:tc>
          <w:tcPr>
            <w:tcW w:w="4760" w:type="dxa"/>
            <w:vAlign w:val="bottom"/>
            <w:gridSpan w:val="10"/>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93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9.03</w:t>
            </w:r>
          </w:p>
        </w:tc>
        <w:tc>
          <w:tcPr>
            <w:tcW w:w="2400" w:type="dxa"/>
            <w:vAlign w:val="bottom"/>
            <w:gridSpan w:val="23"/>
          </w:tcPr>
          <w:p>
            <w:pPr>
              <w:spacing w:after="0" w:line="202" w:lineRule="exact"/>
              <w:rPr>
                <w:sz w:val="20"/>
                <w:szCs w:val="20"/>
                <w:color w:val="auto"/>
              </w:rPr>
            </w:pPr>
            <w:r>
              <w:rPr>
                <w:rFonts w:ascii="Arial" w:cs="Arial" w:eastAsia="Arial" w:hAnsi="Arial"/>
                <w:sz w:val="18"/>
                <w:szCs w:val="18"/>
                <w:color w:val="auto"/>
              </w:rPr>
              <w:t>Application of Funds</w:t>
            </w:r>
          </w:p>
        </w:tc>
        <w:tc>
          <w:tcPr>
            <w:tcW w:w="4760" w:type="dxa"/>
            <w:vAlign w:val="bottom"/>
            <w:gridSpan w:val="10"/>
          </w:tcPr>
          <w:p>
            <w:pPr>
              <w:spacing w:after="0"/>
              <w:rPr>
                <w:sz w:val="17"/>
                <w:szCs w:val="17"/>
                <w:color w:val="auto"/>
              </w:rPr>
            </w:pP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94</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240" w:type="dxa"/>
            <w:vAlign w:val="bottom"/>
            <w:gridSpan w:val="34"/>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X ADMINISTRATIVE AGENT</w:t>
            </w: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95</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10.01</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Appointment and Authority</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95</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134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color w:val="auto"/>
                <w:w w:val="87"/>
              </w:rPr>
              <w:t>Rights as a Lender</w:t>
            </w:r>
          </w:p>
        </w:tc>
        <w:tc>
          <w:tcPr>
            <w:tcW w:w="5820" w:type="dxa"/>
            <w:vAlign w:val="bottom"/>
            <w:gridSpan w:val="25"/>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95</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10.03</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Exculpatory Provisions</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96</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w:t>
            </w:r>
          </w:p>
        </w:tc>
        <w:tc>
          <w:tcPr>
            <w:tcW w:w="246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auto"/>
                <w:w w:val="92"/>
              </w:rPr>
              <w:t>Reliance by Administrative Agent</w:t>
            </w:r>
          </w:p>
        </w:tc>
        <w:tc>
          <w:tcPr>
            <w:tcW w:w="4700" w:type="dxa"/>
            <w:vAlign w:val="bottom"/>
            <w:gridSpan w:val="9"/>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97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2460" w:type="dxa"/>
            <w:vAlign w:val="bottom"/>
            <w:gridSpan w:val="24"/>
          </w:tcPr>
          <w:p>
            <w:pPr>
              <w:spacing w:after="0" w:line="202" w:lineRule="exact"/>
              <w:rPr>
                <w:sz w:val="20"/>
                <w:szCs w:val="20"/>
                <w:color w:val="auto"/>
              </w:rPr>
            </w:pPr>
            <w:r>
              <w:rPr>
                <w:rFonts w:ascii="Arial" w:cs="Arial" w:eastAsia="Arial" w:hAnsi="Arial"/>
                <w:sz w:val="18"/>
                <w:szCs w:val="18"/>
                <w:color w:val="auto"/>
              </w:rPr>
              <w:t>Delegation of Duties</w:t>
            </w:r>
          </w:p>
        </w:tc>
        <w:tc>
          <w:tcPr>
            <w:tcW w:w="4700" w:type="dxa"/>
            <w:vAlign w:val="bottom"/>
            <w:gridSpan w:val="9"/>
          </w:tcPr>
          <w:p>
            <w:pPr>
              <w:spacing w:after="0"/>
              <w:rPr>
                <w:sz w:val="17"/>
                <w:szCs w:val="17"/>
                <w:color w:val="auto"/>
              </w:rPr>
            </w:pP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97</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10.06</w:t>
            </w:r>
          </w:p>
        </w:tc>
        <w:tc>
          <w:tcPr>
            <w:tcW w:w="26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auto"/>
                <w:w w:val="92"/>
              </w:rPr>
              <w:t>Resignation of Administrative Agent</w:t>
            </w:r>
          </w:p>
        </w:tc>
        <w:tc>
          <w:tcPr>
            <w:tcW w:w="4500" w:type="dxa"/>
            <w:vAlign w:val="bottom"/>
            <w:gridSpan w:val="8"/>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97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10.07</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Non-Reliance on Administrative Agent and Other Lenders</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w:t>
            </w:r>
          </w:p>
        </w:tc>
        <w:tc>
          <w:tcPr>
            <w:tcW w:w="1520" w:type="dxa"/>
            <w:vAlign w:val="bottom"/>
            <w:gridSpan w:val="12"/>
            <w:shd w:val="clear" w:color="auto" w:fill="CCEEFF"/>
          </w:tcPr>
          <w:p>
            <w:pPr>
              <w:spacing w:after="0" w:line="202" w:lineRule="exact"/>
              <w:rPr>
                <w:sz w:val="20"/>
                <w:szCs w:val="20"/>
                <w:color w:val="auto"/>
              </w:rPr>
            </w:pPr>
            <w:r>
              <w:rPr>
                <w:rFonts w:ascii="Arial" w:cs="Arial" w:eastAsia="Arial" w:hAnsi="Arial"/>
                <w:sz w:val="18"/>
                <w:szCs w:val="18"/>
                <w:color w:val="auto"/>
                <w:w w:val="90"/>
              </w:rPr>
              <w:t>No Other Duties; Etc</w:t>
            </w:r>
          </w:p>
        </w:tc>
        <w:tc>
          <w:tcPr>
            <w:tcW w:w="5640" w:type="dxa"/>
            <w:vAlign w:val="bottom"/>
            <w:gridSpan w:val="21"/>
            <w:shd w:val="clear" w:color="auto" w:fill="CCEEFF"/>
          </w:tcPr>
          <w:p>
            <w:pPr>
              <w:spacing w:after="0"/>
              <w:rPr>
                <w:sz w:val="17"/>
                <w:szCs w:val="17"/>
                <w:color w:val="auto"/>
              </w:rPr>
            </w:pP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Administrative Agent May File Proofs of Claim</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1260" w:type="dxa"/>
            <w:vAlign w:val="bottom"/>
            <w:tcBorders>
              <w:bottom w:val="single" w:sz="8" w:color="auto"/>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89"/>
              </w:rPr>
              <w:t>Guaranty Matters</w:t>
            </w:r>
          </w:p>
        </w:tc>
        <w:tc>
          <w:tcPr>
            <w:tcW w:w="5900" w:type="dxa"/>
            <w:vAlign w:val="bottom"/>
            <w:tcBorders>
              <w:bottom w:val="single" w:sz="8" w:color="CCEEFF"/>
            </w:tcBorders>
            <w:gridSpan w:val="27"/>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Treasury Management Agreements and Hedge Agreements</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100</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240" w:type="dxa"/>
            <w:vAlign w:val="bottom"/>
            <w:tcBorders>
              <w:bottom w:val="single" w:sz="8" w:color="CCEEFF"/>
            </w:tcBorders>
            <w:gridSpan w:val="34"/>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XI MISCELLANEOUS</w:t>
            </w: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11.01</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Amendments, Etc</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100</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11.02</w:t>
            </w:r>
          </w:p>
        </w:tc>
        <w:tc>
          <w:tcPr>
            <w:tcW w:w="3720" w:type="dxa"/>
            <w:vAlign w:val="bottom"/>
            <w:tcBorders>
              <w:bottom w:val="single" w:sz="8" w:color="auto"/>
            </w:tcBorders>
            <w:gridSpan w:val="30"/>
            <w:shd w:val="clear" w:color="auto" w:fill="CCEEFF"/>
          </w:tcPr>
          <w:p>
            <w:pPr>
              <w:spacing w:after="0" w:line="202" w:lineRule="exact"/>
              <w:rPr>
                <w:sz w:val="20"/>
                <w:szCs w:val="20"/>
                <w:color w:val="auto"/>
              </w:rPr>
            </w:pPr>
            <w:r>
              <w:rPr>
                <w:rFonts w:ascii="Arial" w:cs="Arial" w:eastAsia="Arial" w:hAnsi="Arial"/>
                <w:sz w:val="18"/>
                <w:szCs w:val="18"/>
                <w:color w:val="auto"/>
                <w:w w:val="91"/>
              </w:rPr>
              <w:t>Notices; Effectiveness; Electronic Communications</w:t>
            </w:r>
          </w:p>
        </w:tc>
        <w:tc>
          <w:tcPr>
            <w:tcW w:w="3440" w:type="dxa"/>
            <w:vAlign w:val="bottom"/>
            <w:tcBorders>
              <w:bottom w:val="single" w:sz="8" w:color="CCEEFF"/>
            </w:tcBorders>
            <w:gridSpan w:val="3"/>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11.03</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No Waiver; Cumulative Remedies; Enforcement</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104</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11.04</w:t>
            </w:r>
          </w:p>
        </w:tc>
        <w:tc>
          <w:tcPr>
            <w:tcW w:w="7160" w:type="dxa"/>
            <w:vAlign w:val="bottom"/>
            <w:gridSpan w:val="33"/>
            <w:shd w:val="clear" w:color="auto" w:fill="CCEEFF"/>
          </w:tcPr>
          <w:p>
            <w:pPr>
              <w:spacing w:after="0" w:line="202" w:lineRule="exact"/>
              <w:rPr>
                <w:sz w:val="20"/>
                <w:szCs w:val="20"/>
                <w:color w:val="auto"/>
              </w:rPr>
            </w:pPr>
            <w:r>
              <w:rPr>
                <w:rFonts w:ascii="Arial" w:cs="Arial" w:eastAsia="Arial" w:hAnsi="Arial"/>
                <w:sz w:val="18"/>
                <w:szCs w:val="18"/>
                <w:color w:val="auto"/>
              </w:rPr>
              <w:t>Expenses; Indemnity; Damage Waiver</w:t>
            </w: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105</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11.05</w:t>
            </w:r>
          </w:p>
        </w:tc>
        <w:tc>
          <w:tcPr>
            <w:tcW w:w="2760" w:type="dxa"/>
            <w:vAlign w:val="bottom"/>
            <w:tcBorders>
              <w:top w:val="single" w:sz="8" w:color="auto"/>
            </w:tcBorders>
            <w:gridSpan w:val="26"/>
          </w:tcPr>
          <w:p>
            <w:pPr>
              <w:spacing w:after="0" w:line="202" w:lineRule="exact"/>
              <w:rPr>
                <w:sz w:val="20"/>
                <w:szCs w:val="20"/>
                <w:color w:val="auto"/>
              </w:rPr>
            </w:pPr>
            <w:r>
              <w:rPr>
                <w:rFonts w:ascii="Arial" w:cs="Arial" w:eastAsia="Arial" w:hAnsi="Arial"/>
                <w:sz w:val="18"/>
                <w:szCs w:val="18"/>
                <w:color w:val="auto"/>
              </w:rPr>
              <w:t>Payments Set Aside</w:t>
            </w:r>
          </w:p>
        </w:tc>
        <w:tc>
          <w:tcPr>
            <w:tcW w:w="4400" w:type="dxa"/>
            <w:vAlign w:val="bottom"/>
            <w:tcBorders>
              <w:top w:val="single" w:sz="8" w:color="CCEEFF"/>
            </w:tcBorders>
            <w:gridSpan w:val="7"/>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107</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11.06</w:t>
            </w:r>
          </w:p>
        </w:tc>
        <w:tc>
          <w:tcPr>
            <w:tcW w:w="7160" w:type="dxa"/>
            <w:vAlign w:val="bottom"/>
            <w:gridSpan w:val="33"/>
            <w:shd w:val="clear" w:color="auto" w:fill="CCEEFF"/>
          </w:tcPr>
          <w:p>
            <w:pPr>
              <w:spacing w:after="0" w:line="202" w:lineRule="exact"/>
              <w:rPr>
                <w:sz w:val="20"/>
                <w:szCs w:val="20"/>
                <w:color w:val="auto"/>
              </w:rPr>
            </w:pPr>
            <w:r>
              <w:rPr>
                <w:rFonts w:ascii="Arial" w:cs="Arial" w:eastAsia="Arial" w:hAnsi="Arial"/>
                <w:sz w:val="18"/>
                <w:szCs w:val="18"/>
                <w:color w:val="auto"/>
              </w:rPr>
              <w:t>Successors and Assigns</w:t>
            </w: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107</w:t>
              </w:r>
            </w:hyperlink>
          </w:p>
        </w:tc>
      </w:tr>
      <w:tr>
        <w:trPr>
          <w:trHeight w:val="203"/>
        </w:trPr>
        <w:tc>
          <w:tcPr>
            <w:tcW w:w="10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11.07</w:t>
            </w:r>
          </w:p>
        </w:tc>
        <w:tc>
          <w:tcPr>
            <w:tcW w:w="1700" w:type="dxa"/>
            <w:vAlign w:val="bottom"/>
            <w:tcBorders>
              <w:top w:val="single" w:sz="8" w:color="auto"/>
            </w:tcBorders>
            <w:gridSpan w:val="15"/>
          </w:tcPr>
          <w:p>
            <w:pPr>
              <w:spacing w:after="0" w:line="202" w:lineRule="exact"/>
              <w:rPr>
                <w:sz w:val="20"/>
                <w:szCs w:val="20"/>
                <w:color w:val="auto"/>
              </w:rPr>
            </w:pPr>
            <w:r>
              <w:rPr>
                <w:rFonts w:ascii="Arial" w:cs="Arial" w:eastAsia="Arial" w:hAnsi="Arial"/>
                <w:sz w:val="18"/>
                <w:szCs w:val="18"/>
                <w:color w:val="auto"/>
              </w:rPr>
              <w:t>Confidentiality</w:t>
            </w:r>
          </w:p>
        </w:tc>
        <w:tc>
          <w:tcPr>
            <w:tcW w:w="5460" w:type="dxa"/>
            <w:vAlign w:val="bottom"/>
            <w:tcBorders>
              <w:top w:val="single" w:sz="8" w:color="CCEEFF"/>
            </w:tcBorders>
            <w:gridSpan w:val="18"/>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113</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11.08</w:t>
            </w:r>
          </w:p>
        </w:tc>
        <w:tc>
          <w:tcPr>
            <w:tcW w:w="5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Set-off</w:t>
            </w:r>
          </w:p>
        </w:tc>
        <w:tc>
          <w:tcPr>
            <w:tcW w:w="6660" w:type="dxa"/>
            <w:vAlign w:val="bottom"/>
            <w:tcBorders>
              <w:bottom w:val="single" w:sz="8" w:color="CCEEFF"/>
            </w:tcBorders>
            <w:gridSpan w:val="32"/>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114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Interest Rate Limitation</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115</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w:t>
            </w:r>
          </w:p>
        </w:tc>
        <w:tc>
          <w:tcPr>
            <w:tcW w:w="7160" w:type="dxa"/>
            <w:vAlign w:val="bottom"/>
            <w:gridSpan w:val="33"/>
            <w:shd w:val="clear" w:color="auto" w:fill="CCEEFF"/>
          </w:tcPr>
          <w:p>
            <w:pPr>
              <w:spacing w:after="0" w:line="202" w:lineRule="exact"/>
              <w:rPr>
                <w:sz w:val="20"/>
                <w:szCs w:val="20"/>
                <w:color w:val="auto"/>
              </w:rPr>
            </w:pPr>
            <w:r>
              <w:rPr>
                <w:rFonts w:ascii="Arial" w:cs="Arial" w:eastAsia="Arial" w:hAnsi="Arial"/>
                <w:sz w:val="18"/>
                <w:szCs w:val="18"/>
                <w:color w:val="auto"/>
              </w:rPr>
              <w:t>Counterparts</w:t>
            </w: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115</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11.11</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Integration; Effectiveness</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115</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11.12</w:t>
            </w:r>
          </w:p>
        </w:tc>
        <w:tc>
          <w:tcPr>
            <w:tcW w:w="3120" w:type="dxa"/>
            <w:vAlign w:val="bottom"/>
            <w:tcBorders>
              <w:bottom w:val="single" w:sz="8" w:color="auto"/>
            </w:tcBorders>
            <w:gridSpan w:val="27"/>
            <w:shd w:val="clear" w:color="auto" w:fill="CCEEFF"/>
          </w:tcPr>
          <w:p>
            <w:pPr>
              <w:spacing w:after="0" w:line="202" w:lineRule="exact"/>
              <w:rPr>
                <w:sz w:val="20"/>
                <w:szCs w:val="20"/>
                <w:color w:val="auto"/>
              </w:rPr>
            </w:pPr>
            <w:r>
              <w:rPr>
                <w:rFonts w:ascii="Arial" w:cs="Arial" w:eastAsia="Arial" w:hAnsi="Arial"/>
                <w:sz w:val="18"/>
                <w:szCs w:val="18"/>
                <w:color w:val="auto"/>
                <w:w w:val="89"/>
              </w:rPr>
              <w:t>Survival of Representations and Warranties</w:t>
            </w:r>
          </w:p>
        </w:tc>
        <w:tc>
          <w:tcPr>
            <w:tcW w:w="4040" w:type="dxa"/>
            <w:vAlign w:val="bottom"/>
            <w:tcBorders>
              <w:bottom w:val="single" w:sz="8" w:color="CCEEFF"/>
            </w:tcBorders>
            <w:gridSpan w:val="6"/>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115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11.13</w:t>
            </w:r>
          </w:p>
        </w:tc>
        <w:tc>
          <w:tcPr>
            <w:tcW w:w="7160" w:type="dxa"/>
            <w:vAlign w:val="bottom"/>
            <w:gridSpan w:val="33"/>
          </w:tcPr>
          <w:p>
            <w:pPr>
              <w:spacing w:after="0" w:line="202" w:lineRule="exact"/>
              <w:rPr>
                <w:sz w:val="20"/>
                <w:szCs w:val="20"/>
                <w:color w:val="auto"/>
              </w:rPr>
            </w:pPr>
            <w:r>
              <w:rPr>
                <w:rFonts w:ascii="Arial" w:cs="Arial" w:eastAsia="Arial" w:hAnsi="Arial"/>
                <w:sz w:val="18"/>
                <w:szCs w:val="18"/>
                <w:color w:val="auto"/>
              </w:rPr>
              <w:t>Severability</w:t>
            </w:r>
          </w:p>
        </w:tc>
        <w:tc>
          <w:tcPr>
            <w:tcW w:w="3180" w:type="dxa"/>
            <w:vAlign w:val="bottom"/>
            <w:gridSpan w:val="4"/>
          </w:tcPr>
          <w:p>
            <w:pPr>
              <w:jc w:val="right"/>
              <w:ind w:right="2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116</w:t>
              </w:r>
            </w:hyperlink>
          </w:p>
        </w:tc>
      </w:tr>
      <w:tr>
        <w:trPr>
          <w:trHeight w:val="48"/>
        </w:trPr>
        <w:tc>
          <w:tcPr>
            <w:tcW w:w="10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11.14</w:t>
            </w:r>
          </w:p>
        </w:tc>
        <w:tc>
          <w:tcPr>
            <w:tcW w:w="7160" w:type="dxa"/>
            <w:vAlign w:val="bottom"/>
            <w:gridSpan w:val="33"/>
            <w:shd w:val="clear" w:color="auto" w:fill="CCEEFF"/>
          </w:tcPr>
          <w:p>
            <w:pPr>
              <w:spacing w:after="0" w:line="202" w:lineRule="exact"/>
              <w:rPr>
                <w:sz w:val="20"/>
                <w:szCs w:val="20"/>
                <w:color w:val="auto"/>
              </w:rPr>
            </w:pPr>
            <w:r>
              <w:rPr>
                <w:rFonts w:ascii="Arial" w:cs="Arial" w:eastAsia="Arial" w:hAnsi="Arial"/>
                <w:sz w:val="18"/>
                <w:szCs w:val="18"/>
                <w:color w:val="auto"/>
              </w:rPr>
              <w:t>Replacement of Lenders</w:t>
            </w:r>
          </w:p>
        </w:tc>
        <w:tc>
          <w:tcPr>
            <w:tcW w:w="31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116</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700" w:type="dxa"/>
            <w:vAlign w:val="bottom"/>
            <w:gridSpan w:val="13"/>
          </w:tcPr>
          <w:p>
            <w:pPr>
              <w:ind w:left="620"/>
              <w:spacing w:after="0"/>
              <w:rPr>
                <w:sz w:val="20"/>
                <w:szCs w:val="20"/>
                <w:color w:val="auto"/>
              </w:rPr>
            </w:pPr>
            <w:r>
              <w:rPr>
                <w:rFonts w:ascii="Arial" w:cs="Arial" w:eastAsia="Arial" w:hAnsi="Arial"/>
                <w:sz w:val="18"/>
                <w:szCs w:val="18"/>
                <w:color w:val="auto"/>
              </w:rPr>
              <w:t>11.15 Governing Law</w:t>
            </w:r>
          </w:p>
        </w:tc>
        <w:tc>
          <w:tcPr>
            <w:tcW w:w="2720" w:type="dxa"/>
            <w:vAlign w:val="bottom"/>
            <w:gridSpan w:val="3"/>
          </w:tcPr>
          <w:p>
            <w:pPr>
              <w:jc w:val="right"/>
              <w:ind w:right="20"/>
              <w:spacing w:after="0"/>
              <w:rPr>
                <w:rFonts w:ascii="Arial" w:cs="Arial" w:eastAsia="Arial" w:hAnsi="Arial"/>
                <w:sz w:val="18"/>
                <w:szCs w:val="18"/>
                <w:color w:val="0000EE"/>
              </w:rPr>
            </w:pPr>
            <w:hyperlink w:anchor="page124">
              <w:r>
                <w:rPr>
                  <w:rFonts w:ascii="Arial" w:cs="Arial" w:eastAsia="Arial" w:hAnsi="Arial"/>
                  <w:sz w:val="18"/>
                  <w:szCs w:val="18"/>
                  <w:color w:val="0000EE"/>
                </w:rPr>
                <w:t>117</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700" w:type="dxa"/>
            <w:vAlign w:val="bottom"/>
            <w:gridSpan w:val="13"/>
            <w:shd w:val="clear" w:color="auto" w:fill="CCEEFF"/>
          </w:tcPr>
          <w:p>
            <w:pPr>
              <w:ind w:left="620"/>
              <w:spacing w:after="0" w:line="202" w:lineRule="exact"/>
              <w:rPr>
                <w:sz w:val="20"/>
                <w:szCs w:val="20"/>
                <w:color w:val="auto"/>
              </w:rPr>
            </w:pPr>
            <w:r>
              <w:rPr>
                <w:rFonts w:ascii="Arial" w:cs="Arial" w:eastAsia="Arial" w:hAnsi="Arial"/>
                <w:sz w:val="18"/>
                <w:szCs w:val="18"/>
                <w:color w:val="auto"/>
              </w:rPr>
              <w:t>11.16 Waiver of Right to Trial by Jury</w:t>
            </w:r>
          </w:p>
        </w:tc>
        <w:tc>
          <w:tcPr>
            <w:tcW w:w="27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117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700" w:type="dxa"/>
            <w:vAlign w:val="bottom"/>
            <w:gridSpan w:val="13"/>
          </w:tcPr>
          <w:p>
            <w:pPr>
              <w:ind w:left="620"/>
              <w:spacing w:after="0" w:line="202" w:lineRule="exact"/>
              <w:rPr>
                <w:sz w:val="20"/>
                <w:szCs w:val="20"/>
                <w:color w:val="auto"/>
              </w:rPr>
            </w:pPr>
            <w:r>
              <w:rPr>
                <w:rFonts w:ascii="Arial" w:cs="Arial" w:eastAsia="Arial" w:hAnsi="Arial"/>
                <w:sz w:val="18"/>
                <w:szCs w:val="18"/>
                <w:color w:val="auto"/>
              </w:rPr>
              <w:t>11.17 USA PATRIOT Act Notice</w:t>
            </w:r>
          </w:p>
        </w:tc>
        <w:tc>
          <w:tcPr>
            <w:tcW w:w="2720" w:type="dxa"/>
            <w:vAlign w:val="bottom"/>
            <w:gridSpan w:val="3"/>
          </w:tcPr>
          <w:p>
            <w:pPr>
              <w:jc w:val="right"/>
              <w:ind w:right="2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117</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700" w:type="dxa"/>
            <w:vAlign w:val="bottom"/>
            <w:gridSpan w:val="13"/>
            <w:shd w:val="clear" w:color="auto" w:fill="CCEEFF"/>
          </w:tcPr>
          <w:p>
            <w:pPr>
              <w:ind w:left="620"/>
              <w:spacing w:after="0" w:line="202" w:lineRule="exact"/>
              <w:rPr>
                <w:sz w:val="20"/>
                <w:szCs w:val="20"/>
                <w:color w:val="auto"/>
              </w:rPr>
            </w:pPr>
            <w:r>
              <w:rPr>
                <w:rFonts w:ascii="Arial" w:cs="Arial" w:eastAsia="Arial" w:hAnsi="Arial"/>
                <w:sz w:val="18"/>
                <w:szCs w:val="18"/>
                <w:color w:val="auto"/>
              </w:rPr>
              <w:t>11.18 Judgment Currency</w:t>
            </w:r>
          </w:p>
        </w:tc>
        <w:tc>
          <w:tcPr>
            <w:tcW w:w="27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118</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700" w:type="dxa"/>
            <w:vAlign w:val="bottom"/>
            <w:gridSpan w:val="13"/>
          </w:tcPr>
          <w:p>
            <w:pPr>
              <w:ind w:left="620"/>
              <w:spacing w:after="0" w:line="202" w:lineRule="exact"/>
              <w:rPr>
                <w:sz w:val="20"/>
                <w:szCs w:val="20"/>
                <w:color w:val="auto"/>
              </w:rPr>
            </w:pPr>
            <w:r>
              <w:rPr>
                <w:rFonts w:ascii="Arial" w:cs="Arial" w:eastAsia="Arial" w:hAnsi="Arial"/>
                <w:sz w:val="18"/>
                <w:szCs w:val="18"/>
                <w:color w:val="auto"/>
              </w:rPr>
              <w:t>11.19 Concerning Joint and Several Liability of the Domestic Borrowers</w:t>
            </w:r>
          </w:p>
        </w:tc>
        <w:tc>
          <w:tcPr>
            <w:tcW w:w="2720" w:type="dxa"/>
            <w:vAlign w:val="bottom"/>
            <w:gridSpan w:val="3"/>
          </w:tcPr>
          <w:p>
            <w:pPr>
              <w:jc w:val="right"/>
              <w:ind w:right="20"/>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118</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700" w:type="dxa"/>
            <w:vAlign w:val="bottom"/>
            <w:gridSpan w:val="13"/>
            <w:shd w:val="clear" w:color="auto" w:fill="CCEEFF"/>
          </w:tcPr>
          <w:p>
            <w:pPr>
              <w:ind w:left="620"/>
              <w:spacing w:after="0" w:line="202" w:lineRule="exact"/>
              <w:rPr>
                <w:sz w:val="20"/>
                <w:szCs w:val="20"/>
                <w:color w:val="auto"/>
              </w:rPr>
            </w:pPr>
            <w:r>
              <w:rPr>
                <w:rFonts w:ascii="Arial" w:cs="Arial" w:eastAsia="Arial" w:hAnsi="Arial"/>
                <w:sz w:val="18"/>
                <w:szCs w:val="18"/>
                <w:color w:val="auto"/>
              </w:rPr>
              <w:t>11.20 Subordination of Intercompany Debt</w:t>
            </w:r>
          </w:p>
        </w:tc>
        <w:tc>
          <w:tcPr>
            <w:tcW w:w="27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120</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700" w:type="dxa"/>
            <w:vAlign w:val="bottom"/>
            <w:gridSpan w:val="13"/>
          </w:tcPr>
          <w:p>
            <w:pPr>
              <w:ind w:left="620"/>
              <w:spacing w:after="0" w:line="202" w:lineRule="exact"/>
              <w:rPr>
                <w:sz w:val="20"/>
                <w:szCs w:val="20"/>
                <w:color w:val="auto"/>
              </w:rPr>
            </w:pPr>
            <w:r>
              <w:rPr>
                <w:rFonts w:ascii="Arial" w:cs="Arial" w:eastAsia="Arial" w:hAnsi="Arial"/>
                <w:sz w:val="18"/>
                <w:szCs w:val="18"/>
                <w:color w:val="auto"/>
              </w:rPr>
              <w:t>11.21 No Advisory or Fiduciary Responsibility</w:t>
            </w:r>
          </w:p>
        </w:tc>
        <w:tc>
          <w:tcPr>
            <w:tcW w:w="2720" w:type="dxa"/>
            <w:vAlign w:val="bottom"/>
            <w:gridSpan w:val="3"/>
          </w:tcPr>
          <w:p>
            <w:pPr>
              <w:jc w:val="right"/>
              <w:ind w:right="20"/>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120</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700" w:type="dxa"/>
            <w:vAlign w:val="bottom"/>
            <w:gridSpan w:val="13"/>
            <w:shd w:val="clear" w:color="auto" w:fill="CCEEFF"/>
          </w:tcPr>
          <w:p>
            <w:pPr>
              <w:ind w:left="620"/>
              <w:spacing w:after="0" w:line="202" w:lineRule="exact"/>
              <w:rPr>
                <w:sz w:val="20"/>
                <w:szCs w:val="20"/>
                <w:color w:val="auto"/>
              </w:rPr>
            </w:pPr>
            <w:r>
              <w:rPr>
                <w:rFonts w:ascii="Arial" w:cs="Arial" w:eastAsia="Arial" w:hAnsi="Arial"/>
                <w:sz w:val="18"/>
                <w:szCs w:val="18"/>
                <w:color w:val="auto"/>
              </w:rPr>
              <w:t>11.22 Electronic Execution of Assignments and Certain Other Documents</w:t>
            </w:r>
          </w:p>
        </w:tc>
        <w:tc>
          <w:tcPr>
            <w:tcW w:w="27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120</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10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700" w:type="dxa"/>
            <w:vAlign w:val="bottom"/>
            <w:gridSpan w:val="13"/>
          </w:tcPr>
          <w:p>
            <w:pPr>
              <w:ind w:left="620"/>
              <w:spacing w:after="0" w:line="202" w:lineRule="exact"/>
              <w:rPr>
                <w:sz w:val="20"/>
                <w:szCs w:val="20"/>
                <w:color w:val="auto"/>
              </w:rPr>
            </w:pPr>
            <w:r>
              <w:rPr>
                <w:rFonts w:ascii="Arial" w:cs="Arial" w:eastAsia="Arial" w:hAnsi="Arial"/>
                <w:sz w:val="18"/>
                <w:szCs w:val="18"/>
                <w:color w:val="auto"/>
              </w:rPr>
              <w:t>11.23 Acknowledgement and Consent to Bail-In of EEA Financial Institutions</w:t>
            </w:r>
          </w:p>
        </w:tc>
        <w:tc>
          <w:tcPr>
            <w:tcW w:w="2720" w:type="dxa"/>
            <w:vAlign w:val="bottom"/>
            <w:gridSpan w:val="3"/>
          </w:tcPr>
          <w:p>
            <w:pPr>
              <w:jc w:val="right"/>
              <w:ind w:right="20"/>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121</w:t>
              </w:r>
            </w:hyperlink>
          </w:p>
        </w:tc>
      </w:tr>
      <w:tr>
        <w:trPr>
          <w:trHeight w:val="48"/>
        </w:trPr>
        <w:tc>
          <w:tcPr>
            <w:tcW w:w="1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700" w:type="dxa"/>
            <w:vAlign w:val="bottom"/>
            <w:gridSpan w:val="13"/>
            <w:shd w:val="clear" w:color="auto" w:fill="CCEEFF"/>
          </w:tcPr>
          <w:p>
            <w:pPr>
              <w:ind w:left="620"/>
              <w:spacing w:after="0" w:line="202" w:lineRule="exact"/>
              <w:rPr>
                <w:sz w:val="20"/>
                <w:szCs w:val="20"/>
                <w:color w:val="auto"/>
              </w:rPr>
            </w:pPr>
            <w:r>
              <w:rPr>
                <w:rFonts w:ascii="Arial" w:cs="Arial" w:eastAsia="Arial" w:hAnsi="Arial"/>
                <w:sz w:val="18"/>
                <w:szCs w:val="18"/>
                <w:color w:val="auto"/>
              </w:rPr>
              <w:t>11.24 Acknowledgement Regarding Any Supported QFCs</w:t>
            </w:r>
          </w:p>
        </w:tc>
        <w:tc>
          <w:tcPr>
            <w:tcW w:w="27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121</w:t>
              </w:r>
            </w:hyperlink>
          </w:p>
        </w:tc>
      </w:tr>
      <w:tr>
        <w:trPr>
          <w:trHeight w:val="594"/>
        </w:trPr>
        <w:tc>
          <w:tcPr>
            <w:tcW w:w="10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92"/>
              </w:rPr>
              <w:t>SCHEDULES</w:t>
            </w: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0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Existing Letters of Credit</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21"/>
                <w:szCs w:val="21"/>
                <w:color w:val="auto"/>
              </w:rPr>
            </w:pP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Commitments and Pro Rata Shares</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6.08</w:t>
            </w:r>
          </w:p>
        </w:tc>
        <w:tc>
          <w:tcPr>
            <w:tcW w:w="40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Subsidiaries</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7.07</w:t>
            </w:r>
          </w:p>
        </w:tc>
        <w:tc>
          <w:tcPr>
            <w:tcW w:w="400" w:type="dxa"/>
            <w:vAlign w:val="bottom"/>
          </w:tcPr>
          <w:p>
            <w:pPr>
              <w:spacing w:after="0"/>
              <w:rPr>
                <w:sz w:val="21"/>
                <w:szCs w:val="21"/>
                <w:color w:val="auto"/>
              </w:rPr>
            </w:pP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Debt Existing on the Closing Date</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7.08</w:t>
            </w:r>
          </w:p>
        </w:tc>
        <w:tc>
          <w:tcPr>
            <w:tcW w:w="40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Liens Existing on the Closing Date</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7.17</w:t>
            </w:r>
          </w:p>
        </w:tc>
        <w:tc>
          <w:tcPr>
            <w:tcW w:w="400" w:type="dxa"/>
            <w:vAlign w:val="bottom"/>
          </w:tcPr>
          <w:p>
            <w:pPr>
              <w:spacing w:after="0"/>
              <w:rPr>
                <w:sz w:val="21"/>
                <w:szCs w:val="21"/>
                <w:color w:val="auto"/>
              </w:rPr>
            </w:pP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Investments Existing on the Closing Date</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7.18</w:t>
            </w:r>
          </w:p>
        </w:tc>
        <w:tc>
          <w:tcPr>
            <w:tcW w:w="40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Burdensome Agreements Existing on the Closing Date</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11.02</w:t>
            </w:r>
          </w:p>
        </w:tc>
        <w:tc>
          <w:tcPr>
            <w:tcW w:w="400" w:type="dxa"/>
            <w:vAlign w:val="bottom"/>
          </w:tcPr>
          <w:p>
            <w:pPr>
              <w:spacing w:after="0"/>
              <w:rPr>
                <w:sz w:val="21"/>
                <w:szCs w:val="21"/>
                <w:color w:val="auto"/>
              </w:rPr>
            </w:pP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Certain Addresses for Notices</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EXHIBITS</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w:t>
            </w:r>
          </w:p>
        </w:tc>
        <w:tc>
          <w:tcPr>
            <w:tcW w:w="40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Form of Loan Notice</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21"/>
                <w:szCs w:val="21"/>
                <w:color w:val="auto"/>
              </w:rPr>
            </w:pP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Form of Swing Line Loan Notice</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40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Form of Note</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2.14(a)</w:t>
            </w: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Form of Designated Borrower Request</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2.14(b)</w:t>
            </w: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Form of Designated Borrower Joinder Agreement</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21"/>
                <w:szCs w:val="21"/>
                <w:color w:val="auto"/>
              </w:rPr>
            </w:pP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Forms of U.S. Tax Compliance Certificates</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7.01</w:t>
            </w:r>
          </w:p>
        </w:tc>
        <w:tc>
          <w:tcPr>
            <w:tcW w:w="40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Form of Compliance Certificate</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7.16</w:t>
            </w:r>
          </w:p>
        </w:tc>
        <w:tc>
          <w:tcPr>
            <w:tcW w:w="400" w:type="dxa"/>
            <w:vAlign w:val="bottom"/>
          </w:tcPr>
          <w:p>
            <w:pPr>
              <w:spacing w:after="0"/>
              <w:rPr>
                <w:sz w:val="21"/>
                <w:szCs w:val="21"/>
                <w:color w:val="auto"/>
              </w:rPr>
            </w:pP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Form of Joinder Agreement</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11.06(b)</w:t>
            </w:r>
          </w:p>
        </w:tc>
        <w:tc>
          <w:tcPr>
            <w:tcW w:w="7220" w:type="dxa"/>
            <w:vAlign w:val="bottom"/>
            <w:tcBorders>
              <w:bottom w:val="single" w:sz="8" w:color="CCEEFF"/>
            </w:tcBorders>
            <w:gridSpan w:val="11"/>
            <w:shd w:val="clear" w:color="auto" w:fill="CCEEFF"/>
          </w:tcPr>
          <w:p>
            <w:pPr>
              <w:ind w:left="400"/>
              <w:spacing w:after="0"/>
              <w:rPr>
                <w:sz w:val="20"/>
                <w:szCs w:val="20"/>
                <w:color w:val="auto"/>
              </w:rPr>
            </w:pPr>
            <w:r>
              <w:rPr>
                <w:rFonts w:ascii="Arial" w:cs="Arial" w:eastAsia="Arial" w:hAnsi="Arial"/>
                <w:sz w:val="18"/>
                <w:szCs w:val="18"/>
                <w:color w:val="auto"/>
              </w:rPr>
              <w:t>Form of Assignment and Assumption</w:t>
            </w:r>
          </w:p>
        </w:tc>
        <w:tc>
          <w:tcPr>
            <w:tcW w:w="2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11.06(b)(iv)</w:t>
            </w:r>
          </w:p>
        </w:tc>
        <w:tc>
          <w:tcPr>
            <w:tcW w:w="7220" w:type="dxa"/>
            <w:vAlign w:val="bottom"/>
            <w:gridSpan w:val="11"/>
          </w:tcPr>
          <w:p>
            <w:pPr>
              <w:ind w:left="400"/>
              <w:spacing w:after="0"/>
              <w:rPr>
                <w:sz w:val="20"/>
                <w:szCs w:val="20"/>
                <w:color w:val="auto"/>
              </w:rPr>
            </w:pPr>
            <w:r>
              <w:rPr>
                <w:rFonts w:ascii="Arial" w:cs="Arial" w:eastAsia="Arial" w:hAnsi="Arial"/>
                <w:sz w:val="18"/>
                <w:szCs w:val="18"/>
                <w:color w:val="auto"/>
              </w:rPr>
              <w:t>Form of Administrative Questionnaire</w:t>
            </w:r>
          </w:p>
        </w:tc>
        <w:tc>
          <w:tcPr>
            <w:tcW w:w="2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CREDIT AGREEMENT is entered into as of August 1, 2019 among BRADY CORPORATION, a Wisconsin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certain Subsidiaries of the Company party hereto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Designated Borrower</w:t>
      </w:r>
      <w:r>
        <w:rPr>
          <w:rFonts w:ascii="Arial" w:cs="Arial" w:eastAsia="Arial" w:hAnsi="Arial"/>
          <w:sz w:val="19"/>
          <w:szCs w:val="19"/>
          <w:color w:val="auto"/>
        </w:rPr>
        <w:t>” and, together with the Company,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(defined herein), the Lenders (defined herein), BMO HARRIS BANK N.A., as Administrative Agent, Swing Line Lender and L/C Issuer, and BANK OF AMERICA, N.A., as L/C Issuer.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has requested that the Lenders provide a $200,000,000 senior credit facility for the purposes set forth herein, and the Lenders are willing to do so on the terms and conditions set forth herein.</w:t>
      </w:r>
    </w:p>
    <w:p>
      <w:pPr>
        <w:spacing w:after="0" w:line="17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In consideration of the mutual covenants and agreements herein contained, the parties hereto covenant and agree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2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(provided that the purchase of inventory from another Person in the ordinary course of business shall not constitute an Acquisition of such other Person), (b) the acquisition of in excess of 50% of the Capital Stock of any Person, or otherwise causing any Person to become a Subsidiary, or (c) a merger or consolidation or any other combination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or a Subsidiary is the surviving entity.</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BMO, in its capacity as administrative agent under any of the Loan Documents, or any successor administrative agent.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11.06(b)(iv)</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of any Person means any other Person which, directly or indirectly, controls or is controlled by or is under common control with such Person.</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Commitments</w:t>
      </w:r>
      <w:r>
        <w:rPr>
          <w:rFonts w:ascii="Arial" w:cs="Arial" w:eastAsia="Arial" w:hAnsi="Arial"/>
          <w:sz w:val="19"/>
          <w:szCs w:val="19"/>
          <w:color w:val="auto"/>
        </w:rPr>
        <w:t>” means the Revolving Commitments of all the Lenders. The aggregate principal amount of the Aggregate Revolving Commitments in effect on the Closing Date is TWO HUNDRED MILLION DOLLARS ($200,000,000).</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Credit Agreement, as amended, restated, modified, supplemented and extended from time to time.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6" w:right="239" w:bottom="1440" w:gutter="0" w:footer="0" w:header="0"/>
        </w:sectPr>
      </w:pPr>
    </w:p>
    <w:bookmarkStart w:id="8" w:name="page9"/>
    <w:bookmarkEnd w:id="8"/>
    <w:p>
      <w:pPr>
        <w:jc w:val="both"/>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Euro, Sterling, Australian Dollars, Japanese Yen, Canadian Dollars and each other currency (other than Dollars) that is approved in accordance with </w:t>
      </w:r>
      <w:r>
        <w:rPr>
          <w:rFonts w:ascii="Arial" w:cs="Arial" w:eastAsia="Arial" w:hAnsi="Arial"/>
          <w:sz w:val="20"/>
          <w:szCs w:val="20"/>
          <w:u w:val="single" w:color="auto"/>
          <w:color w:val="auto"/>
        </w:rPr>
        <w:t>Section 1.07</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92"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Arial" w:cs="Arial" w:eastAsia="Arial" w:hAnsi="Arial"/>
          <w:sz w:val="20"/>
          <w:szCs w:val="20"/>
          <w:u w:val="single" w:color="auto"/>
          <w:color w:val="auto"/>
        </w:rPr>
        <w:t>Section 7.01(c)</w:t>
      </w:r>
      <w:r>
        <w:rPr>
          <w:rFonts w:ascii="Arial" w:cs="Arial" w:eastAsia="Arial" w:hAnsi="Arial"/>
          <w:sz w:val="20"/>
          <w:szCs w:val="20"/>
          <w:color w:val="auto"/>
        </w:rPr>
        <w:t>:</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400" w:type="dxa"/>
            <w:vAlign w:val="bottom"/>
            <w:tcBorders>
              <w:top w:val="single" w:sz="8" w:color="00000A"/>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4"/>
              </w:rPr>
              <w:t>Pricing Level</w:t>
            </w:r>
          </w:p>
        </w:tc>
        <w:tc>
          <w:tcPr>
            <w:tcW w:w="540" w:type="dxa"/>
            <w:vAlign w:val="bottom"/>
            <w:tcBorders>
              <w:top w:val="single" w:sz="8" w:color="00000A"/>
            </w:tcBorders>
          </w:tcPr>
          <w:p>
            <w:pPr>
              <w:spacing w:after="0"/>
              <w:rPr>
                <w:sz w:val="22"/>
                <w:szCs w:val="22"/>
                <w:color w:val="auto"/>
              </w:rPr>
            </w:pPr>
          </w:p>
        </w:tc>
        <w:tc>
          <w:tcPr>
            <w:tcW w:w="120" w:type="dxa"/>
            <w:vAlign w:val="bottom"/>
            <w:tcBorders>
              <w:top w:val="single" w:sz="8" w:color="00000A"/>
            </w:tcBorders>
          </w:tcPr>
          <w:p>
            <w:pPr>
              <w:spacing w:after="0"/>
              <w:rPr>
                <w:sz w:val="22"/>
                <w:szCs w:val="22"/>
                <w:color w:val="auto"/>
              </w:rPr>
            </w:pPr>
          </w:p>
        </w:tc>
        <w:tc>
          <w:tcPr>
            <w:tcW w:w="2320" w:type="dxa"/>
            <w:vAlign w:val="bottom"/>
            <w:tcBorders>
              <w:top w:val="single" w:sz="8" w:color="00000A"/>
              <w:right w:val="single" w:sz="8" w:color="00000A"/>
            </w:tcBorders>
            <w:gridSpan w:val="3"/>
          </w:tcPr>
          <w:p>
            <w:pPr>
              <w:jc w:val="center"/>
              <w:ind w:right="720"/>
              <w:spacing w:after="0"/>
              <w:rPr>
                <w:sz w:val="20"/>
                <w:szCs w:val="20"/>
                <w:color w:val="auto"/>
              </w:rPr>
            </w:pPr>
            <w:r>
              <w:rPr>
                <w:rFonts w:ascii="Arial" w:cs="Arial" w:eastAsia="Arial" w:hAnsi="Arial"/>
                <w:sz w:val="20"/>
                <w:szCs w:val="20"/>
                <w:color w:val="auto"/>
                <w:w w:val="89"/>
              </w:rPr>
              <w:t>Consolidated</w:t>
            </w:r>
          </w:p>
        </w:tc>
        <w:tc>
          <w:tcPr>
            <w:tcW w:w="184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89"/>
              </w:rPr>
              <w:t>Commitment Fee</w:t>
            </w:r>
          </w:p>
        </w:tc>
        <w:tc>
          <w:tcPr>
            <w:tcW w:w="170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4"/>
              </w:rPr>
              <w:t>Letters of Credit*</w:t>
            </w: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Eurocurrency Rate</w:t>
            </w:r>
          </w:p>
        </w:tc>
        <w:tc>
          <w:tcPr>
            <w:tcW w:w="1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3"/>
              </w:rPr>
              <w:t>Base Rate</w:t>
            </w:r>
          </w:p>
        </w:tc>
        <w:tc>
          <w:tcPr>
            <w:tcW w:w="0" w:type="dxa"/>
            <w:vAlign w:val="bottom"/>
          </w:tcPr>
          <w:p>
            <w:pPr>
              <w:spacing w:after="0"/>
              <w:rPr>
                <w:sz w:val="1"/>
                <w:szCs w:val="1"/>
                <w:color w:val="auto"/>
              </w:rPr>
            </w:pPr>
          </w:p>
        </w:tc>
      </w:tr>
      <w:tr>
        <w:trPr>
          <w:trHeight w:val="129"/>
        </w:trPr>
        <w:tc>
          <w:tcPr>
            <w:tcW w:w="1400" w:type="dxa"/>
            <w:vAlign w:val="bottom"/>
            <w:tcBorders>
              <w:left w:val="single" w:sz="8" w:color="00000A"/>
              <w:right w:val="single" w:sz="8" w:color="00000A"/>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Borders>
              <w:right w:val="single" w:sz="8" w:color="00000A"/>
            </w:tcBorders>
            <w:gridSpan w:val="3"/>
            <w:vMerge w:val="restart"/>
          </w:tcPr>
          <w:p>
            <w:pPr>
              <w:jc w:val="center"/>
              <w:ind w:right="680"/>
              <w:spacing w:after="0"/>
              <w:rPr>
                <w:sz w:val="20"/>
                <w:szCs w:val="20"/>
                <w:color w:val="auto"/>
              </w:rPr>
            </w:pPr>
            <w:r>
              <w:rPr>
                <w:rFonts w:ascii="Arial" w:cs="Arial" w:eastAsia="Arial" w:hAnsi="Arial"/>
                <w:sz w:val="20"/>
                <w:szCs w:val="20"/>
                <w:color w:val="auto"/>
                <w:w w:val="90"/>
              </w:rPr>
              <w:t>Net Leverage Ratio</w:t>
            </w:r>
          </w:p>
        </w:tc>
        <w:tc>
          <w:tcPr>
            <w:tcW w:w="1840" w:type="dxa"/>
            <w:vAlign w:val="bottom"/>
            <w:tcBorders>
              <w:right w:val="single" w:sz="8" w:color="00000A"/>
            </w:tcBorders>
            <w:vMerge w:val="continue"/>
          </w:tcPr>
          <w:p>
            <w:pPr>
              <w:spacing w:after="0"/>
              <w:rPr>
                <w:sz w:val="11"/>
                <w:szCs w:val="11"/>
                <w:color w:val="auto"/>
              </w:rPr>
            </w:pPr>
          </w:p>
        </w:tc>
        <w:tc>
          <w:tcPr>
            <w:tcW w:w="1700" w:type="dxa"/>
            <w:vAlign w:val="bottom"/>
            <w:tcBorders>
              <w:right w:val="single" w:sz="8" w:color="00000A"/>
            </w:tcBorders>
            <w:vMerge w:val="continue"/>
          </w:tcPr>
          <w:p>
            <w:pPr>
              <w:spacing w:after="0"/>
              <w:rPr>
                <w:sz w:val="11"/>
                <w:szCs w:val="11"/>
                <w:color w:val="auto"/>
              </w:rPr>
            </w:pPr>
          </w:p>
        </w:tc>
        <w:tc>
          <w:tcPr>
            <w:tcW w:w="18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88"/>
              </w:rPr>
              <w:t>Loans</w:t>
            </w:r>
          </w:p>
        </w:tc>
        <w:tc>
          <w:tcPr>
            <w:tcW w:w="17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88"/>
              </w:rPr>
              <w:t>Loans</w:t>
            </w:r>
          </w:p>
        </w:tc>
        <w:tc>
          <w:tcPr>
            <w:tcW w:w="0" w:type="dxa"/>
            <w:vAlign w:val="bottom"/>
          </w:tcPr>
          <w:p>
            <w:pPr>
              <w:spacing w:after="0"/>
              <w:rPr>
                <w:sz w:val="1"/>
                <w:szCs w:val="1"/>
                <w:color w:val="auto"/>
              </w:rPr>
            </w:pPr>
          </w:p>
        </w:tc>
      </w:tr>
      <w:tr>
        <w:trPr>
          <w:trHeight w:val="122"/>
        </w:trPr>
        <w:tc>
          <w:tcPr>
            <w:tcW w:w="1400" w:type="dxa"/>
            <w:vAlign w:val="bottom"/>
            <w:tcBorders>
              <w:left w:val="single" w:sz="8" w:color="00000A"/>
              <w:right w:val="single" w:sz="8" w:color="00000A"/>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Borders>
              <w:right w:val="single" w:sz="8" w:color="00000A"/>
            </w:tcBorders>
            <w:gridSpan w:val="3"/>
            <w:vMerge w:val="continue"/>
          </w:tcPr>
          <w:p>
            <w:pPr>
              <w:spacing w:after="0"/>
              <w:rPr>
                <w:sz w:val="10"/>
                <w:szCs w:val="10"/>
                <w:color w:val="auto"/>
              </w:rPr>
            </w:pPr>
          </w:p>
        </w:tc>
        <w:tc>
          <w:tcPr>
            <w:tcW w:w="1840" w:type="dxa"/>
            <w:vAlign w:val="bottom"/>
            <w:tcBorders>
              <w:right w:val="single" w:sz="8" w:color="00000A"/>
            </w:tcBorders>
          </w:tcPr>
          <w:p>
            <w:pPr>
              <w:spacing w:after="0"/>
              <w:rPr>
                <w:sz w:val="10"/>
                <w:szCs w:val="10"/>
                <w:color w:val="auto"/>
              </w:rPr>
            </w:pPr>
          </w:p>
        </w:tc>
        <w:tc>
          <w:tcPr>
            <w:tcW w:w="1700" w:type="dxa"/>
            <w:vAlign w:val="bottom"/>
            <w:tcBorders>
              <w:right w:val="single" w:sz="8" w:color="00000A"/>
            </w:tcBorders>
          </w:tcPr>
          <w:p>
            <w:pPr>
              <w:spacing w:after="0"/>
              <w:rPr>
                <w:sz w:val="10"/>
                <w:szCs w:val="10"/>
                <w:color w:val="auto"/>
              </w:rPr>
            </w:pPr>
          </w:p>
        </w:tc>
        <w:tc>
          <w:tcPr>
            <w:tcW w:w="1820" w:type="dxa"/>
            <w:vAlign w:val="bottom"/>
            <w:tcBorders>
              <w:right w:val="single" w:sz="8" w:color="00000A"/>
            </w:tcBorders>
            <w:vMerge w:val="continue"/>
          </w:tcPr>
          <w:p>
            <w:pPr>
              <w:spacing w:after="0"/>
              <w:rPr>
                <w:sz w:val="10"/>
                <w:szCs w:val="10"/>
                <w:color w:val="auto"/>
              </w:rPr>
            </w:pPr>
          </w:p>
        </w:tc>
        <w:tc>
          <w:tcPr>
            <w:tcW w:w="17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1400" w:type="dxa"/>
            <w:vAlign w:val="bottom"/>
            <w:tcBorders>
              <w:left w:val="single" w:sz="8" w:color="00000A"/>
              <w:bottom w:val="single" w:sz="8" w:color="00000A"/>
              <w:right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1780" w:type="dxa"/>
            <w:vAlign w:val="bottom"/>
            <w:tcBorders>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1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1</w:t>
            </w:r>
          </w:p>
        </w:tc>
        <w:tc>
          <w:tcPr>
            <w:tcW w:w="2980" w:type="dxa"/>
            <w:vAlign w:val="bottom"/>
            <w:tcBorders>
              <w:right w:val="single" w:sz="8" w:color="00000A"/>
            </w:tcBorders>
            <w:gridSpan w:val="5"/>
          </w:tcPr>
          <w:p>
            <w:pPr>
              <w:jc w:val="center"/>
              <w:ind w:right="20"/>
              <w:spacing w:after="0"/>
              <w:rPr>
                <w:sz w:val="20"/>
                <w:szCs w:val="20"/>
                <w:color w:val="auto"/>
              </w:rPr>
            </w:pPr>
            <w:r>
              <w:rPr>
                <w:rFonts w:ascii="Arial" w:cs="Arial" w:eastAsia="Arial" w:hAnsi="Arial"/>
                <w:sz w:val="20"/>
                <w:szCs w:val="20"/>
                <w:color w:val="auto"/>
                <w:w w:val="90"/>
              </w:rPr>
              <w:t>&lt;1.50:1.0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0.100%</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0.750%</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0.750%</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0.000%</w:t>
            </w:r>
          </w:p>
        </w:tc>
        <w:tc>
          <w:tcPr>
            <w:tcW w:w="0" w:type="dxa"/>
            <w:vAlign w:val="bottom"/>
          </w:tcPr>
          <w:p>
            <w:pPr>
              <w:spacing w:after="0"/>
              <w:rPr>
                <w:sz w:val="1"/>
                <w:szCs w:val="1"/>
                <w:color w:val="auto"/>
              </w:rPr>
            </w:pPr>
          </w:p>
        </w:tc>
      </w:tr>
      <w:tr>
        <w:trPr>
          <w:trHeight w:val="23"/>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00" w:type="dxa"/>
            <w:vAlign w:val="bottom"/>
            <w:tcBorders>
              <w:left w:val="single" w:sz="8" w:color="00000A"/>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9"/>
              </w:rPr>
              <w:t>2</w:t>
            </w:r>
          </w:p>
        </w:tc>
        <w:tc>
          <w:tcPr>
            <w:tcW w:w="2980" w:type="dxa"/>
            <w:vAlign w:val="bottom"/>
            <w:tcBorders>
              <w:right w:val="single" w:sz="8" w:color="00000A"/>
            </w:tcBorders>
            <w:gridSpan w:val="5"/>
          </w:tcPr>
          <w:p>
            <w:pPr>
              <w:jc w:val="center"/>
              <w:ind w:right="20"/>
              <w:spacing w:after="0" w:line="209" w:lineRule="exact"/>
              <w:rPr>
                <w:sz w:val="20"/>
                <w:szCs w:val="20"/>
                <w:color w:val="auto"/>
              </w:rPr>
            </w:pPr>
            <w:r>
              <w:rPr>
                <w:rFonts w:ascii="Arial" w:cs="Arial" w:eastAsia="Arial" w:hAnsi="Arial"/>
                <w:sz w:val="20"/>
                <w:szCs w:val="20"/>
                <w:color w:val="auto"/>
                <w:w w:val="90"/>
              </w:rPr>
              <w:t>&gt;1.50:1.0 but &lt;2.00:1.0</w:t>
            </w:r>
          </w:p>
        </w:tc>
        <w:tc>
          <w:tcPr>
            <w:tcW w:w="184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0.125%</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0.875%</w:t>
            </w:r>
          </w:p>
        </w:tc>
        <w:tc>
          <w:tcPr>
            <w:tcW w:w="182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0.875%</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0.000%</w:t>
            </w:r>
          </w:p>
        </w:tc>
        <w:tc>
          <w:tcPr>
            <w:tcW w:w="0" w:type="dxa"/>
            <w:vAlign w:val="bottom"/>
          </w:tcPr>
          <w:p>
            <w:pPr>
              <w:spacing w:after="0"/>
              <w:rPr>
                <w:sz w:val="1"/>
                <w:szCs w:val="1"/>
                <w:color w:val="auto"/>
              </w:rPr>
            </w:pPr>
          </w:p>
        </w:tc>
      </w:tr>
      <w:tr>
        <w:trPr>
          <w:trHeight w:val="48"/>
        </w:trPr>
        <w:tc>
          <w:tcPr>
            <w:tcW w:w="1400" w:type="dxa"/>
            <w:vAlign w:val="bottom"/>
            <w:tcBorders>
              <w:left w:val="single" w:sz="8" w:color="00000A"/>
              <w:bottom w:val="single" w:sz="8" w:color="00000A"/>
              <w:right w:val="single" w:sz="8" w:color="00000A"/>
            </w:tcBorders>
          </w:tcPr>
          <w:p>
            <w:pPr>
              <w:spacing w:after="0"/>
              <w:rPr>
                <w:sz w:val="4"/>
                <w:szCs w:val="4"/>
                <w:color w:val="auto"/>
              </w:rPr>
            </w:pPr>
          </w:p>
        </w:tc>
        <w:tc>
          <w:tcPr>
            <w:tcW w:w="540" w:type="dxa"/>
            <w:vAlign w:val="bottom"/>
            <w:tcBorders>
              <w:bottom w:val="single" w:sz="8" w:color="00000A"/>
            </w:tcBorders>
          </w:tcPr>
          <w:p>
            <w:pPr>
              <w:spacing w:after="0"/>
              <w:rPr>
                <w:sz w:val="4"/>
                <w:szCs w:val="4"/>
                <w:color w:val="auto"/>
              </w:rPr>
            </w:pPr>
          </w:p>
        </w:tc>
        <w:tc>
          <w:tcPr>
            <w:tcW w:w="12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780" w:type="dxa"/>
            <w:vAlign w:val="bottom"/>
            <w:tcBorders>
              <w:bottom w:val="single" w:sz="8" w:color="00000A"/>
              <w:right w:val="single" w:sz="8" w:color="00000A"/>
            </w:tcBorders>
          </w:tcPr>
          <w:p>
            <w:pPr>
              <w:spacing w:after="0"/>
              <w:rPr>
                <w:sz w:val="4"/>
                <w:szCs w:val="4"/>
                <w:color w:val="auto"/>
              </w:rPr>
            </w:pPr>
          </w:p>
        </w:tc>
        <w:tc>
          <w:tcPr>
            <w:tcW w:w="184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182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0" w:type="dxa"/>
            <w:vAlign w:val="bottom"/>
            <w:tcBorders>
              <w:left w:val="single" w:sz="8" w:color="00000A"/>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9"/>
              </w:rPr>
              <w:t>3</w:t>
            </w:r>
          </w:p>
        </w:tc>
        <w:tc>
          <w:tcPr>
            <w:tcW w:w="2980" w:type="dxa"/>
            <w:vAlign w:val="bottom"/>
            <w:tcBorders>
              <w:right w:val="single" w:sz="8" w:color="00000A"/>
            </w:tcBorders>
            <w:gridSpan w:val="5"/>
          </w:tcPr>
          <w:p>
            <w:pPr>
              <w:jc w:val="center"/>
              <w:ind w:right="20"/>
              <w:spacing w:after="0" w:line="209" w:lineRule="exact"/>
              <w:rPr>
                <w:sz w:val="20"/>
                <w:szCs w:val="20"/>
                <w:color w:val="auto"/>
              </w:rPr>
            </w:pPr>
            <w:r>
              <w:rPr>
                <w:rFonts w:ascii="Arial" w:cs="Arial" w:eastAsia="Arial" w:hAnsi="Arial"/>
                <w:sz w:val="20"/>
                <w:szCs w:val="20"/>
                <w:color w:val="auto"/>
                <w:w w:val="90"/>
              </w:rPr>
              <w:t>&gt;2.00:1.0 but &lt;2.50:1.0</w:t>
            </w:r>
          </w:p>
        </w:tc>
        <w:tc>
          <w:tcPr>
            <w:tcW w:w="184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0.150%</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1.000%</w:t>
            </w:r>
          </w:p>
        </w:tc>
        <w:tc>
          <w:tcPr>
            <w:tcW w:w="182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1.000%</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0.000%</w:t>
            </w:r>
          </w:p>
        </w:tc>
        <w:tc>
          <w:tcPr>
            <w:tcW w:w="0" w:type="dxa"/>
            <w:vAlign w:val="bottom"/>
          </w:tcPr>
          <w:p>
            <w:pPr>
              <w:spacing w:after="0"/>
              <w:rPr>
                <w:sz w:val="1"/>
                <w:szCs w:val="1"/>
                <w:color w:val="auto"/>
              </w:rPr>
            </w:pPr>
          </w:p>
        </w:tc>
      </w:tr>
      <w:tr>
        <w:trPr>
          <w:trHeight w:val="48"/>
        </w:trPr>
        <w:tc>
          <w:tcPr>
            <w:tcW w:w="1400" w:type="dxa"/>
            <w:vAlign w:val="bottom"/>
            <w:tcBorders>
              <w:left w:val="single" w:sz="8" w:color="00000A"/>
              <w:bottom w:val="single" w:sz="8" w:color="00000A"/>
              <w:right w:val="single" w:sz="8" w:color="00000A"/>
            </w:tcBorders>
          </w:tcPr>
          <w:p>
            <w:pPr>
              <w:spacing w:after="0"/>
              <w:rPr>
                <w:sz w:val="4"/>
                <w:szCs w:val="4"/>
                <w:color w:val="auto"/>
              </w:rPr>
            </w:pPr>
          </w:p>
        </w:tc>
        <w:tc>
          <w:tcPr>
            <w:tcW w:w="540" w:type="dxa"/>
            <w:vAlign w:val="bottom"/>
            <w:tcBorders>
              <w:bottom w:val="single" w:sz="8" w:color="00000A"/>
            </w:tcBorders>
          </w:tcPr>
          <w:p>
            <w:pPr>
              <w:spacing w:after="0"/>
              <w:rPr>
                <w:sz w:val="4"/>
                <w:szCs w:val="4"/>
                <w:color w:val="auto"/>
              </w:rPr>
            </w:pPr>
          </w:p>
        </w:tc>
        <w:tc>
          <w:tcPr>
            <w:tcW w:w="12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780" w:type="dxa"/>
            <w:vAlign w:val="bottom"/>
            <w:tcBorders>
              <w:bottom w:val="single" w:sz="8" w:color="00000A"/>
              <w:right w:val="single" w:sz="8" w:color="00000A"/>
            </w:tcBorders>
          </w:tcPr>
          <w:p>
            <w:pPr>
              <w:spacing w:after="0"/>
              <w:rPr>
                <w:sz w:val="4"/>
                <w:szCs w:val="4"/>
                <w:color w:val="auto"/>
              </w:rPr>
            </w:pPr>
          </w:p>
        </w:tc>
        <w:tc>
          <w:tcPr>
            <w:tcW w:w="184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182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0" w:type="dxa"/>
            <w:vAlign w:val="bottom"/>
            <w:tcBorders>
              <w:left w:val="single" w:sz="8" w:color="00000A"/>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9"/>
              </w:rPr>
              <w:t>4</w:t>
            </w:r>
          </w:p>
        </w:tc>
        <w:tc>
          <w:tcPr>
            <w:tcW w:w="2980" w:type="dxa"/>
            <w:vAlign w:val="bottom"/>
            <w:tcBorders>
              <w:right w:val="single" w:sz="8" w:color="00000A"/>
            </w:tcBorders>
            <w:gridSpan w:val="5"/>
          </w:tcPr>
          <w:p>
            <w:pPr>
              <w:jc w:val="center"/>
              <w:ind w:right="20"/>
              <w:spacing w:after="0" w:line="209" w:lineRule="exact"/>
              <w:rPr>
                <w:sz w:val="20"/>
                <w:szCs w:val="20"/>
                <w:color w:val="auto"/>
              </w:rPr>
            </w:pPr>
            <w:r>
              <w:rPr>
                <w:rFonts w:ascii="Arial" w:cs="Arial" w:eastAsia="Arial" w:hAnsi="Arial"/>
                <w:sz w:val="20"/>
                <w:szCs w:val="20"/>
                <w:color w:val="auto"/>
                <w:w w:val="90"/>
              </w:rPr>
              <w:t>&gt;2.50:1.0 but &lt;3.00:1.0</w:t>
            </w:r>
          </w:p>
        </w:tc>
        <w:tc>
          <w:tcPr>
            <w:tcW w:w="184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0.175%</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1.250%</w:t>
            </w:r>
          </w:p>
        </w:tc>
        <w:tc>
          <w:tcPr>
            <w:tcW w:w="182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1.250%</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48"/>
        </w:trPr>
        <w:tc>
          <w:tcPr>
            <w:tcW w:w="1400" w:type="dxa"/>
            <w:vAlign w:val="bottom"/>
            <w:tcBorders>
              <w:left w:val="single" w:sz="8" w:color="00000A"/>
              <w:bottom w:val="single" w:sz="8" w:color="00000A"/>
              <w:right w:val="single" w:sz="8" w:color="00000A"/>
            </w:tcBorders>
          </w:tcPr>
          <w:p>
            <w:pPr>
              <w:spacing w:after="0"/>
              <w:rPr>
                <w:sz w:val="4"/>
                <w:szCs w:val="4"/>
                <w:color w:val="auto"/>
              </w:rPr>
            </w:pPr>
          </w:p>
        </w:tc>
        <w:tc>
          <w:tcPr>
            <w:tcW w:w="540" w:type="dxa"/>
            <w:vAlign w:val="bottom"/>
            <w:tcBorders>
              <w:bottom w:val="single" w:sz="8" w:color="00000A"/>
            </w:tcBorders>
          </w:tcPr>
          <w:p>
            <w:pPr>
              <w:spacing w:after="0"/>
              <w:rPr>
                <w:sz w:val="4"/>
                <w:szCs w:val="4"/>
                <w:color w:val="auto"/>
              </w:rPr>
            </w:pPr>
          </w:p>
        </w:tc>
        <w:tc>
          <w:tcPr>
            <w:tcW w:w="12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780" w:type="dxa"/>
            <w:vAlign w:val="bottom"/>
            <w:tcBorders>
              <w:bottom w:val="single" w:sz="8" w:color="00000A"/>
              <w:right w:val="single" w:sz="8" w:color="00000A"/>
            </w:tcBorders>
          </w:tcPr>
          <w:p>
            <w:pPr>
              <w:spacing w:after="0"/>
              <w:rPr>
                <w:sz w:val="4"/>
                <w:szCs w:val="4"/>
                <w:color w:val="auto"/>
              </w:rPr>
            </w:pPr>
          </w:p>
        </w:tc>
        <w:tc>
          <w:tcPr>
            <w:tcW w:w="184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182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0" w:type="dxa"/>
            <w:vAlign w:val="bottom"/>
            <w:tcBorders>
              <w:left w:val="single" w:sz="8" w:color="00000A"/>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9"/>
              </w:rPr>
              <w:t>5</w:t>
            </w:r>
          </w:p>
        </w:tc>
        <w:tc>
          <w:tcPr>
            <w:tcW w:w="2980" w:type="dxa"/>
            <w:vAlign w:val="bottom"/>
            <w:tcBorders>
              <w:right w:val="single" w:sz="8" w:color="00000A"/>
            </w:tcBorders>
            <w:gridSpan w:val="5"/>
          </w:tcPr>
          <w:p>
            <w:pPr>
              <w:jc w:val="center"/>
              <w:ind w:right="20"/>
              <w:spacing w:after="0" w:line="209" w:lineRule="exact"/>
              <w:rPr>
                <w:sz w:val="20"/>
                <w:szCs w:val="20"/>
                <w:color w:val="auto"/>
              </w:rPr>
            </w:pPr>
            <w:r>
              <w:rPr>
                <w:rFonts w:ascii="Arial" w:cs="Arial" w:eastAsia="Arial" w:hAnsi="Arial"/>
                <w:sz w:val="20"/>
                <w:szCs w:val="20"/>
                <w:color w:val="auto"/>
                <w:w w:val="90"/>
              </w:rPr>
              <w:t>&gt;3.00:1.0 but &lt;3.25:1.0</w:t>
            </w:r>
          </w:p>
        </w:tc>
        <w:tc>
          <w:tcPr>
            <w:tcW w:w="184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0.200%</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1.500%</w:t>
            </w:r>
          </w:p>
        </w:tc>
        <w:tc>
          <w:tcPr>
            <w:tcW w:w="182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1.500%</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0.500%</w:t>
            </w:r>
          </w:p>
        </w:tc>
        <w:tc>
          <w:tcPr>
            <w:tcW w:w="0" w:type="dxa"/>
            <w:vAlign w:val="bottom"/>
          </w:tcPr>
          <w:p>
            <w:pPr>
              <w:spacing w:after="0"/>
              <w:rPr>
                <w:sz w:val="1"/>
                <w:szCs w:val="1"/>
                <w:color w:val="auto"/>
              </w:rPr>
            </w:pPr>
          </w:p>
        </w:tc>
      </w:tr>
      <w:tr>
        <w:trPr>
          <w:trHeight w:val="48"/>
        </w:trPr>
        <w:tc>
          <w:tcPr>
            <w:tcW w:w="1400" w:type="dxa"/>
            <w:vAlign w:val="bottom"/>
            <w:tcBorders>
              <w:left w:val="single" w:sz="8" w:color="00000A"/>
              <w:bottom w:val="single" w:sz="8" w:color="00000A"/>
              <w:right w:val="single" w:sz="8" w:color="00000A"/>
            </w:tcBorders>
          </w:tcPr>
          <w:p>
            <w:pPr>
              <w:spacing w:after="0"/>
              <w:rPr>
                <w:sz w:val="4"/>
                <w:szCs w:val="4"/>
                <w:color w:val="auto"/>
              </w:rPr>
            </w:pPr>
          </w:p>
        </w:tc>
        <w:tc>
          <w:tcPr>
            <w:tcW w:w="540" w:type="dxa"/>
            <w:vAlign w:val="bottom"/>
            <w:tcBorders>
              <w:bottom w:val="single" w:sz="8" w:color="00000A"/>
            </w:tcBorders>
          </w:tcPr>
          <w:p>
            <w:pPr>
              <w:spacing w:after="0"/>
              <w:rPr>
                <w:sz w:val="4"/>
                <w:szCs w:val="4"/>
                <w:color w:val="auto"/>
              </w:rPr>
            </w:pPr>
          </w:p>
        </w:tc>
        <w:tc>
          <w:tcPr>
            <w:tcW w:w="12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780" w:type="dxa"/>
            <w:vAlign w:val="bottom"/>
            <w:tcBorders>
              <w:bottom w:val="single" w:sz="8" w:color="00000A"/>
              <w:right w:val="single" w:sz="8" w:color="00000A"/>
            </w:tcBorders>
          </w:tcPr>
          <w:p>
            <w:pPr>
              <w:spacing w:after="0"/>
              <w:rPr>
                <w:sz w:val="4"/>
                <w:szCs w:val="4"/>
                <w:color w:val="auto"/>
              </w:rPr>
            </w:pPr>
          </w:p>
        </w:tc>
        <w:tc>
          <w:tcPr>
            <w:tcW w:w="184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182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0" w:type="dxa"/>
            <w:vAlign w:val="bottom"/>
            <w:tcBorders>
              <w:left w:val="single" w:sz="8" w:color="00000A"/>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9"/>
              </w:rPr>
              <w:t>6</w:t>
            </w:r>
          </w:p>
        </w:tc>
        <w:tc>
          <w:tcPr>
            <w:tcW w:w="2980" w:type="dxa"/>
            <w:vAlign w:val="bottom"/>
            <w:tcBorders>
              <w:right w:val="single" w:sz="8" w:color="00000A"/>
            </w:tcBorders>
            <w:gridSpan w:val="5"/>
          </w:tcPr>
          <w:p>
            <w:pPr>
              <w:jc w:val="center"/>
              <w:ind w:right="20"/>
              <w:spacing w:after="0" w:line="209" w:lineRule="exact"/>
              <w:rPr>
                <w:sz w:val="20"/>
                <w:szCs w:val="20"/>
                <w:color w:val="auto"/>
              </w:rPr>
            </w:pPr>
            <w:r>
              <w:rPr>
                <w:rFonts w:ascii="Arial" w:cs="Arial" w:eastAsia="Arial" w:hAnsi="Arial"/>
                <w:sz w:val="20"/>
                <w:szCs w:val="20"/>
                <w:color w:val="auto"/>
                <w:w w:val="90"/>
              </w:rPr>
              <w:t>&gt;3.25:1.0</w:t>
            </w:r>
          </w:p>
        </w:tc>
        <w:tc>
          <w:tcPr>
            <w:tcW w:w="184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0.200%</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1.625%</w:t>
            </w:r>
          </w:p>
        </w:tc>
        <w:tc>
          <w:tcPr>
            <w:tcW w:w="182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91"/>
              </w:rPr>
              <w:t>1.625%</w:t>
            </w:r>
          </w:p>
        </w:tc>
        <w:tc>
          <w:tcPr>
            <w:tcW w:w="1700" w:type="dxa"/>
            <w:vAlign w:val="bottom"/>
            <w:tcBorders>
              <w:right w:val="single" w:sz="8" w:color="00000A"/>
            </w:tcBorders>
          </w:tcPr>
          <w:p>
            <w:pPr>
              <w:jc w:val="center"/>
              <w:spacing w:after="0" w:line="209" w:lineRule="exact"/>
              <w:rPr>
                <w:sz w:val="20"/>
                <w:szCs w:val="20"/>
                <w:color w:val="auto"/>
              </w:rPr>
            </w:pPr>
            <w:r>
              <w:rPr>
                <w:rFonts w:ascii="Arial" w:cs="Arial" w:eastAsia="Arial" w:hAnsi="Arial"/>
                <w:sz w:val="20"/>
                <w:szCs w:val="20"/>
                <w:color w:val="auto"/>
                <w:w w:val="88"/>
              </w:rPr>
              <w:t>0.625%</w:t>
            </w:r>
          </w:p>
        </w:tc>
        <w:tc>
          <w:tcPr>
            <w:tcW w:w="0" w:type="dxa"/>
            <w:vAlign w:val="bottom"/>
          </w:tcPr>
          <w:p>
            <w:pPr>
              <w:spacing w:after="0"/>
              <w:rPr>
                <w:sz w:val="1"/>
                <w:szCs w:val="1"/>
                <w:color w:val="auto"/>
              </w:rPr>
            </w:pPr>
          </w:p>
        </w:tc>
      </w:tr>
      <w:tr>
        <w:trPr>
          <w:trHeight w:val="48"/>
        </w:trPr>
        <w:tc>
          <w:tcPr>
            <w:tcW w:w="1400" w:type="dxa"/>
            <w:vAlign w:val="bottom"/>
            <w:tcBorders>
              <w:left w:val="single" w:sz="8" w:color="00000A"/>
              <w:bottom w:val="single" w:sz="8" w:color="00000A"/>
              <w:right w:val="single" w:sz="8" w:color="00000A"/>
            </w:tcBorders>
          </w:tcPr>
          <w:p>
            <w:pPr>
              <w:spacing w:after="0"/>
              <w:rPr>
                <w:sz w:val="4"/>
                <w:szCs w:val="4"/>
                <w:color w:val="auto"/>
              </w:rPr>
            </w:pPr>
          </w:p>
        </w:tc>
        <w:tc>
          <w:tcPr>
            <w:tcW w:w="54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1780" w:type="dxa"/>
            <w:vAlign w:val="bottom"/>
            <w:tcBorders>
              <w:bottom w:val="single" w:sz="8" w:color="00000A"/>
              <w:right w:val="single" w:sz="8" w:color="00000A"/>
            </w:tcBorders>
          </w:tcPr>
          <w:p>
            <w:pPr>
              <w:spacing w:after="0"/>
              <w:rPr>
                <w:sz w:val="4"/>
                <w:szCs w:val="4"/>
                <w:color w:val="auto"/>
              </w:rPr>
            </w:pPr>
          </w:p>
        </w:tc>
        <w:tc>
          <w:tcPr>
            <w:tcW w:w="184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182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60" w:right="40" w:hanging="4"/>
        <w:spacing w:after="0" w:line="260" w:lineRule="auto"/>
        <w:tabs>
          <w:tab w:leader="none" w:pos="814"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Applicable Rate for performance standby Letters of Credit with respect to non-financial contractual obligations shall be equal to 50% of the Applicable Rate for Letters of Credit set forth above.</w:t>
      </w:r>
    </w:p>
    <w:p>
      <w:pPr>
        <w:spacing w:after="0" w:line="177"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Any increase or decrease in the Applicable Rate resulting from a change in the Consolidated Net Leverage Ratio shall become effective as of the first Business Day immediately following the date a Compliance Certificate is required to be delivered pursuant to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Compliance Certificate is not delivered within five (5) Business Days after the date when due in accordance with such Section, then, upon the request of the Required Lenders, Pricing Level 6 shall apply as of the first Business Day after the date on which such Compliance Certificate was required to have been delivered and shall continue to apply until the first Business Day immediately following the date a Compliance Certificate is delivered pursuant to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whereupon the Applicable Rate shall be adjusted based upon the calculation of the Consolidated Net Leverage Ratio contained in such Compliance Certificate. Notwithstanding the foregoing, the Applicable Rate in effect from the Closing Date through the first Business Day immediately following the date a Compliance Certificate is required to be delivered pursuant to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for the Fiscal Quarter ending July 31, 2019 shall be determined based upon Pricing Level 1.</w:t>
      </w:r>
    </w:p>
    <w:p>
      <w:pPr>
        <w:spacing w:after="0" w:line="17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Time</w:t>
      </w:r>
      <w:r>
        <w:rPr>
          <w:rFonts w:ascii="Arial" w:cs="Arial" w:eastAsia="Arial" w:hAnsi="Arial"/>
          <w:sz w:val="19"/>
          <w:szCs w:val="19"/>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366" w:right="21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BMO Capital Markets and BofA Securities, Inc., in their capacities as joint lead arrangers and joint bookrunners.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11.06(b)</w:t>
      </w:r>
      <w:r>
        <w:rPr>
          <w:rFonts w:ascii="Arial" w:cs="Arial" w:eastAsia="Arial" w:hAnsi="Arial"/>
          <w:sz w:val="20"/>
          <w:szCs w:val="20"/>
          <w:color w:val="auto"/>
        </w:rPr>
        <w:t xml:space="preserve"> or any other form (including electronic documentation generated by use of an electronic platform) reasonably approved by the Administrative Agent that does not conflict with the terms of this Agreement.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Company and its Subsidiaries as of July 31, 2018 and the related consolidated statements of income or operations, shareholders’ equity and cash flows for the Fiscal Year ended July 31, 2018 of the Company and its Subsidiaries, including the notes thereto.</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the period from and including the Closing Date to the earliest of (a) the Maturity Date, (b) the date of termination of the Aggregate Revolving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(c) the date of termination of the commitment of each Lender to make Loans and of the obligation of the L/C Issuer to make L/C Credit Extensions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0.50%, (b) the rate of interest in effect for such day as publicly announced from time to time by BMO as its “prime rate” and (c) the Eurocurrency Base Rate (determined pursuant to clause (b) of the definition thereof)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 The “prime rate” is a rate set by BMO based upon various factors including BMO’s costs and desired return, general economic conditions and other factors, and is used as a reference point for pricing some loans, which may be priced at, above, or below such announced rate. Any change in such “prime rate” announced by BMO shall take effect at the opening of business on the day specified in the public announcement of such change. If the Base Rate shall be less than zero, such rate shall be deemed zero for purposes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BMO</w:t>
      </w:r>
      <w:r>
        <w:rPr>
          <w:rFonts w:ascii="Arial" w:cs="Arial" w:eastAsia="Arial" w:hAnsi="Arial"/>
          <w:sz w:val="20"/>
          <w:szCs w:val="20"/>
          <w:color w:val="auto"/>
        </w:rPr>
        <w:t>” means BMO Harris Bank N.A., together with its successors.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specified in the introductory paragraph hereto, and “</w:t>
      </w:r>
      <w:r>
        <w:rPr>
          <w:rFonts w:ascii="Arial" w:cs="Arial" w:eastAsia="Arial" w:hAnsi="Arial"/>
          <w:sz w:val="20"/>
          <w:szCs w:val="20"/>
          <w:u w:val="single" w:color="auto"/>
          <w:color w:val="auto"/>
        </w:rPr>
        <w:t>Borrower</w:t>
      </w:r>
      <w:r>
        <w:rPr>
          <w:rFonts w:ascii="Arial" w:cs="Arial" w:eastAsia="Arial" w:hAnsi="Arial"/>
          <w:sz w:val="20"/>
          <w:szCs w:val="20"/>
          <w:color w:val="auto"/>
        </w:rPr>
        <w:t>” means any one of them.</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simultaneous Loans of the same Type, in the same currency and, in the case of Eurocurrency Rate Loans, having the same Interest Period made by each of the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Brady Finance Luxembourg</w:t>
      </w:r>
      <w:r>
        <w:rPr>
          <w:rFonts w:ascii="Arial" w:cs="Arial" w:eastAsia="Arial" w:hAnsi="Arial"/>
          <w:sz w:val="20"/>
          <w:szCs w:val="20"/>
          <w:color w:val="auto"/>
        </w:rPr>
        <w:t>” means Brady Finance Luxembourg, a private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Luxembourg, having its registered office at 75, Parc d’Activités, L-8308 Capellen, Luxembourg, registered with the Luxembourg Companies Register under number B 153389.</w:t>
      </w:r>
    </w:p>
    <w:p>
      <w:pPr>
        <w:spacing w:after="0" w:line="186"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Brady SARL</w:t>
      </w:r>
      <w:r>
        <w:rPr>
          <w:rFonts w:ascii="Arial" w:cs="Arial" w:eastAsia="Arial" w:hAnsi="Arial"/>
          <w:sz w:val="20"/>
          <w:szCs w:val="20"/>
          <w:color w:val="auto"/>
        </w:rPr>
        <w:t>” means Brady S.à r.l., a private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Luxembourg, having its registered office at 75, Parc d’Activités, L</w:t>
      </w:r>
      <w:r>
        <w:rPr>
          <w:rFonts w:ascii="MS PGothic" w:cs="MS PGothic" w:eastAsia="MS PGothic" w:hAnsi="MS PGothic"/>
          <w:sz w:val="20"/>
          <w:szCs w:val="20"/>
          <w:color w:val="auto"/>
        </w:rPr>
        <w:t>‑</w:t>
      </w:r>
      <w:r>
        <w:rPr>
          <w:rFonts w:ascii="Arial" w:cs="Arial" w:eastAsia="Arial" w:hAnsi="Arial"/>
          <w:sz w:val="20"/>
          <w:szCs w:val="20"/>
          <w:color w:val="auto"/>
        </w:rPr>
        <w:t>8308 Capellen, Luxembourg, registered with the Luxembourg Companies Register under number B 177140.</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 (a) 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day on which dealings in Dollar deposits are conducted by and between banks in the London interbank eurodollar market; (b) 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 (c) 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 (d) 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1.03</w:t>
      </w:r>
      <w:r>
        <w:rPr>
          <w:rFonts w:ascii="Arial" w:cs="Arial" w:eastAsia="Arial" w:hAnsi="Arial"/>
          <w:sz w:val="20"/>
          <w:szCs w:val="20"/>
          <w:color w:val="auto"/>
        </w:rPr>
        <w:t>, with respect to any Person, any lease of (or other agreement conveying the right to use) any real or personal property by such Person that, in conformity with GAAP as in effect immediately prior to the adoption of FASB ASC 842, is accounted for as a capital lease on the balance sheet of such Person.</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 interest or participation that confers on a Person the right to receive a share of the profits and losses of, or distributions of assets of, the issuing Person.</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deposit in a Controlled Account or to pledge and deposit with or deliver to the Administrative Agent, for the benefit of one or more of the L/C Issuer or the Lenders, as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1" w:name="page12"/>
    <w:bookmarkEnd w:id="11"/>
    <w:p>
      <w:pPr>
        <w:jc w:val="both"/>
        <w:spacing w:after="0" w:line="282" w:lineRule="auto"/>
        <w:rPr>
          <w:sz w:val="20"/>
          <w:szCs w:val="20"/>
          <w:color w:val="auto"/>
        </w:rPr>
      </w:pPr>
      <w:r>
        <w:rPr>
          <w:rFonts w:ascii="Arial" w:cs="Arial" w:eastAsia="Arial" w:hAnsi="Arial"/>
          <w:sz w:val="18"/>
          <w:szCs w:val="18"/>
          <w:color w:val="auto"/>
        </w:rPr>
        <w:t>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bank deposits, time deposits, certificates of deposit and bankers acceptances, in each case of (i) any Lender or (ii) any commercial bank of recognized standing having capital and surplus in excess of $100,000,000 (each, an “Approved Lender”), (c) commercial paper issued by any Approved Lender (or by the parent company thereof) which is of investment grade provided, the aggregate principal amount of commercial paper issued by any one issuer shall not exceed $25,000,000, (d) unrated commercial paper issued by Wisconsin corporations, provided, the aggregate principal amount of commercial paper issued by any one issuer shall not exceed $10,000,000,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Internal Revenue Code and having a rating of A or above by S&amp;P, (g) investments in municipal put bonds and municipal market auction notes and bonds rated A or above by S&amp;P, (h)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Internal Revenue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Closing Date (or, with respect to any Lender, if later, the date on which such Lender becomes a Lender),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except to the extent they are merely proposed and not in effect (it being understood that at the time they become effective, they shall constitute a “Change in Law”) (i) the Dodd-Frank Wall Street Reform and Consumer Protection Act and all requests, rules, guidelines or directives thereunder or issued in connection therewith by a Governmental Authority charged with the enforcement, implementation, interpretation or administration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hereof.</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to each Lender, the Revolving Commitment of such Lender.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any competitor of the Company or any Subsidiary that is in the same or a similar line of business as the Company or any Subsidiary designated in writing from time to time by the Company to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7.01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Computation Period</w:t>
      </w:r>
      <w:r>
        <w:rPr>
          <w:rFonts w:ascii="Arial" w:cs="Arial" w:eastAsia="Arial" w:hAnsi="Arial"/>
          <w:sz w:val="20"/>
          <w:szCs w:val="20"/>
          <w:color w:val="auto"/>
        </w:rPr>
        <w:t>” means each period of four consecutive Fiscal Quarters ending on the last day of a Fiscal Quarter.</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to the extent deducted in computing such Consolidated Net Income and without duplication, (i) depreciation and amortization expense for such period, (ii) Consolidated Interest Expense for such period, (iii) income tax expense for such period, (iv) any unusual or non-recurring expenses or losses (including, whether or not otherwise includable as a separate item in the statement of Consolidated Net Income for such period, losses on the sales or other dispositions of assets outside the ordinary course of business and loss on early retirement of debt), (v) any other non-cash items for such period (excluding any write-down of current assets and any such non-cash charges to the extent that such charge represents an accrual of or reserve for a future cash payment), (vi) the amount of business optimization expenses and other restructuring charges (which, for the avoidance of doubt, shall include the effect of inventory optimization programs, plant closure, retention, severance, systems establishment costs and excess pension charges), (vii) the amount of cost savings, operating expense reductions and cost synergies relating to transactions consummated by the Company and its Subsidiaries and projected by the Borrowers in good faith to result from actions taken or committed to be taken no later than 12 months after the consummation of such transaction (calculated on a pro forma basis as though such cost savings, operating expense reductions and cost synergies had been realized on the first day of such period for which Consolidated EBITDA is being determined and as if such cost savings, operating expense reductions and cost synergies were realized during the entirety of such period), net of the amount of actual benefits realized during such period from such actions, (viii) any net unrealized losses resulting from currency translation losses related to currency re-measurements of Debt (including any net loss resulting from Hedging Agreements for currency exchange risk) and any unrealized foreign currency translation losses, (ix) any unrealized mark-to-market losses on Hedging Agreements and (x) any one-time costs, fees, expenses, premiums, make-whole payments and other similar items associated with the issuance, incurrence or repayment of Debt (including the closing of this Agreement), any issuance of equity interests, any Investment, any Acquisition, and any disposition of assets of the applicable Person, in each case to the extent permitted hereunder (and whether or not consummated),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included in computing such Consolidated Net Income and without duplication, (i) any unusual or non-recurring income or gains (including, whether or not otherwise includable as a separate item in the statement of Consolidated Net Income for such period, gains on the sales or other dispositions of assets outside the ordinary course of business and gain on early retirement of debt), (ii) non-cash income for such period (excluding any non-cash income to the extent that such income represents a receivable or asset for a future cash receipt), (iii) any net unrealized gains resulting from currency translation gains related to currency re-measurements of Debt (including any net gain resulting from Hedging Agreements for currency exchange risk) and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8"/>
          <w:szCs w:val="18"/>
          <w:color w:val="auto"/>
        </w:rPr>
        <w:t>unrealized foreign currency translation gains and (iv) any unrealized mark-to-market gains on Hedging Agreements, all as determined in accordance with GAAP. For purposes of calculating Consolidated EBITDA for any period of four consecutive quarters, if during such period the Company or any Subsidiary shall have consummated an Acquisition, Consolidated EBITDA for such period shall be 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 provided that the aggregate amount of add-backs made pursuant to clauses (a)(iv), (a)(vi), (a)(vii) and (a)(x) for any period shall not exceed the greater of (A) $15,000,000 and (B) an amount equal to 15% of Consolidated EBITDA for such period (determined prior to giving effect to such add-backs).</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Debt</w:t>
      </w:r>
      <w:r>
        <w:rPr>
          <w:rFonts w:ascii="Arial" w:cs="Arial" w:eastAsia="Arial" w:hAnsi="Arial"/>
          <w:sz w:val="18"/>
          <w:szCs w:val="18"/>
          <w:color w:val="auto"/>
        </w:rPr>
        <w:t>” means all Debt of the Company and its Subsidiaries, excluding (i) contingent obligations in respect of undrawn letters of credit, bank guarantees and banker’s acceptances and Suretyship Liabilities in respect of obligations not constituting Debt,</w:t>
      </w:r>
    </w:p>
    <w:p>
      <w:pPr>
        <w:spacing w:after="0" w:line="1" w:lineRule="exact"/>
        <w:rPr>
          <w:sz w:val="20"/>
          <w:szCs w:val="20"/>
          <w:color w:val="auto"/>
        </w:rPr>
      </w:pPr>
    </w:p>
    <w:p>
      <w:pPr>
        <w:jc w:val="both"/>
        <w:ind w:firstLine="8"/>
        <w:spacing w:after="0" w:line="241" w:lineRule="auto"/>
        <w:tabs>
          <w:tab w:leader="none" w:pos="322"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obligations under Hedging Agreements, (iii) Securitization Obligations to the extent such obligations would not be required to be included on the consolidated balance sheet of the Company in accordance with GAAP and (iv) obligations to pay the deferred purchase price of services.</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for any Computation Period, the ratio of (a) Consolidated EBITDA for such Computation Period to (b) Consolidated Interest Expense for such Computation Period.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means, for any Computation Period, the consolidated interest expense of the Company and its Subsidiaries for such Computation Period, as determined in accordance with GAAP.</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for any period, for the Company and its Subsidiaries on a consolidated basis, the net income (or loss) of the Company and its Subsidiaries (excluding (i) extraordinary items and (ii)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for that period, as determined in accordance with GAAP.</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xml:space="preserve">” means, for any Computation Period, the ratio of (a) the difference of (i) Consolidated Funded Debt as of the last day of such Computation Period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Specified Cash as of the last day of such Computation Period to (b) Consolidated EBITDA for such Computation Period.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written agreement, instrument or other undertaking to which such Person is a party or by which it or any of its property is bound.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means each deposit account and securities account that is subject to an account control agreement in form and substance satisfactory to the Administrative Agent and the L/C Issuer.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Group</w:t>
      </w:r>
      <w:r>
        <w:rPr>
          <w:rFonts w:ascii="Arial" w:cs="Arial" w:eastAsia="Arial" w:hAnsi="Arial"/>
          <w:sz w:val="20"/>
          <w:szCs w:val="20"/>
          <w:color w:val="auto"/>
        </w:rPr>
        <w:t>” 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xml:space="preserve">” of any Person means,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as in effect immediately prior the adoption of FASB ASC 842, (c) all obligations of such Person to pay the deferred purchase price of property or services (excluding (i) trade and similar accounts payable and accrued expenses in the ordinary course of business and (ii) accrued pension costs and other employee benefit and compensation obligations arising in the ordinary course of business), (d) all indebtedness secured by a Lien on the property of such Person, whether or not such indebtedness shall have been assumed by such Person (it being understood that if such Person has not assumed or otherwise become personally liable for any such indebtedness, the amount of the Debt of such Person in connection therewith shall be limited to the lesser of the face amount of such indebtedness and the fair market value of all property of such Person securing such indebtedness), (e) all obligations, contingent or otherwise, under letters of credit (whether or not drawn), including the Letters of Credit, but otherwise excluding trade letters of credit, and banker’s acceptances issued for the account of such Person, (f) all Securitization Obligations of such Person, to the extent such obligations would be required to be included on the consolidated balance sheet of the Company in accordance with GAAP, (g) the net obligations of such Person under Hedging Agreements, (h) all Suretyship Liabilities of such Person with respect to obligations of the type described in any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(i) all Debt of any partnership in which such Person is a general partner. The amount of any net obligation under any Hedging Agreement on any date shall be deemed to be the Swap Termination Value thereof as of such date. If any of the foregoing Debt is limited to recourse against a particular asset or assets of such Person, the amount of the corresponding Debt shall be equal to the lesser of the amount of such Debt and the fair market value of such asset or assets at the date for determination of the amount of such Debt. The amount of Debt of the Company and its Subsidiaries hereunder shall be calculated without duplication of Suretyship Liabilities of the Company or any Subsidiary in respect thereof. “Debt” shall not include (1) indebtedness owing to the Company by any Subsidiary or indebtedness owing to any Subsidiary by the Company or another Subsidiary, (2) any customary earnout or holdback or similar obligations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(5) defeased and/or discharged indebtedness, (6) interest, fees, premium or expenses, if any, relating to the principal amount of Debt to the extent not paid in kind, or (7) all obligations of any Person as lessee under operating leases, in accordance with GAAP as in effect immediately prior to the adoption of FASB ASC 842.</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generally, moratorium, rearrangement, receivership, insolvency, reorganization, or similar debtor relief Laws of the United States or other applicable jurisdictions from time to time in effect and affecting the rights of creditors generally, including any Luxembourg Insolvency Event.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 when used with respect to Obligations other than Letter of Credit Fees, an interest rate equal to (i)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Rate, if any, applicable to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 Eurocurrency Rate Loan, the Default Rate shall be an interest rate equal to the interest rate (including any Applicable Rate) otherwise applicable 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9"/>
          <w:szCs w:val="19"/>
          <w:color w:val="auto"/>
        </w:rPr>
        <w:t xml:space="preserve">such Loan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 in each case to the fullest extent permitted by applicable Laws and (b) when used with respect to Letter of Credit Fees, a rate equal to the Applicable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 in all cases to the fullest extent permitted by applicable Laws.</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w:t>
      </w:r>
    </w:p>
    <w:p>
      <w:pPr>
        <w:spacing w:after="0" w:line="2" w:lineRule="exact"/>
        <w:rPr>
          <w:sz w:val="20"/>
          <w:szCs w:val="20"/>
          <w:color w:val="auto"/>
        </w:rPr>
      </w:pPr>
    </w:p>
    <w:p>
      <w:pPr>
        <w:jc w:val="both"/>
        <w:ind w:firstLine="8"/>
        <w:spacing w:after="0" w:line="266"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notified the Company, the Administrative Agent, the L/C Issuer or the Swing Line Lender in writing that it does not intend or expect to comply with all or any portion of its funding obligations hereunder or under other agreements in which it commits to extend credit generally,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(such writing to be reasonably satisfactory to the Administrative Agent or the Company, as applicable) that it will comply with, and is financially able to meet,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Company), or</w:t>
      </w:r>
    </w:p>
    <w:p>
      <w:pPr>
        <w:spacing w:after="0" w:line="1" w:lineRule="exact"/>
        <w:rPr>
          <w:rFonts w:ascii="Arial" w:cs="Arial" w:eastAsia="Arial" w:hAnsi="Arial"/>
          <w:sz w:val="18"/>
          <w:szCs w:val="18"/>
          <w:color w:val="auto"/>
        </w:rPr>
      </w:pPr>
    </w:p>
    <w:p>
      <w:pPr>
        <w:jc w:val="both"/>
        <w:ind w:firstLine="8"/>
        <w:spacing w:after="0" w:line="253" w:lineRule="auto"/>
        <w:tabs>
          <w:tab w:leader="none" w:pos="285"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has, or has a direct or indirect parent company that has, (i) become the subject of a proceeding under any Debtor Relief Law or of a Bail-In Action,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taken any action in furtherance of, or indicated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clauses (a) through (d) above, and of the effective date of such status, shall be conclusive and binding absent demonstrable error, and such Lender shall be deemed to be a Defaulting Lender (subject to </w:t>
      </w:r>
      <w:r>
        <w:rPr>
          <w:rFonts w:ascii="Arial" w:cs="Arial" w:eastAsia="Arial" w:hAnsi="Arial"/>
          <w:sz w:val="19"/>
          <w:szCs w:val="19"/>
          <w:u w:val="single" w:color="auto"/>
          <w:color w:val="auto"/>
        </w:rPr>
        <w:t>Section 2.16(b)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w:t>
      </w:r>
      <w:r>
        <w:rPr>
          <w:rFonts w:ascii="Arial" w:cs="Arial" w:eastAsia="Arial" w:hAnsi="Arial"/>
          <w:sz w:val="20"/>
          <w:szCs w:val="20"/>
          <w:color w:val="auto"/>
        </w:rPr>
        <w:t>” means any limited liability company organized or formed under the laws of the State of Delaware.</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 Division</w:t>
      </w:r>
      <w:r>
        <w:rPr>
          <w:rFonts w:ascii="Arial" w:cs="Arial" w:eastAsia="Arial" w:hAnsi="Arial"/>
          <w:sz w:val="20"/>
          <w:szCs w:val="20"/>
          <w:color w:val="auto"/>
        </w:rPr>
        <w:t>” means the statutory division of any Delaware LLC into two or more Delaware LLCs pursuant to Section 18-217 of the Delaware Limited Liability Company 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territory or region itself is the subject of any Sanction.</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shall mean (a) those Competitors identified on a list provided by the Company to the Administrative Agent and made available to the Lenders on the Closing Date (the “</w:t>
      </w:r>
      <w:r>
        <w:rPr>
          <w:rFonts w:ascii="Arial" w:cs="Arial" w:eastAsia="Arial" w:hAnsi="Arial"/>
          <w:sz w:val="19"/>
          <w:szCs w:val="19"/>
          <w:u w:val="single" w:color="auto"/>
          <w:color w:val="auto"/>
        </w:rPr>
        <w:t>Disqualified Institution List</w:t>
      </w:r>
      <w:r>
        <w:rPr>
          <w:rFonts w:ascii="Arial" w:cs="Arial" w:eastAsia="Arial" w:hAnsi="Arial"/>
          <w:sz w:val="19"/>
          <w:szCs w:val="19"/>
          <w:color w:val="auto"/>
        </w:rPr>
        <w:t xml:space="preserve">”) (as such Disqualified Institution List may be supplemented from time to time by the Borrowers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and (b) any other Competitor identified by legal name in writing to the Administrative Agent after the Closing Date (it being understood that the Company shall be required to provide a fully updated Disqualified Institution List to the Administrative Agent in order to supplement such list after the Closing Date and the Administrative Agent shall make such updated list available to the Lenders), which designation shall become effective one day after the date that such written designation to the Administrative Agent is made available to the Lenders on IntraLinks, Syndtrak, ClearPar or a similar electronic transmission system, but which shall not apply retroactively to disqualify any persons that have previously acquired an assignment or participation interest in the Loans and/or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continuation of an Event of Default, the Company may not designate any additional Persons as Disqualified Institutions.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Alternative Currency, the equivalent amount thereof in Dollars as determined in good faith by the Administrative Agent or the L/C Issuer, as the case may be, at such time on the basis of the Spot Rate (determined in respect of the most recent Revaluation Date) for the purchase of Dollars with such Alternative Currency.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Borrower</w:t>
      </w:r>
      <w:r>
        <w:rPr>
          <w:rFonts w:ascii="Arial" w:cs="Arial" w:eastAsia="Arial" w:hAnsi="Arial"/>
          <w:sz w:val="20"/>
          <w:szCs w:val="20"/>
          <w:color w:val="auto"/>
        </w:rPr>
        <w:t>” means, collectively, the Company and each Designated Borrower that is a Domestic Subsidiary.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any state of the United States or the District of Columbia.</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17" w:name="page18"/>
    <w:bookmarkEnd w:id="17"/>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Sections 11.06(b)(iii)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11.06(b)(iii)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means the economic and monetary union in accordance with the Treaty of Rome 1957, as amended by the Single European Act 1986, the Maastricht Treaty of 1992 and the Amsterdam Treaty of 1998.</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European Council for the introduction of, changeover to or operation of a single or unified European currency.</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Claims</w:t>
      </w:r>
      <w:r>
        <w:rPr>
          <w:rFonts w:ascii="Arial" w:cs="Arial" w:eastAsia="Arial" w:hAnsi="Arial"/>
          <w:sz w:val="19"/>
          <w:szCs w:val="19"/>
          <w:color w:val="auto"/>
        </w:rPr>
        <w:t>” means all claims, however asserted, by any Governmental Authority or other Person alleging potential liability or responsibility for violation of any Environmental Law, or for release of Hazardous Substances or injury to the environment.</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EUR</w:t>
      </w:r>
      <w:r>
        <w:rPr>
          <w:rFonts w:ascii="Arial" w:cs="Arial" w:eastAsia="Arial" w:hAnsi="Arial"/>
          <w:sz w:val="18"/>
          <w:szCs w:val="18"/>
          <w:color w:val="auto"/>
        </w:rPr>
        <w:t>” mean the lawful currency of the Participating Member States introduced in accordance with the EMU Legislation.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Base Rate</w:t>
      </w:r>
      <w:r>
        <w:rPr>
          <w:rFonts w:ascii="Arial" w:cs="Arial" w:eastAsia="Arial" w:hAnsi="Arial"/>
          <w:sz w:val="20"/>
          <w:szCs w:val="20"/>
          <w:color w:val="auto"/>
        </w:rPr>
        <w:t>” means,</w:t>
      </w:r>
    </w:p>
    <w:p>
      <w:pPr>
        <w:spacing w:after="0" w:line="216" w:lineRule="exact"/>
        <w:rPr>
          <w:sz w:val="20"/>
          <w:szCs w:val="20"/>
          <w:color w:val="auto"/>
        </w:rPr>
      </w:pPr>
    </w:p>
    <w:p>
      <w:pPr>
        <w:ind w:left="1720" w:hanging="415"/>
        <w:spacing w:after="0"/>
        <w:tabs>
          <w:tab w:leader="none" w:pos="1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for any Interest Period with respect to a Eurocurrency Rate Loan:</w:t>
      </w:r>
    </w:p>
    <w:p>
      <w:pPr>
        <w:spacing w:after="0" w:line="215" w:lineRule="exact"/>
        <w:rPr>
          <w:rFonts w:ascii="Arial" w:cs="Arial" w:eastAsia="Arial" w:hAnsi="Arial"/>
          <w:sz w:val="20"/>
          <w:szCs w:val="20"/>
          <w:color w:val="auto"/>
        </w:rPr>
      </w:pPr>
    </w:p>
    <w:p>
      <w:pPr>
        <w:jc w:val="both"/>
        <w:ind w:left="1300" w:firstLine="653"/>
        <w:spacing w:after="0" w:line="243" w:lineRule="auto"/>
        <w:tabs>
          <w:tab w:leader="none" w:pos="2365" w:val="left"/>
        </w:tabs>
        <w:numPr>
          <w:ilvl w:val="1"/>
          <w:numId w:val="6"/>
        </w:numPr>
        <w:rPr>
          <w:rFonts w:ascii="Arial" w:cs="Arial" w:eastAsia="Arial" w:hAnsi="Arial"/>
          <w:sz w:val="20"/>
          <w:szCs w:val="20"/>
          <w:color w:val="auto"/>
        </w:rPr>
      </w:pPr>
      <w:r>
        <w:rPr>
          <w:rFonts w:ascii="Arial" w:cs="Arial" w:eastAsia="Arial" w:hAnsi="Arial"/>
          <w:sz w:val="20"/>
          <w:szCs w:val="20"/>
          <w:color w:val="auto"/>
        </w:rPr>
        <w:t>in the case of any Eurocurrency Rate Loan denominated in a LIBOR Quoted Currency, the rate per annum equal to the London Interbank Offered Rate (“</w:t>
      </w:r>
      <w:r>
        <w:rPr>
          <w:rFonts w:ascii="Arial" w:cs="Arial" w:eastAsia="Arial" w:hAnsi="Arial"/>
          <w:sz w:val="20"/>
          <w:szCs w:val="20"/>
          <w:u w:val="single" w:color="auto"/>
          <w:color w:val="auto"/>
        </w:rPr>
        <w:t>LIBOR</w:t>
      </w:r>
      <w:r>
        <w:rPr>
          <w:rFonts w:ascii="Arial" w:cs="Arial" w:eastAsia="Arial" w:hAnsi="Arial"/>
          <w:sz w:val="20"/>
          <w:szCs w:val="20"/>
          <w:color w:val="auto"/>
        </w:rPr>
        <w: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20"/>
          <w:szCs w:val="20"/>
          <w:u w:val="single" w:color="auto"/>
          <w:color w:val="auto"/>
        </w:rPr>
        <w:t>LIBOR Rate</w:t>
      </w:r>
      <w:r>
        <w:rPr>
          <w:rFonts w:ascii="Arial" w:cs="Arial" w:eastAsia="Arial" w:hAnsi="Arial"/>
          <w:sz w:val="20"/>
          <w:szCs w:val="20"/>
          <w:color w:val="auto"/>
        </w:rPr>
        <w:t>”) at or about 11:00 a.m., London time, two Business Days prior to the commencement of such Interest Period, for deposits in the relevant currency (for delivery on the first day of such Interest Period) with a term equivalent to such Interest Period;</w:t>
      </w:r>
    </w:p>
    <w:p>
      <w:pPr>
        <w:spacing w:after="0" w:line="196" w:lineRule="exact"/>
        <w:rPr>
          <w:rFonts w:ascii="Arial" w:cs="Arial" w:eastAsia="Arial" w:hAnsi="Arial"/>
          <w:sz w:val="20"/>
          <w:szCs w:val="20"/>
          <w:color w:val="auto"/>
        </w:rPr>
      </w:pPr>
    </w:p>
    <w:p>
      <w:pPr>
        <w:jc w:val="both"/>
        <w:ind w:left="1300" w:firstLine="653"/>
        <w:spacing w:after="0" w:line="246" w:lineRule="auto"/>
        <w:tabs>
          <w:tab w:leader="none" w:pos="2511" w:val="left"/>
        </w:tabs>
        <w:numPr>
          <w:ilvl w:val="1"/>
          <w:numId w:val="6"/>
        </w:numPr>
        <w:rPr>
          <w:rFonts w:ascii="Arial" w:cs="Arial" w:eastAsia="Arial" w:hAnsi="Arial"/>
          <w:sz w:val="20"/>
          <w:szCs w:val="20"/>
          <w:color w:val="auto"/>
        </w:rPr>
      </w:pPr>
      <w:r>
        <w:rPr>
          <w:rFonts w:ascii="Arial" w:cs="Arial" w:eastAsia="Arial" w:hAnsi="Arial"/>
          <w:sz w:val="20"/>
          <w:szCs w:val="20"/>
          <w:color w:val="auto"/>
        </w:rPr>
        <w:t>in the case of any Eurocurrency Rate Loan denominated in Canadian Dollars, the rate per annum equal to the Canadian Dealer Offered Rate,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18" w:name="page19"/>
    <w:bookmarkEnd w:id="18"/>
    <w:p>
      <w:pPr>
        <w:ind w:left="1300"/>
        <w:spacing w:after="0"/>
        <w:rPr>
          <w:sz w:val="20"/>
          <w:szCs w:val="20"/>
          <w:color w:val="auto"/>
        </w:rPr>
      </w:pPr>
      <w:r>
        <w:rPr>
          <w:rFonts w:ascii="Arial" w:cs="Arial" w:eastAsia="Arial" w:hAnsi="Arial"/>
          <w:sz w:val="20"/>
          <w:szCs w:val="20"/>
          <w:color w:val="auto"/>
        </w:rPr>
        <w:t>10:00 a.m. (Toronto, Ontario time) on the Rate Determination Date with a term equivalent to such Interest Period;</w:t>
      </w:r>
    </w:p>
    <w:p>
      <w:pPr>
        <w:spacing w:after="0" w:line="216" w:lineRule="exact"/>
        <w:rPr>
          <w:sz w:val="20"/>
          <w:szCs w:val="20"/>
          <w:color w:val="auto"/>
        </w:rPr>
      </w:pPr>
    </w:p>
    <w:p>
      <w:pPr>
        <w:jc w:val="both"/>
        <w:ind w:left="1300" w:firstLine="653"/>
        <w:spacing w:after="0" w:line="260" w:lineRule="auto"/>
        <w:tabs>
          <w:tab w:leader="none" w:pos="2536"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the case of any Eurocurrency Rate Loan denominated in Australian Dollars, the rate per annum equal to the Bank Bill Swap Reference Bid Rate,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10:30 a.m. (Melbourne, Australia time) on the Rate Determination Date with a term equivalent to such Interest Period;</w:t>
      </w:r>
    </w:p>
    <w:p>
      <w:pPr>
        <w:spacing w:after="0" w:line="180" w:lineRule="exact"/>
        <w:rPr>
          <w:rFonts w:ascii="Arial" w:cs="Arial" w:eastAsia="Arial" w:hAnsi="Arial"/>
          <w:sz w:val="19"/>
          <w:szCs w:val="19"/>
          <w:color w:val="auto"/>
        </w:rPr>
      </w:pPr>
    </w:p>
    <w:p>
      <w:pPr>
        <w:jc w:val="both"/>
        <w:ind w:left="1300" w:firstLine="653"/>
        <w:spacing w:after="0" w:line="250" w:lineRule="auto"/>
        <w:tabs>
          <w:tab w:leader="none" w:pos="2502"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in the case of any other Eurocurrency Rate Loan denominated in a Non-LIBOR Quoted Currency (other than those specified above), the rate designated with respect to such Alternative Currency at the time such Alternative Currency is approved by the Administrative Agent and the Lenders pursuant to </w:t>
      </w:r>
      <w:r>
        <w:rPr>
          <w:rFonts w:ascii="Arial" w:cs="Arial" w:eastAsia="Arial" w:hAnsi="Arial"/>
          <w:sz w:val="20"/>
          <w:szCs w:val="20"/>
          <w:u w:val="single" w:color="auto"/>
          <w:color w:val="auto"/>
        </w:rPr>
        <w:t>Section 1.07</w:t>
      </w:r>
      <w:r>
        <w:rPr>
          <w:rFonts w:ascii="Arial" w:cs="Arial" w:eastAsia="Arial" w:hAnsi="Arial"/>
          <w:sz w:val="20"/>
          <w:szCs w:val="20"/>
          <w:color w:val="auto"/>
        </w:rPr>
        <w:t>; and</w:t>
      </w:r>
    </w:p>
    <w:p>
      <w:pPr>
        <w:spacing w:after="0" w:line="186" w:lineRule="exact"/>
        <w:rPr>
          <w:sz w:val="20"/>
          <w:szCs w:val="20"/>
          <w:color w:val="auto"/>
        </w:rPr>
      </w:pPr>
    </w:p>
    <w:p>
      <w:pPr>
        <w:jc w:val="both"/>
        <w:ind w:left="660" w:firstLine="645"/>
        <w:spacing w:after="0" w:line="269" w:lineRule="auto"/>
        <w:tabs>
          <w:tab w:leader="none" w:pos="1799" w:val="left"/>
        </w:tabs>
        <w:numPr>
          <w:ilvl w:val="0"/>
          <w:numId w:val="8"/>
        </w:numPr>
        <w:rPr>
          <w:rFonts w:ascii="Arial" w:cs="Arial" w:eastAsia="Arial" w:hAnsi="Arial"/>
          <w:sz w:val="19"/>
          <w:szCs w:val="19"/>
          <w:color w:val="auto"/>
        </w:rPr>
      </w:pPr>
      <w:r>
        <w:rPr>
          <w:rFonts w:ascii="Arial" w:cs="Arial" w:eastAsia="Arial" w:hAnsi="Arial"/>
          <w:sz w:val="19"/>
          <w:szCs w:val="19"/>
          <w:color w:val="auto"/>
        </w:rPr>
        <w:t>for any interest rate calculation with respect to a Base Rate Loan on any date, the rate per annum equal to the LIBOR Rate, at approximately 11:00 a.m., London time determined two Business Days prior to such date for Dollar deposits being delivered in the London interbank market for deposits in Dollars with a term of one month commencing that day;</w:t>
      </w:r>
    </w:p>
    <w:p>
      <w:pPr>
        <w:spacing w:after="0" w:line="170"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other than with respect to clause (a)(i) above (which shall be subject to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(i) to the extent a comparable or successor rate is approved by the Administrative Agent in connection herewith, the approved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such market practice is not administratively feasible for the Administrative Agent, such approved rate shall be applied as otherwise reasonably determined by the Administrative Agent and (ii) if the Eurocurrency Base Rate shall be less than zero, such rate shall be deemed zero for purposes of this Agreement.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xml:space="preserve">” means, for any Interest Period with respect to any Eurocurrency Rate Loan, a rate per annum determined by the Administrative Agent to be equal to the quotient obtained by dividing (a) the Eurocurrency Base Rate for such Eurocurrency Rate Loan for such Interest Period by (b) one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Eurocurrency Reserve Percentage for such Eurocurrency Rate Loan for such Interest Period.</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means a Loan that bears interest at a rate based on clause (a) of the definition of “Eurocurrency Base Rate.” All Loans denominated in an Alternative Currency must be Eurocurrency Rate Loans, except as provided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Percentage</w:t>
      </w:r>
      <w:r>
        <w:rPr>
          <w:rFonts w:ascii="Arial" w:cs="Arial" w:eastAsia="Arial" w:hAnsi="Arial"/>
          <w:sz w:val="18"/>
          <w:szCs w:val="18"/>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Eurocurrency Rate for each outstanding Eurocurrency Rate Loan shall be adjusted automatically as of the effective date of any change in the Eurocurrency Reserve Percentage.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9.01</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19" w:name="page20"/>
    <w:bookmarkEnd w:id="19"/>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(i) each Subsidiary that is a captive insurance company, (ii) each Securitization Subsidiary, and (iii) each other Subsidiary (other than any Loan Party) having assets with a net book value of less than $2,000,000, calculated in accordance with GAAP.</w:t>
      </w:r>
    </w:p>
    <w:p>
      <w:pPr>
        <w:spacing w:after="0" w:line="13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Arial" w:cs="Arial" w:eastAsia="Arial" w:hAnsi="Arial"/>
          <w:sz w:val="20"/>
          <w:szCs w:val="20"/>
          <w:u w:val="single" w:color="auto"/>
          <w:color w:val="auto"/>
        </w:rPr>
        <w:t>Section 4.08</w:t>
      </w:r>
      <w:r>
        <w:rPr>
          <w:rFonts w:ascii="Arial" w:cs="Arial" w:eastAsia="Arial" w:hAnsi="Arial"/>
          <w:sz w:val="20"/>
          <w:szCs w:val="20"/>
          <w:color w:val="auto"/>
        </w:rPr>
        <w:t xml:space="preserve">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Hedging Agreement, such exclusion shall apply to only the portion of such Swap Obligation that is attributable to Hedging Agreements for which such Guaranty or security interest is or becomes illegal.</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or taxing authority subdivision thereof or therein) or (ii) 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spacing w:after="0" w:line="2"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such Lender acquires such interest in the Loan or Commitment (other than pursuant to an assignment request by the Borrower under </w:t>
      </w:r>
      <w:r>
        <w:rPr>
          <w:rFonts w:ascii="Arial" w:cs="Arial" w:eastAsia="Arial" w:hAnsi="Arial"/>
          <w:sz w:val="16"/>
          <w:szCs w:val="16"/>
          <w:u w:val="single" w:color="auto"/>
          <w:color w:val="auto"/>
        </w:rPr>
        <w:t>Section</w:t>
      </w:r>
    </w:p>
    <w:p>
      <w:pPr>
        <w:spacing w:after="0" w:line="45" w:lineRule="exact"/>
        <w:rPr>
          <w:rFonts w:ascii="Arial" w:cs="Arial" w:eastAsia="Arial" w:hAnsi="Arial"/>
          <w:sz w:val="16"/>
          <w:szCs w:val="16"/>
          <w:color w:val="auto"/>
        </w:rPr>
      </w:pPr>
    </w:p>
    <w:p>
      <w:pPr>
        <w:jc w:val="both"/>
        <w:spacing w:after="0" w:line="241" w:lineRule="auto"/>
        <w:rPr>
          <w:rFonts w:ascii="Arial" w:cs="Arial" w:eastAsia="Arial" w:hAnsi="Arial"/>
          <w:sz w:val="16"/>
          <w:szCs w:val="16"/>
          <w:color w:val="auto"/>
        </w:rPr>
      </w:pPr>
      <w:r>
        <w:rPr>
          <w:rFonts w:ascii="Arial" w:cs="Arial" w:eastAsia="Arial" w:hAnsi="Arial"/>
          <w:sz w:val="20"/>
          <w:szCs w:val="20"/>
          <w:u w:val="single" w:color="auto"/>
          <w:color w:val="auto"/>
        </w:rPr>
        <w:t>11.14</w:t>
      </w:r>
      <w:r>
        <w:rPr>
          <w:rFonts w:ascii="Arial" w:cs="Arial" w:eastAsia="Arial" w:hAnsi="Arial"/>
          <w:sz w:val="20"/>
          <w:szCs w:val="20"/>
          <w:color w:val="auto"/>
        </w:rPr>
        <w:t xml:space="preserve">) or (ii) such Lender changes its Lending Office, except in each case to the extent that, pursuant to </w:t>
      </w:r>
      <w:r>
        <w:rPr>
          <w:rFonts w:ascii="Arial" w:cs="Arial" w:eastAsia="Arial" w:hAnsi="Arial"/>
          <w:sz w:val="20"/>
          <w:szCs w:val="20"/>
          <w:u w:val="single" w:color="auto"/>
          <w:color w:val="auto"/>
        </w:rPr>
        <w:t>Section 3.01(a)(ii)</w:t>
      </w:r>
      <w:r>
        <w:rPr>
          <w:rFonts w:ascii="Arial" w:cs="Arial" w:eastAsia="Arial" w:hAnsi="Arial"/>
          <w:sz w:val="20"/>
          <w:szCs w:val="20"/>
          <w:color w:val="auto"/>
        </w:rPr>
        <w:t xml:space="preserve">, </w:t>
      </w:r>
      <w:r>
        <w:rPr>
          <w:rFonts w:ascii="Arial" w:cs="Arial" w:eastAsia="Arial" w:hAnsi="Arial"/>
          <w:sz w:val="20"/>
          <w:szCs w:val="20"/>
          <w:u w:val="single" w:color="auto"/>
          <w:color w:val="auto"/>
        </w:rPr>
        <w:t>3.01(a)(iii)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3.01(c)</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(d) any U.S. federal withholding Taxes imposed pursuant to FATCA.</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w:t>
      </w:r>
      <w:r>
        <w:rPr>
          <w:rFonts w:ascii="Arial" w:cs="Arial" w:eastAsia="Arial" w:hAnsi="Arial"/>
          <w:sz w:val="20"/>
          <w:szCs w:val="20"/>
          <w:color w:val="auto"/>
        </w:rPr>
        <w:t>” means the chief financial officer, the chief executive officer, the president, any senior vice president, the treasurer or any assistant treasurer of the Company.</w:t>
      </w:r>
    </w:p>
    <w:p>
      <w:pPr>
        <w:spacing w:after="0" w:line="177"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September 25, 2015 among the Company, various Subsidiaries of the Company, various financial institutions and Bank of America, N.A., as administrative agent, swing line lender and letter of credit issuer.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listed on </w:t>
      </w:r>
      <w:r>
        <w:rPr>
          <w:rFonts w:ascii="Arial" w:cs="Arial" w:eastAsia="Arial" w:hAnsi="Arial"/>
          <w:sz w:val="20"/>
          <w:szCs w:val="20"/>
          <w:u w:val="single" w:color="auto"/>
          <w:color w:val="auto"/>
        </w:rPr>
        <w:t>Schedule 1.01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 842</w:t>
      </w:r>
      <w:r>
        <w:rPr>
          <w:rFonts w:ascii="Arial" w:cs="Arial" w:eastAsia="Arial" w:hAnsi="Arial"/>
          <w:sz w:val="20"/>
          <w:szCs w:val="20"/>
          <w:color w:val="auto"/>
        </w:rPr>
        <w:t>” means the Accounting Standards Codification of the Financial Accounting Standards Board, Accounting Standards Update 2016-02, Leases.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Internal Revenue Code, as of the Closing Date (or any amended or successor version that is substantively comparable and not materially more onerous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6" w:right="239" w:bottom="1440" w:gutter="0" w:footer="0" w:header="0"/>
        </w:sectPr>
      </w:pPr>
    </w:p>
    <w:bookmarkStart w:id="20" w:name="page21"/>
    <w:bookmarkEnd w:id="20"/>
    <w:p>
      <w:pPr>
        <w:jc w:val="both"/>
        <w:ind w:right="20"/>
        <w:spacing w:after="0" w:line="260" w:lineRule="auto"/>
        <w:rPr>
          <w:sz w:val="20"/>
          <w:szCs w:val="20"/>
          <w:color w:val="auto"/>
        </w:rPr>
      </w:pPr>
      <w:r>
        <w:rPr>
          <w:rFonts w:ascii="Arial" w:cs="Arial" w:eastAsia="Arial" w:hAnsi="Arial"/>
          <w:sz w:val="20"/>
          <w:szCs w:val="20"/>
          <w:color w:val="auto"/>
        </w:rPr>
        <w:t>comply with) and any current or future regulations or official interpretations thereof and any agreement entered into pursuant to Section 1471(b)(1) of the Internal Revenue Code.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immediately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mandate letter, dated May 9, 2019 and accepted and agreed to on May 15, 2019, among the Company, the Administrative Agent and BMO Capital Markets Corp.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 Fiscal Year.</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Company and its Subsidiaries, which period shall be the twelve-month period ending on July 31 of each year or, at the Company’s election, an alternative year-end date (so long as such election is consistent with the Company’s filings with the SEC).</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 For purposes of this definition, (i) the United States, each State thereof and the District of Columbia shall be deemed to constitute a single jurisdiction and (ii) “Lender” shall include the L/C Issuer.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Loan Parties</w:t>
      </w:r>
      <w:r>
        <w:rPr>
          <w:rFonts w:ascii="Arial" w:cs="Arial" w:eastAsia="Arial" w:hAnsi="Arial"/>
          <w:sz w:val="20"/>
          <w:szCs w:val="20"/>
          <w:color w:val="auto"/>
        </w:rPr>
        <w:t>” means, collectively, the Foreign Subsidiaries of the Company that are Designated Borrowers.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 (or any successor thereto).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the L/C Issuer, such Defaulting Lender’s Pro Rata Share of the Outstanding Amount of all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in accordance with the terms hereof.</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21" w:name="page22"/>
    <w:bookmarkEnd w:id="21"/>
    <w:p>
      <w:pPr>
        <w:jc w:val="both"/>
        <w:spacing w:after="0" w:line="278" w:lineRule="auto"/>
        <w:rPr>
          <w:sz w:val="20"/>
          <w:szCs w:val="20"/>
          <w:color w:val="auto"/>
        </w:rPr>
      </w:pPr>
      <w:r>
        <w:rPr>
          <w:rFonts w:ascii="Arial" w:cs="Arial" w:eastAsia="Arial" w:hAnsi="Arial"/>
          <w:sz w:val="18"/>
          <w:szCs w:val="18"/>
          <w:color w:val="auto"/>
        </w:rPr>
        <w:t xml:space="preserve">with similar functions of comparable stature and authority within the United States accounting profession), which are applicable to the circumstances as of the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financial statements of Foreign Subsidiaries (except to the extent included in the consolidated financial statements of the Company), “GAAP” 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 any nation or government, any state or other political subdivision thereof, any central bank (or similar monetary or regulatory authority) thereof and any entity exercising executive, legislative, judicial, regulatory or administrative functions of or pertaining to government (including any supra-national bodies such as the European Union or the European Central Bank) and (b) the National Association of Insurance Commissioners.</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(a) with respect to all Obligations, each Domestic Subsidiary of the Company that is not an Excluded Subsidiary and is identified as a “Guarantor” on the signature pages hereto and each other Person that joins as a Guarantor pursuant to </w:t>
      </w:r>
      <w:r>
        <w:rPr>
          <w:rFonts w:ascii="Arial" w:cs="Arial" w:eastAsia="Arial" w:hAnsi="Arial"/>
          <w:sz w:val="20"/>
          <w:szCs w:val="20"/>
          <w:u w:val="single" w:color="auto"/>
          <w:color w:val="auto"/>
        </w:rPr>
        <w:t>Section 7.16</w:t>
      </w:r>
      <w:r>
        <w:rPr>
          <w:rFonts w:ascii="Arial" w:cs="Arial" w:eastAsia="Arial" w:hAnsi="Arial"/>
          <w:sz w:val="20"/>
          <w:szCs w:val="20"/>
          <w:color w:val="auto"/>
        </w:rPr>
        <w:t xml:space="preserve"> and (b) solely for purposes of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with respect to (i) the Obligations owing by the Designated Borrowers that are Foreign Subsidiaries, (ii) Obligations under any Hedging Agreement between any Loan Party or any Subsidiary and any Hedge Bank, (iii) Obligations under any Treasury Management Agreement between any Loan Party or any Subsidiary and any Treasury Management Bank and (iv) any Swap Obligation of a Specified Loan Party (determined before giving effect to </w:t>
      </w:r>
      <w:r>
        <w:rPr>
          <w:rFonts w:ascii="Arial" w:cs="Arial" w:eastAsia="Arial" w:hAnsi="Arial"/>
          <w:sz w:val="20"/>
          <w:szCs w:val="20"/>
          <w:u w:val="single" w:color="auto"/>
          <w:color w:val="auto"/>
        </w:rPr>
        <w:t>Sections 4.01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4.08</w:t>
      </w:r>
      <w:r>
        <w:rPr>
          <w:rFonts w:ascii="Arial" w:cs="Arial" w:eastAsia="Arial" w:hAnsi="Arial"/>
          <w:sz w:val="20"/>
          <w:szCs w:val="20"/>
          <w:color w:val="auto"/>
        </w:rPr>
        <w:t>) under the Guaranty, each Domestic Borrower, in each case, together with their successors and permitted assigns. For the avoidance of doubt, in no event shall a Foreign Subsidiary be a Guarantor.</w:t>
      </w:r>
    </w:p>
    <w:p>
      <w:pPr>
        <w:spacing w:after="0" w:line="1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made by the Guarantors in favor of the Administrative Agent and the other holders of the Obligations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Substances</w:t>
      </w:r>
      <w:r>
        <w:rPr>
          <w:rFonts w:ascii="Arial" w:cs="Arial" w:eastAsia="Arial" w:hAnsi="Arial"/>
          <w:sz w:val="20"/>
          <w:szCs w:val="20"/>
          <w:color w:val="auto"/>
        </w:rPr>
        <w:t>” 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Agreement</w:t>
      </w:r>
      <w:r>
        <w:rPr>
          <w:rFonts w:ascii="Arial" w:cs="Arial" w:eastAsia="Arial" w:hAnsi="Arial"/>
          <w:sz w:val="20"/>
          <w:szCs w:val="20"/>
          <w:color w:val="auto"/>
        </w:rPr>
        <w:t>” means (a) any interest rate, currency or commodity swap agreement, cap agreement or collar agreement, and any other agreement or arrangement designed to protect against fluctuations in interest rates, currency exchange rates or commodity prices,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means any Person that (i) at the time it enters into a Hedging Agreement, is a Lender or the Administrative Agent or an Affiliate of a Lender or the Administrative Agent, (ii) in the case of any Hedging Agreement in effect on or prior to the Closing Date, is, as of the Closing Date or within 30 days thereafter, a Lender or the Administrative Agent or an Affiliate of a Lender or the Administrative Agent and a party to a Hedging Agreement or (iii) within 30 days after the time it enters into the applicable Hedging Agreement, becomes a Lender, the Administrative Agent or an Affiliate of a Lender or the Administrative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20"/>
          <w:szCs w:val="20"/>
          <w:color w:val="auto"/>
        </w:rPr>
        <w:t xml:space="preserve">Agent, in each case, in its capacity as a party to such Hedging Agreement; </w:t>
      </w:r>
      <w:r>
        <w:rPr>
          <w:rFonts w:ascii="Arial" w:cs="Arial" w:eastAsia="Arial" w:hAnsi="Arial"/>
          <w:sz w:val="20"/>
          <w:szCs w:val="20"/>
          <w:u w:val="single" w:color="auto"/>
          <w:color w:val="auto"/>
        </w:rPr>
        <w:t>provided</w:t>
      </w:r>
      <w:r>
        <w:rPr>
          <w:rFonts w:ascii="Arial" w:cs="Arial" w:eastAsia="Arial" w:hAnsi="Arial"/>
          <w:sz w:val="20"/>
          <w:szCs w:val="20"/>
          <w:color w:val="auto"/>
        </w:rPr>
        <w:t>, in the case of a Hedge Agreement with a Person who is no longer a Lender (or Affiliate of a Lender), such Person shall be considered a Hedge Bank only through the stated termination date (without extension or renewal) of such Hedge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Obligations</w:t>
      </w:r>
      <w:r>
        <w:rPr>
          <w:rFonts w:ascii="Arial" w:cs="Arial" w:eastAsia="Arial" w:hAnsi="Arial"/>
          <w:sz w:val="20"/>
          <w:szCs w:val="20"/>
          <w:color w:val="auto"/>
        </w:rPr>
        <w:t>” means, with respect to any Person, all liabilities of such Person under Hedging Agreements.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accounting standards within the meaning of IAS Regulation 1606/2002 to the extent applicable to the relevant financial statements delivered under or referred to herein.</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 other than Excluded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Auditor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Eurocurrency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Eurocurrency Rate Loan, the period commencing on the date such Eurocurrency Rate Loan is disbursed or converted to or continued as a Eurocurrency Rate Loan and ending on the date seven days or one, two, three or six months thereafter (or such other period as all Lenders may agree) (in each case, subject to availability) as selected by the applicable 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2" w:lineRule="exact"/>
        <w:rPr>
          <w:sz w:val="20"/>
          <w:szCs w:val="20"/>
          <w:color w:val="auto"/>
        </w:rPr>
      </w:pPr>
    </w:p>
    <w:p>
      <w:pPr>
        <w:jc w:val="both"/>
        <w:ind w:left="660" w:right="20" w:firstLine="645"/>
        <w:spacing w:after="0" w:line="250" w:lineRule="auto"/>
        <w:tabs>
          <w:tab w:leader="none" w:pos="1712"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86" w:lineRule="exact"/>
        <w:rPr>
          <w:rFonts w:ascii="Arial" w:cs="Arial" w:eastAsia="Arial" w:hAnsi="Arial"/>
          <w:sz w:val="20"/>
          <w:szCs w:val="20"/>
          <w:color w:val="auto"/>
        </w:rPr>
      </w:pPr>
    </w:p>
    <w:p>
      <w:pPr>
        <w:jc w:val="both"/>
        <w:ind w:left="660" w:right="20" w:firstLine="645"/>
        <w:spacing w:after="0" w:line="250" w:lineRule="auto"/>
        <w:tabs>
          <w:tab w:leader="none" w:pos="1894"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0"/>
          <w:szCs w:val="20"/>
          <w:color w:val="auto"/>
        </w:rPr>
      </w:pPr>
    </w:p>
    <w:p>
      <w:pPr>
        <w:ind w:left="1800" w:hanging="495"/>
        <w:spacing w:after="0"/>
        <w:tabs>
          <w:tab w:leader="none" w:pos="1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as to any Person, any acquisition or investment by such Person, whether by means of (a) the purchase or other acquisition of Capital Stock of another Person, (b) a loan, advance 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23" w:name="page24"/>
    <w:bookmarkEnd w:id="23"/>
    <w:p>
      <w:pPr>
        <w:jc w:val="both"/>
        <w:spacing w:after="0" w:line="246" w:lineRule="auto"/>
        <w:rPr>
          <w:sz w:val="20"/>
          <w:szCs w:val="20"/>
          <w:color w:val="auto"/>
        </w:rPr>
      </w:pPr>
      <w:r>
        <w:rPr>
          <w:rFonts w:ascii="Arial" w:cs="Arial" w:eastAsia="Arial" w:hAnsi="Arial"/>
          <w:sz w:val="20"/>
          <w:szCs w:val="20"/>
          <w:color w:val="auto"/>
        </w:rPr>
        <w:t>capital contribution to, incurrence of Suretyship Liability in respect of,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L/C Issuer and the applicable Borrower (or any Subsidiary) or in favor of the L/C Issuer and relating to any such Letter of Credit.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7.16</w:t>
      </w:r>
      <w:r>
        <w:rPr>
          <w:rFonts w:ascii="Arial" w:cs="Arial" w:eastAsia="Arial" w:hAnsi="Arial"/>
          <w:sz w:val="20"/>
          <w:szCs w:val="20"/>
          <w:color w:val="auto"/>
        </w:rPr>
        <w:t xml:space="preserve"> executed and delivered by a Domestic Subsidiary in accordance with the provisions of </w:t>
      </w:r>
      <w:r>
        <w:rPr>
          <w:rFonts w:ascii="Arial" w:cs="Arial" w:eastAsia="Arial" w:hAnsi="Arial"/>
          <w:sz w:val="20"/>
          <w:szCs w:val="20"/>
          <w:u w:val="single" w:color="auto"/>
          <w:color w:val="auto"/>
        </w:rPr>
        <w:t>Section 7.16</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Laws</w:t>
      </w:r>
      <w:r>
        <w:rPr>
          <w:rFonts w:ascii="Arial" w:cs="Arial" w:eastAsia="Arial" w:hAnsi="Arial"/>
          <w:sz w:val="19"/>
          <w:szCs w:val="19"/>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Lender, such Lender’s funding of its participation in any L/C Borrowing in accordance with its Pro Rata Share. All L/C Advances shall be denominated in Dollars.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each of BMO and Bank of America, in each case through itself or through one of its designated Affiliates or branch offices, in its capacity as an issuer of Letters of Credit hereunder, or any successor issuer of Letters of Credit hereunder. The term “L/C Issuer” when used with respect to a Letter of Credit or the L/C Obligations relating to a Letter of Credit shall refer to the L/C Issuer that issued such Letter of Credit.</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undrawn amount of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24" w:name="page25"/>
    <w:bookmarkEnd w:id="2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each of the Persons identified as a “Lender” on the signature pages hereto, each other Person that becomes a “Lender” in accordance with this Agreement and their successors and assigns and, unless the context requires otherwise, includes the Swing Line Lender and any foreign branch or Affiliate of a Lender as is referenced in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branch or Affiliate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w:t>
      </w:r>
    </w:p>
    <w:p>
      <w:pPr>
        <w:spacing w:after="0" w:line="13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Application</w:t>
      </w:r>
      <w:r>
        <w:rPr>
          <w:rFonts w:ascii="Arial" w:cs="Arial" w:eastAsia="Arial" w:hAnsi="Arial"/>
          <w:sz w:val="19"/>
          <w:szCs w:val="19"/>
          <w:color w:val="auto"/>
        </w:rPr>
        <w:t>” means an application and agreement for the issuance or amendment of a letter of credit in the form from time to time in use by the L/C Issuer with such modifications as the Company and the L/C Issuer may reasonably approve.</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days prior to the Maturity Date then in effect (or, if such day is not a Business Day, the immediately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the Aggregate Revolving Commitments and (b) $25,000,000.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Letter of Credit Sublimit is part of, and not in addition to, the Aggregate Revolving Commitments.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Eurocurrency Base Rate.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Quoted Currency</w:t>
      </w:r>
      <w:r>
        <w:rPr>
          <w:rFonts w:ascii="Arial" w:cs="Arial" w:eastAsia="Arial" w:hAnsi="Arial"/>
          <w:sz w:val="20"/>
          <w:szCs w:val="20"/>
          <w:color w:val="auto"/>
        </w:rPr>
        <w:t>” means Dollars, Euros, Sterling and Japanese Yen and each other currency for which there is a published LIBOR rate, in each case as long as there is a published LIBOR rate with respect thereto.</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reasonably designates to determine LIBOR (or such other commercially available source providing such quotations as may reasonably be designated by the Administrative Agent from time to time).</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means, with respect to any proposed LIBOR Successor Rate, any technical, administrative or operational conforming changes to the definition of Base Rate, the definition of Interest Period, the timing and frequency of determining rates and making payments of interest and other administrative matters as may be appropriate, in the reasonable discretion of the Administrative Agent, to reflect the adoption and implementation of such LIBOR Successor Rate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Company).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6" w:right="23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for security purposes, deposit arrangement,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(but excluding the interest of a lessor under an operating lease)).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Loan or a Swing Line Loan.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each Note, each Issuer Document, each Designated Borrower Request and Assumption Agreement, each Joinder Agreement, any agreement entered into by a Loan Party creating or perfecting rights in Cash Collateral pursuant to the provisions of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and the Fee Letter.</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of Revolving Loans, (b) a conversion of Loans from one Type to the other, or (c) a continuation of Eurocurrency Rate Loans, in each case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2.02</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each Borrower and each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w:t>
      </w:r>
      <w:r>
        <w:rPr>
          <w:rFonts w:ascii="Arial" w:cs="Arial" w:eastAsia="Arial" w:hAnsi="Arial"/>
          <w:sz w:val="20"/>
          <w:szCs w:val="20"/>
          <w:color w:val="auto"/>
        </w:rPr>
        <w:t>” means the Grand Duchy of Luxembourg.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Companies Register</w:t>
      </w:r>
      <w:r>
        <w:rPr>
          <w:rFonts w:ascii="Arial" w:cs="Arial" w:eastAsia="Arial" w:hAnsi="Arial"/>
          <w:sz w:val="20"/>
          <w:szCs w:val="20"/>
          <w:color w:val="auto"/>
        </w:rPr>
        <w:t>” means the Luxembourg Register of Commerce and Companies.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Insolvency Event</w:t>
      </w:r>
      <w:r>
        <w:rPr>
          <w:rFonts w:ascii="Arial" w:cs="Arial" w:eastAsia="Arial" w:hAnsi="Arial"/>
          <w:sz w:val="20"/>
          <w:szCs w:val="20"/>
          <w:color w:val="auto"/>
        </w:rPr>
        <w:t>” means, in relation to a Luxembourg Loan Party or any of its assets, any corporate action, legal proceedings or other procedure or step in relation to bankruptcy (</w:t>
      </w:r>
      <w:r>
        <w:rPr>
          <w:rFonts w:ascii="Arial" w:cs="Arial" w:eastAsia="Arial" w:hAnsi="Arial"/>
          <w:sz w:val="20"/>
          <w:szCs w:val="20"/>
          <w:i w:val="1"/>
          <w:iCs w:val="1"/>
          <w:color w:val="auto"/>
        </w:rPr>
        <w:t>faillite</w:t>
      </w:r>
      <w:r>
        <w:rPr>
          <w:rFonts w:ascii="Arial" w:cs="Arial" w:eastAsia="Arial" w:hAnsi="Arial"/>
          <w:sz w:val="20"/>
          <w:szCs w:val="20"/>
          <w:color w:val="auto"/>
        </w:rPr>
        <w:t>), insolvency, liquidation, composition with creditors (</w:t>
      </w:r>
      <w:r>
        <w:rPr>
          <w:rFonts w:ascii="Arial" w:cs="Arial" w:eastAsia="Arial" w:hAnsi="Arial"/>
          <w:sz w:val="20"/>
          <w:szCs w:val="20"/>
          <w:i w:val="1"/>
          <w:iCs w:val="1"/>
          <w:color w:val="auto"/>
        </w:rPr>
        <w:t>concordat</w:t>
      </w:r>
      <w:r>
        <w:rPr>
          <w:rFonts w:ascii="Arial" w:cs="Arial" w:eastAsia="Arial" w:hAnsi="Arial"/>
          <w:sz w:val="20"/>
          <w:szCs w:val="20"/>
          <w:color w:val="auto"/>
        </w:rPr>
        <w:t xml:space="preserve"> </w:t>
      </w:r>
      <w:r>
        <w:rPr>
          <w:rFonts w:ascii="Arial" w:cs="Arial" w:eastAsia="Arial" w:hAnsi="Arial"/>
          <w:sz w:val="20"/>
          <w:szCs w:val="20"/>
          <w:i w:val="1"/>
          <w:iCs w:val="1"/>
          <w:color w:val="auto"/>
        </w:rPr>
        <w:t>préventif de faillite</w:t>
      </w:r>
      <w:r>
        <w:rPr>
          <w:rFonts w:ascii="Arial" w:cs="Arial" w:eastAsia="Arial" w:hAnsi="Arial"/>
          <w:sz w:val="20"/>
          <w:szCs w:val="20"/>
          <w:color w:val="auto"/>
        </w:rPr>
        <w:t>), moratorium or reprieve from payment (</w:t>
      </w:r>
      <w:r>
        <w:rPr>
          <w:rFonts w:ascii="Arial" w:cs="Arial" w:eastAsia="Arial" w:hAnsi="Arial"/>
          <w:sz w:val="20"/>
          <w:szCs w:val="20"/>
          <w:i w:val="1"/>
          <w:iCs w:val="1"/>
          <w:color w:val="auto"/>
        </w:rPr>
        <w:t>sursis de paiement</w:t>
      </w:r>
      <w:r>
        <w:rPr>
          <w:rFonts w:ascii="Arial" w:cs="Arial" w:eastAsia="Arial" w:hAnsi="Arial"/>
          <w:sz w:val="20"/>
          <w:szCs w:val="20"/>
          <w:color w:val="auto"/>
        </w:rPr>
        <w:t>), controlled management (</w:t>
      </w:r>
      <w:r>
        <w:rPr>
          <w:rFonts w:ascii="Arial" w:cs="Arial" w:eastAsia="Arial" w:hAnsi="Arial"/>
          <w:sz w:val="20"/>
          <w:szCs w:val="20"/>
          <w:i w:val="1"/>
          <w:iCs w:val="1"/>
          <w:color w:val="auto"/>
        </w:rPr>
        <w:t>gestion contrôlée</w:t>
      </w:r>
      <w:r>
        <w:rPr>
          <w:rFonts w:ascii="Arial" w:cs="Arial" w:eastAsia="Arial" w:hAnsi="Arial"/>
          <w:sz w:val="20"/>
          <w:szCs w:val="20"/>
          <w:color w:val="auto"/>
        </w:rPr>
        <w:t>), fraudulent</w:t>
      </w:r>
      <w:r>
        <w:rPr>
          <w:rFonts w:ascii="Arial" w:cs="Arial" w:eastAsia="Arial" w:hAnsi="Arial"/>
          <w:sz w:val="20"/>
          <w:szCs w:val="20"/>
          <w:i w:val="1"/>
          <w:iCs w:val="1"/>
          <w:color w:val="auto"/>
        </w:rPr>
        <w:t xml:space="preserve"> </w:t>
      </w:r>
      <w:r>
        <w:rPr>
          <w:rFonts w:ascii="Arial" w:cs="Arial" w:eastAsia="Arial" w:hAnsi="Arial"/>
          <w:sz w:val="20"/>
          <w:szCs w:val="20"/>
          <w:color w:val="auto"/>
        </w:rPr>
        <w:t>conveyance (</w:t>
      </w:r>
      <w:r>
        <w:rPr>
          <w:rFonts w:ascii="Arial" w:cs="Arial" w:eastAsia="Arial" w:hAnsi="Arial"/>
          <w:sz w:val="20"/>
          <w:szCs w:val="20"/>
          <w:i w:val="1"/>
          <w:iCs w:val="1"/>
          <w:color w:val="auto"/>
        </w:rPr>
        <w:t>action paulienne</w:t>
      </w:r>
      <w:r>
        <w:rPr>
          <w:rFonts w:ascii="Arial" w:cs="Arial" w:eastAsia="Arial" w:hAnsi="Arial"/>
          <w:sz w:val="20"/>
          <w:szCs w:val="20"/>
          <w:color w:val="auto"/>
        </w:rPr>
        <w:t>) within the meaning of Article 448 of the Luxembourg Code of Commerce, general settlement with creditors, reorganisation or similar laws affecting the rights of creditors generally.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Loan Party</w:t>
      </w:r>
      <w:r>
        <w:rPr>
          <w:rFonts w:ascii="Arial" w:cs="Arial" w:eastAsia="Arial" w:hAnsi="Arial"/>
          <w:sz w:val="20"/>
          <w:szCs w:val="20"/>
          <w:color w:val="auto"/>
        </w:rPr>
        <w:t>” means a Loan Party that is organized under the laws of Luxembourg.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any “margin stock” as defined in Regulation U of the FRB.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“Hedging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business, assets, liabilities (actual or contingent), operations or financial condition of the Company and its Subsidiaries taken as a whole or (b) a material adverse effect upon the legality, validity, binding effect or enforceability against the Company or any other Loan Party of any Loan Document to which it is a party.</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August 1, 2024, subject to extension in accordance with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date is not a Business Day, the Maturity Date shall be the immediately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11.09</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6" w:right="239" w:bottom="1440" w:gutter="0" w:footer="0" w:header="0"/>
        </w:sectPr>
      </w:pPr>
    </w:p>
    <w:bookmarkStart w:id="26" w:name="page27"/>
    <w:bookmarkEnd w:id="26"/>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(or 103% of the Fronting Exposure in the case of a Letter of Credit denominated in an Alternative Currency)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8"/>
          <w:szCs w:val="18"/>
          <w:u w:val="single" w:color="auto"/>
          <w:color w:val="auto"/>
        </w:rPr>
        <w:t>Section 2.03(a)(ii)(B)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2.15(a)(i)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the 100% of the Outstanding Amount of all L/C Obligations (or 103% of the Outstanding Amount in the case of L/C Obligations denominated in an Alternative Currency), and (c) otherwise, an amount determined by the Administrative Agent and the L/C Issuer in their sole discretion.</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Pension Plan</w:t>
      </w:r>
      <w:r>
        <w:rPr>
          <w:rFonts w:ascii="Arial" w:cs="Arial" w:eastAsia="Arial" w:hAnsi="Arial"/>
          <w:sz w:val="20"/>
          <w:szCs w:val="20"/>
          <w:color w:val="auto"/>
        </w:rPr>
        <w:t>” means a multiemployer plan, as such term is defined in Section 4001(a)(3) of ERISA, and to which the Company or any member of the Controlled Group may have any liability.</w:t>
      </w:r>
    </w:p>
    <w:p>
      <w:pPr>
        <w:spacing w:after="0" w:line="177"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any Lender that does not approve any consent, waiver or amendment that (a) requires the approval of all Lenders or all directly affected Lenders in accordance with the terms of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(b) has been approved by the Required Lenders.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Non-LIBOR Quoted Currency</w:t>
      </w:r>
      <w:r>
        <w:rPr>
          <w:rFonts w:ascii="Arial" w:cs="Arial" w:eastAsia="Arial" w:hAnsi="Arial"/>
          <w:sz w:val="20"/>
          <w:szCs w:val="20"/>
          <w:color w:val="auto"/>
        </w:rPr>
        <w:t>” means any currency other than a LIBOR Quoted Currency.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 Purchase Agreement</w:t>
      </w:r>
      <w:r>
        <w:rPr>
          <w:rFonts w:ascii="Arial" w:cs="Arial" w:eastAsia="Arial" w:hAnsi="Arial"/>
          <w:sz w:val="19"/>
          <w:szCs w:val="19"/>
          <w:color w:val="auto"/>
        </w:rPr>
        <w:t xml:space="preserve">” means (a) the Note Purchase Agreement dated as of May 13, 2010 among the Company, Worldwide, Tricor and the purchasers of notes issued pursuant thereto and any supplement thereto from time to time and (b) any other note purchase agreement entered into after the Closing Date pursuant to which one or more investors purchase unsecured notes issued by the Company and/or one or more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note purchase agreement shall not be on terms materially less favorable to the Company and its Subsidiaries than the Note Purchase Agreement identified in clause (a) above.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Hedging Agreement between any Loan Party or any Subsidiary and any Hedge Bank and (b) all obligations under any Treasury Management Agreement between any Loan Party or any Subsidiary and Treasury Management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“Obligations” of a Loan Party shall exclude any Excluded Swap Obligations with respect to such Loan Party.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sectPr>
      </w:pPr>
    </w:p>
    <w:bookmarkStart w:id="27" w:name="page28"/>
    <w:bookmarkEnd w:id="27"/>
    <w:p>
      <w:pPr>
        <w:jc w:val="both"/>
        <w:spacing w:after="0" w:line="243" w:lineRule="auto"/>
        <w:rPr>
          <w:sz w:val="20"/>
          <w:szCs w:val="20"/>
          <w:color w:val="auto"/>
        </w:rPr>
      </w:pPr>
      <w:r>
        <w:rPr>
          <w:rFonts w:ascii="Arial" w:cs="Arial" w:eastAsia="Arial" w:hAnsi="Arial"/>
          <w:sz w:val="20"/>
          <w:szCs w:val="20"/>
          <w:color w:val="auto"/>
        </w:rPr>
        <w:t>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(i)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and (ii) Excluded Taxes.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any Revolving Loans on any date, the Dollar Equivalent amount of the aggregate outstanding principal amount thereof after giving effect to any 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BMO in the applicable offshore interbank market for such currency to major banks in such interbank market.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each state so described in any EMU Legislation.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and any entity succeeding to any or all of its functions under ERISA.</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6" w:right="239" w:bottom="1440" w:gutter="0" w:footer="0" w:header="0"/>
        </w:sectPr>
      </w:pPr>
    </w:p>
    <w:bookmarkStart w:id="28" w:name="page29"/>
    <w:bookmarkEnd w:id="28"/>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 “pension plan”, as such term is defined in Section 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any Acquisition by the Company or a Subsidiary which satisfies each of the following requirements: (a) no Default has occurred and is continuing at the time of, or immediately after giving effect to, such Acquisition; (b) the Person to be acquired is in, or the assets to be acquired are for use in, the same or a similar line of business as the Company and its Subsidiaries or a reasonable extension thereof; (c) upon giving effect to such Acquisition on a pro forma basis, the Loan Parties would be in compliance with the financial covenants set forth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as of the most recent Fiscal Quarter for which the Company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(and if the aggregate consideration (including cash and non-cash consideration, any assumption of Debt, any acquired Debt, deferred purchase price and any earn out payments) paid by the Company or any Subsidiary for any such Acquisition exceeds $100,000,000, the Company shall have delivered to the Administrative Agent a certificate demonstrating such compliance); (d)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in which case they shall be true and correct in all material respects as of such earlier date; and (e)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at any time, Liens in respect of property of the Company or any of its Subsidiaries permitted to exist at such time pursuant to the terms of </w:t>
      </w:r>
      <w:r>
        <w:rPr>
          <w:rFonts w:ascii="Arial" w:cs="Arial" w:eastAsia="Arial" w:hAnsi="Arial"/>
          <w:sz w:val="20"/>
          <w:szCs w:val="20"/>
          <w:u w:val="single" w:color="auto"/>
          <w:color w:val="auto"/>
        </w:rPr>
        <w:t>Section 7.08</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Securitization</w:t>
      </w:r>
      <w:r>
        <w:rPr>
          <w:rFonts w:ascii="Arial" w:cs="Arial" w:eastAsia="Arial" w:hAnsi="Arial"/>
          <w:sz w:val="18"/>
          <w:szCs w:val="18"/>
          <w:color w:val="auto"/>
        </w:rPr>
        <w:t>” 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outside legal counsel reasonably satisfactory to the Administrative Agent in connection therewith to constitute) true sales or true contributions to such Securitization Subsidiary and (b) the provision of financing secured by the assets so sold, contributed and/or transferred, whether in the form of secured loans or the acquisition of undivided interests in such assets.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 Regulation</w:t>
      </w:r>
      <w:r>
        <w:rPr>
          <w:rFonts w:ascii="Arial" w:cs="Arial" w:eastAsia="Arial" w:hAnsi="Arial"/>
          <w:sz w:val="20"/>
          <w:szCs w:val="20"/>
          <w:color w:val="auto"/>
        </w:rPr>
        <w:t>” means the U.S. Department of Labor regulation located at 29 C.F.R. Section 2510.3-101, or any successor regulation thereto, as in effect at the time of reference, as modified by Section 3(42)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Assets</w:t>
      </w:r>
      <w:r>
        <w:rPr>
          <w:rFonts w:ascii="Arial" w:cs="Arial" w:eastAsia="Arial" w:hAnsi="Arial"/>
          <w:sz w:val="20"/>
          <w:szCs w:val="20"/>
          <w:color w:val="auto"/>
        </w:rPr>
        <w:t>” means “plan assets” as defined in the Plan Asset Regulation.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has the meaning specified in Section 7.01.</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6" w:right="2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commitment of each Lender to make Revolving Loans and the obligation of the L/C Issuer to make L/C Credit Extensions have been terminated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 The Pro Rata Shares shall be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(other than a Foreign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the L/C Issuer or any other recipient of any payment to be made by or on account of any obligation of any Loan Party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holding in the aggregate more than fifty percent (50%) of (a) the Commitments or (b) if the Commitments have been terminated, the outstanding Loans, L/C Obligations, Swing Line Loans and participations therein. The Commitments of, and the outstanding Loans held or deemed held by, any Defaulting Lender shall be disregarded for purposes of making a determination of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any Executive Officer, and, solely for purposes of the delivery of incumbency certificates, the secretary or any assistant secretary of a Loan Party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of the applicable Loan Party so designated by any of the foregoing officers in a notice to the Administrative Agent or any other officer or employee of the applicable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6" w:right="239" w:bottom="1440" w:gutter="0" w:footer="0" w:header="0"/>
        </w:sectPr>
      </w:pPr>
    </w:p>
    <w:bookmarkStart w:id="30" w:name="page31"/>
    <w:bookmarkEnd w:id="30"/>
    <w:p>
      <w:pPr>
        <w:jc w:val="both"/>
        <w:spacing w:after="0" w:line="244" w:lineRule="auto"/>
        <w:rPr>
          <w:sz w:val="20"/>
          <w:szCs w:val="20"/>
          <w:color w:val="auto"/>
        </w:rPr>
      </w:pPr>
      <w:r>
        <w:rPr>
          <w:rFonts w:ascii="Arial" w:cs="Arial" w:eastAsia="Arial" w:hAnsi="Arial"/>
          <w:sz w:val="20"/>
          <w:szCs w:val="20"/>
          <w:color w:val="auto"/>
        </w:rPr>
        <w:t>Loan Party designated as such in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With respect to a Luxembourg Loan Party a “Responsible Officer” means a person who is authorized to represent that Loan Party.</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reasonably determine or the Required Lenders shall reasonably require; and (b) with respect to any Letter of Credit, each of the following: (i) each date of an issuance of a Letter of Credit denominated in an Alternative Currency, (ii) each date of an amendment of any such Letter of Credit having the effect of increasing the amount thereof (solely with respect to the increased amount), (iii) each date of any payment by the L/C Issuer of any Letter of Credit denominated in an Alternative Currency, (iv) in the case of the Existing Letters of Credit, the Closing Date and (v) such additional dates as the Administrative Agent or the L/C Issuer shall reasonably determine or the Required Lenders shall reasonably require.</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Lender, its obligation to (a) make Revolving Loans to the Borrowers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in any documentation executed by such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or in the Assignment and Assumption pursuant to which such Lender becomes a party hereto, as applicable, as such amount may be adjusted from time to time in accordance with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The McGraw-Hill Companies, Inc. and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in good faith by the Administrative Agent or the L/C Issuer, as the case may be, to be customary in the place of disbursement or payment for the settlement of international banking transactions in the relevant Alternative Currency.</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OFAC, the United Nations Security Council, the European Union, Her Majesty’s Treasury (“HMT”) or other relevant sanctions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Obligations</w:t>
      </w:r>
      <w:r>
        <w:rPr>
          <w:rFonts w:ascii="Arial" w:cs="Arial" w:eastAsia="Arial" w:hAnsi="Arial"/>
          <w:sz w:val="18"/>
          <w:szCs w:val="18"/>
          <w:color w:val="auto"/>
        </w:rPr>
        <w:t>” 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6"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t>of Capital Leases) and related rights of the Company or any Subsidiary in connection with Permitted Securitizations.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Subsidiary</w:t>
      </w:r>
      <w:r>
        <w:rPr>
          <w:rFonts w:ascii="Arial" w:cs="Arial" w:eastAsia="Arial" w:hAnsi="Arial"/>
          <w:sz w:val="19"/>
          <w:szCs w:val="19"/>
          <w:color w:val="auto"/>
        </w:rPr>
        <w:t>” 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w:t>
      </w:r>
      <w:r>
        <w:rPr>
          <w:rFonts w:ascii="Arial" w:cs="Arial" w:eastAsia="Arial" w:hAnsi="Arial"/>
          <w:sz w:val="20"/>
          <w:szCs w:val="20"/>
          <w:color w:val="auto"/>
        </w:rPr>
        <w:t>” means any note issued pursuant to a Note Purchase Agreement.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at any time, (a) any Subsidiary having (i) assets (after intercompany eliminations) with a value not less than 2.5% of the total value of the consolidated assets of 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Loan Party.</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Cash</w:t>
      </w:r>
      <w:r>
        <w:rPr>
          <w:rFonts w:ascii="Arial" w:cs="Arial" w:eastAsia="Arial" w:hAnsi="Arial"/>
          <w:sz w:val="18"/>
          <w:szCs w:val="18"/>
          <w:color w:val="auto"/>
        </w:rPr>
        <w:t xml:space="preserve">” means the aggregate amount of unrestricted cash and Cash Equivalents of the Company and its Domestic Subsidiaries (other than Excluded Subsidiaries) not exceeding the greater of (a) $75,000,000 and (b) 25% of Consolidated EBITDA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4.08</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w:t>
      </w:r>
      <w:r>
        <w:rPr>
          <w:rFonts w:ascii="Arial" w:cs="Arial" w:eastAsia="Arial" w:hAnsi="Arial"/>
          <w:sz w:val="20"/>
          <w:szCs w:val="20"/>
          <w:color w:val="auto"/>
        </w:rPr>
        <w:t>” means any Debt of the Company or any Subsidiary that (a) is subordinated to the Obligations in a manner approved in writing by the Required Lenders and (b) has (i) no amortization prior to the date that is at least 91 days after the Maturity Date, (ii) financial covenants and events of default (and related definitions) that are acceptable to the Required Lenders and (iii) no limitation on senior Debt (or any guaranty thereof) that is unacceptable to the Required Lenders.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Voting Stock is at the time beneficially owned, directly, or indirectly through one or more intermediaries, or both, by such Person. Unless otherwise specified,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6" w:right="2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all references herein to a “Subsidiary” or to “Subsidiaries” shall refer to a Subsidiary or Subsidiaries of the Company.</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Suretyship Liability</w:t>
      </w:r>
      <w:r>
        <w:rPr>
          <w:rFonts w:ascii="Arial" w:cs="Arial" w:eastAsia="Arial" w:hAnsi="Arial"/>
          <w:sz w:val="19"/>
          <w:szCs w:val="19"/>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Lender</w:t>
      </w:r>
      <w:r>
        <w:rPr>
          <w:rFonts w:ascii="Arial" w:cs="Arial" w:eastAsia="Arial" w:hAnsi="Arial"/>
          <w:sz w:val="19"/>
          <w:szCs w:val="19"/>
          <w:color w:val="auto"/>
        </w:rPr>
        <w:t>” means BMO in its capacity as provider of Swing Line Loans, or any successor swing line lender hereunder.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Borrowing of Swing Line Loans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2.04</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an amount equal to the lesser of (a) $40,000,000 and (b) the Aggregate Revolving Commitments. The Swing Line Sublimit is part of, and not in addition to, the Aggregate Revolving Commitments.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6" w:right="239" w:bottom="1440" w:gutter="0" w:footer="0" w:header="0"/>
        </w:sectPr>
      </w:pPr>
    </w:p>
    <w:bookmarkStart w:id="33" w:name="page34"/>
    <w:bookmarkEnd w:id="33"/>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Outstandings</w:t>
      </w:r>
      <w:r>
        <w:rPr>
          <w:rFonts w:ascii="Arial" w:cs="Arial" w:eastAsia="Arial" w:hAnsi="Arial"/>
          <w:sz w:val="20"/>
          <w:szCs w:val="20"/>
          <w:color w:val="auto"/>
        </w:rPr>
        <w:t>” means the aggregate Outstanding Amount of all Revolving Loans, all Swing Line Loans and all L/C Obligations.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Management Agreement</w:t>
      </w:r>
      <w:r>
        <w:rPr>
          <w:rFonts w:ascii="Arial" w:cs="Arial" w:eastAsia="Arial" w:hAnsi="Arial"/>
          <w:sz w:val="19"/>
          <w:szCs w:val="19"/>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reporting and trade finance services, overnight draft, credit cards, debit cards, p-cards (including purchasing cards and commercial cards), e-payables and other treasury management services.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Bank</w:t>
      </w:r>
      <w:r>
        <w:rPr>
          <w:rFonts w:ascii="Arial" w:cs="Arial" w:eastAsia="Arial" w:hAnsi="Arial"/>
          <w:sz w:val="18"/>
          <w:szCs w:val="18"/>
          <w:color w:val="auto"/>
        </w:rPr>
        <w:t>” means any Person that (a) at the time it enters into a Treasury Management Agreement, is a Lender or the Administrative Agent or an Affiliate of a Lender or the Administrative Agent, (b) in the case of any Treasury Management Agreement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becomes a Lender, the Administrative Agent or an Affiliate of a Lender or the Administrative Agent, in each case, in its capacity as a party to such Treasury Management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Tricor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any Loan, its character as a Base Rate Loan or a Eurocurrency Rate Loan.</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any Person 100% of whose Capital Stock is at the time owned by the Company directly or indirectly through other Persons 100% of whose Capital Stock is at the time owned, directly or indirectly, by the Company.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Worldwide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6" w:right="239" w:bottom="1440" w:gutter="0" w:footer="0" w:header="0"/>
        </w:sectPr>
      </w:pPr>
    </w:p>
    <w:bookmarkStart w:id="34" w:name="page35"/>
    <w:bookmarkEnd w:id="34"/>
    <w:p>
      <w:pPr>
        <w:spacing w:after="0" w:line="260" w:lineRule="auto"/>
        <w:rPr>
          <w:sz w:val="20"/>
          <w:szCs w:val="20"/>
          <w:color w:val="auto"/>
        </w:rPr>
      </w:pPr>
      <w:r>
        <w:rPr>
          <w:rFonts w:ascii="Arial" w:cs="Arial" w:eastAsia="Arial" w:hAnsi="Arial"/>
          <w:sz w:val="20"/>
          <w:szCs w:val="20"/>
          <w:color w:val="auto"/>
        </w:rPr>
        <w:t>Legislation for the applicable EEA Member Country, which write-down and conversion powers are described in the EU Bail-In Legislation Schedule.</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39" w:lineRule="exact"/>
        <w:rPr>
          <w:sz w:val="20"/>
          <w:szCs w:val="20"/>
          <w:color w:val="auto"/>
        </w:rPr>
      </w:pPr>
    </w:p>
    <w:p>
      <w:pPr>
        <w:ind w:left="1060" w:hanging="404"/>
        <w:spacing w:after="0"/>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15"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u w:val="single" w:color="auto"/>
          <w:color w:val="auto"/>
        </w:rPr>
        <w:t>herein</w:t>
      </w:r>
      <w:r>
        <w:rPr>
          <w:rFonts w:ascii="Arial" w:cs="Arial" w:eastAsia="Arial" w:hAnsi="Arial"/>
          <w:sz w:val="20"/>
          <w:szCs w:val="20"/>
          <w:color w:val="auto"/>
        </w:rPr>
        <w:t>,” “</w:t>
      </w:r>
      <w:r>
        <w:rPr>
          <w:rFonts w:ascii="Arial" w:cs="Arial" w:eastAsia="Arial" w:hAnsi="Arial"/>
          <w:sz w:val="20"/>
          <w:szCs w:val="20"/>
          <w:u w:val="single" w:color="auto"/>
          <w:color w:val="auto"/>
        </w:rPr>
        <w:t>hereto</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refer to such Loan Document as a whole and not to any particular provision thereof.</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Article, Section, Exhibit and Schedule references are to the Loan Document in which such reference appears.</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including</w:t>
      </w:r>
      <w:r>
        <w:rPr>
          <w:rFonts w:ascii="Arial" w:cs="Arial" w:eastAsia="Arial" w:hAnsi="Arial"/>
          <w:sz w:val="20"/>
          <w:szCs w:val="20"/>
          <w:color w:val="auto"/>
        </w:rPr>
        <w:t>” is by way of example and not limitation.</w:t>
      </w:r>
    </w:p>
    <w:p>
      <w:pPr>
        <w:spacing w:after="0" w:line="215" w:lineRule="exact"/>
        <w:rPr>
          <w:rFonts w:ascii="Arial" w:cs="Arial" w:eastAsia="Arial" w:hAnsi="Arial"/>
          <w:sz w:val="20"/>
          <w:szCs w:val="20"/>
          <w:color w:val="auto"/>
        </w:rPr>
      </w:pPr>
    </w:p>
    <w:p>
      <w:pPr>
        <w:ind w:left="660" w:firstLine="645"/>
        <w:spacing w:after="0" w:line="260" w:lineRule="auto"/>
        <w:tabs>
          <w:tab w:leader="none" w:pos="1815"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documents</w:t>
      </w:r>
      <w:r>
        <w:rPr>
          <w:rFonts w:ascii="Arial" w:cs="Arial" w:eastAsia="Arial" w:hAnsi="Arial"/>
          <w:sz w:val="20"/>
          <w:szCs w:val="20"/>
          <w:color w:val="auto"/>
        </w:rPr>
        <w:t>” includes any and all instruments, documents, agreements, certificates, notices, reports, financial statements and other writings, however evidenced, whether in physical or electronic form.</w:t>
      </w:r>
    </w:p>
    <w:p>
      <w:pPr>
        <w:spacing w:after="0" w:line="176" w:lineRule="exact"/>
        <w:rPr>
          <w:rFonts w:ascii="Arial" w:cs="Arial" w:eastAsia="Arial" w:hAnsi="Arial"/>
          <w:sz w:val="20"/>
          <w:szCs w:val="20"/>
          <w:color w:val="auto"/>
        </w:rPr>
      </w:pPr>
    </w:p>
    <w:p>
      <w:pPr>
        <w:ind w:firstLine="656"/>
        <w:spacing w:after="0" w:line="260" w:lineRule="auto"/>
        <w:tabs>
          <w:tab w:leader="none" w:pos="10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 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 including</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059"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6" w:lineRule="exact"/>
        <w:rPr>
          <w:rFonts w:ascii="Arial" w:cs="Arial" w:eastAsia="Arial" w:hAnsi="Arial"/>
          <w:sz w:val="20"/>
          <w:szCs w:val="20"/>
          <w:color w:val="auto"/>
        </w:rPr>
      </w:pPr>
    </w:p>
    <w:p>
      <w:pPr>
        <w:ind w:firstLine="656"/>
        <w:spacing w:after="0" w:line="260" w:lineRule="auto"/>
        <w:tabs>
          <w:tab w:leader="none" w:pos="1075"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6" w:lineRule="auto"/>
        <w:tabs>
          <w:tab w:leader="none" w:pos="11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Notwithstanding anything to the contrary in this Agreement or any other Loan Document, for purposes of determining compliance with any covenant (including the computation of any financial covenant) contained in any Loan Document, Debt of the Loan Parties and their Subsidiaries shall be deemed to be carried at 100% of the outstanding principal amount thereof, and the effects of FASB ASC 825 on financial liabilities shall be disregarded.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6" w:right="239" w:bottom="1440" w:gutter="0" w:footer="0" w:header="0"/>
        </w:sectPr>
      </w:pPr>
    </w:p>
    <w:bookmarkStart w:id="35" w:name="page36"/>
    <w:bookmarkEnd w:id="35"/>
    <w:p>
      <w:pPr>
        <w:jc w:val="both"/>
        <w:ind w:firstLine="656"/>
        <w:spacing w:after="0" w:line="270" w:lineRule="auto"/>
        <w:tabs>
          <w:tab w:leader="none" w:pos="11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set forth in any Loan Document or the determination of compliance with any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w:t>
      </w:r>
    </w:p>
    <w:p>
      <w:pPr>
        <w:spacing w:after="0" w:line="2" w:lineRule="exact"/>
        <w:rPr>
          <w:rFonts w:ascii="Arial" w:cs="Arial" w:eastAsia="Arial" w:hAnsi="Arial"/>
          <w:sz w:val="18"/>
          <w:szCs w:val="18"/>
          <w:color w:val="auto"/>
        </w:rPr>
      </w:pPr>
    </w:p>
    <w:p>
      <w:pPr>
        <w:jc w:val="both"/>
        <w:ind w:firstLine="8"/>
        <w:spacing w:after="0" w:line="254" w:lineRule="auto"/>
        <w:tabs>
          <w:tab w:leader="none" w:pos="245"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operating leases shall continue to be treated in accordance with GAAP as in effect immediately prior to the Company’s adoption of FASB ASC 842;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for purposes of the financial statements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so long as the Compliance Certificate delivered by the Company in connection with such financial statements includes an explanation of the differences resulting from such treatment of leases in a manner reasonably satisfactory to the Administrative Agent.</w:t>
      </w:r>
    </w:p>
    <w:p>
      <w:pPr>
        <w:spacing w:after="0" w:line="18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References to Agreements and Laws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4" w:lineRule="auto"/>
        <w:tabs>
          <w:tab w:leader="none" w:pos="11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Administrative Agent or the L/C Issuer, as applicable, shall determine in good faith the Spot Rates as of each Revaluation Date to be used for calculating Dollar Equivalent amounts of Credit Extensions and Outstanding Amounts denominated in Alternative Currencies (and, upon request, shall promptly notify the Company of such determination).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in good faith by the Administrative Agent or the L/C Issuer, as applicable.</w:t>
      </w:r>
    </w:p>
    <w:p>
      <w:pPr>
        <w:spacing w:after="0" w:line="169" w:lineRule="exact"/>
        <w:rPr>
          <w:rFonts w:ascii="Arial" w:cs="Arial" w:eastAsia="Arial" w:hAnsi="Arial"/>
          <w:sz w:val="18"/>
          <w:szCs w:val="18"/>
          <w:color w:val="auto"/>
        </w:rPr>
      </w:pPr>
    </w:p>
    <w:p>
      <w:pPr>
        <w:jc w:val="both"/>
        <w:ind w:firstLine="656"/>
        <w:spacing w:after="0" w:line="263" w:lineRule="auto"/>
        <w:tabs>
          <w:tab w:leader="none" w:pos="1126" w:val="left"/>
        </w:tabs>
        <w:numPr>
          <w:ilvl w:val="0"/>
          <w:numId w:val="15"/>
        </w:numPr>
        <w:rPr>
          <w:rFonts w:ascii="Arial" w:cs="Arial" w:eastAsia="Arial" w:hAnsi="Arial"/>
          <w:sz w:val="19"/>
          <w:szCs w:val="19"/>
          <w:color w:val="auto"/>
        </w:rPr>
      </w:pPr>
      <w:r>
        <w:rPr>
          <w:rFonts w:ascii="Arial" w:cs="Arial" w:eastAsia="Arial" w:hAnsi="Arial"/>
          <w:sz w:val="19"/>
          <w:szCs w:val="19"/>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6" w:right="2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20"/>
          <w:szCs w:val="20"/>
          <w:color w:val="auto"/>
        </w:rPr>
        <w:t>Alternative Currency, with 0.5 of a unit being rounded upward), as determined by the Administrative Agent or the L/C Issuer, as the case may be.</w:t>
      </w:r>
    </w:p>
    <w:p>
      <w:pPr>
        <w:spacing w:after="0" w:line="177" w:lineRule="exact"/>
        <w:rPr>
          <w:sz w:val="20"/>
          <w:szCs w:val="20"/>
          <w:color w:val="auto"/>
        </w:rPr>
      </w:pPr>
    </w:p>
    <w:p>
      <w:pPr>
        <w:jc w:val="both"/>
        <w:ind w:firstLine="656"/>
        <w:spacing w:after="0" w:line="250" w:lineRule="auto"/>
        <w:tabs>
          <w:tab w:leader="none" w:pos="1088"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Administrative Agent does not warrant, nor accept responsibility, nor shall the Administrative Agent have any liability with respect to the administration, submission or any other matter related to the establishment of the rates in the definition of “Eurocurrency Base Rate” or with respect to any comparable or successor rate thereto.</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3" w:lineRule="auto"/>
        <w:tabs>
          <w:tab w:leader="none" w:pos="1142"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requested currency is a lawful currency (other than Dollars) that is readily available and freely transferable and convertible into Dollars and (ii) such requested currency shall only be a LIBOR Quoted Currency to the extent that there is published LIBOR rate for such currency.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93" w:lineRule="exact"/>
        <w:rPr>
          <w:rFonts w:ascii="Arial" w:cs="Arial" w:eastAsia="Arial" w:hAnsi="Arial"/>
          <w:sz w:val="20"/>
          <w:szCs w:val="20"/>
          <w:color w:val="auto"/>
        </w:rPr>
      </w:pPr>
    </w:p>
    <w:p>
      <w:pPr>
        <w:jc w:val="both"/>
        <w:ind w:firstLine="656"/>
        <w:spacing w:after="0" w:line="273" w:lineRule="auto"/>
        <w:tabs>
          <w:tab w:leader="none" w:pos="10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seven Business Days after receipt of such request whether it consents, in its sole discretion, to the making of Eurocurrency Rate Loans or the issuance of Letters of Credit, as the case may be, in such requested currency.</w:t>
      </w:r>
    </w:p>
    <w:p>
      <w:pPr>
        <w:spacing w:after="0" w:line="169" w:lineRule="exact"/>
        <w:rPr>
          <w:rFonts w:ascii="Arial" w:cs="Arial" w:eastAsia="Arial" w:hAnsi="Arial"/>
          <w:sz w:val="18"/>
          <w:szCs w:val="18"/>
          <w:color w:val="auto"/>
        </w:rPr>
      </w:pPr>
    </w:p>
    <w:p>
      <w:pPr>
        <w:jc w:val="both"/>
        <w:ind w:firstLine="656"/>
        <w:spacing w:after="0" w:line="270" w:lineRule="auto"/>
        <w:tabs>
          <w:tab w:leader="none" w:pos="10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and the Administrative Agent and such Lenders reasonably determine that a Eurocurrency Base Rate is available to be used for such requested currency, the Administrative Agent shall so notify the Company and (i) the Administrative Agent and such Lenders may amend the definition of Eurocurrency Base Rate for any Non-LIBOR Quoted Currency to the extent necessary to add the applicable Eurocurrency Base Rate for such currency and (ii) to the extent the definition of Eurocurrency Base Rate reflects the appropriate interest rate for such currency or has been amended to reflect the appropriate rate for such currency, such currency shall thereupon be deemed for all purposes to be a LIBOR Quoted Currency or a Non-LIBOR Quoted Currency, as applicable, for purposes of any Borrowings of Eurocurrency Rate Loans. If the Administrative Agent and the L/C Issuer consent to the issuance of Letters of Credit in such requested currency, the Administrative Agent shall so notify the Company and (A) the Administrative Agent and the L/C Issuer may amend the definition of Eurocurrency Base Rate for any Non-LIBOR Quoted Currency to the extent necessary to add the applicable Eurocurrency Base Rate for such currency and (B) to the extent the definition of Eurocurrency Base Rate reflects the appropriate interest 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6" w:right="239" w:bottom="1440" w:gutter="0" w:footer="0" w:header="0"/>
        </w:sectPr>
      </w:pPr>
    </w:p>
    <w:bookmarkStart w:id="37" w:name="page38"/>
    <w:bookmarkEnd w:id="37"/>
    <w:p>
      <w:pPr>
        <w:jc w:val="both"/>
        <w:spacing w:after="0" w:line="246" w:lineRule="auto"/>
        <w:rPr>
          <w:sz w:val="20"/>
          <w:szCs w:val="20"/>
          <w:color w:val="auto"/>
        </w:rPr>
      </w:pPr>
      <w:r>
        <w:rPr>
          <w:rFonts w:ascii="Arial" w:cs="Arial" w:eastAsia="Arial" w:hAnsi="Arial"/>
          <w:sz w:val="20"/>
          <w:szCs w:val="20"/>
          <w:color w:val="auto"/>
        </w:rPr>
        <w:t xml:space="preserve">for such currency or has been amended to reflect the appropriate rate for such currency, such currency shall thereupon be deemed for all purposes to be a LIBOR Quoted Currency or a Non-LIBOR Quoted Currency, as applicable, for purposes of any Letter of Credit issuances. If the Administrative Agent shall fail to obtain consent to any request for an additional currency under this </w:t>
      </w:r>
      <w:r>
        <w:rPr>
          <w:rFonts w:ascii="Arial" w:cs="Arial" w:eastAsia="Arial" w:hAnsi="Arial"/>
          <w:sz w:val="20"/>
          <w:szCs w:val="20"/>
          <w:u w:val="single" w:color="auto"/>
          <w:color w:val="auto"/>
        </w:rPr>
        <w:t>Section 1.07</w:t>
      </w:r>
      <w:r>
        <w:rPr>
          <w:rFonts w:ascii="Arial" w:cs="Arial" w:eastAsia="Arial" w:hAnsi="Arial"/>
          <w:sz w:val="20"/>
          <w:szCs w:val="20"/>
          <w:color w:val="auto"/>
        </w:rPr>
        <w:t>, the Administrative Agent shall promptly so notify the Company.</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u w:val="single" w:color="auto"/>
          <w:color w:val="auto"/>
        </w:rPr>
        <w:t>Change of Currency</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2" w:lineRule="auto"/>
        <w:tabs>
          <w:tab w:leader="none" w:pos="1156"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97" w:lineRule="exact"/>
        <w:rPr>
          <w:rFonts w:ascii="Arial" w:cs="Arial" w:eastAsia="Arial" w:hAnsi="Arial"/>
          <w:sz w:val="20"/>
          <w:szCs w:val="20"/>
          <w:color w:val="auto"/>
        </w:rPr>
      </w:pPr>
    </w:p>
    <w:p>
      <w:pPr>
        <w:jc w:val="both"/>
        <w:ind w:firstLine="656"/>
        <w:spacing w:after="0" w:line="243" w:lineRule="auto"/>
        <w:tabs>
          <w:tab w:leader="none" w:pos="1113"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reasonably specify, in consultation with the Borrowers, to be appropriate to reflect (i) the adoption of the Euro by any member state of the European Union and any relevant market conventions or practices relating to the Euro and (ii) any change in currency of another country and any relevant market conventions or practices relating to the change in currency; provided, in each case, the Administrative Agent shall have generally implemented such changes of construction (with respect to the applicable currency) in other credit facilities under similar circumstances.</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u w:val="single" w:color="auto"/>
          <w:color w:val="auto"/>
        </w:rPr>
        <w:t>Times of Day</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specified, all references herein to times of day shall be references to Central time (daylight or standard, as applicable).</w:t>
      </w: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u w:val="single" w:color="auto"/>
          <w:color w:val="auto"/>
        </w:rPr>
        <w:t>Luxembourg Terms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Without prejudice to the generality of any provision of this Agreement, in this Agreement where it relates to a Luxembourg Loan Party, a reference to: (a) a winding-up, administration or dissolution includes, without limitation, bankruptcy (</w:t>
      </w:r>
      <w:r>
        <w:rPr>
          <w:rFonts w:ascii="Arial" w:cs="Arial" w:eastAsia="Arial" w:hAnsi="Arial"/>
          <w:sz w:val="19"/>
          <w:szCs w:val="19"/>
          <w:i w:val="1"/>
          <w:iCs w:val="1"/>
          <w:color w:val="auto"/>
        </w:rPr>
        <w:t>faillite</w:t>
      </w:r>
      <w:r>
        <w:rPr>
          <w:rFonts w:ascii="Arial" w:cs="Arial" w:eastAsia="Arial" w:hAnsi="Arial"/>
          <w:sz w:val="19"/>
          <w:szCs w:val="19"/>
          <w:color w:val="auto"/>
        </w:rPr>
        <w:t>), liquidation, composition with creditors (</w:t>
      </w:r>
      <w:r>
        <w:rPr>
          <w:rFonts w:ascii="Arial" w:cs="Arial" w:eastAsia="Arial" w:hAnsi="Arial"/>
          <w:sz w:val="19"/>
          <w:szCs w:val="19"/>
          <w:i w:val="1"/>
          <w:iCs w:val="1"/>
          <w:color w:val="auto"/>
        </w:rPr>
        <w:t>concordat préventif de faillite</w:t>
      </w:r>
      <w:r>
        <w:rPr>
          <w:rFonts w:ascii="Arial" w:cs="Arial" w:eastAsia="Arial" w:hAnsi="Arial"/>
          <w:sz w:val="19"/>
          <w:szCs w:val="19"/>
          <w:color w:val="auto"/>
        </w:rPr>
        <w:t>), a suspension of payments (</w:t>
      </w:r>
      <w:r>
        <w:rPr>
          <w:rFonts w:ascii="Arial" w:cs="Arial" w:eastAsia="Arial" w:hAnsi="Arial"/>
          <w:sz w:val="19"/>
          <w:szCs w:val="19"/>
          <w:i w:val="1"/>
          <w:iCs w:val="1"/>
          <w:color w:val="auto"/>
        </w:rPr>
        <w:t>sursis de paiement</w:t>
      </w:r>
      <w:r>
        <w:rPr>
          <w:rFonts w:ascii="Arial" w:cs="Arial" w:eastAsia="Arial" w:hAnsi="Arial"/>
          <w:sz w:val="19"/>
          <w:szCs w:val="19"/>
          <w:color w:val="auto"/>
        </w:rPr>
        <w:t>), procedure, controlled management (</w:t>
      </w:r>
      <w:r>
        <w:rPr>
          <w:rFonts w:ascii="Arial" w:cs="Arial" w:eastAsia="Arial" w:hAnsi="Arial"/>
          <w:sz w:val="19"/>
          <w:szCs w:val="19"/>
          <w:i w:val="1"/>
          <w:iCs w:val="1"/>
          <w:color w:val="auto"/>
        </w:rPr>
        <w:t>gestion</w:t>
      </w:r>
      <w:r>
        <w:rPr>
          <w:rFonts w:ascii="Arial" w:cs="Arial" w:eastAsia="Arial" w:hAnsi="Arial"/>
          <w:sz w:val="19"/>
          <w:szCs w:val="19"/>
          <w:color w:val="auto"/>
        </w:rPr>
        <w:t xml:space="preserve"> </w:t>
      </w:r>
      <w:r>
        <w:rPr>
          <w:rFonts w:ascii="Arial" w:cs="Arial" w:eastAsia="Arial" w:hAnsi="Arial"/>
          <w:sz w:val="19"/>
          <w:szCs w:val="19"/>
          <w:i w:val="1"/>
          <w:iCs w:val="1"/>
          <w:color w:val="auto"/>
        </w:rPr>
        <w:t>controlée</w:t>
      </w:r>
      <w:r>
        <w:rPr>
          <w:rFonts w:ascii="Arial" w:cs="Arial" w:eastAsia="Arial" w:hAnsi="Arial"/>
          <w:sz w:val="19"/>
          <w:szCs w:val="19"/>
          <w:color w:val="auto"/>
        </w:rPr>
        <w:t>); (b) a receiver, administrative receiver, administrator, trustee, custodian, sequestrator, conservator or similar officer includes, without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limitation, a </w:t>
      </w:r>
      <w:r>
        <w:rPr>
          <w:rFonts w:ascii="Arial" w:cs="Arial" w:eastAsia="Arial" w:hAnsi="Arial"/>
          <w:sz w:val="19"/>
          <w:szCs w:val="19"/>
          <w:i w:val="1"/>
          <w:iCs w:val="1"/>
          <w:color w:val="auto"/>
        </w:rPr>
        <w:t>juge délégué</w:t>
      </w:r>
      <w:r>
        <w:rPr>
          <w:rFonts w:ascii="Arial" w:cs="Arial" w:eastAsia="Arial" w:hAnsi="Arial"/>
          <w:sz w:val="19"/>
          <w:szCs w:val="19"/>
          <w:color w:val="auto"/>
        </w:rPr>
        <w:t xml:space="preserve">, </w:t>
      </w:r>
      <w:r>
        <w:rPr>
          <w:rFonts w:ascii="Arial" w:cs="Arial" w:eastAsia="Arial" w:hAnsi="Arial"/>
          <w:sz w:val="19"/>
          <w:szCs w:val="19"/>
          <w:i w:val="1"/>
          <w:iCs w:val="1"/>
          <w:color w:val="auto"/>
        </w:rPr>
        <w:t>commissaire</w:t>
      </w:r>
      <w:r>
        <w:rPr>
          <w:rFonts w:ascii="Arial" w:cs="Arial" w:eastAsia="Arial" w:hAnsi="Arial"/>
          <w:sz w:val="19"/>
          <w:szCs w:val="19"/>
          <w:color w:val="auto"/>
        </w:rPr>
        <w:t xml:space="preserve">, </w:t>
      </w:r>
      <w:r>
        <w:rPr>
          <w:rFonts w:ascii="Arial" w:cs="Arial" w:eastAsia="Arial" w:hAnsi="Arial"/>
          <w:sz w:val="19"/>
          <w:szCs w:val="19"/>
          <w:i w:val="1"/>
          <w:iCs w:val="1"/>
          <w:color w:val="auto"/>
        </w:rPr>
        <w:t>juge-commissaire</w:t>
      </w:r>
      <w:r>
        <w:rPr>
          <w:rFonts w:ascii="Arial" w:cs="Arial" w:eastAsia="Arial" w:hAnsi="Arial"/>
          <w:sz w:val="19"/>
          <w:szCs w:val="19"/>
          <w:color w:val="auto"/>
        </w:rPr>
        <w:t xml:space="preserve">, </w:t>
      </w:r>
      <w:r>
        <w:rPr>
          <w:rFonts w:ascii="Arial" w:cs="Arial" w:eastAsia="Arial" w:hAnsi="Arial"/>
          <w:sz w:val="19"/>
          <w:szCs w:val="19"/>
          <w:i w:val="1"/>
          <w:iCs w:val="1"/>
          <w:color w:val="auto"/>
        </w:rPr>
        <w:t>mandataire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6" w:right="239" w:bottom="1440" w:gutter="0" w:footer="0" w:header="0"/>
        </w:sectPr>
      </w:pPr>
    </w:p>
    <w:bookmarkStart w:id="38" w:name="page39"/>
    <w:bookmarkEnd w:id="38"/>
    <w:p>
      <w:pPr>
        <w:jc w:val="both"/>
        <w:spacing w:after="0" w:line="303" w:lineRule="auto"/>
        <w:rPr>
          <w:sz w:val="20"/>
          <w:szCs w:val="20"/>
          <w:color w:val="auto"/>
        </w:rPr>
      </w:pPr>
      <w:r>
        <w:rPr>
          <w:rFonts w:ascii="Arial" w:cs="Arial" w:eastAsia="Arial" w:hAnsi="Arial"/>
          <w:sz w:val="16"/>
          <w:szCs w:val="16"/>
          <w:i w:val="1"/>
          <w:iCs w:val="1"/>
          <w:color w:val="auto"/>
        </w:rPr>
        <w:t>ad hoc</w:t>
      </w:r>
      <w:r>
        <w:rPr>
          <w:rFonts w:ascii="Arial" w:cs="Arial" w:eastAsia="Arial" w:hAnsi="Arial"/>
          <w:sz w:val="16"/>
          <w:szCs w:val="16"/>
          <w:color w:val="auto"/>
        </w:rPr>
        <w:t>,</w:t>
      </w:r>
      <w:r>
        <w:rPr>
          <w:rFonts w:ascii="Arial" w:cs="Arial" w:eastAsia="Arial" w:hAnsi="Arial"/>
          <w:sz w:val="16"/>
          <w:szCs w:val="16"/>
          <w:i w:val="1"/>
          <w:iCs w:val="1"/>
          <w:color w:val="auto"/>
        </w:rPr>
        <w:t xml:space="preserve"> administrateur provisoire</w:t>
      </w:r>
      <w:r>
        <w:rPr>
          <w:rFonts w:ascii="Arial" w:cs="Arial" w:eastAsia="Arial" w:hAnsi="Arial"/>
          <w:sz w:val="16"/>
          <w:szCs w:val="16"/>
          <w:color w:val="auto"/>
        </w:rPr>
        <w:t>,</w:t>
      </w:r>
      <w:r>
        <w:rPr>
          <w:rFonts w:ascii="Arial" w:cs="Arial" w:eastAsia="Arial" w:hAnsi="Arial"/>
          <w:sz w:val="16"/>
          <w:szCs w:val="16"/>
          <w:i w:val="1"/>
          <w:iCs w:val="1"/>
          <w:color w:val="auto"/>
        </w:rPr>
        <w:t xml:space="preserve"> liquidateur or curateur</w:t>
      </w:r>
      <w:r>
        <w:rPr>
          <w:rFonts w:ascii="Arial" w:cs="Arial" w:eastAsia="Arial" w:hAnsi="Arial"/>
          <w:sz w:val="16"/>
          <w:szCs w:val="16"/>
          <w:color w:val="auto"/>
        </w:rPr>
        <w:t>; (c) a lien or security interest includes any</w:t>
      </w:r>
      <w:r>
        <w:rPr>
          <w:rFonts w:ascii="Arial" w:cs="Arial" w:eastAsia="Arial" w:hAnsi="Arial"/>
          <w:sz w:val="16"/>
          <w:szCs w:val="16"/>
          <w:i w:val="1"/>
          <w:iCs w:val="1"/>
          <w:color w:val="auto"/>
        </w:rPr>
        <w:t xml:space="preserve"> hypothèque</w:t>
      </w:r>
      <w:r>
        <w:rPr>
          <w:rFonts w:ascii="Arial" w:cs="Arial" w:eastAsia="Arial" w:hAnsi="Arial"/>
          <w:sz w:val="16"/>
          <w:szCs w:val="16"/>
          <w:color w:val="auto"/>
        </w:rPr>
        <w:t>,</w:t>
      </w:r>
      <w:r>
        <w:rPr>
          <w:rFonts w:ascii="Arial" w:cs="Arial" w:eastAsia="Arial" w:hAnsi="Arial"/>
          <w:sz w:val="16"/>
          <w:szCs w:val="16"/>
          <w:i w:val="1"/>
          <w:iCs w:val="1"/>
          <w:color w:val="auto"/>
        </w:rPr>
        <w:t xml:space="preserve"> nantissement</w:t>
      </w:r>
      <w:r>
        <w:rPr>
          <w:rFonts w:ascii="Arial" w:cs="Arial" w:eastAsia="Arial" w:hAnsi="Arial"/>
          <w:sz w:val="16"/>
          <w:szCs w:val="16"/>
          <w:color w:val="auto"/>
        </w:rPr>
        <w:t>,</w:t>
      </w:r>
      <w:r>
        <w:rPr>
          <w:rFonts w:ascii="Arial" w:cs="Arial" w:eastAsia="Arial" w:hAnsi="Arial"/>
          <w:sz w:val="16"/>
          <w:szCs w:val="16"/>
          <w:i w:val="1"/>
          <w:iCs w:val="1"/>
          <w:color w:val="auto"/>
        </w:rPr>
        <w:t xml:space="preserve"> gage</w:t>
      </w:r>
      <w:r>
        <w:rPr>
          <w:rFonts w:ascii="Arial" w:cs="Arial" w:eastAsia="Arial" w:hAnsi="Arial"/>
          <w:sz w:val="16"/>
          <w:szCs w:val="16"/>
          <w:color w:val="auto"/>
        </w:rPr>
        <w:t>,</w:t>
      </w:r>
      <w:r>
        <w:rPr>
          <w:rFonts w:ascii="Arial" w:cs="Arial" w:eastAsia="Arial" w:hAnsi="Arial"/>
          <w:sz w:val="16"/>
          <w:szCs w:val="16"/>
          <w:i w:val="1"/>
          <w:iCs w:val="1"/>
          <w:color w:val="auto"/>
        </w:rPr>
        <w:t xml:space="preserve"> privilège</w:t>
      </w:r>
      <w:r>
        <w:rPr>
          <w:rFonts w:ascii="Arial" w:cs="Arial" w:eastAsia="Arial" w:hAnsi="Arial"/>
          <w:sz w:val="16"/>
          <w:szCs w:val="16"/>
          <w:color w:val="auto"/>
        </w:rPr>
        <w:t>,</w:t>
      </w:r>
      <w:r>
        <w:rPr>
          <w:rFonts w:ascii="Arial" w:cs="Arial" w:eastAsia="Arial" w:hAnsi="Arial"/>
          <w:sz w:val="16"/>
          <w:szCs w:val="16"/>
          <w:i w:val="1"/>
          <w:iCs w:val="1"/>
          <w:color w:val="auto"/>
        </w:rPr>
        <w:t xml:space="preserve"> sûreté réelle</w:t>
      </w:r>
      <w:r>
        <w:rPr>
          <w:rFonts w:ascii="Arial" w:cs="Arial" w:eastAsia="Arial" w:hAnsi="Arial"/>
          <w:sz w:val="16"/>
          <w:szCs w:val="16"/>
          <w:color w:val="auto"/>
        </w:rPr>
        <w:t>,</w:t>
      </w:r>
      <w:r>
        <w:rPr>
          <w:rFonts w:ascii="Arial" w:cs="Arial" w:eastAsia="Arial" w:hAnsi="Arial"/>
          <w:sz w:val="16"/>
          <w:szCs w:val="16"/>
          <w:i w:val="1"/>
          <w:iCs w:val="1"/>
          <w:color w:val="auto"/>
        </w:rPr>
        <w:t xml:space="preserve"> droit de rétention</w:t>
      </w:r>
      <w:r>
        <w:rPr>
          <w:rFonts w:ascii="Arial" w:cs="Arial" w:eastAsia="Arial" w:hAnsi="Arial"/>
          <w:sz w:val="16"/>
          <w:szCs w:val="16"/>
          <w:color w:val="auto"/>
        </w:rPr>
        <w:t>, and any type of security in rem (</w:t>
      </w:r>
      <w:r>
        <w:rPr>
          <w:rFonts w:ascii="Arial" w:cs="Arial" w:eastAsia="Arial" w:hAnsi="Arial"/>
          <w:sz w:val="16"/>
          <w:szCs w:val="16"/>
          <w:i w:val="1"/>
          <w:iCs w:val="1"/>
          <w:color w:val="auto"/>
        </w:rPr>
        <w:t>sûreté réelle</w:t>
      </w:r>
      <w:r>
        <w:rPr>
          <w:rFonts w:ascii="Arial" w:cs="Arial" w:eastAsia="Arial" w:hAnsi="Arial"/>
          <w:sz w:val="16"/>
          <w:szCs w:val="16"/>
          <w:color w:val="auto"/>
        </w:rPr>
        <w:t>) and any transfer of title by way of security; (d) a person being</w:t>
      </w:r>
      <w:r>
        <w:rPr>
          <w:rFonts w:ascii="Arial" w:cs="Arial" w:eastAsia="Arial" w:hAnsi="Arial"/>
          <w:sz w:val="16"/>
          <w:szCs w:val="16"/>
          <w:i w:val="1"/>
          <w:iCs w:val="1"/>
          <w:color w:val="auto"/>
        </w:rPr>
        <w:t xml:space="preserve"> </w:t>
      </w:r>
      <w:r>
        <w:rPr>
          <w:rFonts w:ascii="Arial" w:cs="Arial" w:eastAsia="Arial" w:hAnsi="Arial"/>
          <w:sz w:val="16"/>
          <w:szCs w:val="16"/>
          <w:color w:val="auto"/>
        </w:rPr>
        <w:t>unable to pay its debts includes that person being a state of cessation de paiements; (e) creditors process means an executory attachment (</w:t>
      </w:r>
      <w:r>
        <w:rPr>
          <w:rFonts w:ascii="Arial" w:cs="Arial" w:eastAsia="Arial" w:hAnsi="Arial"/>
          <w:sz w:val="16"/>
          <w:szCs w:val="16"/>
          <w:i w:val="1"/>
          <w:iCs w:val="1"/>
          <w:color w:val="auto"/>
        </w:rPr>
        <w:t>saisie</w:t>
      </w:r>
      <w:r>
        <w:rPr>
          <w:rFonts w:ascii="Arial" w:cs="Arial" w:eastAsia="Arial" w:hAnsi="Arial"/>
          <w:sz w:val="16"/>
          <w:szCs w:val="16"/>
          <w:color w:val="auto"/>
        </w:rPr>
        <w:t xml:space="preserve"> </w:t>
      </w:r>
      <w:r>
        <w:rPr>
          <w:rFonts w:ascii="Arial" w:cs="Arial" w:eastAsia="Arial" w:hAnsi="Arial"/>
          <w:sz w:val="16"/>
          <w:szCs w:val="16"/>
          <w:i w:val="1"/>
          <w:iCs w:val="1"/>
          <w:color w:val="auto"/>
        </w:rPr>
        <w:t>exécutoire</w:t>
      </w:r>
      <w:r>
        <w:rPr>
          <w:rFonts w:ascii="Arial" w:cs="Arial" w:eastAsia="Arial" w:hAnsi="Arial"/>
          <w:sz w:val="16"/>
          <w:szCs w:val="16"/>
          <w:color w:val="auto"/>
        </w:rPr>
        <w:t>) or conservatory attachment (</w:t>
      </w:r>
      <w:r>
        <w:rPr>
          <w:rFonts w:ascii="Arial" w:cs="Arial" w:eastAsia="Arial" w:hAnsi="Arial"/>
          <w:sz w:val="16"/>
          <w:szCs w:val="16"/>
          <w:i w:val="1"/>
          <w:iCs w:val="1"/>
          <w:color w:val="auto"/>
        </w:rPr>
        <w:t>saisie conservatoire</w:t>
      </w:r>
      <w:r>
        <w:rPr>
          <w:rFonts w:ascii="Arial" w:cs="Arial" w:eastAsia="Arial" w:hAnsi="Arial"/>
          <w:sz w:val="16"/>
          <w:szCs w:val="16"/>
          <w:color w:val="auto"/>
        </w:rPr>
        <w:t>); (f) a guarantee includes any guarantee which is independent from the debt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it relates and excludes any suretyship (</w:t>
      </w:r>
      <w:r>
        <w:rPr>
          <w:rFonts w:ascii="Arial" w:cs="Arial" w:eastAsia="Arial" w:hAnsi="Arial"/>
          <w:sz w:val="16"/>
          <w:szCs w:val="16"/>
          <w:i w:val="1"/>
          <w:iCs w:val="1"/>
          <w:color w:val="auto"/>
        </w:rPr>
        <w:t>cautionnement</w:t>
      </w:r>
      <w:r>
        <w:rPr>
          <w:rFonts w:ascii="Arial" w:cs="Arial" w:eastAsia="Arial" w:hAnsi="Arial"/>
          <w:sz w:val="16"/>
          <w:szCs w:val="16"/>
          <w:color w:val="auto"/>
        </w:rPr>
        <w:t>) within the meaning of Articles 2011 and seq. of the Luxembourg Civil Code; and</w:t>
      </w:r>
    </w:p>
    <w:p>
      <w:pPr>
        <w:spacing w:after="0" w:line="3"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by-laws or constitutional documents includes its up-to-date (restated) articles of association (</w:t>
      </w:r>
      <w:r>
        <w:rPr>
          <w:rFonts w:ascii="Arial" w:cs="Arial" w:eastAsia="Arial" w:hAnsi="Arial"/>
          <w:sz w:val="20"/>
          <w:szCs w:val="20"/>
          <w:i w:val="1"/>
          <w:iCs w:val="1"/>
          <w:color w:val="auto"/>
        </w:rPr>
        <w:t>statuts coordonnés</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5220"/>
        <w:spacing w:after="0"/>
        <w:rPr>
          <w:rFonts w:ascii="Arial" w:cs="Arial" w:eastAsia="Arial" w:hAnsi="Arial"/>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COMMITMENTS AND CREDIT EXTENSIONS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1" w:lineRule="auto"/>
        <w:tabs>
          <w:tab w:leader="none" w:pos="104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Subject to the terms and conditions set forth herein, each Lender severally agrees to make loans (each such loan, a “</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Borrowing of Revolving Loans, (i) the Total Revolving Outstandings shall not exceed the Aggregate Revolving Commitments, and (ii) the aggregate Outstanding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Swing Line Loans shall not exceed such Lender’s Revolving Commitment. Within the limits of each Lender’s Revolving Commitment, and subject to the other terms and conditions hereof, the Borrowers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Revolving Loans may be Base Rate Loans or Eurocurrency Rate Loans, as further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that all Loans to Brady Finance Luxembourg and Brady SARL that are denominated in Dollars shall be Eurocurrency Rate Loans.</w:t>
      </w:r>
    </w:p>
    <w:p>
      <w:pPr>
        <w:spacing w:after="0" w:line="174" w:lineRule="exact"/>
        <w:rPr>
          <w:rFonts w:ascii="Arial" w:cs="Arial" w:eastAsia="Arial" w:hAnsi="Arial"/>
          <w:sz w:val="18"/>
          <w:szCs w:val="18"/>
          <w:color w:val="auto"/>
        </w:rPr>
      </w:pPr>
    </w:p>
    <w:p>
      <w:pPr>
        <w:jc w:val="both"/>
        <w:ind w:firstLine="656"/>
        <w:spacing w:after="0" w:line="244" w:lineRule="auto"/>
        <w:tabs>
          <w:tab w:leader="none" w:pos="1086"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Increase of Aggregate Revolving Commitments</w:t>
      </w:r>
      <w:r>
        <w:rPr>
          <w:rFonts w:ascii="Arial" w:cs="Arial" w:eastAsia="Arial" w:hAnsi="Arial"/>
          <w:sz w:val="20"/>
          <w:szCs w:val="20"/>
          <w:color w:val="auto"/>
        </w:rPr>
        <w:t xml:space="preserve">. The Company may at any time and from time to time, upon prior written notice by the Company to the Administrative Agent, increase the Aggregate Revolving Commitments (but not the Letter of Credit Sublimit or Swing Line Sublimit) by up to TWO HUNDRED MILLION DOLLARS ($200,000,000) with additional Revolving Commitments from any existing Lender or new Revolving Commitments from any other Person selected by the Company that would qualify as an Eligible Assignee;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4" w:lineRule="exact"/>
        <w:rPr>
          <w:rFonts w:ascii="Arial" w:cs="Arial" w:eastAsia="Arial" w:hAnsi="Arial"/>
          <w:sz w:val="20"/>
          <w:szCs w:val="20"/>
          <w:color w:val="auto"/>
        </w:rPr>
      </w:pPr>
    </w:p>
    <w:p>
      <w:pPr>
        <w:ind w:left="1680" w:hanging="375"/>
        <w:spacing w:after="0"/>
        <w:tabs>
          <w:tab w:leader="none" w:pos="1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such increase shall be in a minimum principal amount of $5,000,000 and in integral multiples of $5,000,000 in excess</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ind w:left="1720" w:hanging="415"/>
        <w:spacing w:after="0"/>
        <w:tabs>
          <w:tab w:leader="none" w:pos="1720" w:val="left"/>
        </w:tabs>
        <w:numPr>
          <w:ilvl w:val="1"/>
          <w:numId w:val="20"/>
        </w:numPr>
        <w:rPr>
          <w:rFonts w:ascii="Arial" w:cs="Arial" w:eastAsia="Arial" w:hAnsi="Arial"/>
          <w:sz w:val="20"/>
          <w:szCs w:val="20"/>
          <w:color w:val="auto"/>
        </w:rPr>
      </w:pPr>
      <w:r>
        <w:rPr>
          <w:rFonts w:ascii="Arial" w:cs="Arial" w:eastAsia="Arial" w:hAnsi="Arial"/>
          <w:sz w:val="20"/>
          <w:szCs w:val="20"/>
          <w:color w:val="auto"/>
        </w:rPr>
        <w:t>no Default shall be continuing at the time of any such increase;</w:t>
      </w:r>
    </w:p>
    <w:p>
      <w:pPr>
        <w:spacing w:after="0" w:line="215" w:lineRule="exact"/>
        <w:rPr>
          <w:rFonts w:ascii="Arial" w:cs="Arial" w:eastAsia="Arial" w:hAnsi="Arial"/>
          <w:sz w:val="20"/>
          <w:szCs w:val="20"/>
          <w:color w:val="auto"/>
        </w:rPr>
      </w:pPr>
    </w:p>
    <w:p>
      <w:pPr>
        <w:ind w:left="660" w:firstLine="645"/>
        <w:spacing w:after="0" w:line="260" w:lineRule="auto"/>
        <w:tabs>
          <w:tab w:leader="none" w:pos="1785" w:val="left"/>
        </w:tabs>
        <w:numPr>
          <w:ilvl w:val="1"/>
          <w:numId w:val="20"/>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increase its Revolving Commitment and any such decision whether to increase its Revolving Commitment shall be in such Lender’s sole and absolute discretion;</w:t>
      </w:r>
    </w:p>
    <w:p>
      <w:pPr>
        <w:spacing w:after="0" w:line="176" w:lineRule="exact"/>
        <w:rPr>
          <w:rFonts w:ascii="Arial" w:cs="Arial" w:eastAsia="Arial" w:hAnsi="Arial"/>
          <w:sz w:val="20"/>
          <w:szCs w:val="20"/>
          <w:color w:val="auto"/>
        </w:rPr>
      </w:pPr>
    </w:p>
    <w:p>
      <w:pPr>
        <w:ind w:left="660" w:firstLine="645"/>
        <w:spacing w:after="0" w:line="260" w:lineRule="auto"/>
        <w:tabs>
          <w:tab w:leader="none" w:pos="2017"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new Lender shall join this Agreement by executing such joinder documents reasonably required by the Administrative Agent;</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Administrative Agent shall have received all documents (including resolutions of the board of directors of the Loan Parties and opinions of counsel to the Loan Parties) it may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6" w:right="239" w:bottom="1440" w:gutter="0" w:footer="0" w:header="0"/>
        </w:sectPr>
      </w:pPr>
    </w:p>
    <w:bookmarkStart w:id="39" w:name="page40"/>
    <w:bookmarkEnd w:id="39"/>
    <w:p>
      <w:pPr>
        <w:ind w:left="660"/>
        <w:spacing w:after="0" w:line="260" w:lineRule="auto"/>
        <w:rPr>
          <w:sz w:val="20"/>
          <w:szCs w:val="20"/>
          <w:color w:val="auto"/>
        </w:rPr>
      </w:pPr>
      <w:r>
        <w:rPr>
          <w:rFonts w:ascii="Arial" w:cs="Arial" w:eastAsia="Arial" w:hAnsi="Arial"/>
          <w:sz w:val="20"/>
          <w:szCs w:val="20"/>
          <w:color w:val="auto"/>
        </w:rPr>
        <w:t>reasonably request relating to the corporate or other necessary authority for such increase, and any other matters relevant thereto, all in form and substance reasonably satisfactory to the Administrative Agent; and</w:t>
      </w:r>
    </w:p>
    <w:p>
      <w:pPr>
        <w:spacing w:after="0" w:line="177" w:lineRule="exact"/>
        <w:rPr>
          <w:sz w:val="20"/>
          <w:szCs w:val="20"/>
          <w:color w:val="auto"/>
        </w:rPr>
      </w:pPr>
    </w:p>
    <w:p>
      <w:pPr>
        <w:jc w:val="both"/>
        <w:ind w:left="660" w:firstLine="645"/>
        <w:spacing w:after="0" w:line="244" w:lineRule="auto"/>
        <w:tabs>
          <w:tab w:leader="none" w:pos="1774"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if any Loans are outstanding at the time of the increase in the Aggregate Revolving Commitments, the Borrowers shall, if applicable due to a nonratable increase in the Commitments, prepay one or more existing Loans (such prepayment to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in an amount necessary such that after giving effect to the increase in the Aggregate Revolving Commitments, each Lender will hold its Pro Rata Share (based on its Pro Rata Share of the increased Aggregate Revolving Commitments) of outstanding Loans.</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shall be deemed revised to include any increase in the Commitments under this Section and to include thereon any Person that becomes a Lender pursuant to this Section.</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8" w:lineRule="auto"/>
        <w:tabs>
          <w:tab w:leader="none" w:pos="10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Eurocurrency Rate Loans shall be made upon the applicable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notice must be received by the Administrative Agent not later than 10:00 a.m. (i) two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 continuation of Eurocurrency Rate Loans denominated in Alternative Currencies and (iii) on the requested date of any Borrowing of Base Rate Loans. Each Borrowing of, conversion to or continuation of Eurocurrency Rate Loans shall be in a principal amount of $1,000,000 or a whole multiple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Borrowing of or conversion to Base Rate Loans shall be in a principal amount of $1,000,000 or a whole multiple of $500,000 in excess thereof. Each Loan Notice shall specify (i) whether such Borrower is requesting a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Loans denominated in an Alternative Currency, such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a Borrower requests a Borrowing of, conversion to, or continuation of Eurocurrency Rate Loans in any Loan Notice, but fails to specify an Interest Period, it will be deemed to have specified an Interest Period of one month. No Loan may be converted into or continued as a Loan denominated in a different currency, but instead must be repaid in the original currency of such Loan and reborrowed in the other currency.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6" w:right="239" w:bottom="1440" w:gutter="0" w:footer="0" w:header="0"/>
        </w:sectPr>
      </w:pPr>
    </w:p>
    <w:bookmarkStart w:id="40" w:name="page41"/>
    <w:bookmarkEnd w:id="40"/>
    <w:p>
      <w:pPr>
        <w:jc w:val="both"/>
        <w:ind w:firstLine="656"/>
        <w:spacing w:after="0" w:line="254" w:lineRule="auto"/>
        <w:tabs>
          <w:tab w:leader="none" w:pos="1072"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 Alternative Currency, in each case on the Business Day specified in the applicable Loan Notice. Upon satisfaction of the applicable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Administrative Agent shall make all funds so received available to the applicable Borrower in like funds as received by the Administrative Agent either by (i) crediting the account of such Borrower on the books of BMO with the amount of such funds or (ii) wire transfer of such funds, in each case in accordance with instructions provided to (and reasonably acceptable to) the Administrative Agent by such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on the date the Loan Notice with respect to a Borrowing of Revolving Loans denominated in Dollars is given by a Borrower, there are L/C Borrowings outstanding, then the proceeds of such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shall be made available to such Borrower as provided above. Each Lender, at its option, may make any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applicable Borrower to repay such Loan in accordance with the terms of this Agreement.</w:t>
      </w:r>
    </w:p>
    <w:p>
      <w:pPr>
        <w:spacing w:after="0" w:line="188" w:lineRule="exact"/>
        <w:rPr>
          <w:rFonts w:ascii="Arial" w:cs="Arial" w:eastAsia="Arial" w:hAnsi="Arial"/>
          <w:sz w:val="19"/>
          <w:szCs w:val="19"/>
          <w:color w:val="auto"/>
        </w:rPr>
      </w:pPr>
    </w:p>
    <w:p>
      <w:pPr>
        <w:jc w:val="both"/>
        <w:ind w:firstLine="656"/>
        <w:spacing w:after="0" w:line="243" w:lineRule="auto"/>
        <w:tabs>
          <w:tab w:leader="none" w:pos="10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Except as otherwise provided herein, a Eurocurrency Rate Loan may be continued or converted only on the last day of the Interest Period for such Eurocurrency Rate Loan. During the existence of a Default, no Loans may be requested as, converted to or continued as Eurocurrency Rate Loans (whether in Dollars or an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196" w:lineRule="exact"/>
        <w:rPr>
          <w:rFonts w:ascii="Arial" w:cs="Arial" w:eastAsia="Arial" w:hAnsi="Arial"/>
          <w:sz w:val="20"/>
          <w:szCs w:val="20"/>
          <w:color w:val="auto"/>
        </w:rPr>
      </w:pPr>
    </w:p>
    <w:p>
      <w:pPr>
        <w:jc w:val="both"/>
        <w:ind w:firstLine="656"/>
        <w:spacing w:after="0" w:line="246" w:lineRule="auto"/>
        <w:tabs>
          <w:tab w:leader="none" w:pos="1153"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Borrowers and the Lenders of the interest rate applicable to any Interest Period for Eurocurrency Rate Loans upon determination of such interest rate. At any time that Base Rate Loans are outstanding, the Administrative Agent shall notify the Borrowers and the Lenders of any change in BMO’s prime rate used in determining the Base Rate promptly following the public announcement of such change.</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8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from one Type to the other, and all continuations of Loans as the same Type, there shall not be more than 12 Interest Periods in effect with respect to Revolving Loans (no more than 4 of such Interest Periods may be for 7 days).</w:t>
      </w:r>
    </w:p>
    <w:p>
      <w:pPr>
        <w:spacing w:after="0" w:line="186" w:lineRule="exact"/>
        <w:rPr>
          <w:rFonts w:ascii="Arial" w:cs="Arial" w:eastAsia="Arial" w:hAnsi="Arial"/>
          <w:sz w:val="20"/>
          <w:szCs w:val="20"/>
          <w:color w:val="auto"/>
        </w:rPr>
      </w:pPr>
    </w:p>
    <w:p>
      <w:pPr>
        <w:ind w:left="1040" w:hanging="384"/>
        <w:spacing w:after="0"/>
        <w:tabs>
          <w:tab w:leader="none" w:pos="10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shall not apply to Swing Line Loans.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ind w:left="1060" w:hanging="404"/>
        <w:spacing w:after="0"/>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756"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(A) the L/C Issuer agrees, in reliance upon the agreements of the Lenders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(1) from time to time on any Business Day during the period from the Closing Date until the Letter of Credit Expiration Date,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6" w:right="239" w:bottom="1440" w:gutter="0" w:footer="0" w:header="0"/>
        </w:sectPr>
      </w:pPr>
    </w:p>
    <w:bookmarkStart w:id="41" w:name="page42"/>
    <w:bookmarkEnd w:id="41"/>
    <w:p>
      <w:pPr>
        <w:jc w:val="both"/>
        <w:spacing w:after="0" w:line="270" w:lineRule="auto"/>
        <w:rPr>
          <w:sz w:val="20"/>
          <w:szCs w:val="20"/>
          <w:color w:val="auto"/>
        </w:rPr>
      </w:pPr>
      <w:r>
        <w:rPr>
          <w:rFonts w:ascii="Arial" w:cs="Arial" w:eastAsia="Arial" w:hAnsi="Arial"/>
          <w:sz w:val="18"/>
          <w:szCs w:val="18"/>
          <w:color w:val="auto"/>
        </w:rPr>
        <w:t xml:space="preserve">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Swing Line Loans shall not exceed such Lender’s Revolving Commitment or (y) the Outstanding Amount of the L/C Obligations shall not exceed the Letter of Credit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70" w:lineRule="exact"/>
        <w:rPr>
          <w:sz w:val="20"/>
          <w:szCs w:val="20"/>
          <w:color w:val="auto"/>
        </w:rPr>
      </w:pPr>
    </w:p>
    <w:p>
      <w:pPr>
        <w:ind w:left="1060" w:hanging="415"/>
        <w:spacing w:after="0"/>
        <w:tabs>
          <w:tab w:leader="none" w:pos="10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L/C Issuer shall not issue any Letter of Credit if:</w:t>
      </w:r>
    </w:p>
    <w:p>
      <w:pPr>
        <w:spacing w:after="0" w:line="215" w:lineRule="exact"/>
        <w:rPr>
          <w:rFonts w:ascii="Arial" w:cs="Arial" w:eastAsia="Arial" w:hAnsi="Arial"/>
          <w:sz w:val="20"/>
          <w:szCs w:val="20"/>
          <w:color w:val="auto"/>
        </w:rPr>
      </w:pPr>
    </w:p>
    <w:p>
      <w:pPr>
        <w:ind w:left="640" w:firstLine="653"/>
        <w:spacing w:after="0" w:line="316" w:lineRule="auto"/>
        <w:tabs>
          <w:tab w:leader="none" w:pos="1783"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have approved such expiry date; or</w:t>
      </w:r>
    </w:p>
    <w:p>
      <w:pPr>
        <w:spacing w:after="0" w:line="130" w:lineRule="exact"/>
        <w:rPr>
          <w:rFonts w:ascii="Arial" w:cs="Arial" w:eastAsia="Arial" w:hAnsi="Arial"/>
          <w:sz w:val="18"/>
          <w:szCs w:val="18"/>
          <w:color w:val="auto"/>
        </w:rPr>
      </w:pPr>
    </w:p>
    <w:p>
      <w:pPr>
        <w:jc w:val="both"/>
        <w:ind w:left="640" w:firstLine="653"/>
        <w:spacing w:after="0" w:line="259" w:lineRule="auto"/>
        <w:tabs>
          <w:tab w:leader="none" w:pos="1759"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the expiry date of such requested Letter of Credit would occur after the Letter of Credit Expiration Date, unless all the Lenders have approved such expiry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agreement of the Borrowers set forth below in this clause (B), the L/C Issuer may issue Letters of Credit with an expiry date of up to one year after the Letter of Credit Expiration Date (but the L/C Issuer shall not have an obligation to issue such Letter of Credit). Each Borrower hereby agrees that if any Letter of Credit is issued pursuant to the foregoing proviso, it shall Cash Collateralize such Letter of Credit on the date such Letter of Credit is issued in an amount equal to the Minimum Collateral Amount.</w:t>
      </w:r>
    </w:p>
    <w:p>
      <w:pPr>
        <w:spacing w:after="0" w:line="178" w:lineRule="exact"/>
        <w:rPr>
          <w:rFonts w:ascii="Arial" w:cs="Arial" w:eastAsia="Arial" w:hAnsi="Arial"/>
          <w:sz w:val="19"/>
          <w:szCs w:val="19"/>
          <w:color w:val="auto"/>
        </w:rPr>
      </w:pPr>
    </w:p>
    <w:p>
      <w:pPr>
        <w:ind w:left="1120" w:hanging="475"/>
        <w:spacing w:after="0"/>
        <w:tabs>
          <w:tab w:leader="none" w:pos="11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L/C Issuer shall not be under any obligation to issue any Letter of Credit if:</w:t>
      </w:r>
    </w:p>
    <w:p>
      <w:pPr>
        <w:spacing w:after="0" w:line="215" w:lineRule="exact"/>
        <w:rPr>
          <w:rFonts w:ascii="Arial" w:cs="Arial" w:eastAsia="Arial" w:hAnsi="Arial"/>
          <w:sz w:val="20"/>
          <w:szCs w:val="20"/>
          <w:color w:val="auto"/>
        </w:rPr>
      </w:pPr>
    </w:p>
    <w:p>
      <w:pPr>
        <w:jc w:val="both"/>
        <w:ind w:left="640" w:firstLine="653"/>
        <w:spacing w:after="0" w:line="256" w:lineRule="auto"/>
        <w:tabs>
          <w:tab w:leader="none" w:pos="1756" w:val="left"/>
        </w:tabs>
        <w:numPr>
          <w:ilvl w:val="1"/>
          <w:numId w:val="25"/>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if later, the date on which such Person became the L/C Issuer), or shall impose upon the L/C Issuer any unreimbursed loss, cost or expense which was not applicable on the Closing Date (or, if later, the date on which such Person became the L/C Issuer) and which the L/C Issuer in good faith deems material to it;</w:t>
      </w:r>
    </w:p>
    <w:p>
      <w:pPr>
        <w:spacing w:after="0" w:line="200" w:lineRule="exact"/>
        <w:rPr>
          <w:sz w:val="20"/>
          <w:szCs w:val="20"/>
          <w:color w:val="auto"/>
        </w:rPr>
      </w:pPr>
    </w:p>
    <w:p>
      <w:pPr>
        <w:spacing w:after="0" w:line="23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0"/>
          </w:cols>
          <w:pgMar w:left="900" w:top="366" w:right="239" w:bottom="1440" w:gutter="0" w:footer="0" w:header="0"/>
        </w:sectPr>
      </w:pPr>
    </w:p>
    <w:bookmarkStart w:id="42" w:name="page43"/>
    <w:bookmarkEnd w:id="42"/>
    <w:p>
      <w:pPr>
        <w:ind w:left="644" w:firstLine="653"/>
        <w:spacing w:after="0" w:line="260" w:lineRule="auto"/>
        <w:tabs>
          <w:tab w:leader="none" w:pos="1749" w:val="left"/>
        </w:tabs>
        <w:numPr>
          <w:ilvl w:val="2"/>
          <w:numId w:val="26"/>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the L/C Issuer applicable to letters of credit generally;</w:t>
      </w:r>
    </w:p>
    <w:p>
      <w:pPr>
        <w:spacing w:after="0" w:line="176" w:lineRule="exact"/>
        <w:rPr>
          <w:rFonts w:ascii="Arial" w:cs="Arial" w:eastAsia="Arial" w:hAnsi="Arial"/>
          <w:sz w:val="20"/>
          <w:szCs w:val="20"/>
          <w:color w:val="auto"/>
        </w:rPr>
      </w:pPr>
    </w:p>
    <w:p>
      <w:pPr>
        <w:jc w:val="both"/>
        <w:ind w:left="644" w:right="20" w:firstLine="653"/>
        <w:spacing w:after="0" w:line="250" w:lineRule="auto"/>
        <w:tabs>
          <w:tab w:leader="none" w:pos="1763"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186" w:lineRule="exact"/>
        <w:rPr>
          <w:rFonts w:ascii="Arial" w:cs="Arial" w:eastAsia="Arial" w:hAnsi="Arial"/>
          <w:sz w:val="20"/>
          <w:szCs w:val="20"/>
          <w:color w:val="auto"/>
        </w:rPr>
      </w:pPr>
    </w:p>
    <w:p>
      <w:pPr>
        <w:ind w:left="644" w:firstLine="653"/>
        <w:spacing w:after="0" w:line="260" w:lineRule="auto"/>
        <w:tabs>
          <w:tab w:leader="none" w:pos="1801" w:val="left"/>
        </w:tabs>
        <w:numPr>
          <w:ilvl w:val="2"/>
          <w:numId w:val="26"/>
        </w:numPr>
        <w:rPr>
          <w:rFonts w:ascii="Arial" w:cs="Arial" w:eastAsia="Arial" w:hAnsi="Arial"/>
          <w:sz w:val="20"/>
          <w:szCs w:val="20"/>
          <w:color w:val="auto"/>
        </w:rPr>
      </w:pPr>
      <w:r>
        <w:rPr>
          <w:rFonts w:ascii="Arial" w:cs="Arial" w:eastAsia="Arial" w:hAnsi="Arial"/>
          <w:sz w:val="20"/>
          <w:szCs w:val="20"/>
          <w:color w:val="auto"/>
        </w:rPr>
        <w:t>the L/C Issuer does not as of the issuance date of such requested Letter of Credit issue Letters of Credit in the requested currency;</w:t>
      </w:r>
    </w:p>
    <w:p>
      <w:pPr>
        <w:spacing w:after="0" w:line="176" w:lineRule="exact"/>
        <w:rPr>
          <w:rFonts w:ascii="Arial" w:cs="Arial" w:eastAsia="Arial" w:hAnsi="Arial"/>
          <w:sz w:val="20"/>
          <w:szCs w:val="20"/>
          <w:color w:val="auto"/>
        </w:rPr>
      </w:pPr>
    </w:p>
    <w:p>
      <w:pPr>
        <w:ind w:left="644" w:firstLine="653"/>
        <w:spacing w:after="0" w:line="260" w:lineRule="auto"/>
        <w:tabs>
          <w:tab w:leader="none" w:pos="1752" w:val="left"/>
        </w:tabs>
        <w:numPr>
          <w:ilvl w:val="2"/>
          <w:numId w:val="26"/>
        </w:numPr>
        <w:rPr>
          <w:rFonts w:ascii="Arial" w:cs="Arial" w:eastAsia="Arial" w:hAnsi="Arial"/>
          <w:sz w:val="20"/>
          <w:szCs w:val="20"/>
          <w:color w:val="auto"/>
        </w:rPr>
      </w:pPr>
      <w:r>
        <w:rPr>
          <w:rFonts w:ascii="Arial" w:cs="Arial" w:eastAsia="Arial" w:hAnsi="Arial"/>
          <w:sz w:val="20"/>
          <w:szCs w:val="20"/>
          <w:color w:val="auto"/>
        </w:rPr>
        <w:t>such Letter of Credit contains any provisions for automatic reinstatement of the stated amount after any drawing thereunder; or</w:t>
      </w:r>
    </w:p>
    <w:p>
      <w:pPr>
        <w:spacing w:after="0" w:line="176" w:lineRule="exact"/>
        <w:rPr>
          <w:rFonts w:ascii="Arial" w:cs="Arial" w:eastAsia="Arial" w:hAnsi="Arial"/>
          <w:sz w:val="20"/>
          <w:szCs w:val="20"/>
          <w:color w:val="auto"/>
        </w:rPr>
      </w:pPr>
    </w:p>
    <w:p>
      <w:pPr>
        <w:jc w:val="both"/>
        <w:ind w:left="644" w:firstLine="653"/>
        <w:spacing w:after="0" w:line="243" w:lineRule="auto"/>
        <w:tabs>
          <w:tab w:leader="none" w:pos="1714" w:val="left"/>
        </w:tabs>
        <w:numPr>
          <w:ilvl w:val="2"/>
          <w:numId w:val="26"/>
        </w:numPr>
        <w:rPr>
          <w:rFonts w:ascii="Arial" w:cs="Arial" w:eastAsia="Arial" w:hAnsi="Arial"/>
          <w:sz w:val="20"/>
          <w:szCs w:val="20"/>
          <w:color w:val="auto"/>
        </w:rPr>
      </w:pPr>
      <w:r>
        <w:rPr>
          <w:rFonts w:ascii="Arial" w:cs="Arial" w:eastAsia="Arial" w:hAnsi="Arial"/>
          <w:sz w:val="20"/>
          <w:szCs w:val="20"/>
          <w:color w:val="auto"/>
        </w:rPr>
        <w:t xml:space="preserve">any Lender is at that time a Defaulting Lender, unless the L/C Issuer has entered into arrangements, including the delivery of Cash Collateral, satisfactory to the L/C Issuer (in its sole discretion) with the applicable Borrower or such Defaulting Lender to eliminate the L/C Issuer’s actual or potential Fronting Exposure (after giving effect to </w:t>
      </w:r>
      <w:r>
        <w:rPr>
          <w:rFonts w:ascii="Arial" w:cs="Arial" w:eastAsia="Arial" w:hAnsi="Arial"/>
          <w:sz w:val="20"/>
          <w:szCs w:val="20"/>
          <w:u w:val="single" w:color="auto"/>
          <w:color w:val="auto"/>
        </w:rPr>
        <w:t>Section 2.16(b)</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96" w:lineRule="exact"/>
        <w:rPr>
          <w:rFonts w:ascii="Arial" w:cs="Arial" w:eastAsia="Arial" w:hAnsi="Arial"/>
          <w:sz w:val="20"/>
          <w:szCs w:val="20"/>
          <w:color w:val="auto"/>
        </w:rPr>
      </w:pPr>
    </w:p>
    <w:p>
      <w:pPr>
        <w:ind w:left="4" w:firstLine="645"/>
        <w:spacing w:after="0" w:line="260" w:lineRule="auto"/>
        <w:tabs>
          <w:tab w:leader="none" w:pos="1145"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L/C Issuer shall not amend any Letter of Credit if the L/C Issuer would not be permitted at such time to issue such Letter of Credit in its amended form under the terms hereof.</w:t>
      </w:r>
    </w:p>
    <w:p>
      <w:pPr>
        <w:spacing w:after="0" w:line="176" w:lineRule="exact"/>
        <w:rPr>
          <w:rFonts w:ascii="Arial" w:cs="Arial" w:eastAsia="Arial" w:hAnsi="Arial"/>
          <w:sz w:val="20"/>
          <w:szCs w:val="20"/>
          <w:color w:val="auto"/>
        </w:rPr>
      </w:pPr>
    </w:p>
    <w:p>
      <w:pPr>
        <w:jc w:val="both"/>
        <w:ind w:left="4" w:firstLine="645"/>
        <w:spacing w:after="0" w:line="250" w:lineRule="auto"/>
        <w:tabs>
          <w:tab w:leader="none" w:pos="1076"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6" w:lineRule="exact"/>
        <w:rPr>
          <w:rFonts w:ascii="Arial" w:cs="Arial" w:eastAsia="Arial" w:hAnsi="Arial"/>
          <w:sz w:val="20"/>
          <w:szCs w:val="20"/>
          <w:color w:val="auto"/>
        </w:rPr>
      </w:pPr>
    </w:p>
    <w:p>
      <w:pPr>
        <w:jc w:val="both"/>
        <w:ind w:left="4" w:firstLine="645"/>
        <w:spacing w:after="0" w:line="242" w:lineRule="auto"/>
        <w:tabs>
          <w:tab w:leader="none" w:pos="1172"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included the L/C Issuer with respect to such acts or omissions (it being understood that this clause (A) shall apply to the relationship among the L/C Issuer and the Lenders and shall not impair the obligations of the L/C Issuer to the Company or any of its Subsidiaries under the terms of the applicable Letters of Credit and Issuer Documents) and (B) as additionally provided herein with respect to the L/C Issuer.</w:t>
      </w:r>
    </w:p>
    <w:p>
      <w:pPr>
        <w:spacing w:after="0" w:line="197" w:lineRule="exact"/>
        <w:rPr>
          <w:rFonts w:ascii="Arial" w:cs="Arial" w:eastAsia="Arial" w:hAnsi="Arial"/>
          <w:sz w:val="20"/>
          <w:szCs w:val="20"/>
          <w:color w:val="auto"/>
        </w:rPr>
      </w:pPr>
    </w:p>
    <w:p>
      <w:pPr>
        <w:ind w:left="404" w:hanging="404"/>
        <w:spacing w:after="0"/>
        <w:tabs>
          <w:tab w:leader="none" w:pos="404"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43" w:lineRule="auto"/>
        <w:tabs>
          <w:tab w:leader="none" w:pos="1140" w:val="left"/>
        </w:tabs>
        <w:numPr>
          <w:ilvl w:val="1"/>
          <w:numId w:val="28"/>
        </w:numPr>
        <w:rPr>
          <w:rFonts w:ascii="Arial" w:cs="Arial" w:eastAsia="Arial" w:hAnsi="Arial"/>
          <w:sz w:val="20"/>
          <w:szCs w:val="20"/>
          <w:color w:val="auto"/>
        </w:rPr>
      </w:pPr>
      <w:r>
        <w:rPr>
          <w:rFonts w:ascii="Arial" w:cs="Arial" w:eastAsia="Arial" w:hAnsi="Arial"/>
          <w:sz w:val="20"/>
          <w:szCs w:val="20"/>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(A)</w:t>
      </w:r>
    </w:p>
    <w:p>
      <w:pPr>
        <w:spacing w:after="0" w:line="200" w:lineRule="exact"/>
        <w:rPr>
          <w:sz w:val="20"/>
          <w:szCs w:val="20"/>
          <w:color w:val="auto"/>
        </w:rPr>
      </w:pPr>
    </w:p>
    <w:p>
      <w:pPr>
        <w:spacing w:after="0" w:line="24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64"/>
          </w:cols>
          <w:pgMar w:left="896" w:top="366" w:right="2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18"/>
          <w:szCs w:val="18"/>
          <w:color w:val="auto"/>
        </w:rPr>
        <w:t>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180" w:lineRule="exact"/>
        <w:rPr>
          <w:sz w:val="20"/>
          <w:szCs w:val="20"/>
          <w:color w:val="auto"/>
        </w:rPr>
      </w:pPr>
    </w:p>
    <w:p>
      <w:pPr>
        <w:jc w:val="both"/>
        <w:ind w:firstLine="645"/>
        <w:spacing w:after="0" w:line="255" w:lineRule="auto"/>
        <w:tabs>
          <w:tab w:leader="none" w:pos="1083"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not be satisfied,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times the amount of such Letter of Credit.</w:t>
      </w:r>
    </w:p>
    <w:p>
      <w:pPr>
        <w:spacing w:after="0" w:line="187" w:lineRule="exact"/>
        <w:rPr>
          <w:rFonts w:ascii="Arial" w:cs="Arial" w:eastAsia="Arial" w:hAnsi="Arial"/>
          <w:sz w:val="19"/>
          <w:szCs w:val="19"/>
          <w:color w:val="auto"/>
        </w:rPr>
      </w:pPr>
    </w:p>
    <w:p>
      <w:pPr>
        <w:jc w:val="both"/>
        <w:ind w:firstLine="645"/>
        <w:spacing w:after="0" w:line="271" w:lineRule="auto"/>
        <w:tabs>
          <w:tab w:leader="none" w:pos="11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provided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last expiry date permitted under </w:t>
      </w:r>
      <w:r>
        <w:rPr>
          <w:rFonts w:ascii="Arial" w:cs="Arial" w:eastAsia="Arial" w:hAnsi="Arial"/>
          <w:sz w:val="18"/>
          <w:szCs w:val="18"/>
          <w:u w:val="single" w:color="auto"/>
          <w:color w:val="auto"/>
        </w:rPr>
        <w:t>Section 2.03(a)(ii)(B)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L/C Issuer shall not permit any such extension if (A) the L/C Issuer has determined that it would not be permitted, or would have</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60"/>
          </w:cols>
          <w:pgMar w:left="900" w:top="366" w:right="239" w:bottom="1440" w:gutter="0" w:footer="0" w:header="0"/>
        </w:sectPr>
      </w:pPr>
    </w:p>
    <w:bookmarkStart w:id="44" w:name="page45"/>
    <w:bookmarkEnd w:id="44"/>
    <w:p>
      <w:pPr>
        <w:jc w:val="both"/>
        <w:ind w:left="4"/>
        <w:spacing w:after="0" w:line="243" w:lineRule="auto"/>
        <w:rPr>
          <w:sz w:val="20"/>
          <w:szCs w:val="20"/>
          <w:color w:val="auto"/>
        </w:rPr>
      </w:pPr>
      <w:r>
        <w:rPr>
          <w:rFonts w:ascii="Arial" w:cs="Arial" w:eastAsia="Arial" w:hAnsi="Arial"/>
          <w:sz w:val="20"/>
          <w:szCs w:val="20"/>
          <w:color w:val="auto"/>
        </w:rPr>
        <w:t xml:space="preserve">no obligation, at such time to issue such Letter of Credit in its revised form (as extended) under the terms hereof (by reason of the provisions of clause (ii) or (iii) of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is not then satisfied, and in each case directing the L/C Issuer not to permit such extension.</w:t>
      </w:r>
    </w:p>
    <w:p>
      <w:pPr>
        <w:spacing w:after="0" w:line="197" w:lineRule="exact"/>
        <w:rPr>
          <w:sz w:val="20"/>
          <w:szCs w:val="20"/>
          <w:color w:val="auto"/>
        </w:rPr>
      </w:pPr>
    </w:p>
    <w:p>
      <w:pPr>
        <w:jc w:val="both"/>
        <w:ind w:left="4" w:firstLine="645"/>
        <w:spacing w:after="0" w:line="250" w:lineRule="auto"/>
        <w:tabs>
          <w:tab w:leader="none" w:pos="1212" w:val="left"/>
        </w:tabs>
        <w:numPr>
          <w:ilvl w:val="1"/>
          <w:numId w:val="30"/>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86" w:lineRule="exact"/>
        <w:rPr>
          <w:rFonts w:ascii="Arial" w:cs="Arial" w:eastAsia="Arial" w:hAnsi="Arial"/>
          <w:sz w:val="20"/>
          <w:szCs w:val="20"/>
          <w:color w:val="auto"/>
        </w:rPr>
      </w:pPr>
    </w:p>
    <w:p>
      <w:pPr>
        <w:ind w:left="404" w:hanging="404"/>
        <w:spacing w:after="0"/>
        <w:tabs>
          <w:tab w:leader="none" w:pos="404"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68" w:lineRule="auto"/>
        <w:tabs>
          <w:tab w:leader="none" w:pos="1073" w:val="left"/>
        </w:tabs>
        <w:numPr>
          <w:ilvl w:val="1"/>
          <w:numId w:val="31"/>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 reimbursement in Dollars, or (B) in the absence of any such requirement for reimbursement in Dollars, the Borrower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applicable Borrower of the Dollar Equivalent of the amount of the drawing promptly following the determination thereof. Not later than 11:00 a.m. on the Business Day following the date of any payment by the L/C Issuer under a Letter of Credit to be reimbursed in Dollars, or the Applicable Time on the Business Day following the date of any payment by the L/C Issuer under a Letter of Credit to be reimbursed in an Alternative Currency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applicable Borrower shall reimburse the L/C Issuer through the Administrative Agent in an amount equal to the amount of such drawing and in the applicable currency (together with interest thereon).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Lender’s Pro Rata Share thereof. In such event, the applicable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unutilized portion of the Aggregate Revolving Commitments and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the delivery of a Loan Notice). Any notice given by the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(including by facsimile or e-mail if permitted by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82" w:lineRule="exact"/>
        <w:rPr>
          <w:rFonts w:ascii="Arial" w:cs="Arial" w:eastAsia="Arial" w:hAnsi="Arial"/>
          <w:sz w:val="18"/>
          <w:szCs w:val="18"/>
          <w:color w:val="auto"/>
        </w:rPr>
      </w:pPr>
    </w:p>
    <w:p>
      <w:pPr>
        <w:jc w:val="both"/>
        <w:ind w:left="4" w:firstLine="645"/>
        <w:spacing w:after="0" w:line="269" w:lineRule="auto"/>
        <w:tabs>
          <w:tab w:leader="none" w:pos="1141"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Each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Pro Rata Share of the</w:t>
      </w:r>
    </w:p>
    <w:p>
      <w:pPr>
        <w:spacing w:after="0" w:line="200" w:lineRule="exact"/>
        <w:rPr>
          <w:sz w:val="20"/>
          <w:szCs w:val="20"/>
          <w:color w:val="auto"/>
        </w:rPr>
      </w:pPr>
    </w:p>
    <w:p>
      <w:pPr>
        <w:spacing w:after="0" w:line="21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64"/>
          </w:cols>
          <w:pgMar w:left="896" w:top="366" w:right="2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20"/>
          <w:szCs w:val="20"/>
          <w:color w:val="auto"/>
        </w:rPr>
        <w:t xml:space="preserve">Unreimbursed Amount not later than 1:00 p.m. on the Business Day specified in such notice by the Administrative Agent, whereupon, subject to the provisions of </w:t>
      </w:r>
      <w:r>
        <w:rPr>
          <w:rFonts w:ascii="Arial" w:cs="Arial" w:eastAsia="Arial" w:hAnsi="Arial"/>
          <w:sz w:val="20"/>
          <w:szCs w:val="20"/>
          <w:u w:val="single" w:color="auto"/>
          <w:color w:val="auto"/>
        </w:rPr>
        <w:t>Section 2.03(c)(iii)</w:t>
      </w:r>
      <w:r>
        <w:rPr>
          <w:rFonts w:ascii="Arial" w:cs="Arial" w:eastAsia="Arial" w:hAnsi="Arial"/>
          <w:sz w:val="20"/>
          <w:szCs w:val="20"/>
          <w:color w:val="auto"/>
        </w:rPr>
        <w:t>, each Lender that so makes funds available shall be deemed to have made a Revolving Loan that is a Base Rate Loan to the applicable Borrower in such amount. The Administrative Agent shall remit the funds so received to the L/C Issuer in Dollars.</w:t>
      </w:r>
    </w:p>
    <w:p>
      <w:pPr>
        <w:spacing w:after="0" w:line="192" w:lineRule="exact"/>
        <w:rPr>
          <w:sz w:val="20"/>
          <w:szCs w:val="20"/>
          <w:color w:val="auto"/>
        </w:rPr>
      </w:pPr>
    </w:p>
    <w:p>
      <w:pPr>
        <w:jc w:val="both"/>
        <w:ind w:firstLine="645"/>
        <w:spacing w:after="0" w:line="258" w:lineRule="auto"/>
        <w:tabs>
          <w:tab w:leader="none" w:pos="11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promptly on demand (together with interest) and shall bear interest at the Default Rate. In such event, each Lender’s payment to the Administrative Agent for the account of the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645"/>
        <w:spacing w:after="0" w:line="250" w:lineRule="auto"/>
        <w:tabs>
          <w:tab w:leader="none" w:pos="1128"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Until each Lender funds its Revolving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L/C Issuer for any amount drawn under any Letter of Credit, interest in respect of such Lender’s Pro Rata Share of such amount shall be solely for the account of the L/C Issuer.</w:t>
      </w:r>
    </w:p>
    <w:p>
      <w:pPr>
        <w:spacing w:after="0" w:line="186" w:lineRule="exact"/>
        <w:rPr>
          <w:rFonts w:ascii="Arial" w:cs="Arial" w:eastAsia="Arial" w:hAnsi="Arial"/>
          <w:sz w:val="20"/>
          <w:szCs w:val="20"/>
          <w:color w:val="auto"/>
        </w:rPr>
      </w:pPr>
    </w:p>
    <w:p>
      <w:pPr>
        <w:jc w:val="both"/>
        <w:ind w:firstLine="645"/>
        <w:spacing w:after="0" w:line="256" w:lineRule="auto"/>
        <w:tabs>
          <w:tab w:leader="none" w:pos="11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Each Lender’s obligation to make Revolving Loans or L/C Advances to reimburse the L/C Issuer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L/C Issuer, the Borrowers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Lender’s obligation to make Revolving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delivery by the applicable Borrower of a Loan Notice). No such making of an L/C Advance shall relieve or otherwise impair the obligation of any Borrower to reimburse the L/C Issuer for the amount of any payment made by the L/C Issuer under any Letter of Credit, together with interest as provided herein.</w:t>
      </w:r>
    </w:p>
    <w:p>
      <w:pPr>
        <w:spacing w:after="0" w:line="184" w:lineRule="exact"/>
        <w:rPr>
          <w:rFonts w:ascii="Arial" w:cs="Arial" w:eastAsia="Arial" w:hAnsi="Arial"/>
          <w:sz w:val="19"/>
          <w:szCs w:val="19"/>
          <w:color w:val="auto"/>
        </w:rPr>
      </w:pPr>
    </w:p>
    <w:p>
      <w:pPr>
        <w:jc w:val="both"/>
        <w:ind w:firstLine="645"/>
        <w:spacing w:after="0" w:line="256" w:lineRule="auto"/>
        <w:tabs>
          <w:tab w:leader="none" w:pos="1141"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60"/>
          </w:cols>
          <w:pgMar w:left="900" w:top="366" w:right="239" w:bottom="1440" w:gutter="0" w:footer="0" w:header="0"/>
        </w:sectPr>
      </w:pPr>
    </w:p>
    <w:bookmarkStart w:id="46" w:name="page47"/>
    <w:bookmarkEnd w:id="46"/>
    <w:p>
      <w:pPr>
        <w:ind w:left="1060" w:hanging="404"/>
        <w:spacing w:after="0"/>
        <w:tabs>
          <w:tab w:leader="none" w:pos="10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43" w:lineRule="auto"/>
        <w:tabs>
          <w:tab w:leader="none" w:pos="1716" w:val="left"/>
        </w:tabs>
        <w:numPr>
          <w:ilvl w:val="1"/>
          <w:numId w:val="33"/>
        </w:numPr>
        <w:rPr>
          <w:rFonts w:ascii="Arial" w:cs="Arial" w:eastAsia="Arial" w:hAnsi="Arial"/>
          <w:sz w:val="20"/>
          <w:szCs w:val="20"/>
          <w:color w:val="auto"/>
        </w:rPr>
      </w:pPr>
      <w:r>
        <w:rPr>
          <w:rFonts w:ascii="Arial" w:cs="Arial" w:eastAsia="Arial" w:hAnsi="Arial"/>
          <w:sz w:val="20"/>
          <w:szCs w:val="20"/>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20"/>
          <w:szCs w:val="20"/>
          <w:u w:val="single" w:color="auto"/>
          <w:color w:val="auto"/>
        </w:rPr>
        <w:t>Section 2.03(c)</w:t>
      </w:r>
      <w:r>
        <w:rPr>
          <w:rFonts w:ascii="Arial" w:cs="Arial" w:eastAsia="Arial" w:hAnsi="Arial"/>
          <w:sz w:val="20"/>
          <w:szCs w:val="20"/>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Share thereof in Dollars and in the same funds as those received by the Administrative Agent.</w:t>
      </w:r>
    </w:p>
    <w:p>
      <w:pPr>
        <w:spacing w:after="0" w:line="196" w:lineRule="exact"/>
        <w:rPr>
          <w:rFonts w:ascii="Arial" w:cs="Arial" w:eastAsia="Arial" w:hAnsi="Arial"/>
          <w:sz w:val="20"/>
          <w:szCs w:val="20"/>
          <w:color w:val="auto"/>
        </w:rPr>
      </w:pPr>
    </w:p>
    <w:p>
      <w:pPr>
        <w:jc w:val="both"/>
        <w:ind w:left="660" w:firstLine="645"/>
        <w:spacing w:after="0" w:line="276" w:lineRule="auto"/>
        <w:tabs>
          <w:tab w:leader="none" w:pos="177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65" w:lineRule="exact"/>
        <w:rPr>
          <w:rFonts w:ascii="Arial" w:cs="Arial" w:eastAsia="Arial" w:hAnsi="Arial"/>
          <w:sz w:val="18"/>
          <w:szCs w:val="18"/>
          <w:color w:val="auto"/>
        </w:rPr>
      </w:pPr>
    </w:p>
    <w:p>
      <w:pPr>
        <w:jc w:val="both"/>
        <w:ind w:firstLine="656"/>
        <w:spacing w:after="0" w:line="250" w:lineRule="auto"/>
        <w:tabs>
          <w:tab w:leader="none" w:pos="107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Loan Document;</w:t>
      </w:r>
    </w:p>
    <w:p>
      <w:pPr>
        <w:spacing w:after="0" w:line="215" w:lineRule="exact"/>
        <w:rPr>
          <w:rFonts w:ascii="Arial" w:cs="Arial" w:eastAsia="Arial" w:hAnsi="Arial"/>
          <w:sz w:val="20"/>
          <w:szCs w:val="20"/>
          <w:color w:val="auto"/>
        </w:rPr>
      </w:pPr>
    </w:p>
    <w:p>
      <w:pPr>
        <w:jc w:val="both"/>
        <w:ind w:left="660" w:firstLine="645"/>
        <w:spacing w:after="0" w:line="282" w:lineRule="auto"/>
        <w:tabs>
          <w:tab w:leader="none" w:pos="17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61" w:lineRule="exact"/>
        <w:rPr>
          <w:rFonts w:ascii="Arial" w:cs="Arial" w:eastAsia="Arial" w:hAnsi="Arial"/>
          <w:sz w:val="18"/>
          <w:szCs w:val="18"/>
          <w:color w:val="auto"/>
        </w:rPr>
      </w:pPr>
    </w:p>
    <w:p>
      <w:pPr>
        <w:jc w:val="both"/>
        <w:ind w:left="660" w:firstLine="645"/>
        <w:spacing w:after="0" w:line="269" w:lineRule="auto"/>
        <w:tabs>
          <w:tab w:leader="none" w:pos="1812"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0" w:lineRule="exact"/>
        <w:rPr>
          <w:rFonts w:ascii="Arial" w:cs="Arial" w:eastAsia="Arial" w:hAnsi="Arial"/>
          <w:sz w:val="19"/>
          <w:szCs w:val="19"/>
          <w:color w:val="auto"/>
        </w:rPr>
      </w:pPr>
    </w:p>
    <w:p>
      <w:pPr>
        <w:jc w:val="both"/>
        <w:ind w:left="660" w:firstLine="645"/>
        <w:spacing w:after="0" w:line="244" w:lineRule="auto"/>
        <w:tabs>
          <w:tab w:leader="none" w:pos="1855"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94" w:lineRule="exact"/>
        <w:rPr>
          <w:rFonts w:ascii="Arial" w:cs="Arial" w:eastAsia="Arial" w:hAnsi="Arial"/>
          <w:sz w:val="20"/>
          <w:szCs w:val="20"/>
          <w:color w:val="auto"/>
        </w:rPr>
      </w:pPr>
    </w:p>
    <w:p>
      <w:pPr>
        <w:ind w:left="660" w:firstLine="645"/>
        <w:spacing w:after="0" w:line="260" w:lineRule="auto"/>
        <w:tabs>
          <w:tab w:leader="none" w:pos="18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waiver by the L/C Issuer of any requirement that exists for the L/C Issuer’s protection and not the protection of any Borrower or any waiver by the L/C Issuer which does not in fact materially prejudice any Borrower;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6" w:right="239" w:bottom="1440" w:gutter="0" w:footer="0" w:header="0"/>
        </w:sectPr>
      </w:pPr>
    </w:p>
    <w:bookmarkStart w:id="47" w:name="page48"/>
    <w:bookmarkEnd w:id="47"/>
    <w:p>
      <w:pPr>
        <w:ind w:left="1780" w:hanging="475"/>
        <w:spacing w:after="0"/>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 in the form</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of a draft;</w:t>
      </w:r>
    </w:p>
    <w:p>
      <w:pPr>
        <w:spacing w:after="0" w:line="199" w:lineRule="exact"/>
        <w:rPr>
          <w:rFonts w:ascii="Arial" w:cs="Arial" w:eastAsia="Arial" w:hAnsi="Arial"/>
          <w:sz w:val="18"/>
          <w:szCs w:val="18"/>
          <w:color w:val="auto"/>
        </w:rPr>
      </w:pPr>
    </w:p>
    <w:p>
      <w:pPr>
        <w:jc w:val="both"/>
        <w:ind w:left="660" w:firstLine="645"/>
        <w:spacing w:after="0" w:line="250" w:lineRule="auto"/>
        <w:tabs>
          <w:tab w:leader="none" w:pos="1842"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6" w:lineRule="exact"/>
        <w:rPr>
          <w:rFonts w:ascii="Arial" w:cs="Arial" w:eastAsia="Arial" w:hAnsi="Arial"/>
          <w:sz w:val="20"/>
          <w:szCs w:val="20"/>
          <w:color w:val="auto"/>
        </w:rPr>
      </w:pPr>
    </w:p>
    <w:p>
      <w:pPr>
        <w:ind w:left="660" w:firstLine="645"/>
        <w:spacing w:after="0" w:line="260" w:lineRule="auto"/>
        <w:tabs>
          <w:tab w:leader="none" w:pos="1979"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to the Borrowers or any Subsidiary or in the relevant currency markets generally; or</w:t>
      </w:r>
    </w:p>
    <w:p>
      <w:pPr>
        <w:spacing w:after="0" w:line="176" w:lineRule="exact"/>
        <w:rPr>
          <w:rFonts w:ascii="Arial" w:cs="Arial" w:eastAsia="Arial" w:hAnsi="Arial"/>
          <w:sz w:val="20"/>
          <w:szCs w:val="20"/>
          <w:color w:val="auto"/>
        </w:rPr>
      </w:pPr>
    </w:p>
    <w:p>
      <w:pPr>
        <w:ind w:left="660" w:right="20" w:firstLine="645"/>
        <w:spacing w:after="0" w:line="287" w:lineRule="auto"/>
        <w:tabs>
          <w:tab w:leader="none" w:pos="1855"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promptly notify the L/C Issuer. The Borrowers shall be conclusively deemed to have waived any such claim against the L/C Issuer and its correspondents unless such notice is given as aforesaid.</w:t>
      </w:r>
    </w:p>
    <w:p>
      <w:pPr>
        <w:spacing w:after="0" w:line="192" w:lineRule="exact"/>
        <w:rPr>
          <w:sz w:val="20"/>
          <w:szCs w:val="20"/>
          <w:color w:val="auto"/>
        </w:rPr>
      </w:pPr>
    </w:p>
    <w:p>
      <w:pPr>
        <w:jc w:val="both"/>
        <w:ind w:firstLine="656"/>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xml:space="preserve">. Each Lender and each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6" w:right="23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20"/>
          <w:szCs w:val="20"/>
          <w:color w:val="auto"/>
        </w:rPr>
        <w:t xml:space="preserve">or proceeds thereof, in whole or in part, which may prove to be invalid or ineffective for any reason;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The L/C Issuer may send a Letter of Credit or conduct any communication to or from the beneficiary via the Society for Worldwide Interbank Financial Telecommunication (“</w:t>
      </w:r>
      <w:r>
        <w:rPr>
          <w:rFonts w:ascii="Arial" w:cs="Arial" w:eastAsia="Arial" w:hAnsi="Arial"/>
          <w:sz w:val="20"/>
          <w:szCs w:val="20"/>
          <w:u w:val="single" w:color="auto"/>
          <w:color w:val="auto"/>
        </w:rPr>
        <w:t>SWIFT</w:t>
      </w:r>
      <w:r>
        <w:rPr>
          <w:rFonts w:ascii="Arial" w:cs="Arial" w:eastAsia="Arial" w:hAnsi="Arial"/>
          <w:sz w:val="20"/>
          <w:szCs w:val="20"/>
          <w:color w:val="auto"/>
        </w:rPr>
        <w:t>”) message or overnight courier, or any other commercially reasonable means of communicating with a beneficiary.</w:t>
      </w:r>
    </w:p>
    <w:p>
      <w:pPr>
        <w:spacing w:after="0" w:line="196" w:lineRule="exact"/>
        <w:rPr>
          <w:sz w:val="20"/>
          <w:szCs w:val="20"/>
          <w:color w:val="auto"/>
        </w:rPr>
      </w:pPr>
    </w:p>
    <w:p>
      <w:pPr>
        <w:jc w:val="both"/>
        <w:ind w:firstLine="656"/>
        <w:spacing w:after="0" w:line="271" w:lineRule="auto"/>
        <w:tabs>
          <w:tab w:leader="none" w:pos="107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UCP shall apply to each commercial Letter of Credit (it being understood that the applicable Borrower may request that any particular Letter of Credit be governed by either the ISP or the UCP, as selected by such Borrower or the beneficiary of such Letter of Credit). Notwithstanding the foregoing, the L/C Issuer shall not be responsible to any Borrower for, and the L/C Issuer’s rights and remedies against such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4" w:lineRule="exact"/>
        <w:rPr>
          <w:rFonts w:ascii="Arial" w:cs="Arial" w:eastAsia="Arial" w:hAnsi="Arial"/>
          <w:sz w:val="18"/>
          <w:szCs w:val="18"/>
          <w:color w:val="auto"/>
        </w:rPr>
      </w:pPr>
    </w:p>
    <w:p>
      <w:pPr>
        <w:jc w:val="both"/>
        <w:ind w:firstLine="656"/>
        <w:spacing w:after="0" w:line="271" w:lineRule="auto"/>
        <w:tabs>
          <w:tab w:leader="none" w:pos="107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Borrowers shall pay to the Administrative Agent for the account of each Lender in accordance,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with its Pro Rata Share, in Dollars,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each Letter of Credit equal to the Applicable Rate times the Dollar Equivalent of the actual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74" w:lineRule="exact"/>
        <w:rPr>
          <w:rFonts w:ascii="Arial" w:cs="Arial" w:eastAsia="Arial" w:hAnsi="Arial"/>
          <w:sz w:val="18"/>
          <w:szCs w:val="18"/>
          <w:color w:val="auto"/>
        </w:rPr>
      </w:pPr>
    </w:p>
    <w:p>
      <w:pPr>
        <w:jc w:val="both"/>
        <w:ind w:firstLine="656"/>
        <w:spacing w:after="0" w:line="256" w:lineRule="auto"/>
        <w:tabs>
          <w:tab w:leader="none" w:pos="1029"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w:t>
      </w:r>
      <w:r>
        <w:rPr>
          <w:rFonts w:ascii="Arial" w:cs="Arial" w:eastAsia="Arial" w:hAnsi="Arial"/>
          <w:sz w:val="19"/>
          <w:szCs w:val="19"/>
          <w:color w:val="auto"/>
        </w:rPr>
        <w:t>. The Borrowers shall pay directly to the L/C Issuer for its own account, in Dollars, a fronting fee (i) with respect to each commercial Letter of Credit, at the rate specified in the Fee Letter, computed on the Dollar Equivalent of the amount of such Letter of Credit, and payable upon the issuance thereof, (ii) with respect to any amendment of a commercial Letter of Credit increasing the amount of such Letter of Credit, at a rate separately agreed between the Borrowers and the L/C Issuer, computed on the Dollar Equivalent of the amount of such increase, and payable upon the effectiveness of such amendment, and (iii) with respect to each standby Letter of Credit, at the rate per annum specified in the Fee Letter, computed on the Dollar Equivalent of the daily amount available to be drawn under such Letter of Credit and on a quarterly basis in arrears. Such fronting fee for standby Letters of Credit shall be due and payable on the tenth Business Day after the end of each March, June, September and December in respect of the most recently-ended quarterly period (or portion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6" w:right="2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18"/>
          <w:szCs w:val="18"/>
          <w:color w:val="auto"/>
        </w:rPr>
        <w:t xml:space="preserve">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in Dollars or such Alternative Currency as shall be separately agreed. Such customary fees and standard costs and charges are due and payable promptly on demand and are nonrefundable.</w:t>
      </w:r>
    </w:p>
    <w:p>
      <w:pPr>
        <w:spacing w:after="0" w:line="165" w:lineRule="exact"/>
        <w:rPr>
          <w:sz w:val="20"/>
          <w:szCs w:val="20"/>
          <w:color w:val="auto"/>
        </w:rPr>
      </w:pPr>
    </w:p>
    <w:p>
      <w:pPr>
        <w:ind w:firstLine="656"/>
        <w:spacing w:after="0" w:line="260" w:lineRule="auto"/>
        <w:tabs>
          <w:tab w:leader="none" w:pos="104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08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Borrowers shall be obligated to reimburse the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6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Swing Line Facility</w:t>
      </w:r>
      <w:r>
        <w:rPr>
          <w:rFonts w:ascii="Arial" w:cs="Arial" w:eastAsia="Arial" w:hAnsi="Arial"/>
          <w:sz w:val="18"/>
          <w:szCs w:val="18"/>
          <w:color w:val="auto"/>
        </w:rPr>
        <w:t xml:space="preserve">. Subject to the terms and conditions set forth herein, the Swing 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shall make loans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to the Domestic Borrowers in Dollars from time to time on any Business Day during the Availability Period in an Outstanding Amount not to exceed at any time outstanding the amount of the Swing Line Sublimit, notwithstanding the fact that such Swing Line Loans, when aggregated with the Pro Rata Share of the Outstanding Amount of Revolving Loans and L/C Obligations of the Swing Line Lender in its capacity as a Lender of Revolving Loans, may exceed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after giving effect to any Swing Line Loan, (A) the Total Revolving Outstandings shall not exceed the Aggregate Revolving Commitments and (B) the aggregate Outstanding Amount of the Revolving Loans of any Lender, plus such Lender’s Pro Rata Share of the Outstanding Amount of all L/C Obligations, plus such Lender’s Pro Rata Share of the Outstanding Amount of all Swing Line Loans shall not exceed such Lender’s Revolving Commitment, (ii) no Borrower shall use the proceeds of any Swing Line Loan to refinance any outstanding Swing Line Loan and (iii) the Swing Line Lender shall not be under any obligation to make any Swing Line Loan if it shall reasonably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Swing Line Loan shall be a Base Rate Loan and bear interest at a rate per annum determined in accordance with </w:t>
      </w:r>
      <w:r>
        <w:rPr>
          <w:rFonts w:ascii="Arial" w:cs="Arial" w:eastAsia="Arial" w:hAnsi="Arial"/>
          <w:sz w:val="18"/>
          <w:szCs w:val="18"/>
          <w:u w:val="single" w:color="auto"/>
          <w:color w:val="auto"/>
        </w:rPr>
        <w:t>Section 2.08(a)</w:t>
      </w:r>
      <w:r>
        <w:rPr>
          <w:rFonts w:ascii="Arial" w:cs="Arial" w:eastAsia="Arial" w:hAnsi="Arial"/>
          <w:sz w:val="18"/>
          <w:szCs w:val="18"/>
          <w:color w:val="auto"/>
        </w:rPr>
        <w:t>.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175"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xml:space="preserve">. Each Borrowing of Swing Line Loans shall be made upon the applicable Borrower’s irrevocable notice to the Swing Line Lender and the Administrative Agent, which may be given by (A) telephone or (B) by a Swing Line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telephonic notice must be confirmed promptly by delivery to the Swing Line Lender and the Administrative Agent of a Swing Line Loan Notice. Each such notice must be received by the Swing Line Lender and the Administrative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6" w:right="239" w:bottom="1440" w:gutter="0" w:footer="0" w:header="0"/>
        </w:sectPr>
      </w:pPr>
    </w:p>
    <w:bookmarkStart w:id="50" w:name="page51"/>
    <w:bookmarkEnd w:id="50"/>
    <w:p>
      <w:pPr>
        <w:jc w:val="both"/>
        <w:spacing w:after="0" w:line="271" w:lineRule="auto"/>
        <w:rPr>
          <w:sz w:val="20"/>
          <w:szCs w:val="20"/>
          <w:color w:val="auto"/>
        </w:rPr>
      </w:pPr>
      <w:r>
        <w:rPr>
          <w:rFonts w:ascii="Arial" w:cs="Arial" w:eastAsia="Arial" w:hAnsi="Arial"/>
          <w:sz w:val="18"/>
          <w:szCs w:val="18"/>
          <w:color w:val="auto"/>
        </w:rPr>
        <w:t xml:space="preserve">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75" w:lineRule="exact"/>
        <w:rPr>
          <w:sz w:val="20"/>
          <w:szCs w:val="20"/>
          <w:color w:val="auto"/>
        </w:rPr>
      </w:pPr>
    </w:p>
    <w:p>
      <w:pPr>
        <w:ind w:left="1060" w:hanging="404"/>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4" w:lineRule="auto"/>
        <w:tabs>
          <w:tab w:leader="none" w:pos="1743"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and absolute discretion may request, on behalf of the Borrowers (which hereby irrevocably request and authorize the Swing Line Lender to so request on their behalf), that each Lender make a Revolving Loan that is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The Swing Line Lender shall furnish the applicable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 denominated payments not later than 1:00 p.m.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Lender that so makes funds available shall be deemed to have made a Revolving Loan that is a Base Rate Loan to the applicable Borrower in such amount. The Administrative Agent shall remit the funds so received to the Swing Line Lender.</w:t>
      </w:r>
    </w:p>
    <w:p>
      <w:pPr>
        <w:spacing w:after="0" w:line="193" w:lineRule="exact"/>
        <w:rPr>
          <w:rFonts w:ascii="Arial" w:cs="Arial" w:eastAsia="Arial" w:hAnsi="Arial"/>
          <w:sz w:val="19"/>
          <w:szCs w:val="19"/>
          <w:color w:val="auto"/>
        </w:rPr>
      </w:pPr>
    </w:p>
    <w:p>
      <w:pPr>
        <w:jc w:val="both"/>
        <w:ind w:left="660" w:firstLine="645"/>
        <w:spacing w:after="0" w:line="260" w:lineRule="auto"/>
        <w:tabs>
          <w:tab w:leader="none" w:pos="1730"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Borrowing of Revolving Loans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80" w:lineRule="exact"/>
        <w:rPr>
          <w:rFonts w:ascii="Arial" w:cs="Arial" w:eastAsia="Arial" w:hAnsi="Arial"/>
          <w:sz w:val="19"/>
          <w:szCs w:val="19"/>
          <w:color w:val="auto"/>
        </w:rPr>
      </w:pPr>
    </w:p>
    <w:p>
      <w:pPr>
        <w:jc w:val="both"/>
        <w:ind w:left="660" w:firstLine="645"/>
        <w:spacing w:after="0" w:line="275" w:lineRule="auto"/>
        <w:tabs>
          <w:tab w:leader="none" w:pos="18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w:t>
      </w:r>
    </w:p>
    <w:p>
      <w:pPr>
        <w:ind w:left="660" w:right="20"/>
        <w:spacing w:after="0" w:line="244" w:lineRule="auto"/>
        <w:rPr>
          <w:rFonts w:ascii="Arial" w:cs="Arial" w:eastAsia="Arial" w:hAnsi="Arial"/>
          <w:sz w:val="18"/>
          <w:szCs w:val="18"/>
          <w:color w:val="auto"/>
        </w:rPr>
      </w:pPr>
      <w:r>
        <w:rPr>
          <w:rFonts w:ascii="Arial" w:cs="Arial" w:eastAsia="Arial" w:hAnsi="Arial"/>
          <w:sz w:val="20"/>
          <w:szCs w:val="20"/>
          <w:u w:val="single" w:color="auto"/>
          <w:color w:val="auto"/>
        </w:rPr>
        <w:t>(i)</w:t>
      </w:r>
      <w:r>
        <w:rPr>
          <w:rFonts w:ascii="Arial" w:cs="Arial" w:eastAsia="Arial" w:hAnsi="Arial"/>
          <w:sz w:val="20"/>
          <w:szCs w:val="20"/>
          <w:color w:val="auto"/>
        </w:rPr>
        <w:t>, the Swing Line Lender shall be entitled to recover from such Lender (acting through the Administrative Agent), on demand, such amount with interest thereon for the period from the date such payment is required to the date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6" w:right="239" w:bottom="1440" w:gutter="0" w:footer="0" w:header="0"/>
        </w:sectPr>
      </w:pPr>
    </w:p>
    <w:bookmarkStart w:id="51" w:name="page52"/>
    <w:bookmarkEnd w:id="51"/>
    <w:p>
      <w:pPr>
        <w:jc w:val="both"/>
        <w:ind w:left="660"/>
        <w:spacing w:after="0" w:line="260" w:lineRule="auto"/>
        <w:rPr>
          <w:sz w:val="20"/>
          <w:szCs w:val="20"/>
          <w:color w:val="auto"/>
        </w:rPr>
      </w:pPr>
      <w:r>
        <w:rPr>
          <w:rFonts w:ascii="Arial" w:cs="Arial" w:eastAsia="Arial" w:hAnsi="Arial"/>
          <w:sz w:val="19"/>
          <w:szCs w:val="19"/>
          <w:color w:val="auto"/>
        </w:rPr>
        <w:t>on which such payment is immediately available to the Swing Line Lender at a rate per annum equal to the applicable Overnight Rate from time to time in effect.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81" w:lineRule="exact"/>
        <w:rPr>
          <w:sz w:val="20"/>
          <w:szCs w:val="20"/>
          <w:color w:val="auto"/>
        </w:rPr>
      </w:pPr>
    </w:p>
    <w:p>
      <w:pPr>
        <w:jc w:val="both"/>
        <w:ind w:left="660" w:firstLine="645"/>
        <w:spacing w:after="0" w:line="257" w:lineRule="auto"/>
        <w:tabs>
          <w:tab w:leader="none" w:pos="1855"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Each Lender’s obligation to make Revolving Loans or to purchase and fund risk participations in Swing 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Lender’s obligation to make Revolving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the delivery by the applicable Borrower of a Loan Notice). No such purchase or funding of risk participations shall relieve or otherwise impair the obligation of the Borrowers to repay Swing Line Loans, together with interest as provided herein.</w:t>
      </w:r>
    </w:p>
    <w:p>
      <w:pPr>
        <w:spacing w:after="0" w:line="181" w:lineRule="exact"/>
        <w:rPr>
          <w:rFonts w:ascii="Arial" w:cs="Arial" w:eastAsia="Arial" w:hAnsi="Arial"/>
          <w:sz w:val="19"/>
          <w:szCs w:val="19"/>
          <w:color w:val="auto"/>
        </w:rPr>
      </w:pPr>
    </w:p>
    <w:p>
      <w:pPr>
        <w:ind w:left="1060" w:hanging="404"/>
        <w:spacing w:after="0"/>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63" w:lineRule="auto"/>
        <w:tabs>
          <w:tab w:leader="none" w:pos="1756" w:val="left"/>
        </w:tabs>
        <w:numPr>
          <w:ilvl w:val="1"/>
          <w:numId w:val="41"/>
        </w:numPr>
        <w:rPr>
          <w:rFonts w:ascii="Arial" w:cs="Arial" w:eastAsia="Arial" w:hAnsi="Arial"/>
          <w:sz w:val="19"/>
          <w:szCs w:val="19"/>
          <w:color w:val="auto"/>
        </w:rPr>
      </w:pPr>
      <w:r>
        <w:rPr>
          <w:rFonts w:ascii="Arial" w:cs="Arial" w:eastAsia="Arial" w:hAnsi="Arial"/>
          <w:sz w:val="19"/>
          <w:szCs w:val="19"/>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6" w:lineRule="exact"/>
        <w:rPr>
          <w:rFonts w:ascii="Arial" w:cs="Arial" w:eastAsia="Arial" w:hAnsi="Arial"/>
          <w:sz w:val="19"/>
          <w:szCs w:val="19"/>
          <w:color w:val="auto"/>
        </w:rPr>
      </w:pPr>
    </w:p>
    <w:p>
      <w:pPr>
        <w:jc w:val="both"/>
        <w:ind w:left="660" w:firstLine="645"/>
        <w:spacing w:after="0" w:line="243" w:lineRule="auto"/>
        <w:tabs>
          <w:tab w:leader="none" w:pos="1743"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0"/>
          <w:szCs w:val="20"/>
          <w:u w:val="single" w:color="auto"/>
          <w:color w:val="auto"/>
        </w:rPr>
        <w:t>Section 11.05</w:t>
      </w:r>
      <w:r>
        <w:rPr>
          <w:rFonts w:ascii="Arial" w:cs="Arial" w:eastAsia="Arial" w:hAnsi="Arial"/>
          <w:sz w:val="20"/>
          <w:szCs w:val="20"/>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93" w:lineRule="exact"/>
        <w:rPr>
          <w:rFonts w:ascii="Arial" w:cs="Arial" w:eastAsia="Arial" w:hAnsi="Arial"/>
          <w:sz w:val="20"/>
          <w:szCs w:val="20"/>
          <w:color w:val="auto"/>
        </w:rPr>
      </w:pPr>
    </w:p>
    <w:p>
      <w:pPr>
        <w:jc w:val="both"/>
        <w:ind w:firstLine="656"/>
        <w:spacing w:after="0" w:line="246" w:lineRule="auto"/>
        <w:tabs>
          <w:tab w:leader="none" w:pos="107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Borrowers for interest on the Swing Line Loans. Until each Lender funds its Revolving Loans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Lender’s Pro Rata Share of any Swing Line Loan, interest in respect of such Pro Rata Share shall be solely for the account of the Swing Line Lender.</w:t>
      </w:r>
    </w:p>
    <w:p>
      <w:pPr>
        <w:spacing w:after="0" w:line="191" w:lineRule="exact"/>
        <w:rPr>
          <w:rFonts w:ascii="Arial" w:cs="Arial" w:eastAsia="Arial" w:hAnsi="Arial"/>
          <w:sz w:val="20"/>
          <w:szCs w:val="20"/>
          <w:color w:val="auto"/>
        </w:rPr>
      </w:pPr>
    </w:p>
    <w:p>
      <w:pPr>
        <w:ind w:right="20" w:firstLine="656"/>
        <w:spacing w:after="0" w:line="260" w:lineRule="auto"/>
        <w:tabs>
          <w:tab w:leader="none" w:pos="102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6" w:right="239" w:bottom="1440" w:gutter="0" w:footer="0" w:header="0"/>
        </w:sectPr>
      </w:pPr>
    </w:p>
    <w:bookmarkStart w:id="52" w:name="page53"/>
    <w:bookmarkEnd w:id="52"/>
    <w:p>
      <w:pPr>
        <w:spacing w:after="0"/>
        <w:tabs>
          <w:tab w:leader="none" w:pos="52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Voluntary Prepayments of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68" w:lineRule="auto"/>
        <w:tabs>
          <w:tab w:leader="none" w:pos="174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A Borrower may, upon notice from such Borrower to the Administrative Agent, at any time or from time to time voluntarily prepay Revolving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in a form reasonably acceptable to the Administrative Agent and be received by the Administrative Agent not later than 11:00 a.m. (1) three Business Days prior to any date of prepayment of Eurocurrency Rate Loans denominated in Dollars, (2) four Business Days (or five, in the case of prepayment of Loans denominated in Special Notice Currencies) prior to any date of prepayment of Eurocurrency Rate Loans denominated in Alternative Currencies, and (3) on the date of prepayment of Base Rate Loans; (B) any such prepayment of Eurocurrency Rate Loans denominated in Dollars shall be in a principal amount of $1,000,000 or a whole multiple of $500,000 in excess thereof (or, if less, the entire principal amount thereof then outstanding); (C) any prepayment of Eurocurrency Rate Loans denominated in Alternative Currencies shall be in a principal amount of $1,000,000 or a whole multiple of $500,000 in excess thereof (or, if less, the entire principal amount thereof then outstanding) and (D)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Loans upon the consummation of replacement financing. Any prepayment of a Eurocurrency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each such prepayment shall be applied to the Loans of the Lenders in accordance with their respective Pro Rata Shares.</w:t>
      </w:r>
    </w:p>
    <w:p>
      <w:pPr>
        <w:spacing w:after="0" w:line="185" w:lineRule="exact"/>
        <w:rPr>
          <w:rFonts w:ascii="Arial" w:cs="Arial" w:eastAsia="Arial" w:hAnsi="Arial"/>
          <w:sz w:val="18"/>
          <w:szCs w:val="18"/>
          <w:color w:val="auto"/>
        </w:rPr>
      </w:pPr>
    </w:p>
    <w:p>
      <w:pPr>
        <w:jc w:val="both"/>
        <w:ind w:left="660" w:firstLine="645"/>
        <w:spacing w:after="0" w:line="273" w:lineRule="auto"/>
        <w:tabs>
          <w:tab w:leader="none" w:pos="174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A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Swing Line Loans upon the consummation of replacement financing.</w:t>
      </w:r>
    </w:p>
    <w:p>
      <w:pPr>
        <w:spacing w:after="0" w:line="169" w:lineRule="exact"/>
        <w:rPr>
          <w:rFonts w:ascii="Arial" w:cs="Arial" w:eastAsia="Arial" w:hAnsi="Arial"/>
          <w:sz w:val="18"/>
          <w:szCs w:val="18"/>
          <w:color w:val="auto"/>
        </w:rPr>
      </w:pPr>
    </w:p>
    <w:p>
      <w:pPr>
        <w:ind w:left="1060" w:hanging="404"/>
        <w:spacing w:after="0"/>
        <w:tabs>
          <w:tab w:leader="none" w:pos="10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Mandatory Prepayments of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91" w:lineRule="auto"/>
        <w:tabs>
          <w:tab w:leader="none" w:pos="1756"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Total Revolving Outstandings</w:t>
      </w:r>
      <w:r>
        <w:rPr>
          <w:rFonts w:ascii="Arial" w:cs="Arial" w:eastAsia="Arial" w:hAnsi="Arial"/>
          <w:sz w:val="18"/>
          <w:szCs w:val="18"/>
          <w:color w:val="auto"/>
        </w:rPr>
        <w:t>. If the Administrative Agent notifies the Company at any time that the Total Revolving Outstandings at such time exceed the Aggregate Revolving Commitments then in effect, then, within two Business Days after receipt of such notice, the Borrowers shall prepay Loans and/or the Borrowers shall Cash Collateralize the L/C Obligations 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6" w:right="239" w:bottom="1440" w:gutter="0" w:footer="0" w:header="0"/>
        </w:sectPr>
      </w:pPr>
    </w:p>
    <w:bookmarkStart w:id="53" w:name="page54"/>
    <w:bookmarkEnd w:id="53"/>
    <w:p>
      <w:pPr>
        <w:jc w:val="both"/>
        <w:ind w:left="660"/>
        <w:spacing w:after="0" w:line="246" w:lineRule="auto"/>
        <w:rPr>
          <w:sz w:val="20"/>
          <w:szCs w:val="20"/>
          <w:color w:val="auto"/>
        </w:rPr>
      </w:pPr>
      <w:r>
        <w:rPr>
          <w:rFonts w:ascii="Arial" w:cs="Arial" w:eastAsia="Arial" w:hAnsi="Arial"/>
          <w:sz w:val="20"/>
          <w:szCs w:val="20"/>
          <w:color w:val="auto"/>
        </w:rPr>
        <w:t xml:space="preserve">an aggregate amount sufficient to reduce such Outstanding Amount as of such date of payment to an amount not to exceed 100% of the Aggregate Revolving Commitments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Borrowers shall not be required to Cash Collateralize the L/C Obligations pursuant to this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unless after such prepayment of the Loans the Total Revolving Outstandings exceed the Aggregate Revolving Commitments then in effect.</w:t>
      </w:r>
    </w:p>
    <w:p>
      <w:pPr>
        <w:spacing w:after="0" w:line="192" w:lineRule="exact"/>
        <w:rPr>
          <w:sz w:val="20"/>
          <w:szCs w:val="20"/>
          <w:color w:val="auto"/>
        </w:rPr>
      </w:pPr>
    </w:p>
    <w:p>
      <w:pPr>
        <w:jc w:val="both"/>
        <w:ind w:left="660" w:firstLine="645"/>
        <w:spacing w:after="0" w:line="250" w:lineRule="auto"/>
        <w:tabs>
          <w:tab w:leader="none" w:pos="1743"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Application of Mandatory Prepayments</w:t>
      </w:r>
      <w:r>
        <w:rPr>
          <w:rFonts w:ascii="Arial" w:cs="Arial" w:eastAsia="Arial" w:hAnsi="Arial"/>
          <w:sz w:val="20"/>
          <w:szCs w:val="20"/>
          <w:color w:val="auto"/>
        </w:rPr>
        <w:t xml:space="preserve">. All amounts required to be paid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applied to Revolving Loans and Swing Line Loans and (after all Revolving Loans and all Swing Line Loans have been repaid) to Cash Collateralize L/C Obligations.</w:t>
      </w:r>
    </w:p>
    <w:p>
      <w:pPr>
        <w:spacing w:after="0" w:line="18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xml:space="preserve">Within the parameters of the applications set forth above, prepayments shall be applied first to Base Rate Loans and then to Eurocurrency Rate Loans in direct order of Interest Period maturities. All prepayments under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but otherwise without premium or penalty, and shall be accompanied by interest on the principal amount prepaid through the date of prepayment.</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u w:val="single" w:color="auto"/>
          <w:color w:val="auto"/>
        </w:rPr>
        <w:t>Termination or Reduction of Aggregate Revolving Commitments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(it being understood that such termination may be conditioned upon the consummation of replacement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12:00 noon five (5) Business Days prior to the date of termination or reduction, (ii) any such partial reduction shall be in an aggregate amount of $2,000,000 or any whole multiple of $1,000,000 in excess thereof and (iii) if, after giving effect to any reduction or termination of the Aggregate Revolving Commitments, the Letter of Credit Sublimit or the Swing Line Sublimit exceeds the amount of the Aggregate Revolving Commitments, such sublimit shall be automatically reduced by the amount of such excess (which sublimits shall, subject to the approval (not to be unreasonably withheld or delayed) of the L/C Issuer or Swing Line Lender, as applicable, be increased in the event of any increase in the Aggregate Revolving Commitment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in an amount not to exceed the lesser of (i) the initial amounts of such sublimits as in effect on the Closing Date and (ii) the amount of such increase in the Aggregate Revolving Commitment). The Administrative Agent will promptly notify the Lenders of any such notice of termination or reduction of the Aggregate Revolving Commitments. The amount of any such Aggregate Revolving Commitment reduction shall not be applied to the Letter of Credit Sublimit unless otherwise specified by the Company. Any reduction of the Aggregate Revolving Commitments shall be applied to the Revolving Commitment of each Lender according to its Pro Rata Share. All fees accrued with respect thereto until the effective date of any termination of the Aggregate Revolving Commitments shall be paid on the effective date of such termination. If the Aggregate Revolving Commitments terminate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the Borrowers have paid all amounts payable hereunder and under the other Loan Documents (other than contingent indemnification and similar obligations not yet due and obligations that are Cash Collateralized), then this Agreement shall terminate (except for provisions hereof that survive termination hereof).</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16" w:lineRule="exact"/>
        <w:rPr>
          <w:sz w:val="20"/>
          <w:szCs w:val="20"/>
          <w:color w:val="auto"/>
        </w:rPr>
      </w:pPr>
    </w:p>
    <w:p>
      <w:pPr>
        <w:ind w:firstLine="656"/>
        <w:spacing w:after="0" w:line="260" w:lineRule="auto"/>
        <w:tabs>
          <w:tab w:leader="none" w:pos="104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Borrowers shall repay to the Lenders on the Maturity Date the aggregate principal amount of all Revolving Loans outstanding on such date.</w:t>
      </w:r>
    </w:p>
    <w:p>
      <w:pPr>
        <w:spacing w:after="0" w:line="176" w:lineRule="exact"/>
        <w:rPr>
          <w:rFonts w:ascii="Arial" w:cs="Arial" w:eastAsia="Arial" w:hAnsi="Arial"/>
          <w:sz w:val="20"/>
          <w:szCs w:val="20"/>
          <w:color w:val="auto"/>
        </w:rPr>
      </w:pPr>
    </w:p>
    <w:p>
      <w:pPr>
        <w:ind w:firstLine="656"/>
        <w:spacing w:after="0" w:line="260" w:lineRule="auto"/>
        <w:tabs>
          <w:tab w:leader="none" w:pos="1059"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The Borrowers shall repay each Swing Line Loan on the earlier to occur of (i) the date ten Business Days after such Swing Line Loan is made and (ii) the Maturity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6" w:right="239" w:bottom="1440" w:gutter="0" w:footer="0" w:header="0"/>
        </w:sectPr>
      </w:pPr>
    </w:p>
    <w:bookmarkStart w:id="54" w:name="page55"/>
    <w:bookmarkEnd w:id="54"/>
    <w:p>
      <w:pPr>
        <w:spacing w:after="0"/>
        <w:tabs>
          <w:tab w:leader="none" w:pos="52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3" w:lineRule="auto"/>
        <w:tabs>
          <w:tab w:leader="none" w:pos="1061"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Subject to the provisions of subsection (b) below, (i) each Eurocurrency Rate Loan shall bear interest on the outstanding principal amount thereof for each Interest Period at a rate per annum equal to the sum of the Eurocurrency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(ii) each Base Rate Loan shall bear interest on the outstanding principal amount thereof from the applicable borrowing date at a rate per annum equal to the sum of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Applicable Rate; and (iii) each Swing Line Loan shall bear interest on the outstanding principal amount thereof from the applicable borrowing date at a rate per annum equal to the sum of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Applicable Rate.</w:t>
      </w:r>
    </w:p>
    <w:p>
      <w:pPr>
        <w:spacing w:after="0" w:line="196" w:lineRule="exact"/>
        <w:rPr>
          <w:rFonts w:ascii="Arial" w:cs="Arial" w:eastAsia="Arial" w:hAnsi="Arial"/>
          <w:sz w:val="20"/>
          <w:szCs w:val="20"/>
          <w:color w:val="auto"/>
        </w:rPr>
      </w:pPr>
    </w:p>
    <w:p>
      <w:pPr>
        <w:jc w:val="both"/>
        <w:ind w:left="660" w:right="20" w:hanging="4"/>
        <w:spacing w:after="0" w:line="250" w:lineRule="auto"/>
        <w:tabs>
          <w:tab w:leader="none" w:pos="1125"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If any amount of principal of any Loan is not paid when due (without regard to any applicable grace periods), whether at stated maturity, by acceleration or otherwise, then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757" w:val="left"/>
        </w:tabs>
        <w:numPr>
          <w:ilvl w:val="1"/>
          <w:numId w:val="45"/>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91" w:lineRule="exact"/>
        <w:rPr>
          <w:rFonts w:ascii="Arial" w:cs="Arial" w:eastAsia="Arial" w:hAnsi="Arial"/>
          <w:sz w:val="20"/>
          <w:szCs w:val="20"/>
          <w:color w:val="auto"/>
        </w:rPr>
      </w:pPr>
    </w:p>
    <w:p>
      <w:pPr>
        <w:jc w:val="both"/>
        <w:ind w:left="660" w:firstLine="645"/>
        <w:spacing w:after="0" w:line="269" w:lineRule="auto"/>
        <w:tabs>
          <w:tab w:leader="none" w:pos="1799" w:val="left"/>
        </w:tabs>
        <w:numPr>
          <w:ilvl w:val="1"/>
          <w:numId w:val="45"/>
        </w:numPr>
        <w:rPr>
          <w:rFonts w:ascii="Arial" w:cs="Arial" w:eastAsia="Arial" w:hAnsi="Arial"/>
          <w:sz w:val="19"/>
          <w:szCs w:val="19"/>
          <w:color w:val="auto"/>
        </w:rPr>
      </w:pPr>
      <w:r>
        <w:rPr>
          <w:rFonts w:ascii="Arial" w:cs="Arial" w:eastAsia="Arial" w:hAnsi="Arial"/>
          <w:sz w:val="19"/>
          <w:szCs w:val="19"/>
          <w:color w:val="auto"/>
        </w:rPr>
        <w:t>Upon the request of the Required Lenders, while any Event of Default exists (other than as set forth in clauses (b)(i) and (b)(ii) above), the Borrowers shall pay interest on the principal amount of all outstanding Obligations hereunder at a fluctuating interest rate per annum at all times equal to the Default Rate to the fullest extent permitted by applicable Laws.</w:t>
      </w:r>
    </w:p>
    <w:p>
      <w:pPr>
        <w:spacing w:after="0" w:line="170" w:lineRule="exact"/>
        <w:rPr>
          <w:rFonts w:ascii="Arial" w:cs="Arial" w:eastAsia="Arial" w:hAnsi="Arial"/>
          <w:sz w:val="19"/>
          <w:szCs w:val="19"/>
          <w:color w:val="auto"/>
        </w:rPr>
      </w:pPr>
    </w:p>
    <w:p>
      <w:pPr>
        <w:ind w:left="660" w:firstLine="645"/>
        <w:spacing w:after="0" w:line="260" w:lineRule="auto"/>
        <w:tabs>
          <w:tab w:leader="none" w:pos="1801" w:val="left"/>
        </w:tabs>
        <w:numPr>
          <w:ilvl w:val="1"/>
          <w:numId w:val="45"/>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 to the fullest extent permitted by applicable Laws.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addition to certain fees described in subsections (h) and (i)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6" w:lineRule="auto"/>
        <w:tabs>
          <w:tab w:leader="none" w:pos="106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Company shall pay to the Administrative Agent, for the account of each Lender in accordance with its Pro Rata Share, a commitment fee in Dollars equal to the product of (A)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(B) the actual daily amount by which the Aggregate Revolving Commitments exceed the sum of (1) the Outstanding Amount of Revolving Loans and (2) the Outstanding Amount of L/C Obligations,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Such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Such commitment fee shall be calculated quarterly in arrears, and if there is any change in the Applicable Rate during any quarter, the actual daily amount shall be computed and multiplied by the Applicable Rate separately for each period during such quarter that such Applicable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6" w:right="239" w:bottom="1440" w:gutter="0" w:footer="0" w:header="0"/>
        </w:sectPr>
      </w:pPr>
    </w:p>
    <w:bookmarkStart w:id="55" w:name="page56"/>
    <w:bookmarkEnd w:id="55"/>
    <w:p>
      <w:pPr>
        <w:spacing w:after="0" w:line="260" w:lineRule="auto"/>
        <w:rPr>
          <w:sz w:val="20"/>
          <w:szCs w:val="20"/>
          <w:color w:val="auto"/>
        </w:rPr>
      </w:pPr>
      <w:r>
        <w:rPr>
          <w:rFonts w:ascii="Arial" w:cs="Arial" w:eastAsia="Arial" w:hAnsi="Arial"/>
          <w:sz w:val="20"/>
          <w:szCs w:val="20"/>
          <w:color w:val="auto"/>
        </w:rPr>
        <w:t>Rate was in effect. For purposes of clarification, Swing Line Loans shall not be considered outstanding for purposes of determining the unused portion of the Aggregate Revolving Commitments.</w:t>
      </w:r>
    </w:p>
    <w:p>
      <w:pPr>
        <w:spacing w:after="0" w:line="177" w:lineRule="exact"/>
        <w:rPr>
          <w:sz w:val="20"/>
          <w:szCs w:val="20"/>
          <w:color w:val="auto"/>
        </w:rPr>
      </w:pPr>
    </w:p>
    <w:p>
      <w:pPr>
        <w:ind w:left="1060" w:hanging="404"/>
        <w:spacing w:after="0"/>
        <w:tabs>
          <w:tab w:leader="none" w:pos="106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77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Company shall pay to BMO Capital Markets and the Administrative Agent for their own respective accounts, in Dollars, fees in the amounts and at the times specified in the Fee Letter. Such fees shall be fully earned when paid and shall be non-refundable for any reason whatsoever.</w:t>
      </w:r>
    </w:p>
    <w:p>
      <w:pPr>
        <w:spacing w:after="0" w:line="186" w:lineRule="exact"/>
        <w:rPr>
          <w:rFonts w:ascii="Arial" w:cs="Arial" w:eastAsia="Arial" w:hAnsi="Arial"/>
          <w:sz w:val="20"/>
          <w:szCs w:val="20"/>
          <w:color w:val="auto"/>
        </w:rPr>
      </w:pPr>
    </w:p>
    <w:p>
      <w:pPr>
        <w:ind w:left="660" w:firstLine="645"/>
        <w:spacing w:after="0" w:line="316" w:lineRule="auto"/>
        <w:tabs>
          <w:tab w:leader="none" w:pos="1743"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demonstrable error.</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5" w:lineRule="auto"/>
        <w:tabs>
          <w:tab w:leader="none" w:pos="1088"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demonstrable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demonstrable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9"/>
          <w:szCs w:val="19"/>
          <w:u w:val="single" w:color="auto"/>
          <w:color w:val="auto"/>
        </w:rPr>
        <w:t>Exhibit 2.11</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Note</w:t>
      </w:r>
      <w:r>
        <w:rPr>
          <w:rFonts w:ascii="Arial" w:cs="Arial" w:eastAsia="Arial" w:hAnsi="Arial"/>
          <w:sz w:val="19"/>
          <w:szCs w:val="19"/>
          <w:color w:val="auto"/>
        </w:rPr>
        <w:t>”). Each Lender may attach schedules to its Note and endorse thereon the date, Type (if applicable), amount, currency and maturity of its Loans and payments with respect thereto.</w:t>
      </w:r>
    </w:p>
    <w:p>
      <w:pPr>
        <w:spacing w:after="0" w:line="187" w:lineRule="exact"/>
        <w:rPr>
          <w:rFonts w:ascii="Arial" w:cs="Arial" w:eastAsia="Arial" w:hAnsi="Arial"/>
          <w:sz w:val="19"/>
          <w:szCs w:val="19"/>
          <w:color w:val="auto"/>
        </w:rPr>
      </w:pPr>
    </w:p>
    <w:p>
      <w:pPr>
        <w:jc w:val="both"/>
        <w:ind w:firstLine="656"/>
        <w:spacing w:after="0" w:line="291" w:lineRule="auto"/>
        <w:tabs>
          <w:tab w:leader="none" w:pos="108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6" w:right="239" w:bottom="1440" w:gutter="0" w:footer="0" w:header="0"/>
        </w:sectPr>
      </w:pPr>
    </w:p>
    <w:bookmarkStart w:id="56" w:name="page57"/>
    <w:bookmarkEnd w:id="56"/>
    <w:p>
      <w:pPr>
        <w:spacing w:after="0" w:line="260" w:lineRule="auto"/>
        <w:rPr>
          <w:sz w:val="20"/>
          <w:szCs w:val="20"/>
          <w:color w:val="auto"/>
        </w:rPr>
      </w:pPr>
      <w:r>
        <w:rPr>
          <w:rFonts w:ascii="Arial" w:cs="Arial" w:eastAsia="Arial" w:hAnsi="Arial"/>
          <w:sz w:val="20"/>
          <w:szCs w:val="20"/>
          <w:color w:val="auto"/>
        </w:rPr>
        <w:t>accounts and records of any Lender in respect of such matters, the accounts and records of the Administrative Agent shall control in the absence of demonstrable error.</w:t>
      </w:r>
    </w:p>
    <w:p>
      <w:pPr>
        <w:spacing w:after="0" w:line="39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8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or any such payment would result in adverse consequences to any Borrower,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2" w:lineRule="exact"/>
        <w:rPr>
          <w:rFonts w:ascii="Arial" w:cs="Arial" w:eastAsia="Arial" w:hAnsi="Arial"/>
          <w:sz w:val="18"/>
          <w:szCs w:val="18"/>
          <w:color w:val="auto"/>
        </w:rPr>
      </w:pPr>
    </w:p>
    <w:p>
      <w:pPr>
        <w:jc w:val="both"/>
        <w:ind w:left="660" w:hanging="4"/>
        <w:spacing w:after="0" w:line="270" w:lineRule="auto"/>
        <w:tabs>
          <w:tab w:leader="none" w:pos="10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6" w:right="239" w:bottom="1440" w:gutter="0" w:footer="0" w:header="0"/>
        </w:sectPr>
      </w:pPr>
    </w:p>
    <w:bookmarkStart w:id="57" w:name="page58"/>
    <w:bookmarkEnd w:id="57"/>
    <w:p>
      <w:pPr>
        <w:jc w:val="both"/>
        <w:ind w:left="660"/>
        <w:spacing w:after="0" w:line="263" w:lineRule="auto"/>
        <w:rPr>
          <w:sz w:val="20"/>
          <w:szCs w:val="20"/>
          <w:color w:val="auto"/>
        </w:rPr>
      </w:pPr>
      <w:r>
        <w:rPr>
          <w:rFonts w:ascii="Arial" w:cs="Arial" w:eastAsia="Arial" w:hAnsi="Arial"/>
          <w:sz w:val="19"/>
          <w:szCs w:val="19"/>
          <w:color w:val="auto"/>
        </w:rPr>
        <w:t>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77" w:lineRule="exact"/>
        <w:rPr>
          <w:sz w:val="20"/>
          <w:szCs w:val="20"/>
          <w:color w:val="auto"/>
        </w:rPr>
      </w:pPr>
    </w:p>
    <w:p>
      <w:pPr>
        <w:jc w:val="both"/>
        <w:ind w:left="660" w:firstLine="645"/>
        <w:spacing w:after="0" w:line="273" w:lineRule="auto"/>
        <w:tabs>
          <w:tab w:leader="none" w:pos="183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 by Administrative Agent</w:t>
      </w:r>
      <w:r>
        <w:rPr>
          <w:rFonts w:ascii="Arial" w:cs="Arial" w:eastAsia="Arial" w:hAnsi="Arial"/>
          <w:sz w:val="18"/>
          <w:szCs w:val="18"/>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69" w:lineRule="exact"/>
        <w:rPr>
          <w:rFonts w:ascii="Arial" w:cs="Arial" w:eastAsia="Arial" w:hAnsi="Arial"/>
          <w:sz w:val="18"/>
          <w:szCs w:val="18"/>
          <w:color w:val="auto"/>
        </w:rPr>
      </w:pPr>
    </w:p>
    <w:p>
      <w:pPr>
        <w:ind w:left="660" w:firstLine="645"/>
        <w:spacing w:after="0" w:line="260" w:lineRule="auto"/>
        <w:tabs>
          <w:tab w:leader="none" w:pos="1826"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 notice of the Administrative Agent to any Lender or any Borrower with respect to any amount owing under this subsection (b) shall be conclusive, absent demonstrable error.</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04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and such funds are not made available to the applicable Borrower by the Administrative Agent because the conditions to the applicable Credit Extension set forth in Article V are not satisfied or waived in accordance with the terms hereof, the Administrative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656"/>
        <w:spacing w:after="0" w:line="260" w:lineRule="auto"/>
        <w:tabs>
          <w:tab w:leader="none" w:pos="11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Swing Line Loans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04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as provided herein, then the Lender receiving such greater proportion shall (a) notify the Administrative Agent of such fact, and (b) purchase (for cash at face value) participations in the Loans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6" w:right="2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0"/>
          <w:szCs w:val="20"/>
          <w:color w:val="auto"/>
        </w:rPr>
        <w:t>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186" w:lineRule="exact"/>
        <w:rPr>
          <w:sz w:val="20"/>
          <w:szCs w:val="20"/>
          <w:color w:val="auto"/>
        </w:rPr>
      </w:pPr>
    </w:p>
    <w:p>
      <w:pPr>
        <w:jc w:val="both"/>
        <w:ind w:left="660" w:firstLine="645"/>
        <w:spacing w:after="0" w:line="250" w:lineRule="auto"/>
        <w:tabs>
          <w:tab w:leader="none" w:pos="1729"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6" w:lineRule="exact"/>
        <w:rPr>
          <w:rFonts w:ascii="Arial" w:cs="Arial" w:eastAsia="Arial" w:hAnsi="Arial"/>
          <w:sz w:val="20"/>
          <w:szCs w:val="20"/>
          <w:color w:val="auto"/>
        </w:rPr>
      </w:pPr>
    </w:p>
    <w:p>
      <w:pPr>
        <w:jc w:val="both"/>
        <w:ind w:left="660" w:firstLine="645"/>
        <w:spacing w:after="0" w:line="243" w:lineRule="auto"/>
        <w:tabs>
          <w:tab w:leader="none" w:pos="1770"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(A) any payment made by or on behalf of a Loan Party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20"/>
          <w:szCs w:val="20"/>
          <w:u w:val="single" w:color="auto"/>
          <w:color w:val="auto"/>
        </w:rPr>
        <w:t>Section 2.15</w:t>
      </w:r>
      <w:r>
        <w:rPr>
          <w:rFonts w:ascii="Arial" w:cs="Arial" w:eastAsia="Arial" w:hAnsi="Arial"/>
          <w:sz w:val="20"/>
          <w:szCs w:val="20"/>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Designated Borrowers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56"/>
        <w:spacing w:after="0" w:line="250" w:lineRule="auto"/>
        <w:tabs>
          <w:tab w:leader="none" w:pos="1102" w:val="left"/>
        </w:tabs>
        <w:numPr>
          <w:ilvl w:val="0"/>
          <w:numId w:val="53"/>
        </w:numPr>
        <w:rPr>
          <w:rFonts w:ascii="Arial" w:cs="Arial" w:eastAsia="Arial" w:hAnsi="Arial"/>
          <w:sz w:val="20"/>
          <w:szCs w:val="20"/>
          <w:color w:val="auto"/>
        </w:rPr>
      </w:pPr>
      <w:r>
        <w:rPr>
          <w:rFonts w:ascii="Arial" w:cs="Arial" w:eastAsia="Arial" w:hAnsi="Arial"/>
          <w:sz w:val="20"/>
          <w:szCs w:val="20"/>
          <w:color w:val="auto"/>
        </w:rPr>
        <w:t>Effective as of the Closing Date, each of Brady Worldwide, Inc., a Wisconsin corporation (“</w:t>
      </w:r>
      <w:r>
        <w:rPr>
          <w:rFonts w:ascii="Arial" w:cs="Arial" w:eastAsia="Arial" w:hAnsi="Arial"/>
          <w:sz w:val="20"/>
          <w:szCs w:val="20"/>
          <w:u w:val="single" w:color="auto"/>
          <w:color w:val="auto"/>
        </w:rPr>
        <w:t>Worldwide</w:t>
      </w:r>
      <w:r>
        <w:rPr>
          <w:rFonts w:ascii="Arial" w:cs="Arial" w:eastAsia="Arial" w:hAnsi="Arial"/>
          <w:sz w:val="20"/>
          <w:szCs w:val="20"/>
          <w:color w:val="auto"/>
        </w:rPr>
        <w:t>”), Tricor Direct, Inc., a Delaware corporation (“</w:t>
      </w:r>
      <w:r>
        <w:rPr>
          <w:rFonts w:ascii="Arial" w:cs="Arial" w:eastAsia="Arial" w:hAnsi="Arial"/>
          <w:sz w:val="20"/>
          <w:szCs w:val="20"/>
          <w:u w:val="single" w:color="auto"/>
          <w:color w:val="auto"/>
        </w:rPr>
        <w:t>Tricor</w:t>
      </w:r>
      <w:r>
        <w:rPr>
          <w:rFonts w:ascii="Arial" w:cs="Arial" w:eastAsia="Arial" w:hAnsi="Arial"/>
          <w:sz w:val="20"/>
          <w:szCs w:val="20"/>
          <w:color w:val="auto"/>
        </w:rPr>
        <w:t>”), Brady Finance Luxembourg and Brady SARL shall be a “Designated Borrower” hereunder and may receive Loans for its account on the terms and conditions set forth in this Agreement.</w:t>
      </w:r>
    </w:p>
    <w:p>
      <w:pPr>
        <w:spacing w:after="0" w:line="186" w:lineRule="exact"/>
        <w:rPr>
          <w:rFonts w:ascii="Arial" w:cs="Arial" w:eastAsia="Arial" w:hAnsi="Arial"/>
          <w:sz w:val="20"/>
          <w:szCs w:val="20"/>
          <w:color w:val="auto"/>
        </w:rPr>
      </w:pPr>
    </w:p>
    <w:p>
      <w:pPr>
        <w:jc w:val="both"/>
        <w:ind w:firstLine="656"/>
        <w:spacing w:after="0" w:line="269" w:lineRule="auto"/>
        <w:tabs>
          <w:tab w:leader="none" w:pos="10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may at any time, upon not less than 15 Business Days’ notice from the Company to the Administrative Agent (or such shorter period as may be agreed by the Administrative Agent in its sole discretion), request the designation of any Wholly Owned Subsidiary of the Company that is not an Excluded Subsidiary (an “</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as a Designated Borrower to receive Loans and Letters of Credit hereunder by delivering to the Administrative Agent (which shall promptly deliver copies thereof to each Lender) a duly executed notice in substantially the form of </w:t>
      </w:r>
      <w:r>
        <w:rPr>
          <w:rFonts w:ascii="Arial" w:cs="Arial" w:eastAsia="Arial" w:hAnsi="Arial"/>
          <w:sz w:val="18"/>
          <w:szCs w:val="18"/>
          <w:u w:val="single" w:color="auto"/>
          <w:color w:val="auto"/>
        </w:rPr>
        <w:t>Exhibit 2.14(a)</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Request</w:t>
      </w:r>
      <w:r>
        <w:rPr>
          <w:rFonts w:ascii="Arial" w:cs="Arial" w:eastAsia="Arial" w:hAnsi="Arial"/>
          <w:sz w:val="18"/>
          <w:szCs w:val="18"/>
          <w:color w:val="auto"/>
        </w:rPr>
        <w:t xml:space="preserve">”). If (i) in the case of a Foreign Subsidiary, the Administrative Agent and the Lenders, and (ii) in the case of a Domestic Subsidiary, the Administrative Agent and the Required Lenders, agree (which agreement shall not be unreasonably withheld or delayed) that an Applicant Borrower shall be entitled to receive Loans hereunder, then the Administrative Agent and the Lenders, or the Required Lenders, as applicable, shall send an agreement in substantially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Joinder Agreement</w:t>
      </w:r>
      <w:r>
        <w:rPr>
          <w:rFonts w:ascii="Arial" w:cs="Arial" w:eastAsia="Arial" w:hAnsi="Arial"/>
          <w:sz w:val="18"/>
          <w:szCs w:val="18"/>
          <w:color w:val="auto"/>
        </w:rPr>
        <w:t>”) to the Company specifying, if such Applicant Borrower is a Foreign Subsidiary, the additional terms and conditions applicable to extensions of credit to such Applicant Borrower. Upon the execution of such Designated Borrower Joinder Agreement by the Company, such Applicant Borrower and the Administrative Agent and the satisfaction of the conditions applicable to extensions of credit set forth in the Designated Borrower Joinder Agreement, such Applicant Borrower shall be a Designated Borrower and permitted to receive Loans hereunder, on the terms and conditions set forth herein and therein, and such Applicant Borrower otherwise shall be a Borrower for all purposes of this Agreement. The parties hereto acknowledge and agree that prior to any Designated Borrower becoming entitled to utilize the credit facility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6" w:right="239" w:bottom="1440" w:gutter="0" w:footer="0" w:header="0"/>
        </w:sectPr>
      </w:pPr>
    </w:p>
    <w:bookmarkStart w:id="59" w:name="page60"/>
    <w:bookmarkEnd w:id="59"/>
    <w:p>
      <w:pPr>
        <w:jc w:val="both"/>
        <w:spacing w:after="0" w:line="250" w:lineRule="auto"/>
        <w:rPr>
          <w:sz w:val="20"/>
          <w:szCs w:val="20"/>
          <w:color w:val="auto"/>
        </w:rPr>
      </w:pPr>
      <w:r>
        <w:rPr>
          <w:rFonts w:ascii="Arial" w:cs="Arial" w:eastAsia="Arial" w:hAnsi="Arial"/>
          <w:sz w:val="20"/>
          <w:szCs w:val="20"/>
          <w:color w:val="auto"/>
        </w:rPr>
        <w:t>provided for in this Agreement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w:t>
      </w:r>
    </w:p>
    <w:p>
      <w:pPr>
        <w:spacing w:after="0" w:line="186" w:lineRule="exact"/>
        <w:rPr>
          <w:sz w:val="20"/>
          <w:szCs w:val="20"/>
          <w:color w:val="auto"/>
        </w:rPr>
      </w:pPr>
    </w:p>
    <w:p>
      <w:pPr>
        <w:ind w:firstLine="656"/>
        <w:spacing w:after="0" w:line="260" w:lineRule="auto"/>
        <w:tabs>
          <w:tab w:leader="none" w:pos="1156"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Obligations of the Domestic Borrowers shall be joint and several in nature. The Obligations of each of the Designated Borrowers that is a Foreign Subsidiary shall be several in nature.</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113"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Each Subsidiary of the Company that is or becomes a “Designated Borrower”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(notwithstanding anything herein to the contrary, upon request of the Company, any Designated Borrower may receive the proceeds of any Loans made to it by the Lenders).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communication is directed to a specific Designated Borrower, it shall indicate to which Designated Borrower it is directed.</w:t>
      </w:r>
    </w:p>
    <w:p>
      <w:pPr>
        <w:spacing w:after="0" w:line="187" w:lineRule="exact"/>
        <w:rPr>
          <w:rFonts w:ascii="Arial" w:cs="Arial" w:eastAsia="Arial" w:hAnsi="Arial"/>
          <w:sz w:val="19"/>
          <w:szCs w:val="19"/>
          <w:color w:val="auto"/>
        </w:rPr>
      </w:pPr>
    </w:p>
    <w:p>
      <w:pPr>
        <w:jc w:val="both"/>
        <w:ind w:firstLine="656"/>
        <w:spacing w:after="0" w:line="243" w:lineRule="auto"/>
        <w:tabs>
          <w:tab w:leader="none" w:pos="1129"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Company is not required to cause any Subsidiary to become a party to this Agreement as a Designated Borrower and no Designated Borrower that is a Foreign Subsidiary shall be required to guarantee the Obligations. 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are no outstanding Loans or L/C Obligations payable by such Designated Borrower, or other amounts payable by such Designated Borrower on account of any Credit Extensions made to it, as of the effective date of such termination. The Administrative Agent will promptly notify the Lenders of any such termination of a Designated Borrower’s status.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8" w:lineRule="auto"/>
        <w:tabs>
          <w:tab w:leader="none" w:pos="1061"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applicable Borrower shall be required to provide Cash Collateral pursuant to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xml:space="preserve"> or (iv) there shall exist a Defaulting Lender, the applicable Borrower shall immediately (in the case of clause (iii) above) or within one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2.16(b)</w:t>
      </w:r>
      <w:r>
        <w:rPr>
          <w:rFonts w:ascii="Arial" w:cs="Arial" w:eastAsia="Arial" w:hAnsi="Arial"/>
          <w:sz w:val="19"/>
          <w:szCs w:val="19"/>
          <w:color w:val="auto"/>
        </w:rPr>
        <w:t xml:space="preserve"> and any Cash Collateral provided by the Defaulting Lender).</w:t>
      </w:r>
    </w:p>
    <w:p>
      <w:pPr>
        <w:spacing w:after="0" w:line="179" w:lineRule="exact"/>
        <w:rPr>
          <w:rFonts w:ascii="Arial" w:cs="Arial" w:eastAsia="Arial" w:hAnsi="Arial"/>
          <w:sz w:val="19"/>
          <w:szCs w:val="19"/>
          <w:color w:val="auto"/>
        </w:rPr>
      </w:pPr>
    </w:p>
    <w:p>
      <w:pPr>
        <w:jc w:val="both"/>
        <w:ind w:firstLine="656"/>
        <w:spacing w:after="0" w:line="291" w:lineRule="auto"/>
        <w:tabs>
          <w:tab w:leader="none" w:pos="108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6" w:right="239" w:bottom="1440" w:gutter="0" w:footer="0" w:header="0"/>
        </w:sectPr>
      </w:pPr>
    </w:p>
    <w:bookmarkStart w:id="60" w:name="page61"/>
    <w:bookmarkEnd w:id="60"/>
    <w:p>
      <w:pPr>
        <w:jc w:val="both"/>
        <w:spacing w:after="0" w:line="256" w:lineRule="auto"/>
        <w:rPr>
          <w:sz w:val="20"/>
          <w:szCs w:val="20"/>
          <w:color w:val="auto"/>
        </w:rPr>
      </w:pPr>
      <w:r>
        <w:rPr>
          <w:rFonts w:ascii="Arial" w:cs="Arial" w:eastAsia="Arial" w:hAnsi="Arial"/>
          <w:sz w:val="19"/>
          <w:szCs w:val="19"/>
          <w:color w:val="auto"/>
        </w:rPr>
        <w:t xml:space="preserve">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Arial" w:cs="Arial" w:eastAsia="Arial" w:hAnsi="Arial"/>
          <w:sz w:val="19"/>
          <w:szCs w:val="19"/>
          <w:u w:val="single" w:color="auto"/>
          <w:color w:val="auto"/>
        </w:rPr>
        <w:t>Section 7.08(a)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7.08(h)</w:t>
      </w:r>
      <w:r>
        <w:rPr>
          <w:rFonts w:ascii="Arial" w:cs="Arial" w:eastAsia="Arial" w:hAnsi="Arial"/>
          <w:sz w:val="19"/>
          <w:szCs w:val="19"/>
          <w:color w:val="auto"/>
        </w:rPr>
        <w:t>), or that the total amount of such Cash Collateral is less than the Minimum Collateral Amount, the applicable Borrower or the relevant Defaulting Lender will, promptly upon demand by the Administrative Agent (which demand shall include a reasonably detailed accounting of the amount so demanded), pay or provide to the Administrative Agent additional Cash Collateral in an amount sufficient to eliminate such deficiency. All Cash Collateral (other than credit support not constituting funds subject to deposit) shall be maintained in one or more Controlled Accounts at BMO. The applicable Borrower or the relevant Defaulting Lender shall pay promptly on demand therefor from time to time all customary account opening, activity and other administrative fees and charges in connection with the maintenance and disbursement of Cash Collateral.</w:t>
      </w:r>
    </w:p>
    <w:p>
      <w:pPr>
        <w:spacing w:after="0" w:line="181" w:lineRule="exact"/>
        <w:rPr>
          <w:sz w:val="20"/>
          <w:szCs w:val="20"/>
          <w:color w:val="auto"/>
        </w:rPr>
      </w:pPr>
    </w:p>
    <w:p>
      <w:pPr>
        <w:jc w:val="both"/>
        <w:ind w:firstLine="656"/>
        <w:spacing w:after="0" w:line="244" w:lineRule="auto"/>
        <w:tabs>
          <w:tab w:leader="none" w:pos="1102"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9.02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94" w:lineRule="exact"/>
        <w:rPr>
          <w:rFonts w:ascii="Arial" w:cs="Arial" w:eastAsia="Arial" w:hAnsi="Arial"/>
          <w:sz w:val="20"/>
          <w:szCs w:val="20"/>
          <w:color w:val="auto"/>
        </w:rPr>
      </w:pPr>
    </w:p>
    <w:p>
      <w:pPr>
        <w:jc w:val="both"/>
        <w:ind w:firstLine="656"/>
        <w:spacing w:after="0" w:line="273" w:lineRule="auto"/>
        <w:tabs>
          <w:tab w:leader="none" w:pos="108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11.06(b)(vi))</w:t>
      </w:r>
      <w:r>
        <w:rPr>
          <w:rFonts w:ascii="Arial" w:cs="Arial" w:eastAsia="Arial" w:hAnsi="Arial"/>
          <w:sz w:val="18"/>
          <w:szCs w:val="18"/>
          <w:color w:val="auto"/>
        </w:rPr>
        <w:t xml:space="preserve">) or (ii) the good faith determination by the Administrative Agent and, to the extent the Cash Collateral was provided for the benefit of the L/C Issuer, the L/C Issuer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316" w:lineRule="auto"/>
        <w:tabs>
          <w:tab w:leader="none" w:pos="107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130" w:lineRule="exact"/>
        <w:rPr>
          <w:rFonts w:ascii="Arial" w:cs="Arial" w:eastAsia="Arial" w:hAnsi="Arial"/>
          <w:sz w:val="18"/>
          <w:szCs w:val="18"/>
          <w:color w:val="auto"/>
        </w:rPr>
      </w:pPr>
    </w:p>
    <w:p>
      <w:pPr>
        <w:ind w:left="660" w:firstLine="645"/>
        <w:spacing w:after="0" w:line="287" w:lineRule="auto"/>
        <w:tabs>
          <w:tab w:leader="none" w:pos="1729"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left="660" w:firstLine="645"/>
        <w:spacing w:after="0" w:line="244" w:lineRule="auto"/>
        <w:tabs>
          <w:tab w:leader="none" w:pos="1797"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Defaulting Lender Waterfall</w:t>
      </w:r>
      <w:r>
        <w:rPr>
          <w:rFonts w:ascii="Arial" w:cs="Arial" w:eastAsia="Arial" w:hAnsi="Arial"/>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or otherwise) or received by the Administrative Agent from a Defaulting Lender pursuant to </w:t>
      </w:r>
      <w:r>
        <w:rPr>
          <w:rFonts w:ascii="Arial" w:cs="Arial" w:eastAsia="Arial" w:hAnsi="Arial"/>
          <w:sz w:val="20"/>
          <w:szCs w:val="20"/>
          <w:u w:val="single" w:color="auto"/>
          <w:color w:val="auto"/>
        </w:rPr>
        <w:t>Section 11.08</w:t>
      </w:r>
      <w:r>
        <w:rPr>
          <w:rFonts w:ascii="Arial" w:cs="Arial" w:eastAsia="Arial" w:hAnsi="Arial"/>
          <w:sz w:val="20"/>
          <w:szCs w:val="20"/>
          <w:color w:val="auto"/>
        </w:rPr>
        <w:t xml:space="preserve"> shall be applied at such time or times as may be determined by the Administrative Agent as follows: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payment of any amounts owing by such Defaulting Lender to the Administrative Agent hereunder; </w:t>
      </w:r>
      <w:r>
        <w:rPr>
          <w:rFonts w:ascii="Arial" w:cs="Arial" w:eastAsia="Arial" w:hAnsi="Arial"/>
          <w:sz w:val="20"/>
          <w:szCs w:val="20"/>
          <w:u w:val="single" w:color="auto"/>
          <w:color w:val="auto"/>
        </w:rPr>
        <w:t>second</w:t>
      </w:r>
      <w:r>
        <w:rPr>
          <w:rFonts w:ascii="Arial" w:cs="Arial" w:eastAsia="Arial" w:hAnsi="Arial"/>
          <w:sz w:val="20"/>
          <w:szCs w:val="20"/>
          <w:color w:val="auto"/>
        </w:rPr>
        <w: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6" w:right="239" w:bottom="1440" w:gutter="0" w:footer="0" w:header="0"/>
        </w:sectPr>
      </w:pPr>
    </w:p>
    <w:bookmarkStart w:id="61" w:name="page62"/>
    <w:bookmarkEnd w:id="61"/>
    <w:p>
      <w:pPr>
        <w:jc w:val="both"/>
        <w:spacing w:after="0" w:line="268" w:lineRule="auto"/>
        <w:rPr>
          <w:sz w:val="20"/>
          <w:szCs w:val="20"/>
          <w:color w:val="auto"/>
        </w:rPr>
      </w:pPr>
      <w:r>
        <w:rPr>
          <w:rFonts w:ascii="Arial" w:cs="Arial" w:eastAsia="Arial" w:hAnsi="Arial"/>
          <w:sz w:val="18"/>
          <w:szCs w:val="18"/>
          <w:color w:val="auto"/>
        </w:rPr>
        <w:t xml:space="preserve">the payment on a pro rata basis of any amounts owing by such Defaulting Lender to the L/C Issuer or Swing 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82" w:lineRule="exact"/>
        <w:rPr>
          <w:sz w:val="20"/>
          <w:szCs w:val="20"/>
          <w:color w:val="auto"/>
        </w:rPr>
      </w:pPr>
    </w:p>
    <w:p>
      <w:pPr>
        <w:ind w:left="1120" w:hanging="475"/>
        <w:spacing w:after="0"/>
        <w:tabs>
          <w:tab w:leader="none" w:pos="112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50" w:lineRule="auto"/>
        <w:tabs>
          <w:tab w:leader="none" w:pos="1797"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186" w:lineRule="exact"/>
        <w:rPr>
          <w:rFonts w:ascii="Arial" w:cs="Arial" w:eastAsia="Arial" w:hAnsi="Arial"/>
          <w:sz w:val="20"/>
          <w:szCs w:val="20"/>
          <w:color w:val="auto"/>
        </w:rPr>
      </w:pPr>
    </w:p>
    <w:p>
      <w:pPr>
        <w:jc w:val="both"/>
        <w:ind w:left="640" w:firstLine="653"/>
        <w:spacing w:after="0" w:line="250" w:lineRule="auto"/>
        <w:tabs>
          <w:tab w:leader="none" w:pos="1745"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40" w:firstLine="653"/>
        <w:spacing w:after="0" w:line="244" w:lineRule="auto"/>
        <w:tabs>
          <w:tab w:leader="none" w:pos="1759"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With respect to any Letter of Credit Fee not required to be paid to any Defaulting Lender pursuant to clause (B)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below, (y) pay to the L/C Issuer the amount of any such fee otherwise payable to such Defaulting Lender to the</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60"/>
          </w:cols>
          <w:pgMar w:left="900" w:top="366" w:right="239" w:bottom="1440" w:gutter="0" w:footer="0" w:header="0"/>
        </w:sectPr>
      </w:pPr>
    </w:p>
    <w:bookmarkStart w:id="62" w:name="page63"/>
    <w:bookmarkEnd w:id="62"/>
    <w:p>
      <w:pPr>
        <w:ind w:left="1300"/>
        <w:spacing w:after="0" w:line="260" w:lineRule="auto"/>
        <w:rPr>
          <w:sz w:val="20"/>
          <w:szCs w:val="20"/>
          <w:color w:val="auto"/>
        </w:rPr>
      </w:pPr>
      <w:r>
        <w:rPr>
          <w:rFonts w:ascii="Arial" w:cs="Arial" w:eastAsia="Arial" w:hAnsi="Arial"/>
          <w:sz w:val="20"/>
          <w:szCs w:val="20"/>
          <w:color w:val="auto"/>
        </w:rPr>
        <w:t>extent allocable to such L/C Issuer’s Fronting Exposure to such Defaulting Lender, and (z) not be required to pay the remaining amount of any such fee.</w:t>
      </w:r>
    </w:p>
    <w:p>
      <w:pPr>
        <w:spacing w:after="0" w:line="177" w:lineRule="exact"/>
        <w:rPr>
          <w:sz w:val="20"/>
          <w:szCs w:val="20"/>
          <w:color w:val="auto"/>
        </w:rPr>
      </w:pPr>
    </w:p>
    <w:p>
      <w:pPr>
        <w:jc w:val="both"/>
        <w:ind w:firstLine="656"/>
        <w:spacing w:after="0" w:line="256" w:lineRule="auto"/>
        <w:tabs>
          <w:tab w:leader="none" w:pos="109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Reallocation of Pro Rata Shares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(x)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are satisfied at the time of such reallocation (and, unless the Company shall have otherwise notified the Administrative Agent at such time, the Borrowers shall be deemed to have represented and warranted that such conditions are satisfied at such time), and (y) such reallocation does not cause the portion of the Total Revolving Outstandings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4" w:lineRule="exact"/>
        <w:rPr>
          <w:rFonts w:ascii="Arial" w:cs="Arial" w:eastAsia="Arial" w:hAnsi="Arial"/>
          <w:sz w:val="19"/>
          <w:szCs w:val="19"/>
          <w:color w:val="auto"/>
        </w:rPr>
      </w:pPr>
    </w:p>
    <w:p>
      <w:pPr>
        <w:jc w:val="both"/>
        <w:ind w:firstLine="656"/>
        <w:spacing w:after="0" w:line="246" w:lineRule="auto"/>
        <w:tabs>
          <w:tab w:leader="none" w:pos="1048"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 Line Loans</w:t>
      </w:r>
      <w:r>
        <w:rPr>
          <w:rFonts w:ascii="Arial" w:cs="Arial" w:eastAsia="Arial" w:hAnsi="Arial"/>
          <w:sz w:val="20"/>
          <w:szCs w:val="20"/>
          <w:color w:val="auto"/>
        </w:rPr>
        <w:t xml:space="preserve">. If the reallocation described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cannot, or can only partially, be effected, the Borrowers shall, without prejudice to any right or remedy available to it hereunder or under applicable Law,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Swing Line Loans in an amount equal to the Swing Line Lenders’ Fronting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Cash Collateralize the L/C Issuers’ Fronting Exposure in accordance with the procedures set forth in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70"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The Administrative Agent agrees to promptly notify the Company upon the Administrative Agent’s actual knowledge of any Lender becoming a Defaulting Lender and the Administrative Agent’s actual knowledge of the occurrence of any Lender ceasing to be a Defaulting Lender. If the Company,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Pro Rata Shares (without giving effect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as to such Lender),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8" w:lineRule="auto"/>
        <w:tabs>
          <w:tab w:leader="none" w:pos="108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no more than one (1) time during the term of this Agreement, by delivering written notice (an “</w:t>
      </w:r>
      <w:r>
        <w:rPr>
          <w:rFonts w:ascii="Arial" w:cs="Arial" w:eastAsia="Arial" w:hAnsi="Arial"/>
          <w:sz w:val="18"/>
          <w:szCs w:val="18"/>
          <w:u w:val="single" w:color="auto"/>
          <w:color w:val="auto"/>
        </w:rPr>
        <w:t>Extension Request</w:t>
      </w:r>
      <w:r>
        <w:rPr>
          <w:rFonts w:ascii="Arial" w:cs="Arial" w:eastAsia="Arial" w:hAnsi="Arial"/>
          <w:sz w:val="18"/>
          <w:szCs w:val="18"/>
          <w:color w:val="auto"/>
        </w:rPr>
        <w:t>”) to the Administrative Agent (who shall promptly notify the Lenders) no earlier than the second anniversary of the Closing Date and not later than 45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an additional one-year period from the Existing Maturity Date. Subject to the provisions in this Section 2.17, such extension shall become effective on the date specified in the Extension Request (such date, the “</w:t>
      </w:r>
      <w:r>
        <w:rPr>
          <w:rFonts w:ascii="Arial" w:cs="Arial" w:eastAsia="Arial" w:hAnsi="Arial"/>
          <w:sz w:val="18"/>
          <w:szCs w:val="18"/>
          <w:u w:val="single" w:color="auto"/>
          <w:color w:val="auto"/>
        </w:rPr>
        <w:t>Extension Date</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6" w:right="239" w:bottom="1440" w:gutter="0" w:footer="0" w:header="0"/>
        </w:sectPr>
      </w:pPr>
    </w:p>
    <w:bookmarkStart w:id="63" w:name="page64"/>
    <w:bookmarkEnd w:id="63"/>
    <w:p>
      <w:pPr>
        <w:jc w:val="both"/>
        <w:ind w:firstLine="656"/>
        <w:spacing w:after="0" w:line="259" w:lineRule="auto"/>
        <w:tabs>
          <w:tab w:leader="none" w:pos="105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Lender Elections to Extend</w:t>
      </w:r>
      <w:r>
        <w:rPr>
          <w:rFonts w:ascii="Arial" w:cs="Arial" w:eastAsia="Arial" w:hAnsi="Arial"/>
          <w:sz w:val="19"/>
          <w:szCs w:val="19"/>
          <w:color w:val="auto"/>
        </w:rPr>
        <w:t>. Each Lender, acting in its sole and individual discretion, shall, by written notice to the Administrative Agent given not later than 21 days (the “</w:t>
      </w:r>
      <w:r>
        <w:rPr>
          <w:rFonts w:ascii="Arial" w:cs="Arial" w:eastAsia="Arial" w:hAnsi="Arial"/>
          <w:sz w:val="19"/>
          <w:szCs w:val="19"/>
          <w:u w:val="single" w:color="auto"/>
          <w:color w:val="auto"/>
        </w:rPr>
        <w:t>Notice Date</w:t>
      </w:r>
      <w:r>
        <w:rPr>
          <w:rFonts w:ascii="Arial" w:cs="Arial" w:eastAsia="Arial" w:hAnsi="Arial"/>
          <w:sz w:val="19"/>
          <w:szCs w:val="19"/>
          <w:color w:val="auto"/>
        </w:rPr>
        <w:t>”) after the date of the Company’s notice, advise the Administrative Agent whether or not such Lender agrees to such extension, and each Lender that determines not to so extend its Maturity Date (a “</w:t>
      </w:r>
      <w:r>
        <w:rPr>
          <w:rFonts w:ascii="Arial" w:cs="Arial" w:eastAsia="Arial" w:hAnsi="Arial"/>
          <w:sz w:val="19"/>
          <w:szCs w:val="19"/>
          <w:u w:val="single" w:color="auto"/>
          <w:color w:val="auto"/>
        </w:rPr>
        <w:t>Non-Extending Lender</w:t>
      </w:r>
      <w:r>
        <w:rPr>
          <w:rFonts w:ascii="Arial" w:cs="Arial" w:eastAsia="Arial" w:hAnsi="Arial"/>
          <w:sz w:val="19"/>
          <w:szCs w:val="19"/>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78" w:lineRule="exact"/>
        <w:rPr>
          <w:rFonts w:ascii="Arial" w:cs="Arial" w:eastAsia="Arial" w:hAnsi="Arial"/>
          <w:sz w:val="19"/>
          <w:szCs w:val="19"/>
          <w:color w:val="auto"/>
        </w:rPr>
      </w:pPr>
    </w:p>
    <w:p>
      <w:pPr>
        <w:ind w:right="20" w:firstLine="656"/>
        <w:spacing w:after="0" w:line="316" w:lineRule="auto"/>
        <w:tabs>
          <w:tab w:leader="none" w:pos="107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The Administrative Agent shall notify the Company of each Lender’s determination under this Section no later than 5 days after the Notice Date (or, if such date is not a Business Day, on the immediately preceding Business Day).</w:t>
      </w:r>
    </w:p>
    <w:p>
      <w:pPr>
        <w:spacing w:after="0" w:line="130" w:lineRule="exact"/>
        <w:rPr>
          <w:rFonts w:ascii="Arial" w:cs="Arial" w:eastAsia="Arial" w:hAnsi="Arial"/>
          <w:sz w:val="18"/>
          <w:szCs w:val="18"/>
          <w:color w:val="auto"/>
        </w:rPr>
      </w:pPr>
    </w:p>
    <w:p>
      <w:pPr>
        <w:jc w:val="both"/>
        <w:ind w:firstLine="656"/>
        <w:spacing w:after="0" w:line="256" w:lineRule="auto"/>
        <w:tabs>
          <w:tab w:leader="none" w:pos="1194"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Additional Commitment Lenders</w:t>
      </w:r>
      <w:r>
        <w:rPr>
          <w:rFonts w:ascii="Arial" w:cs="Arial" w:eastAsia="Arial" w:hAnsi="Arial"/>
          <w:sz w:val="19"/>
          <w:szCs w:val="19"/>
          <w:color w:val="auto"/>
        </w:rPr>
        <w:t>. The Company shall have the right on or before the Extension Date to replace any Non-Extending Lender with, and add as “Lenders” under this Agreement in place thereof, one or more Eligible Assignees and/or one or more existing Lenders (each, an “</w:t>
      </w:r>
      <w:r>
        <w:rPr>
          <w:rFonts w:ascii="Arial" w:cs="Arial" w:eastAsia="Arial" w:hAnsi="Arial"/>
          <w:sz w:val="19"/>
          <w:szCs w:val="19"/>
          <w:u w:val="single" w:color="auto"/>
          <w:color w:val="auto"/>
        </w:rPr>
        <w:t>Additional Commitment Lender</w:t>
      </w:r>
      <w:r>
        <w:rPr>
          <w:rFonts w:ascii="Arial" w:cs="Arial" w:eastAsia="Arial" w:hAnsi="Arial"/>
          <w:sz w:val="19"/>
          <w:szCs w:val="19"/>
          <w:color w:val="auto"/>
        </w:rPr>
        <w:t xml:space="preserve">”) as provided in </w:t>
      </w:r>
      <w:r>
        <w:rPr>
          <w:rFonts w:ascii="Arial" w:cs="Arial" w:eastAsia="Arial" w:hAnsi="Arial"/>
          <w:sz w:val="19"/>
          <w:szCs w:val="19"/>
          <w:u w:val="single" w:color="auto"/>
          <w:color w:val="auto"/>
        </w:rPr>
        <w:t>Section 11.06</w:t>
      </w:r>
      <w:r>
        <w:rPr>
          <w:rFonts w:ascii="Arial" w:cs="Arial" w:eastAsia="Arial" w:hAnsi="Arial"/>
          <w:sz w:val="19"/>
          <w:szCs w:val="19"/>
          <w:color w:val="auto"/>
        </w:rPr>
        <w:t>, each of which Additional Commitment Lenders shall have entered into an Assignment and Assumption with such Non-Extending Lender pursuant to which such Additional Commitment Lender shall, effective as of the Extension Date, undertake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to become an Extending Lender, provided that the Company consents thereto in writing in its sole discretion.</w:t>
      </w:r>
    </w:p>
    <w:p>
      <w:pPr>
        <w:spacing w:after="0" w:line="184" w:lineRule="exact"/>
        <w:rPr>
          <w:rFonts w:ascii="Arial" w:cs="Arial" w:eastAsia="Arial" w:hAnsi="Arial"/>
          <w:sz w:val="19"/>
          <w:szCs w:val="19"/>
          <w:color w:val="auto"/>
        </w:rPr>
      </w:pPr>
    </w:p>
    <w:p>
      <w:pPr>
        <w:jc w:val="both"/>
        <w:ind w:firstLine="656"/>
        <w:spacing w:after="0" w:line="243" w:lineRule="auto"/>
        <w:tabs>
          <w:tab w:leader="none" w:pos="1048"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Minimum Extension Requirement</w:t>
      </w:r>
      <w:r>
        <w:rPr>
          <w:rFonts w:ascii="Arial" w:cs="Arial" w:eastAsia="Arial" w:hAnsi="Arial"/>
          <w:sz w:val="20"/>
          <w:szCs w:val="20"/>
          <w:color w:val="auto"/>
        </w:rPr>
        <w:t>. If (and only if) the total of the Commitments of the Lenders that have agreed so to extend their Existing Maturity Date (each, an “</w:t>
      </w:r>
      <w:r>
        <w:rPr>
          <w:rFonts w:ascii="Arial" w:cs="Arial" w:eastAsia="Arial" w:hAnsi="Arial"/>
          <w:sz w:val="20"/>
          <w:szCs w:val="20"/>
          <w:u w:val="single" w:color="auto"/>
          <w:color w:val="auto"/>
        </w:rPr>
        <w:t>Extending Lender</w:t>
      </w:r>
      <w:r>
        <w:rPr>
          <w:rFonts w:ascii="Arial" w:cs="Arial" w:eastAsia="Arial" w:hAnsi="Arial"/>
          <w:sz w:val="20"/>
          <w:szCs w:val="20"/>
          <w:color w:val="auto"/>
        </w:rPr>
        <w:t>”) and the additional Commitments of the Additional Commitment Lenders shall be more than 50% of the aggregate amount of the Commitments in effect immediately prior to the Extension Date, then, effective as of the Extension Date, the Maturity Date of each Extending Lender and of each Additional Commitment Lender shall be extended to the date falling one year after the Existing Maturity Date (except that, if such date is not a Business Day, such Maturity Date as so extended shall be the immediately preceding Business Day) and each Additional Commitment Lender (if it is not already a Lender) shall thereupon become a “Lender” for all purposes of this Agreement.</w:t>
      </w:r>
    </w:p>
    <w:p>
      <w:pPr>
        <w:spacing w:after="0" w:line="193" w:lineRule="exact"/>
        <w:rPr>
          <w:rFonts w:ascii="Arial" w:cs="Arial" w:eastAsia="Arial" w:hAnsi="Arial"/>
          <w:sz w:val="20"/>
          <w:szCs w:val="20"/>
          <w:color w:val="auto"/>
        </w:rPr>
      </w:pPr>
    </w:p>
    <w:p>
      <w:pPr>
        <w:ind w:firstLine="656"/>
        <w:spacing w:after="0" w:line="260" w:lineRule="auto"/>
        <w:tabs>
          <w:tab w:leader="none" w:pos="1107"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 of Extensions</w:t>
      </w:r>
      <w:r>
        <w:rPr>
          <w:rFonts w:ascii="Arial" w:cs="Arial" w:eastAsia="Arial" w:hAnsi="Arial"/>
          <w:sz w:val="20"/>
          <w:szCs w:val="20"/>
          <w:color w:val="auto"/>
        </w:rPr>
        <w:t>. Notwithstanding the foregoing, the extension of the Maturity Date pursuant to this Section shall not be effective with respect to any Lender unless:</w:t>
      </w:r>
    </w:p>
    <w:p>
      <w:pPr>
        <w:spacing w:after="0" w:line="176" w:lineRule="exact"/>
        <w:rPr>
          <w:rFonts w:ascii="Arial" w:cs="Arial" w:eastAsia="Arial" w:hAnsi="Arial"/>
          <w:sz w:val="20"/>
          <w:szCs w:val="20"/>
          <w:color w:val="auto"/>
        </w:rPr>
      </w:pPr>
    </w:p>
    <w:p>
      <w:pPr>
        <w:jc w:val="both"/>
        <w:ind w:left="660" w:firstLine="645"/>
        <w:spacing w:after="0" w:line="269" w:lineRule="auto"/>
        <w:tabs>
          <w:tab w:leader="none" w:pos="16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a certificate of the Company dated as of the Extension Date signed by a Responsible Officer of the Company certifying that, before and after giving effect to such extension, (1) the representations and warranties of the Loan Parties contained in this Agreement and the other Loan Documents are true and correct in all material respects on and as of the Extension Date as if made on and as of such date (or, if any such representation or warranty is expressly stated to have been made as of a specific date, as of such specific date), and except that, for purposes of this Section, the representations and warranties contained in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(2) no Default has occurred and is continuing; (B) a duly executed Assignment and Assumption referred to in paragraph (d) of this Section from each Additional Commitment Lender; and (C) such other information or documentation as the Administrative Agent may reasonably request; and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6" w:right="239" w:bottom="1440" w:gutter="0" w:footer="0" w:header="0"/>
        </w:sectPr>
      </w:pPr>
    </w:p>
    <w:bookmarkStart w:id="64" w:name="page65"/>
    <w:bookmarkEnd w:id="64"/>
    <w:p>
      <w:pPr>
        <w:jc w:val="both"/>
        <w:ind w:left="660" w:firstLine="645"/>
        <w:spacing w:after="0" w:line="250" w:lineRule="auto"/>
        <w:tabs>
          <w:tab w:leader="none" w:pos="1743" w:val="left"/>
        </w:tabs>
        <w:numPr>
          <w:ilvl w:val="1"/>
          <w:numId w:val="62"/>
        </w:numPr>
        <w:rPr>
          <w:rFonts w:ascii="Arial" w:cs="Arial" w:eastAsia="Arial" w:hAnsi="Arial"/>
          <w:sz w:val="20"/>
          <w:szCs w:val="20"/>
          <w:color w:val="auto"/>
        </w:rPr>
      </w:pPr>
      <w:r>
        <w:rPr>
          <w:rFonts w:ascii="Arial" w:cs="Arial" w:eastAsia="Arial" w:hAnsi="Arial"/>
          <w:sz w:val="20"/>
          <w:szCs w:val="20"/>
          <w:color w:val="auto"/>
        </w:rPr>
        <w:t>on or before the Extension Date, (1) the Borrowers shall have paid in full the principal of and interest on all of the Loans made by each Non-Extending Lender to them hereunder and (2) the Borrowers shall have paid in full all other amounts owing to such Non-Extending Lender hereunder.</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14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Amendment; Sharing of Payments</w:t>
      </w:r>
      <w:r>
        <w:rPr>
          <w:rFonts w:ascii="Arial" w:cs="Arial" w:eastAsia="Arial" w:hAnsi="Arial"/>
          <w:sz w:val="20"/>
          <w:szCs w:val="20"/>
          <w:color w:val="auto"/>
        </w:rPr>
        <w:t xml:space="preserve">. In connection with any extension of the Maturity Date, the Borrowers, the Administrative Agent and each Extending Lender may make such amendments to this Agreement as the Administrative Agent determines to be reasonably necessary to evidence the extension. This Section shall supersede </w:t>
      </w:r>
      <w:r>
        <w:rPr>
          <w:rFonts w:ascii="Arial" w:cs="Arial" w:eastAsia="Arial" w:hAnsi="Arial"/>
          <w:sz w:val="20"/>
          <w:szCs w:val="20"/>
          <w:u w:val="single" w:color="auto"/>
          <w:color w:val="auto"/>
        </w:rPr>
        <w:t>Sections 11.01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III</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78" w:lineRule="auto"/>
        <w:tabs>
          <w:tab w:leader="none" w:pos="1743"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165" w:lineRule="exact"/>
        <w:rPr>
          <w:rFonts w:ascii="Arial" w:cs="Arial" w:eastAsia="Arial" w:hAnsi="Arial"/>
          <w:sz w:val="18"/>
          <w:szCs w:val="18"/>
          <w:color w:val="auto"/>
        </w:rPr>
      </w:pPr>
    </w:p>
    <w:p>
      <w:pPr>
        <w:jc w:val="both"/>
        <w:ind w:left="660" w:firstLine="645"/>
        <w:spacing w:after="0" w:line="256" w:lineRule="auto"/>
        <w:tabs>
          <w:tab w:leader="none" w:pos="1757"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4" w:lineRule="exact"/>
        <w:rPr>
          <w:rFonts w:ascii="Arial" w:cs="Arial" w:eastAsia="Arial" w:hAnsi="Arial"/>
          <w:sz w:val="19"/>
          <w:szCs w:val="19"/>
          <w:color w:val="auto"/>
        </w:rPr>
      </w:pPr>
    </w:p>
    <w:p>
      <w:pPr>
        <w:jc w:val="both"/>
        <w:ind w:left="660" w:firstLine="645"/>
        <w:spacing w:after="0" w:line="257" w:lineRule="auto"/>
        <w:tabs>
          <w:tab w:leader="none" w:pos="1799"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6" w:right="239" w:bottom="1440" w:gutter="0" w:footer="0" w:header="0"/>
        </w:sectPr>
      </w:pPr>
    </w:p>
    <w:bookmarkStart w:id="65" w:name="page66"/>
    <w:bookmarkEnd w:id="65"/>
    <w:p>
      <w:pPr>
        <w:ind w:left="660" w:right="20"/>
        <w:spacing w:after="0" w:line="260" w:lineRule="auto"/>
        <w:rPr>
          <w:sz w:val="20"/>
          <w:szCs w:val="20"/>
          <w:color w:val="auto"/>
        </w:rPr>
      </w:pPr>
      <w:r>
        <w:rPr>
          <w:rFonts w:ascii="Arial" w:cs="Arial" w:eastAsia="Arial" w:hAnsi="Arial"/>
          <w:sz w:val="20"/>
          <w:szCs w:val="20"/>
          <w:u w:val="single" w:color="auto"/>
          <w:color w:val="auto"/>
        </w:rPr>
        <w:t>Section 3.01</w:t>
      </w:r>
      <w:r>
        <w:rPr>
          <w:rFonts w:ascii="Arial" w:cs="Arial" w:eastAsia="Arial" w:hAnsi="Arial"/>
          <w:sz w:val="20"/>
          <w:szCs w:val="20"/>
          <w:color w:val="auto"/>
        </w:rPr>
        <w:t>) the applicable Recipient receives an amount equal to the sum it would have received had no such withholding or deduction been made.</w:t>
      </w:r>
    </w:p>
    <w:p>
      <w:pPr>
        <w:spacing w:after="0" w:line="177" w:lineRule="exact"/>
        <w:rPr>
          <w:sz w:val="20"/>
          <w:szCs w:val="20"/>
          <w:color w:val="auto"/>
        </w:rPr>
      </w:pPr>
    </w:p>
    <w:p>
      <w:pPr>
        <w:jc w:val="both"/>
        <w:ind w:firstLine="656"/>
        <w:spacing w:after="0" w:line="250" w:lineRule="auto"/>
        <w:tabs>
          <w:tab w:leader="none" w:pos="1059"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86" w:lineRule="exact"/>
        <w:rPr>
          <w:rFonts w:ascii="Arial" w:cs="Arial" w:eastAsia="Arial" w:hAnsi="Arial"/>
          <w:sz w:val="20"/>
          <w:szCs w:val="20"/>
          <w:color w:val="auto"/>
        </w:rPr>
      </w:pPr>
    </w:p>
    <w:p>
      <w:pPr>
        <w:jc w:val="both"/>
        <w:ind w:left="660" w:hanging="4"/>
        <w:spacing w:after="0" w:line="255" w:lineRule="auto"/>
        <w:tabs>
          <w:tab w:leader="none" w:pos="106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xml:space="preserve">. (i) Without duplication of amounts paid pursuant to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each of the Loan Parties shall, and does hereby, jointly and severally indemnify each Recipient, and shall make payment in respect thereof within ten Business Days after written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payable or paid by such Recipient or required to be withheld or deducted from a payment to such Recipient, and any penalties, interest and reasonable expenses arising therefrom or with respect thereto (other than penalties, interest and expenses attributable to gross negligence or willful misconduct of the Recipient),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demonstrable error. Each of the Loan Parties shall, and does hereby, jointly and severally indemnify the Administrative Agent, and shall make payment in respect thereof within ten Business Days after demand therefor, for any amount which a Lender or the L/C Issuer (other than a Lender or L/C Issuer that is also serving as the Administrative Agent at such time) for any reason fails to pay to the Administrative Agent as required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w:t>
      </w:r>
    </w:p>
    <w:p>
      <w:pPr>
        <w:spacing w:after="0" w:line="182" w:lineRule="exact"/>
        <w:rPr>
          <w:rFonts w:ascii="Arial" w:cs="Arial" w:eastAsia="Arial" w:hAnsi="Arial"/>
          <w:sz w:val="19"/>
          <w:szCs w:val="19"/>
          <w:color w:val="auto"/>
        </w:rPr>
      </w:pPr>
    </w:p>
    <w:p>
      <w:pPr>
        <w:jc w:val="both"/>
        <w:ind w:left="660" w:firstLine="645"/>
        <w:spacing w:after="0" w:line="270" w:lineRule="auto"/>
        <w:tabs>
          <w:tab w:leader="none" w:pos="17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shall be conclusive absent demonstrable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firstLine="656"/>
        <w:spacing w:after="0" w:line="263" w:lineRule="auto"/>
        <w:tabs>
          <w:tab w:leader="none" w:pos="109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Upon request by any Loan Party or the Administrative Agent, as the case may be, after any payment of Taxes by such Loan Party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6" w:right="239" w:bottom="1440" w:gutter="0" w:footer="0" w:header="0"/>
        </w:sectPr>
      </w:pPr>
    </w:p>
    <w:bookmarkStart w:id="66" w:name="page67"/>
    <w:bookmarkEnd w:id="66"/>
    <w:p>
      <w:pPr>
        <w:spacing w:after="0" w:line="260" w:lineRule="auto"/>
        <w:rPr>
          <w:sz w:val="20"/>
          <w:szCs w:val="20"/>
          <w:color w:val="auto"/>
        </w:rPr>
      </w:pPr>
      <w:r>
        <w:rPr>
          <w:rFonts w:ascii="Arial" w:cs="Arial" w:eastAsia="Arial" w:hAnsi="Arial"/>
          <w:sz w:val="20"/>
          <w:szCs w:val="20"/>
          <w:color w:val="auto"/>
        </w:rPr>
        <w:t>return required by Laws to report such payment or other evidence of such payment reasonably satisfactory to such Loan Party or the Administrative Agent, as the case may be.</w:t>
      </w:r>
    </w:p>
    <w:p>
      <w:pPr>
        <w:spacing w:after="0" w:line="177" w:lineRule="exact"/>
        <w:rPr>
          <w:sz w:val="20"/>
          <w:szCs w:val="20"/>
          <w:color w:val="auto"/>
        </w:rPr>
      </w:pPr>
    </w:p>
    <w:p>
      <w:pPr>
        <w:ind w:left="1060" w:hanging="404"/>
        <w:spacing w:after="0"/>
        <w:tabs>
          <w:tab w:leader="none" w:pos="106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307" w:lineRule="auto"/>
        <w:tabs>
          <w:tab w:leader="none" w:pos="1675"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Any Lender and, to the extent the L/C Issuer is not also a Lender under this Agreement, the L/C Issuer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and, to the extent the L/C Issuer is not also a Lender under this Agreement, the L/C Issuer,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or the L/C Issuer, as applicable,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3.01(e)(ii)(B)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3.01(e)(ii)(D)</w:t>
      </w:r>
      <w:r>
        <w:rPr>
          <w:rFonts w:ascii="Arial" w:cs="Arial" w:eastAsia="Arial" w:hAnsi="Arial"/>
          <w:sz w:val="16"/>
          <w:szCs w:val="16"/>
          <w:color w:val="auto"/>
        </w:rPr>
        <w:t xml:space="preserve"> below) shall not be required if in the Lender’s or the L/C Issuer’s reasonable judgment such completion, execution or submission would subject such Lender or the L/C Issuer, as applicable, to any material unreimbursed cost or expense or would materially prejudice the legal or commercial position of such Lender or the L/C Issuer, as applicable.</w:t>
      </w:r>
    </w:p>
    <w:p>
      <w:pPr>
        <w:spacing w:after="0" w:line="376" w:lineRule="exact"/>
        <w:rPr>
          <w:rFonts w:ascii="Arial" w:cs="Arial" w:eastAsia="Arial" w:hAnsi="Arial"/>
          <w:sz w:val="16"/>
          <w:szCs w:val="16"/>
          <w:color w:val="auto"/>
        </w:rPr>
      </w:pPr>
    </w:p>
    <w:p>
      <w:pPr>
        <w:ind w:left="1720" w:hanging="415"/>
        <w:spacing w:after="0"/>
        <w:tabs>
          <w:tab w:leader="none" w:pos="17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215" w:lineRule="exact"/>
        <w:rPr>
          <w:rFonts w:ascii="Arial" w:cs="Arial" w:eastAsia="Arial" w:hAnsi="Arial"/>
          <w:sz w:val="20"/>
          <w:szCs w:val="20"/>
          <w:color w:val="auto"/>
        </w:rPr>
      </w:pPr>
    </w:p>
    <w:p>
      <w:pPr>
        <w:jc w:val="both"/>
        <w:ind w:left="1300" w:firstLine="653"/>
        <w:spacing w:after="0" w:line="244" w:lineRule="auto"/>
        <w:tabs>
          <w:tab w:leader="none" w:pos="2443" w:val="left"/>
        </w:tabs>
        <w:numPr>
          <w:ilvl w:val="2"/>
          <w:numId w:val="66"/>
        </w:numPr>
        <w:rPr>
          <w:rFonts w:ascii="Arial" w:cs="Arial" w:eastAsia="Arial" w:hAnsi="Arial"/>
          <w:sz w:val="20"/>
          <w:szCs w:val="20"/>
          <w:color w:val="auto"/>
        </w:rPr>
      </w:pPr>
      <w:r>
        <w:rPr>
          <w:rFonts w:ascii="Arial" w:cs="Arial" w:eastAsia="Arial" w:hAnsi="Arial"/>
          <w:sz w:val="20"/>
          <w:szCs w:val="20"/>
          <w:color w:val="auto"/>
        </w:rPr>
        <w:t>any Lender and, to the extent the L/C Issuer is not also a Lender under this Agreement, the L/C Issuer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spacing w:after="0" w:line="194" w:lineRule="exact"/>
        <w:rPr>
          <w:rFonts w:ascii="Arial" w:cs="Arial" w:eastAsia="Arial" w:hAnsi="Arial"/>
          <w:sz w:val="20"/>
          <w:szCs w:val="20"/>
          <w:color w:val="auto"/>
        </w:rPr>
      </w:pPr>
    </w:p>
    <w:p>
      <w:pPr>
        <w:jc w:val="both"/>
        <w:ind w:left="1300" w:firstLine="653"/>
        <w:spacing w:after="0" w:line="246" w:lineRule="auto"/>
        <w:tabs>
          <w:tab w:leader="none" w:pos="2568" w:val="left"/>
        </w:tabs>
        <w:numPr>
          <w:ilvl w:val="2"/>
          <w:numId w:val="66"/>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91" w:lineRule="exact"/>
        <w:rPr>
          <w:rFonts w:ascii="Arial" w:cs="Arial" w:eastAsia="Arial" w:hAnsi="Arial"/>
          <w:sz w:val="20"/>
          <w:szCs w:val="20"/>
          <w:color w:val="auto"/>
        </w:rPr>
      </w:pPr>
    </w:p>
    <w:p>
      <w:pPr>
        <w:jc w:val="both"/>
        <w:ind w:left="1960" w:firstLine="641"/>
        <w:spacing w:after="0" w:line="243" w:lineRule="auto"/>
        <w:tabs>
          <w:tab w:leader="none" w:pos="3019" w:val="left"/>
        </w:tabs>
        <w:numPr>
          <w:ilvl w:val="3"/>
          <w:numId w:val="66"/>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executed copies of IRS Form W-8BEN or W-8BEN-E,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6" w:right="239" w:bottom="1440" w:gutter="0" w:footer="0" w:header="0"/>
        </w:sectPr>
      </w:pPr>
    </w:p>
    <w:bookmarkStart w:id="67" w:name="page68"/>
    <w:bookmarkEnd w:id="67"/>
    <w:p>
      <w:pPr>
        <w:ind w:left="1820" w:hanging="419"/>
        <w:spacing w:after="0"/>
        <w:tabs>
          <w:tab w:leader="none" w:pos="1820" w:val="left"/>
        </w:tabs>
        <w:numPr>
          <w:ilvl w:val="1"/>
          <w:numId w:val="67"/>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left="760" w:firstLine="641"/>
        <w:spacing w:after="0" w:line="276" w:lineRule="auto"/>
        <w:tabs>
          <w:tab w:leader="none" w:pos="1819"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8"/>
          <w:szCs w:val="18"/>
          <w:u w:val="single" w:color="auto"/>
          <w:color w:val="auto"/>
        </w:rPr>
        <w:t>Exhibit 3.01-A</w:t>
      </w:r>
      <w:r>
        <w:rPr>
          <w:rFonts w:ascii="Arial" w:cs="Arial" w:eastAsia="Arial" w:hAnsi="Arial"/>
          <w:sz w:val="18"/>
          <w:szCs w:val="18"/>
          <w:color w:val="auto"/>
        </w:rPr>
        <w:t xml:space="preserve"> to the effect that such Foreign Lender is not a “bank” within the meaning of Section 881(c)(3)(A) of the Internal Revenue Code, a “10 percent shareholder” of such Borrower within the meaning of Section 881(c)(3)(B) of the Internal Revenue Code, or a “controlled foreign corporation” described in Section 881(c)(3)(C) of the Internal Revenue Code (a “</w:t>
      </w:r>
      <w:r>
        <w:rPr>
          <w:rFonts w:ascii="Arial" w:cs="Arial" w:eastAsia="Arial" w:hAnsi="Arial"/>
          <w:sz w:val="18"/>
          <w:szCs w:val="18"/>
          <w:u w:val="single" w:color="auto"/>
          <w:color w:val="auto"/>
        </w:rPr>
        <w:t>U.S. 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and (y) executed copies of IRS Form W-8BEN or W-8BEN-E, as applicable; or</w:t>
      </w:r>
    </w:p>
    <w:p>
      <w:pPr>
        <w:spacing w:after="0" w:line="165" w:lineRule="exact"/>
        <w:rPr>
          <w:rFonts w:ascii="Arial" w:cs="Arial" w:eastAsia="Arial" w:hAnsi="Arial"/>
          <w:sz w:val="18"/>
          <w:szCs w:val="18"/>
          <w:color w:val="auto"/>
        </w:rPr>
      </w:pPr>
    </w:p>
    <w:p>
      <w:pPr>
        <w:jc w:val="both"/>
        <w:ind w:left="760" w:firstLine="641"/>
        <w:spacing w:after="0" w:line="243" w:lineRule="auto"/>
        <w:tabs>
          <w:tab w:leader="none" w:pos="19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Arial" w:cs="Arial" w:eastAsia="Arial" w:hAnsi="Arial"/>
          <w:sz w:val="20"/>
          <w:szCs w:val="20"/>
          <w:u w:val="single" w:color="auto"/>
          <w:color w:val="auto"/>
        </w:rPr>
        <w:t>Exhibit 3.01-B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3.01-C</w:t>
      </w:r>
      <w:r>
        <w:rPr>
          <w:rFonts w:ascii="Arial" w:cs="Arial" w:eastAsia="Arial" w:hAnsi="Arial"/>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3.01-D</w:t>
      </w:r>
      <w:r>
        <w:rPr>
          <w:rFonts w:ascii="Arial" w:cs="Arial" w:eastAsia="Arial" w:hAnsi="Arial"/>
          <w:sz w:val="20"/>
          <w:szCs w:val="20"/>
          <w:color w:val="auto"/>
        </w:rPr>
        <w:t xml:space="preserve"> on behalf of each such direct and indirect partner;</w:t>
      </w:r>
    </w:p>
    <w:p>
      <w:pPr>
        <w:spacing w:after="0" w:line="193" w:lineRule="exact"/>
        <w:rPr>
          <w:rFonts w:ascii="Arial" w:cs="Arial" w:eastAsia="Arial" w:hAnsi="Arial"/>
          <w:sz w:val="20"/>
          <w:szCs w:val="20"/>
          <w:color w:val="auto"/>
        </w:rPr>
      </w:pPr>
    </w:p>
    <w:p>
      <w:pPr>
        <w:jc w:val="both"/>
        <w:ind w:left="100" w:firstLine="653"/>
        <w:spacing w:after="0" w:line="258" w:lineRule="auto"/>
        <w:tabs>
          <w:tab w:leader="none" w:pos="1368"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9" w:lineRule="exact"/>
        <w:rPr>
          <w:rFonts w:ascii="Arial" w:cs="Arial" w:eastAsia="Arial" w:hAnsi="Arial"/>
          <w:sz w:val="19"/>
          <w:szCs w:val="19"/>
          <w:color w:val="auto"/>
        </w:rPr>
      </w:pPr>
    </w:p>
    <w:p>
      <w:pPr>
        <w:jc w:val="both"/>
        <w:ind w:left="100" w:firstLine="653"/>
        <w:spacing w:after="0" w:line="255" w:lineRule="auto"/>
        <w:tabs>
          <w:tab w:leader="none" w:pos="127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 payment made to a Lender or the L/C Issuer under any Loan Document would be subject to U.S. federal withholding Tax imposed by FATCA if such Lender or the L/C Issuer were to fail to comply with the applicable reporting requirements of FATCA (including those contained in Section 1471(b) or 1472(b) of the Internal Revenue Code, as applicable), such Lender and, to the extent the L/C Issuer is not also a Lender under this Agreement, the L/C Issuer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 comply with their obligations under FATCA and to determine that such Lender or the L/C Issuer, as applicable, has complied with such Lender’s or the L/C Issuer’s, as applicable, obligations under FATCA or to determine the amount to deduct and withhold from such payment. Solely for purposes of this clause (D), “FATCA” shall include any amendments made to FATCA after the Closing Date.</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20"/>
          </w:cols>
          <w:pgMar w:left="1440" w:top="366" w:right="239" w:bottom="1440" w:gutter="0" w:footer="0" w:header="0"/>
        </w:sectPr>
      </w:pPr>
    </w:p>
    <w:bookmarkStart w:id="68" w:name="page69"/>
    <w:bookmarkEnd w:id="68"/>
    <w:p>
      <w:pPr>
        <w:jc w:val="both"/>
        <w:ind w:left="660" w:firstLine="645"/>
        <w:spacing w:after="0" w:line="246" w:lineRule="auto"/>
        <w:tabs>
          <w:tab w:leader="none" w:pos="1785"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Each Lender and, to the extent the L/C Issuer is not also a Lender under this Agreement, the L/C Issuer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(including any application or carryover of such refund amount to reduce any amount otherwise payable to the refunding Governmental Authority) of Taxes withheld or deducted from funds paid for the account of such Lender or the L/C Issuer, as the case may be. If any Recipient determines, in its sole discretion exercised in good faith, that it has received a refund of any Taxes or Other Taxes as to which it has been indemnified by any Loan Party or with respect to which any Loan Party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or Other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to the extent that the payment of such amount would place the Recipient in a less favorable net after Tax position that such Recipient would have been 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77" w:lineRule="exact"/>
        <w:rPr>
          <w:rFonts w:ascii="Arial" w:cs="Arial" w:eastAsia="Arial" w:hAnsi="Arial"/>
          <w:sz w:val="18"/>
          <w:szCs w:val="18"/>
          <w:color w:val="auto"/>
        </w:rPr>
      </w:pPr>
    </w:p>
    <w:p>
      <w:pPr>
        <w:jc w:val="both"/>
        <w:ind w:firstLine="656"/>
        <w:spacing w:after="0" w:line="250" w:lineRule="auto"/>
        <w:tabs>
          <w:tab w:leader="none" w:pos="105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any Lender determines that any Law has made it unlawful, or that any Governmental Authority has asserted that it is unlawful, for any Lender or its applicable Lending Office to make, maintain or fund Loans whose interest rate is determined by reference to the Eurocurrency Base Rate (whether denominated in Dollars or an Alternative Currency), or to determine or charge interest rates based upon the Eurocurrency Base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Eurocurrency Rate Loans in the affected currency or currencies or, in the case of Eurocurrency Rate Loans denominated in Dollars, to convert Base Rate Loans to Eurocurrency Rate Loans shall be suspended and (ii) if such notice asserts the illegality of such Lender making or maintaining Base Rate Loans the interest rate on which is determined by reference to the Eurocurrency Base Rate component of the Base Rate, the interest rate on which Base Rate Loans of such Lender, shall, if necessary to avoid such illegality, be determined by the Administrative Agent without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6" w:right="239" w:bottom="1440" w:gutter="0" w:footer="0" w:header="0"/>
        </w:sectPr>
      </w:pPr>
    </w:p>
    <w:bookmarkStart w:id="69" w:name="page70"/>
    <w:bookmarkEnd w:id="69"/>
    <w:p>
      <w:pPr>
        <w:jc w:val="both"/>
        <w:spacing w:after="0" w:line="254" w:lineRule="auto"/>
        <w:rPr>
          <w:sz w:val="20"/>
          <w:szCs w:val="20"/>
          <w:color w:val="auto"/>
        </w:rPr>
      </w:pPr>
      <w:r>
        <w:rPr>
          <w:rFonts w:ascii="Arial" w:cs="Arial" w:eastAsia="Arial" w:hAnsi="Arial"/>
          <w:sz w:val="19"/>
          <w:szCs w:val="19"/>
          <w:color w:val="auto"/>
        </w:rPr>
        <w:t>reference to the Eurocurrency Base Rate component of the Base Rate, in each case until such Lender notifies the Administrative Agent and the Company that the circumstances giving rise to such determination no longer exist (and each Lender hereby agrees to provide such notice promptly upon such circumstances ceasing to exist). Upon receipt of such notice by the Company,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Base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Base Rate, the Administrative Agent shall during the period of such suspension compute the Base Rate applicable to such Lender without reference to the Eurocurrency Base Rate component thereof until the Administrative Agent is advised in writing by such Lender that it is no longer illegal for such Lender to determine or charge interest rates based upon the Eurocurrency Base Rate (and each Lender hereby agrees to provide notice to the Administrative Agent and the Company when such illegality ceases to exist). Upon any such prepayment or conversion, the Borrowers shall also pay accrued interest on the amount so prepaid or converted.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Each Lender at its option may make any Credit Extension to any Borrower by causing any domestic or foreign branch or Affiliate of such Lender (each a “</w:t>
      </w:r>
      <w:r>
        <w:rPr>
          <w:rFonts w:ascii="Arial" w:cs="Arial" w:eastAsia="Arial" w:hAnsi="Arial"/>
          <w:sz w:val="19"/>
          <w:szCs w:val="19"/>
          <w:u w:val="single" w:color="auto"/>
          <w:color w:val="auto"/>
        </w:rPr>
        <w:t>Designated Lender</w:t>
      </w:r>
      <w:r>
        <w:rPr>
          <w:rFonts w:ascii="Arial" w:cs="Arial" w:eastAsia="Arial" w:hAnsi="Arial"/>
          <w:sz w:val="19"/>
          <w:szCs w:val="19"/>
          <w:color w:val="auto"/>
        </w:rPr>
        <w:t xml:space="preserve">”) to make such Credit Extension (and in the case of an Affiliate, the provisions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shall apply to such Affiliate to the same extent as to such Lender); provided that any exercise of such option shall not affect the obligation of the relevant Borrower to repay such Credit Extension in accordance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the Company through the Administrative Agent, and until such notice by such Lender is revoked (and each Lender hereby agrees to make such revocation when such illegality ceases to exist), any obligation of such Lender to issue, make, maintain, fund or charge interest with respect to any such Credit Extension shall be suspended. Upon receipt of such notice, the Loan Parties shall, take all reasonable actions requested by such Lender to mitigate or avoid such illegality.</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1" w:lineRule="auto"/>
        <w:tabs>
          <w:tab w:leader="none" w:pos="1075"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in connection with any request for a Eurocurrency Rate Loan or a conversion to or continuation thereof, (i) the Administrative Agent determines that (A) deposits (whether in Dollars or an Alternative Currency) are not being offered to banks in the applicable offshore interbank market for such currency for the applicable amount and Interest Period of such Eurocurrency Rate Loan or (B) adequate and reasonable means do not exist for determining the Eurocurrency Base Rate for any requested Interest Period with respect to a proposed Eurocurrency Rate Loan (whether denominated in Dollars or an Alternative Currency) or in connection with an existing or proposed Base Rate Loan (in each case with respect to clause (i), “</w:t>
      </w:r>
      <w:r>
        <w:rPr>
          <w:rFonts w:ascii="Arial" w:cs="Arial" w:eastAsia="Arial" w:hAnsi="Arial"/>
          <w:sz w:val="20"/>
          <w:szCs w:val="20"/>
          <w:u w:val="single" w:color="auto"/>
          <w:color w:val="auto"/>
        </w:rPr>
        <w:t>Impacted Loans</w:t>
      </w:r>
      <w:r>
        <w:rPr>
          <w:rFonts w:ascii="Arial" w:cs="Arial" w:eastAsia="Arial" w:hAnsi="Arial"/>
          <w:sz w:val="20"/>
          <w:szCs w:val="20"/>
          <w:color w:val="auto"/>
        </w:rPr>
        <w:t>”), or (ii) the Administrative Agent or the Required Lenders determine that for any reason the Eurocurrency Base Rate for any requested Interest Period with respect to a proposed Eurocurrency Rate Loan does not adequately and fairly reflect the cost to such Lenders of funding such Loan, the Administrative Agent will promptly so notify the Company and each Lender. Thereafter, (x) the obligation of the Lenders to make or maintain Eurocurrency Rate Loans in the affected currency or currencies shall be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6" w:right="239" w:bottom="1440" w:gutter="0" w:footer="0" w:header="0"/>
        </w:sectPr>
      </w:pPr>
    </w:p>
    <w:bookmarkStart w:id="70" w:name="page71"/>
    <w:bookmarkEnd w:id="70"/>
    <w:p>
      <w:pPr>
        <w:jc w:val="both"/>
        <w:spacing w:after="0" w:line="243" w:lineRule="auto"/>
        <w:rPr>
          <w:sz w:val="20"/>
          <w:szCs w:val="20"/>
          <w:color w:val="auto"/>
        </w:rPr>
      </w:pPr>
      <w:r>
        <w:rPr>
          <w:rFonts w:ascii="Arial" w:cs="Arial" w:eastAsia="Arial" w:hAnsi="Arial"/>
          <w:sz w:val="20"/>
          <w:szCs w:val="20"/>
          <w:color w:val="auto"/>
        </w:rPr>
        <w:t>suspended (to the extent of the affected Eurocurrency Rate Loans or Interest Periods) and (y) in the event of a determination described in the preceding sentence with respect to the Eurocurrency Base Rate component of the Base Rate, the utilization of the Eurocurrency Base Rate component in determining the Base Rate shall be suspended, in each case until the Administrative Agent (upon the instruction of the Required Lenders, who hereby agree to revoke such notice when the applicable circumstances no longer exist) revokes such notice. Upon receipt of such notice, the applicable Borrower may revoke any pending request for a Borrowing of, conversion to or continuation of Eurocurrency Rate Loans in the affected currency or currencies or, failing that, will be deemed to have converted such request into a request for a Borrowing of Base Rate Loans in the amount specified therein.</w:t>
      </w:r>
    </w:p>
    <w:p>
      <w:pPr>
        <w:spacing w:after="0" w:line="193" w:lineRule="exact"/>
        <w:rPr>
          <w:sz w:val="20"/>
          <w:szCs w:val="20"/>
          <w:color w:val="auto"/>
        </w:rPr>
      </w:pPr>
    </w:p>
    <w:p>
      <w:pPr>
        <w:jc w:val="both"/>
        <w:ind w:firstLine="656"/>
        <w:spacing w:after="0" w:line="282" w:lineRule="auto"/>
        <w:tabs>
          <w:tab w:leader="none" w:pos="10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Administrative Agent has made the determination described in clause (a)(i) of this Section, and the Company shall so request, the Administrative Agent, the Lenders and the Company shall negotiate in good faith to amend the definition of “Eurocurrency Base Rate” and other applicable provisions to preserve the original intent thereof in light of such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such Impacted Loans will be handled as otherwise provided pursuant to the terms of this Section.</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660" w:right="20" w:firstLine="645"/>
        <w:spacing w:after="0" w:line="250" w:lineRule="auto"/>
        <w:tabs>
          <w:tab w:leader="none" w:pos="1675" w:val="left"/>
        </w:tabs>
        <w:numPr>
          <w:ilvl w:val="1"/>
          <w:numId w:val="73"/>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Eurocurrency Rate) or the L/C Issuer;</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770" w:val="left"/>
        </w:tabs>
        <w:numPr>
          <w:ilvl w:val="1"/>
          <w:numId w:val="73"/>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6" w:lineRule="exact"/>
        <w:rPr>
          <w:rFonts w:ascii="Arial" w:cs="Arial" w:eastAsia="Arial" w:hAnsi="Arial"/>
          <w:sz w:val="20"/>
          <w:szCs w:val="20"/>
          <w:color w:val="auto"/>
        </w:rPr>
      </w:pPr>
    </w:p>
    <w:p>
      <w:pPr>
        <w:ind w:left="1780" w:hanging="475"/>
        <w:spacing w:after="0"/>
        <w:tabs>
          <w:tab w:leader="none" w:pos="17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[reserved]; or</w:t>
      </w:r>
    </w:p>
    <w:p>
      <w:pPr>
        <w:spacing w:after="0" w:line="215" w:lineRule="exact"/>
        <w:rPr>
          <w:rFonts w:ascii="Arial" w:cs="Arial" w:eastAsia="Arial" w:hAnsi="Arial"/>
          <w:sz w:val="20"/>
          <w:szCs w:val="20"/>
          <w:color w:val="auto"/>
        </w:rPr>
      </w:pPr>
    </w:p>
    <w:p>
      <w:pPr>
        <w:ind w:left="660" w:firstLine="645"/>
        <w:spacing w:after="0" w:line="287" w:lineRule="auto"/>
        <w:tabs>
          <w:tab w:leader="none" w:pos="1815" w:val="left"/>
        </w:tabs>
        <w:numPr>
          <w:ilvl w:val="1"/>
          <w:numId w:val="73"/>
        </w:numPr>
        <w:rPr>
          <w:rFonts w:ascii="Arial" w:cs="Arial" w:eastAsia="Arial" w:hAnsi="Arial"/>
          <w:sz w:val="19"/>
          <w:szCs w:val="19"/>
          <w:color w:val="auto"/>
        </w:rPr>
      </w:pPr>
      <w:r>
        <w:rPr>
          <w:rFonts w:ascii="Arial" w:cs="Arial" w:eastAsia="Arial" w:hAnsi="Arial"/>
          <w:sz w:val="19"/>
          <w:szCs w:val="19"/>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converting to, continuing or maintaining any Loan the interest on which is determined by reference to the Eurocurrency Base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within thirty days after receipt of the request of such Lender or the L/C Issuer (accompanied by a certificate as contemplated by </w:t>
      </w:r>
      <w:r>
        <w:rPr>
          <w:rFonts w:ascii="Arial" w:cs="Arial" w:eastAsia="Arial" w:hAnsi="Arial"/>
          <w:sz w:val="19"/>
          <w:szCs w:val="19"/>
          <w:u w:val="single" w:color="auto"/>
          <w:color w:val="auto"/>
        </w:rPr>
        <w:t>Section 3.06(a)</w:t>
      </w:r>
      <w:r>
        <w:rPr>
          <w:rFonts w:ascii="Arial" w:cs="Arial" w:eastAsia="Arial" w:hAnsi="Arial"/>
          <w:sz w:val="19"/>
          <w:szCs w:val="19"/>
          <w:color w:val="auto"/>
        </w:rPr>
        <w:t>), the Borrowers will pay to such Lender or the L/C Issuer, as the case may be, such additional amount or amounts as will compensate such Lender or the L/C Issuer, as the case may be, for such additional costs incurred or reduction suffered.</w:t>
      </w:r>
    </w:p>
    <w:p>
      <w:pPr>
        <w:spacing w:after="0" w:line="181" w:lineRule="exact"/>
        <w:rPr>
          <w:sz w:val="20"/>
          <w:szCs w:val="20"/>
          <w:color w:val="auto"/>
        </w:rPr>
      </w:pPr>
    </w:p>
    <w:p>
      <w:pPr>
        <w:ind w:firstLine="656"/>
        <w:spacing w:after="0" w:line="260" w:lineRule="auto"/>
        <w:tabs>
          <w:tab w:leader="none" w:pos="1059"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Capital Requirements</w:t>
      </w:r>
      <w:r>
        <w:rPr>
          <w:rFonts w:ascii="Arial" w:cs="Arial" w:eastAsia="Arial" w:hAnsi="Arial"/>
          <w:sz w:val="20"/>
          <w:szCs w:val="20"/>
          <w:color w:val="auto"/>
        </w:rPr>
        <w:t>. If any Lender or the L/C Issuer determines that any Change in Law affecting such Lender or the L/C Issuer or any Lending Office of such Lender or such Lender’s or the 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6" w:right="239" w:bottom="1440" w:gutter="0" w:footer="0" w:header="0"/>
        </w:sectPr>
      </w:pPr>
    </w:p>
    <w:bookmarkStart w:id="71" w:name="page72"/>
    <w:bookmarkEnd w:id="71"/>
    <w:p>
      <w:pPr>
        <w:jc w:val="both"/>
        <w:spacing w:after="0" w:line="272" w:lineRule="auto"/>
        <w:rPr>
          <w:sz w:val="20"/>
          <w:szCs w:val="20"/>
          <w:color w:val="auto"/>
        </w:rPr>
      </w:pPr>
      <w:r>
        <w:rPr>
          <w:rFonts w:ascii="Arial" w:cs="Arial" w:eastAsia="Arial" w:hAnsi="Arial"/>
          <w:sz w:val="18"/>
          <w:szCs w:val="18"/>
          <w:color w:val="auto"/>
        </w:rPr>
        <w:t xml:space="preserve">Issuer’s holding company, if any, regarding capital or liquidity requirements has had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within thirty days after receipt of the request of such Lender or the L/C Issuer (accompanied by a certificate as contemplated by </w:t>
      </w:r>
      <w:r>
        <w:rPr>
          <w:rFonts w:ascii="Arial" w:cs="Arial" w:eastAsia="Arial" w:hAnsi="Arial"/>
          <w:sz w:val="18"/>
          <w:szCs w:val="18"/>
          <w:u w:val="single" w:color="auto"/>
          <w:color w:val="auto"/>
        </w:rPr>
        <w:t>Section 3.06(a)</w:t>
      </w:r>
      <w:r>
        <w:rPr>
          <w:rFonts w:ascii="Arial" w:cs="Arial" w:eastAsia="Arial" w:hAnsi="Arial"/>
          <w:sz w:val="18"/>
          <w:szCs w:val="18"/>
          <w:color w:val="auto"/>
        </w:rPr>
        <w:t>), such additional amount or amounts as will compensate such Lender or the L/C Issuer or such Lender’s or the L/C Issuer’s holding company for any such reduction suffered.</w:t>
      </w:r>
    </w:p>
    <w:p>
      <w:pPr>
        <w:spacing w:after="0" w:line="171" w:lineRule="exact"/>
        <w:rPr>
          <w:sz w:val="20"/>
          <w:szCs w:val="20"/>
          <w:color w:val="auto"/>
        </w:rPr>
      </w:pPr>
    </w:p>
    <w:p>
      <w:pPr>
        <w:jc w:val="both"/>
        <w:ind w:firstLine="656"/>
        <w:spacing w:after="0" w:line="258" w:lineRule="auto"/>
        <w:tabs>
          <w:tab w:leader="none" w:pos="104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 Lender or the L/C Issuer pursuant to the foregoing provisions of this Section for any increased costs incurred or reductions suffered more than 120 days prior to the date that such Lender or the L/C Issuer, as the case may be, demands compensation pursuant to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in respect of the Change in Law giving rise to such increased costs or reductions (except that, if the Change in Law giving rise to such increased costs or reductions is retroactive, then the 120 day period referred to above shall be extended to include the period of retroactive effect thereof).</w:t>
      </w:r>
    </w:p>
    <w:p>
      <w:pPr>
        <w:spacing w:after="0" w:line="179" w:lineRule="exact"/>
        <w:rPr>
          <w:rFonts w:ascii="Arial" w:cs="Arial" w:eastAsia="Arial" w:hAnsi="Arial"/>
          <w:sz w:val="19"/>
          <w:szCs w:val="19"/>
          <w:color w:val="auto"/>
        </w:rPr>
      </w:pPr>
    </w:p>
    <w:p>
      <w:pPr>
        <w:ind w:firstLine="656"/>
        <w:spacing w:after="0" w:line="316" w:lineRule="auto"/>
        <w:tabs>
          <w:tab w:leader="none" w:pos="108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A Lender shall not be entitled to any compensation pursuant to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to the extent such Lender is not generally imposing such charges or requesting such compensation from other similarly situated borrowers under similar circumstances.</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Within 30 days after written demand of any Lender (with a copy to the Administrative Agent) from time to time, the Borrowers shall compensate such Lender for and hold such Lender harmless from any loss, cost or expense incurred by it as a result of:</w:t>
      </w:r>
    </w:p>
    <w:p>
      <w:pPr>
        <w:spacing w:after="0" w:line="153" w:lineRule="exact"/>
        <w:rPr>
          <w:sz w:val="20"/>
          <w:szCs w:val="20"/>
          <w:color w:val="auto"/>
        </w:rPr>
      </w:pPr>
    </w:p>
    <w:p>
      <w:pPr>
        <w:ind w:firstLine="656"/>
        <w:spacing w:after="0" w:line="287" w:lineRule="auto"/>
        <w:tabs>
          <w:tab w:leader="none" w:pos="1048"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52" w:lineRule="exact"/>
        <w:rPr>
          <w:rFonts w:ascii="Arial" w:cs="Arial" w:eastAsia="Arial" w:hAnsi="Arial"/>
          <w:sz w:val="19"/>
          <w:szCs w:val="19"/>
          <w:color w:val="auto"/>
        </w:rPr>
      </w:pPr>
    </w:p>
    <w:p>
      <w:pPr>
        <w:ind w:firstLine="656"/>
        <w:spacing w:after="0" w:line="260" w:lineRule="auto"/>
        <w:tabs>
          <w:tab w:leader="none" w:pos="1126" w:val="left"/>
        </w:tabs>
        <w:numPr>
          <w:ilvl w:val="0"/>
          <w:numId w:val="76"/>
        </w:numPr>
        <w:rPr>
          <w:rFonts w:ascii="Arial" w:cs="Arial" w:eastAsia="Arial" w:hAnsi="Arial"/>
          <w:sz w:val="20"/>
          <w:szCs w:val="20"/>
          <w:color w:val="auto"/>
        </w:rPr>
      </w:pPr>
      <w:r>
        <w:rPr>
          <w:rFonts w:ascii="Arial" w:cs="Arial" w:eastAsia="Arial" w:hAnsi="Arial"/>
          <w:sz w:val="20"/>
          <w:szCs w:val="20"/>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176" w:lineRule="exact"/>
        <w:rPr>
          <w:rFonts w:ascii="Arial" w:cs="Arial" w:eastAsia="Arial" w:hAnsi="Arial"/>
          <w:sz w:val="20"/>
          <w:szCs w:val="20"/>
          <w:color w:val="auto"/>
        </w:rPr>
      </w:pPr>
    </w:p>
    <w:p>
      <w:pPr>
        <w:ind w:right="20" w:firstLine="656"/>
        <w:spacing w:after="0" w:line="260" w:lineRule="auto"/>
        <w:tabs>
          <w:tab w:leader="none" w:pos="1183" w:val="left"/>
        </w:tabs>
        <w:numPr>
          <w:ilvl w:val="0"/>
          <w:numId w:val="76"/>
        </w:numPr>
        <w:rPr>
          <w:rFonts w:ascii="Arial" w:cs="Arial" w:eastAsia="Arial" w:hAnsi="Arial"/>
          <w:sz w:val="20"/>
          <w:szCs w:val="20"/>
          <w:color w:val="auto"/>
        </w:rPr>
      </w:pPr>
      <w:r>
        <w:rPr>
          <w:rFonts w:ascii="Arial" w:cs="Arial" w:eastAsia="Arial" w:hAnsi="Arial"/>
          <w:sz w:val="20"/>
          <w:szCs w:val="20"/>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76" w:lineRule="exact"/>
        <w:rPr>
          <w:rFonts w:ascii="Arial" w:cs="Arial" w:eastAsia="Arial" w:hAnsi="Arial"/>
          <w:sz w:val="20"/>
          <w:szCs w:val="20"/>
          <w:color w:val="auto"/>
        </w:rPr>
      </w:pPr>
    </w:p>
    <w:p>
      <w:pPr>
        <w:ind w:firstLine="656"/>
        <w:spacing w:after="0" w:line="260" w:lineRule="auto"/>
        <w:tabs>
          <w:tab w:leader="none" w:pos="1059"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the Company pursuant to </w:t>
      </w:r>
      <w:r>
        <w:rPr>
          <w:rFonts w:ascii="Arial" w:cs="Arial" w:eastAsia="Arial" w:hAnsi="Arial"/>
          <w:sz w:val="20"/>
          <w:szCs w:val="20"/>
          <w:u w:val="single" w:color="auto"/>
          <w:color w:val="auto"/>
        </w:rPr>
        <w:t>Section 11.14</w:t>
      </w:r>
      <w:r>
        <w:rPr>
          <w:rFonts w:ascii="Arial" w:cs="Arial" w:eastAsia="Arial" w:hAnsi="Arial"/>
          <w:sz w:val="20"/>
          <w:szCs w:val="20"/>
          <w:color w:val="auto"/>
        </w:rPr>
        <w: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including any foreign exchange losses and any loss or expense arising from the liquidation or reemployment of funds obtained by it to maintain such Loan, from fees payable to terminate the deposits from which such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6" w:right="2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20"/>
          <w:szCs w:val="20"/>
          <w:color w:val="auto"/>
        </w:rPr>
        <w:t>funds were obtained or from the performance of any foreign exchange contract and excluding any loss of anticipated profits. The Borrowers shall also pay any customary administrative fees charged by such Lender in connection with the foregoing.</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Borrowers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Eurocurrency Rate Loan made by it at the Eurocurrency Base Rate used in determining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6" w:lineRule="auto"/>
        <w:tabs>
          <w:tab w:leader="none" w:pos="108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 certificate of the Administrative Agent, any Lender or the L/C Issuer claiming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setting forth, in reasonable detail, the basis of any loss, cost or expense and the additional amount or amounts to be paid to it hereunder shall be conclusive in the absence of demonstrable error. In determining such amount, the Administrative Agent, such Lender or the L/C Issuer (i) may use reasonable averaging and attribution methods and (ii) shall act in good faith (and not on an arbitrary or capricious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Administrative Agent, such Lender or the L/C Issuer, as applicable, shall be required to disclose any confidential or proprietary information in connection therewith. Any claim for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must be accompanied by such certificate.</w:t>
      </w:r>
    </w:p>
    <w:p>
      <w:pPr>
        <w:spacing w:after="0" w:line="165" w:lineRule="exact"/>
        <w:rPr>
          <w:rFonts w:ascii="Arial" w:cs="Arial" w:eastAsia="Arial" w:hAnsi="Arial"/>
          <w:sz w:val="18"/>
          <w:szCs w:val="18"/>
          <w:color w:val="auto"/>
        </w:rPr>
      </w:pPr>
    </w:p>
    <w:p>
      <w:pPr>
        <w:jc w:val="both"/>
        <w:ind w:firstLine="656"/>
        <w:spacing w:after="0" w:line="255" w:lineRule="auto"/>
        <w:tabs>
          <w:tab w:leader="none" w:pos="1072"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Each Lender may make any Credit Extension to a Borrower through any Lending Office, provided that the exercise of this option shall not affect the obligation of such Borrower to repay the Credit Extension in accordance with the terms of this Agreement. If any Lender or the L/C Issuer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any Borrower is required to pay any Indemnified Taxes or additional amounts to any Lender, the L/C Issuer, or any Governmental Authority for the account of any Lender or the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Company,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the L/C Issuer, as the case may be, to any unreimbursed cost or expense and would not otherwise be disadvantageous to such Lender or the L/C Issuer, as the case may be. The Borrowers hereby agree to pay all reasonable costs and expenses incurred by any Lender or the L/C Issuer in connection with any such designation or assignment.</w:t>
      </w:r>
    </w:p>
    <w:p>
      <w:pPr>
        <w:spacing w:after="0" w:line="185" w:lineRule="exact"/>
        <w:rPr>
          <w:rFonts w:ascii="Arial" w:cs="Arial" w:eastAsia="Arial" w:hAnsi="Arial"/>
          <w:sz w:val="19"/>
          <w:szCs w:val="19"/>
          <w:color w:val="auto"/>
        </w:rPr>
      </w:pPr>
    </w:p>
    <w:p>
      <w:pPr>
        <w:ind w:right="20" w:firstLine="656"/>
        <w:spacing w:after="0" w:line="260" w:lineRule="auto"/>
        <w:tabs>
          <w:tab w:leader="none" w:pos="1075"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Upon any Lender’s making a claim for compensation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giving a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the Company may replace such Lender in accordance with </w:t>
      </w:r>
      <w:r>
        <w:rPr>
          <w:rFonts w:ascii="Arial" w:cs="Arial" w:eastAsia="Arial" w:hAnsi="Arial"/>
          <w:sz w:val="20"/>
          <w:szCs w:val="20"/>
          <w:u w:val="single" w:color="auto"/>
          <w:color w:val="auto"/>
        </w:rPr>
        <w:t>Section 11.14</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6"/>
          <w:szCs w:val="16"/>
          <w:u w:val="single" w:color="auto"/>
          <w:color w:val="auto"/>
        </w:rPr>
        <w:t>Successor LIBOR</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Notwithstanding anything to the contrary in this Agreement or any other Loan Documents (including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hereof), if the Administrative Agent determines (which determination shall be conclusive absent manifest error), or the Company notifies the Administrative Agent that the Company has determined, that:</w:t>
      </w:r>
    </w:p>
    <w:p>
      <w:pPr>
        <w:spacing w:after="0" w:line="186" w:lineRule="exact"/>
        <w:rPr>
          <w:sz w:val="20"/>
          <w:szCs w:val="20"/>
          <w:color w:val="auto"/>
        </w:rPr>
      </w:pPr>
    </w:p>
    <w:p>
      <w:pPr>
        <w:ind w:left="660" w:firstLine="645"/>
        <w:spacing w:after="0" w:line="287" w:lineRule="auto"/>
        <w:tabs>
          <w:tab w:leader="none" w:pos="1711" w:val="left"/>
        </w:tabs>
        <w:numPr>
          <w:ilvl w:val="0"/>
          <w:numId w:val="78"/>
        </w:numPr>
        <w:rPr>
          <w:rFonts w:ascii="Arial" w:cs="Arial" w:eastAsia="Arial" w:hAnsi="Arial"/>
          <w:sz w:val="19"/>
          <w:szCs w:val="19"/>
          <w:color w:val="auto"/>
        </w:rPr>
      </w:pPr>
      <w:r>
        <w:rPr>
          <w:rFonts w:ascii="Arial" w:cs="Arial" w:eastAsia="Arial" w:hAnsi="Arial"/>
          <w:sz w:val="19"/>
          <w:szCs w:val="19"/>
          <w:color w:val="auto"/>
        </w:rPr>
        <w:t>adequate and reasonable means do not exist for ascertaining LIBOR for any requested Interest Period because the LIBOR Screen Rate is not available or published on a current basis and such circumstances are unlikely to be temporary;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6" w:right="239" w:bottom="1440" w:gutter="0" w:footer="0" w:header="0"/>
        </w:sectPr>
      </w:pPr>
    </w:p>
    <w:bookmarkStart w:id="73" w:name="page74"/>
    <w:bookmarkEnd w:id="73"/>
    <w:p>
      <w:pPr>
        <w:jc w:val="both"/>
        <w:ind w:left="660" w:firstLine="645"/>
        <w:spacing w:after="0" w:line="291" w:lineRule="auto"/>
        <w:tabs>
          <w:tab w:leader="none" w:pos="18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151" w:lineRule="exact"/>
        <w:rPr>
          <w:rFonts w:ascii="Arial" w:cs="Arial" w:eastAsia="Arial" w:hAnsi="Arial"/>
          <w:sz w:val="18"/>
          <w:szCs w:val="18"/>
          <w:color w:val="auto"/>
        </w:rPr>
      </w:pPr>
    </w:p>
    <w:p>
      <w:pPr>
        <w:ind w:left="660" w:firstLine="645"/>
        <w:spacing w:after="0" w:line="260" w:lineRule="auto"/>
        <w:tabs>
          <w:tab w:leader="none" w:pos="1862" w:val="left"/>
        </w:tabs>
        <w:numPr>
          <w:ilvl w:val="0"/>
          <w:numId w:val="79"/>
        </w:numPr>
        <w:rPr>
          <w:rFonts w:ascii="Arial" w:cs="Arial" w:eastAsia="Arial" w:hAnsi="Arial"/>
          <w:sz w:val="20"/>
          <w:szCs w:val="20"/>
          <w:color w:val="auto"/>
        </w:rPr>
      </w:pPr>
      <w:r>
        <w:rPr>
          <w:rFonts w:ascii="Arial" w:cs="Arial" w:eastAsia="Arial" w:hAnsi="Arial"/>
          <w:sz w:val="20"/>
          <w:szCs w:val="20"/>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then, reasonably promptly after such determination by the Administrative Agent or receipt by the Administrative Agent of such notice, as applicable, the Administrative Agent and the Company may amend this Agreement to replace LIBOR with an alternate benchmark rate (including any mathematical or other adjustments to the benchmark (if any) incorporated therein, such as the margin applicable thereto), giving due consideration to any evolving or then-existing convention for similar Dollar denominated syndicated credit facilities for such alternative benchmarks (any such proposed rate, a “</w:t>
      </w:r>
      <w:r>
        <w:rPr>
          <w:rFonts w:ascii="Arial" w:cs="Arial" w:eastAsia="Arial" w:hAnsi="Arial"/>
          <w:sz w:val="19"/>
          <w:szCs w:val="19"/>
          <w:u w:val="single" w:color="auto"/>
          <w:color w:val="auto"/>
        </w:rPr>
        <w:t>LIBOR Successor Rate</w:t>
      </w:r>
      <w:r>
        <w:rPr>
          <w:rFonts w:ascii="Arial" w:cs="Arial" w:eastAsia="Arial" w:hAnsi="Arial"/>
          <w:sz w:val="19"/>
          <w:szCs w:val="19"/>
          <w:color w:val="auto"/>
        </w:rPr>
        <w:t>”), together with any proposed LIBOR Successor Rate Conforming Changes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do not accept such amendment. For the avoidance of doubt, no Loan Party shall be required to pay any “amendment fee” or other similar fee in connection with an amendment or other modification to this Agreement or any other Loan Document made solely in connection with the replacement of LIBOR with the LIBOR Successor Rate or any proposed LIBOR Successor Rate Conforming Changes related thereto.</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no LIBOR Successor Rate has been determined and the circumstances under clause (i) above exist or the Scheduled Unavailability Date has occurred (as applicable), the Administrative Agent will promptly so notify the Company and each Lender. Thereafter, (x) the obligation of the Lenders to make or maintain Eurocurrency Rate Loans shall be suspended (to the extent of the affected Eurocurrency Rate Loans or Interest Periods), and (y) the Eurocurrency Rate component shall no longer be utilized in determining the Base Rate (to the extent of the affected Interest Period). Upon receipt of such notice, the Borrowers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clause (y)) in the amount specified therein.</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All of the Loan Parties’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Revolving Commitments and repayment of all other Obligations hereunder and resignation of the Administrative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6" w:right="23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6"/>
          <w:szCs w:val="16"/>
          <w:u w:val="single" w:color="auto"/>
          <w:color w:val="auto"/>
        </w:rPr>
        <w:t>The Guaranty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Each of the Guarantors hereby jointly and severally guarantees to each Lender, each Affiliate of a Lender that enters into a Hedging Agreement or a Treasury Management Agreement with a Loan Party, and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(after giving effect to any grace or cure period) (whether at stated maturity, as a mandatory prepayment, by acceleration, as a mandatory cash collateralization or otherwise), the Guarantors will promptly, jointly and severally, promptly pay the same, without any demand or notice,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any provision to the contrary contained herein or in any other of the Loan Documents, Hedging Agreements or Treasury Management Agreements, the obligations of each Guarantor (in its capacity as such) under this Agreement and the other Loan Documents shall be limited to an aggregate amount equal to the largest amount that would not render such obligations subject to avoidance under applicable Debtor Relief Laws or any comparable provisions of any applicable Law.</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The obligations of the Guarantors under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joint and several, absolute and unconditional, irrespective of the value, genuineness, validity, regularity or enforceability of any of the Loan Documents, Hedging Agreements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Borrowers or any other Guarantor for amounts paid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until such time as the Obligations (other than contingent obligations that survive termination of this Agreement)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71" w:lineRule="exact"/>
        <w:rPr>
          <w:sz w:val="20"/>
          <w:szCs w:val="20"/>
          <w:color w:val="auto"/>
        </w:rPr>
      </w:pPr>
    </w:p>
    <w:p>
      <w:pPr>
        <w:ind w:firstLine="656"/>
        <w:spacing w:after="0" w:line="260" w:lineRule="auto"/>
        <w:tabs>
          <w:tab w:leader="none" w:pos="1061" w:val="left"/>
        </w:tabs>
        <w:numPr>
          <w:ilvl w:val="0"/>
          <w:numId w:val="80"/>
        </w:numPr>
        <w:rPr>
          <w:rFonts w:ascii="Arial" w:cs="Arial" w:eastAsia="Arial" w:hAnsi="Arial"/>
          <w:sz w:val="20"/>
          <w:szCs w:val="20"/>
          <w:color w:val="auto"/>
        </w:rPr>
      </w:pPr>
      <w:r>
        <w:rPr>
          <w:rFonts w:ascii="Arial" w:cs="Arial" w:eastAsia="Arial" w:hAnsi="Arial"/>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76" w:lineRule="exact"/>
        <w:rPr>
          <w:rFonts w:ascii="Arial" w:cs="Arial" w:eastAsia="Arial" w:hAnsi="Arial"/>
          <w:sz w:val="20"/>
          <w:szCs w:val="20"/>
          <w:color w:val="auto"/>
        </w:rPr>
      </w:pPr>
    </w:p>
    <w:p>
      <w:pPr>
        <w:ind w:firstLine="656"/>
        <w:spacing w:after="0" w:line="260" w:lineRule="auto"/>
        <w:tabs>
          <w:tab w:leader="none" w:pos="1207"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of the acts mentioned in any of the provisions of any of the Loan Documents, any Hedging Agreement or Treasury Management Agreement between any Loan Party and any Lender, or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6" w:right="239" w:bottom="1440" w:gutter="0" w:footer="0" w:header="0"/>
        </w:sectPr>
      </w:pPr>
    </w:p>
    <w:bookmarkStart w:id="75" w:name="page76"/>
    <w:bookmarkEnd w:id="75"/>
    <w:p>
      <w:pPr>
        <w:spacing w:after="0" w:line="260" w:lineRule="auto"/>
        <w:rPr>
          <w:sz w:val="20"/>
          <w:szCs w:val="20"/>
          <w:color w:val="auto"/>
        </w:rPr>
      </w:pPr>
      <w:r>
        <w:rPr>
          <w:rFonts w:ascii="Arial" w:cs="Arial" w:eastAsia="Arial" w:hAnsi="Arial"/>
          <w:sz w:val="20"/>
          <w:szCs w:val="20"/>
          <w:color w:val="auto"/>
        </w:rPr>
        <w:t>Affiliate of a Lender, or any other agreement or instrument referred to in the Loan Documents, such Hedging Agreements or such Treasury Management Agreements shall be done or omitted;</w:t>
      </w:r>
    </w:p>
    <w:p>
      <w:pPr>
        <w:spacing w:after="0" w:line="177" w:lineRule="exact"/>
        <w:rPr>
          <w:sz w:val="20"/>
          <w:szCs w:val="20"/>
          <w:color w:val="auto"/>
        </w:rPr>
      </w:pPr>
    </w:p>
    <w:p>
      <w:pPr>
        <w:jc w:val="both"/>
        <w:ind w:firstLine="656"/>
        <w:spacing w:after="0" w:line="243" w:lineRule="auto"/>
        <w:tabs>
          <w:tab w:leader="none" w:pos="1061"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maturity of any of the Obligations shall be accelerated, or any of the Obligations shall be modified, supplemented or amended in any respect, or any right under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waived or any other guarantee of any of the Obligations or any security therefor shall be released, impaired or exchanged in whole or in part or otherwise dealt with (except to the extent such Guarantor has been expressly released in writing from its obligations under this Guaranty by the requisite Lenders in accordance with the express terms of this Agreement);</w:t>
      </w:r>
    </w:p>
    <w:p>
      <w:pPr>
        <w:spacing w:after="0" w:line="193" w:lineRule="exact"/>
        <w:rPr>
          <w:rFonts w:ascii="Arial" w:cs="Arial" w:eastAsia="Arial" w:hAnsi="Arial"/>
          <w:sz w:val="20"/>
          <w:szCs w:val="20"/>
          <w:color w:val="auto"/>
        </w:rPr>
      </w:pPr>
    </w:p>
    <w:p>
      <w:pPr>
        <w:ind w:firstLine="656"/>
        <w:spacing w:after="0" w:line="260" w:lineRule="auto"/>
        <w:tabs>
          <w:tab w:leader="none" w:pos="1099"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Lien granted to, or in favor of, the Administrative Agent or any holder of Obligations as security for any of the Obligations shall fail to attach or be perfected; or</w:t>
      </w:r>
    </w:p>
    <w:p>
      <w:pPr>
        <w:spacing w:after="0" w:line="176" w:lineRule="exact"/>
        <w:rPr>
          <w:rFonts w:ascii="Arial" w:cs="Arial" w:eastAsia="Arial" w:hAnsi="Arial"/>
          <w:sz w:val="20"/>
          <w:szCs w:val="20"/>
          <w:color w:val="auto"/>
        </w:rPr>
      </w:pPr>
    </w:p>
    <w:p>
      <w:pPr>
        <w:ind w:firstLine="656"/>
        <w:spacing w:after="0" w:line="287" w:lineRule="auto"/>
        <w:tabs>
          <w:tab w:leader="none" w:pos="1075"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5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(other than any notice any Guarantor has the express right to receive under any Loan Document), and any requirement that the Administrative Agent or any holder of the Obligations exhaust any right, power or remedy or proceed against any Person under any of the Loan Documents, any Hedging Agreement or any Treasury Management Agreement between any Loan Party and any Lender, or any Affiliate of a Lender, or any other agreement or instrument referred to in the Loan Documents, such Hedging Agreements or such Treasury Management Agreements, or against any other Person under any other guarantee of, or security for, any of the Obligations.</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4.03</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The obligations of the Guarantors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holder of the Obligations on demand for all reasonable costs and expenses (including, without limitation, the reasonable and documented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4.04</w:t>
      </w:r>
      <w:r>
        <w:rPr>
          <w:sz w:val="20"/>
          <w:szCs w:val="20"/>
          <w:color w:val="auto"/>
        </w:rPr>
        <w:tab/>
      </w:r>
      <w:r>
        <w:rPr>
          <w:rFonts w:ascii="Arial" w:cs="Arial" w:eastAsia="Arial" w:hAnsi="Arial"/>
          <w:sz w:val="18"/>
          <w:szCs w:val="18"/>
          <w:u w:val="single" w:color="auto"/>
          <w:color w:val="auto"/>
        </w:rPr>
        <w:t>Certain Additional Waivers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through the exercise of rights of contribution pursuant to </w:t>
      </w:r>
      <w:r>
        <w:rPr>
          <w:rFonts w:ascii="Arial" w:cs="Arial" w:eastAsia="Arial" w:hAnsi="Arial"/>
          <w:sz w:val="19"/>
          <w:szCs w:val="19"/>
          <w:u w:val="single" w:color="auto"/>
          <w:color w:val="auto"/>
        </w:rPr>
        <w:t>Section 4.06</w:t>
      </w:r>
      <w:r>
        <w:rPr>
          <w:rFonts w:ascii="Arial" w:cs="Arial" w:eastAsia="Arial" w:hAnsi="Arial"/>
          <w:sz w:val="19"/>
          <w:szCs w:val="19"/>
          <w:color w:val="auto"/>
        </w:rPr>
        <w:t>.</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4.05</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Guarantors agree that, to the fullest extent permitted by Law, as between the Guarantors, on the one hand, and the holders of the Obligations, on the other hand, the Obligations may be declared to be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6" w:right="239" w:bottom="1440" w:gutter="0" w:footer="0" w:header="0"/>
        </w:sectPr>
      </w:pPr>
    </w:p>
    <w:bookmarkStart w:id="76" w:name="page77"/>
    <w:bookmarkEnd w:id="76"/>
    <w:p>
      <w:pPr>
        <w:jc w:val="both"/>
        <w:spacing w:after="0" w:line="278" w:lineRule="auto"/>
        <w:rPr>
          <w:sz w:val="20"/>
          <w:szCs w:val="20"/>
          <w:color w:val="auto"/>
        </w:rPr>
      </w:pPr>
      <w:r>
        <w:rPr>
          <w:rFonts w:ascii="Arial" w:cs="Arial" w:eastAsia="Arial" w:hAnsi="Arial"/>
          <w:sz w:val="18"/>
          <w:szCs w:val="18"/>
          <w:color w:val="auto"/>
        </w:rPr>
        <w:t xml:space="preserve">forthwith due and payable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shall be deemed to have become automatically due and payable in the circumstances provided in said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4.06</w:t>
      </w:r>
      <w:r>
        <w:rPr>
          <w:sz w:val="20"/>
          <w:szCs w:val="20"/>
          <w:color w:val="auto"/>
        </w:rPr>
        <w:tab/>
      </w:r>
      <w:r>
        <w:rPr>
          <w:rFonts w:ascii="Arial" w:cs="Arial" w:eastAsia="Arial" w:hAnsi="Arial"/>
          <w:sz w:val="18"/>
          <w:szCs w:val="18"/>
          <w:u w:val="single" w:color="auto"/>
          <w:color w:val="auto"/>
        </w:rPr>
        <w:t>Rights of Contribution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obligations that survive the termination of this Agreement) have been paid in full and the Commitments have terminated.</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4.07</w:t>
      </w:r>
      <w:r>
        <w:rPr>
          <w:sz w:val="20"/>
          <w:szCs w:val="20"/>
          <w:color w:val="auto"/>
        </w:rPr>
        <w:tab/>
      </w:r>
      <w:r>
        <w:rPr>
          <w:rFonts w:ascii="Arial" w:cs="Arial" w:eastAsia="Arial" w:hAnsi="Arial"/>
          <w:sz w:val="16"/>
          <w:szCs w:val="16"/>
          <w:u w:val="single" w:color="auto"/>
          <w:color w:val="auto"/>
        </w:rPr>
        <w:t>Guarantee of Payment; Continuing Guarantee</w:t>
      </w:r>
      <w:r>
        <w:rPr>
          <w:rFonts w:ascii="Arial" w:cs="Arial" w:eastAsia="Arial" w:hAnsi="Arial"/>
          <w:sz w:val="16"/>
          <w:szCs w:val="16"/>
          <w:color w:val="auto"/>
        </w:rPr>
        <w:t>.</w:t>
      </w:r>
    </w:p>
    <w:p>
      <w:pPr>
        <w:spacing w:after="0" w:line="216" w:lineRule="exact"/>
        <w:rPr>
          <w:sz w:val="20"/>
          <w:szCs w:val="20"/>
          <w:color w:val="auto"/>
        </w:rPr>
      </w:pPr>
    </w:p>
    <w:p>
      <w:pPr>
        <w:ind w:right="20" w:firstLine="656"/>
        <w:spacing w:after="0" w:line="260" w:lineRule="auto"/>
        <w:tabs>
          <w:tab w:leader="none" w:pos="1088"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The guarantee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a guaranty of payment and not of collection, is a continuing guarantee, and shall apply to all Obligations whenever arising.</w:t>
      </w:r>
    </w:p>
    <w:p>
      <w:pPr>
        <w:spacing w:after="0" w:line="176" w:lineRule="exact"/>
        <w:rPr>
          <w:rFonts w:ascii="Arial" w:cs="Arial" w:eastAsia="Arial" w:hAnsi="Arial"/>
          <w:sz w:val="20"/>
          <w:szCs w:val="20"/>
          <w:color w:val="auto"/>
        </w:rPr>
      </w:pPr>
    </w:p>
    <w:p>
      <w:pPr>
        <w:jc w:val="both"/>
        <w:ind w:firstLine="656"/>
        <w:spacing w:after="0" w:line="276"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 Guarantor shall automatically be released from its obligations hereunder and its Guaranty shall be automatically released upon (i) such Subsidiary becoming an Excluded Subsidiary and receipt by the Administrative Agent of written notice thereof from the Company, (ii) the dissolution, liquidation or winding up of such Subsidiary as permitted hereunder or (iii) the consummation of any transaction permitted hereunder as a result of which such Guarantor ceases to be a Subsidiary. In connection with any such release, the Administrative Agent shall execute and deliver to any such Guarantor, at such Guarantor’s expense, all documents that such Guarantor shall reasonably request to evidence termination or release.</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4.08</w:t>
      </w:r>
      <w:r>
        <w:rPr>
          <w:sz w:val="20"/>
          <w:szCs w:val="20"/>
          <w:color w:val="auto"/>
        </w:rPr>
        <w:tab/>
      </w:r>
      <w:r>
        <w:rPr>
          <w:rFonts w:ascii="Arial" w:cs="Arial" w:eastAsia="Arial" w:hAnsi="Arial"/>
          <w:sz w:val="18"/>
          <w:szCs w:val="18"/>
          <w:u w:val="single" w:color="auto"/>
          <w:color w:val="auto"/>
        </w:rPr>
        <w:t>Keepwell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Each Loan Party that is a Qualified ECP Guarantor at the time the Guaranty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by any Loan Party that is not then an “eligible contract participant” under the Commodity Exchange Act (a “</w:t>
      </w:r>
      <w:r>
        <w:rPr>
          <w:rFonts w:ascii="Arial" w:cs="Arial" w:eastAsia="Arial" w:hAnsi="Arial"/>
          <w:sz w:val="19"/>
          <w:szCs w:val="19"/>
          <w:u w:val="single" w:color="auto"/>
          <w:color w:val="auto"/>
        </w:rPr>
        <w:t>Specified Loan Party</w:t>
      </w:r>
      <w:r>
        <w:rPr>
          <w:rFonts w:ascii="Arial" w:cs="Arial" w:eastAsia="Arial" w:hAnsi="Arial"/>
          <w:sz w:val="19"/>
          <w:szCs w:val="19"/>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voidable under applicable Debtor Relief Laws, and not for any greater amount). The obligations and undertakings of each Qualified ECP Guarantor under this Section shall remain in full force and effect until the Obligations have been paid and performed in full. Each Loan Party intends this Section to constitute, and this Section shall be deemed to constitute, a “keepwell, support, or other agreement” for the benefit of each Specified Loan Party for all purposes of the Commodity Exchange Act.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6" w:right="23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CONDITIONS PRECEDENT TO CREDIT EXTENSIONS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u w:val="single" w:color="auto"/>
          <w:color w:val="auto"/>
        </w:rPr>
        <w:t>Conditions of Initial Credit Extension</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obligation of each Lender to make its initial Credit Extension hereunder is subject to satisfaction of the following conditions precedent:</w:t>
      </w:r>
    </w:p>
    <w:p>
      <w:pPr>
        <w:spacing w:after="0" w:line="177" w:lineRule="exact"/>
        <w:rPr>
          <w:sz w:val="20"/>
          <w:szCs w:val="20"/>
          <w:color w:val="auto"/>
        </w:rPr>
      </w:pPr>
    </w:p>
    <w:p>
      <w:pPr>
        <w:ind w:firstLine="656"/>
        <w:spacing w:after="0" w:line="316" w:lineRule="auto"/>
        <w:tabs>
          <w:tab w:leader="none" w:pos="123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130" w:lineRule="exact"/>
        <w:rPr>
          <w:rFonts w:ascii="Arial" w:cs="Arial" w:eastAsia="Arial" w:hAnsi="Arial"/>
          <w:sz w:val="18"/>
          <w:szCs w:val="18"/>
          <w:color w:val="auto"/>
        </w:rPr>
      </w:pPr>
    </w:p>
    <w:p>
      <w:pPr>
        <w:jc w:val="both"/>
        <w:ind w:firstLine="656"/>
        <w:spacing w:after="0" w:line="250" w:lineRule="auto"/>
        <w:tabs>
          <w:tab w:leader="none" w:pos="1059"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186" w:lineRule="exact"/>
        <w:rPr>
          <w:rFonts w:ascii="Arial" w:cs="Arial" w:eastAsia="Arial" w:hAnsi="Arial"/>
          <w:sz w:val="20"/>
          <w:szCs w:val="20"/>
          <w:color w:val="auto"/>
        </w:rPr>
      </w:pPr>
    </w:p>
    <w:p>
      <w:pPr>
        <w:ind w:firstLine="656"/>
        <w:spacing w:after="0" w:line="316" w:lineRule="auto"/>
        <w:tabs>
          <w:tab w:leader="none" w:pos="106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There shall not have occurred a material adverse change since July 31, 2018 in the business, assets, liabilities (actual or contingent), operations or condition (financial or otherwise) of the Company and its Subsidiaries, taken as a whole.</w:t>
      </w:r>
    </w:p>
    <w:p>
      <w:pPr>
        <w:spacing w:after="0" w:line="130" w:lineRule="exact"/>
        <w:rPr>
          <w:rFonts w:ascii="Arial" w:cs="Arial" w:eastAsia="Arial" w:hAnsi="Arial"/>
          <w:sz w:val="18"/>
          <w:szCs w:val="18"/>
          <w:color w:val="auto"/>
        </w:rPr>
      </w:pPr>
    </w:p>
    <w:p>
      <w:pPr>
        <w:jc w:val="both"/>
        <w:ind w:right="20" w:firstLine="656"/>
        <w:spacing w:after="0" w:line="250" w:lineRule="auto"/>
        <w:tabs>
          <w:tab w:leader="none" w:pos="1059"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There shall not exist any action, suit, investigation or proceeding pending or threatened in writing against the Company or any of its Subsidiaries in any court or before an arbitrator or Governmental Authority that could reasonably be expected to have a Material Adverse Effect.</w:t>
      </w:r>
    </w:p>
    <w:p>
      <w:pPr>
        <w:spacing w:after="0" w:line="186" w:lineRule="exact"/>
        <w:rPr>
          <w:rFonts w:ascii="Arial" w:cs="Arial" w:eastAsia="Arial" w:hAnsi="Arial"/>
          <w:sz w:val="20"/>
          <w:szCs w:val="20"/>
          <w:color w:val="auto"/>
        </w:rPr>
      </w:pPr>
    </w:p>
    <w:p>
      <w:pPr>
        <w:jc w:val="both"/>
        <w:ind w:right="20" w:firstLine="656"/>
        <w:spacing w:after="0" w:line="250" w:lineRule="auto"/>
        <w:tabs>
          <w:tab w:leader="none" w:pos="104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Organization Documents, Resolutions, Etc</w:t>
      </w:r>
      <w:r>
        <w:rPr>
          <w:rFonts w:ascii="Arial" w:cs="Arial" w:eastAsia="Arial" w:hAnsi="Arial"/>
          <w:sz w:val="20"/>
          <w:szCs w:val="20"/>
          <w:color w:val="auto"/>
        </w:rPr>
        <w:t>. Receipt by the Administrative Agent of the following, each of which shall be originals or .pdf or facsimiles (in each case, followed promptly by originals), in form and substance satisfactory to the Administrative Agent and its legal counsel:</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756" w:val="left"/>
        </w:tabs>
        <w:numPr>
          <w:ilvl w:val="1"/>
          <w:numId w:val="83"/>
        </w:numPr>
        <w:rPr>
          <w:rFonts w:ascii="Arial" w:cs="Arial" w:eastAsia="Arial" w:hAnsi="Arial"/>
          <w:sz w:val="19"/>
          <w:szCs w:val="19"/>
          <w:color w:val="auto"/>
        </w:rPr>
      </w:pPr>
      <w:r>
        <w:rPr>
          <w:rFonts w:ascii="Arial" w:cs="Arial" w:eastAsia="Arial" w:hAnsi="Arial"/>
          <w:sz w:val="19"/>
          <w:szCs w:val="19"/>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70" w:lineRule="exact"/>
        <w:rPr>
          <w:rFonts w:ascii="Arial" w:cs="Arial" w:eastAsia="Arial" w:hAnsi="Arial"/>
          <w:sz w:val="19"/>
          <w:szCs w:val="19"/>
          <w:color w:val="auto"/>
        </w:rPr>
      </w:pPr>
    </w:p>
    <w:p>
      <w:pPr>
        <w:ind w:left="660" w:firstLine="645"/>
        <w:spacing w:after="0" w:line="260" w:lineRule="auto"/>
        <w:tabs>
          <w:tab w:leader="none" w:pos="1730" w:val="left"/>
        </w:tabs>
        <w:numPr>
          <w:ilvl w:val="1"/>
          <w:numId w:val="83"/>
        </w:numPr>
        <w:rPr>
          <w:rFonts w:ascii="Arial" w:cs="Arial" w:eastAsia="Arial" w:hAnsi="Arial"/>
          <w:sz w:val="20"/>
          <w:szCs w:val="20"/>
          <w:color w:val="auto"/>
        </w:rPr>
      </w:pPr>
      <w:r>
        <w:rPr>
          <w:rFonts w:ascii="Arial" w:cs="Arial" w:eastAsia="Arial" w:hAnsi="Arial"/>
          <w:sz w:val="20"/>
          <w:szCs w:val="20"/>
          <w:color w:val="auto"/>
        </w:rPr>
        <w:t>copies of the consolidated articles of association of each Luxembourg Loan Party, certified to be true and complete as of a recent date by a manager or director (where applicable) of such Luxembourg Loan Party;</w:t>
      </w:r>
    </w:p>
    <w:p>
      <w:pPr>
        <w:spacing w:after="0" w:line="176" w:lineRule="exact"/>
        <w:rPr>
          <w:rFonts w:ascii="Arial" w:cs="Arial" w:eastAsia="Arial" w:hAnsi="Arial"/>
          <w:sz w:val="20"/>
          <w:szCs w:val="20"/>
          <w:color w:val="auto"/>
        </w:rPr>
      </w:pPr>
    </w:p>
    <w:p>
      <w:pPr>
        <w:jc w:val="both"/>
        <w:ind w:left="660" w:firstLine="645"/>
        <w:spacing w:after="0" w:line="272" w:lineRule="auto"/>
        <w:tabs>
          <w:tab w:leader="none" w:pos="18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or the equivalent with respect to any non-U.S. jurisdiction (including, with respect to a Luxembourg Loan Party, a true and complete copy of an extract from the Luxembourg Companies Register dated no earlier than one (1) day before the Closing Date, and a true and complete copy of a certificate of non-registration of judgments (</w:t>
      </w:r>
      <w:r>
        <w:rPr>
          <w:rFonts w:ascii="Arial" w:cs="Arial" w:eastAsia="Arial" w:hAnsi="Arial"/>
          <w:sz w:val="18"/>
          <w:szCs w:val="18"/>
          <w:i w:val="1"/>
          <w:iCs w:val="1"/>
          <w:color w:val="auto"/>
        </w:rPr>
        <w:t>certificat de non-inscription d’une décision judiciaire ou certificat</w:t>
      </w:r>
      <w:r>
        <w:rPr>
          <w:rFonts w:ascii="Arial" w:cs="Arial" w:eastAsia="Arial" w:hAnsi="Arial"/>
          <w:sz w:val="18"/>
          <w:szCs w:val="18"/>
          <w:color w:val="auto"/>
        </w:rPr>
        <w:t xml:space="preserve"> </w:t>
      </w:r>
      <w:r>
        <w:rPr>
          <w:rFonts w:ascii="Arial" w:cs="Arial" w:eastAsia="Arial" w:hAnsi="Arial"/>
          <w:sz w:val="18"/>
          <w:szCs w:val="18"/>
          <w:i w:val="1"/>
          <w:iCs w:val="1"/>
          <w:color w:val="auto"/>
        </w:rPr>
        <w:t>négatif</w:t>
      </w:r>
      <w:r>
        <w:rPr>
          <w:rFonts w:ascii="Arial" w:cs="Arial" w:eastAsia="Arial" w:hAnsi="Arial"/>
          <w:sz w:val="18"/>
          <w:szCs w:val="18"/>
          <w:color w:val="auto"/>
        </w:rPr>
        <w:t>), issued by the Luxembourg Companies Register on the date of this agreement and reflecting the situation of one day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this agreement, stating that such Luxembourg Loan Party incorporated in Luxembourg has not been declared bankrupt (</w:t>
      </w:r>
      <w:r>
        <w:rPr>
          <w:rFonts w:ascii="Arial" w:cs="Arial" w:eastAsia="Arial" w:hAnsi="Arial"/>
          <w:sz w:val="18"/>
          <w:szCs w:val="18"/>
          <w:i w:val="1"/>
          <w:iCs w:val="1"/>
          <w:color w:val="auto"/>
        </w:rPr>
        <w:t>en</w:t>
      </w:r>
      <w:r>
        <w:rPr>
          <w:rFonts w:ascii="Arial" w:cs="Arial" w:eastAsia="Arial" w:hAnsi="Arial"/>
          <w:sz w:val="18"/>
          <w:szCs w:val="18"/>
          <w:color w:val="auto"/>
        </w:rPr>
        <w:t xml:space="preserve"> </w:t>
      </w:r>
      <w:r>
        <w:rPr>
          <w:rFonts w:ascii="Arial" w:cs="Arial" w:eastAsia="Arial" w:hAnsi="Arial"/>
          <w:sz w:val="18"/>
          <w:szCs w:val="18"/>
          <w:i w:val="1"/>
          <w:iCs w:val="1"/>
          <w:color w:val="auto"/>
        </w:rPr>
        <w:t>faillite</w:t>
      </w:r>
      <w:r>
        <w:rPr>
          <w:rFonts w:ascii="Arial" w:cs="Arial" w:eastAsia="Arial" w:hAnsi="Arial"/>
          <w:sz w:val="18"/>
          <w:szCs w:val="18"/>
          <w:color w:val="auto"/>
        </w:rPr>
        <w:t>) and that it has not applied for general settlement or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or such other proceedings listed at Article 13, items 2 to 11 and Article 14 of the Luxembourg Act dated 19 December 2002 on the Register of Commerce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6" w:right="239" w:bottom="1440" w:gutter="0" w:footer="0" w:header="0"/>
        </w:sectPr>
      </w:pPr>
    </w:p>
    <w:bookmarkStart w:id="78" w:name="page79"/>
    <w:bookmarkEnd w:id="78"/>
    <w:p>
      <w:pPr>
        <w:jc w:val="both"/>
        <w:ind w:left="660"/>
        <w:spacing w:after="0" w:line="244" w:lineRule="auto"/>
        <w:rPr>
          <w:sz w:val="20"/>
          <w:szCs w:val="20"/>
          <w:color w:val="auto"/>
        </w:rPr>
      </w:pPr>
      <w:r>
        <w:rPr>
          <w:rFonts w:ascii="Arial" w:cs="Arial" w:eastAsia="Arial" w:hAnsi="Arial"/>
          <w:sz w:val="20"/>
          <w:szCs w:val="20"/>
          <w:color w:val="auto"/>
        </w:rPr>
        <w:t>Companies, on Accounting and on Annual Accounts of the Companies (as amended from time to time)),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the approval by the board of managers of a Luxembourg Loan Party for such Luxembourg Loan Party to enter into this Agreement and the other Loan Documents to which it is a party; and</w:t>
      </w:r>
    </w:p>
    <w:p>
      <w:pPr>
        <w:spacing w:after="0" w:line="195" w:lineRule="exact"/>
        <w:rPr>
          <w:sz w:val="20"/>
          <w:szCs w:val="20"/>
          <w:color w:val="auto"/>
        </w:rPr>
      </w:pPr>
    </w:p>
    <w:p>
      <w:pPr>
        <w:jc w:val="both"/>
        <w:ind w:left="660" w:firstLine="645"/>
        <w:spacing w:after="0" w:line="250" w:lineRule="auto"/>
        <w:tabs>
          <w:tab w:leader="none" w:pos="1801" w:val="left"/>
        </w:tabs>
        <w:numPr>
          <w:ilvl w:val="1"/>
          <w:numId w:val="84"/>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and is validly existing, in good standing (or similar status) and qualified to engage in business in its state of organization or formation.</w:t>
      </w:r>
    </w:p>
    <w:p>
      <w:pPr>
        <w:spacing w:after="0" w:line="186" w:lineRule="exact"/>
        <w:rPr>
          <w:rFonts w:ascii="Arial" w:cs="Arial" w:eastAsia="Arial" w:hAnsi="Arial"/>
          <w:sz w:val="20"/>
          <w:szCs w:val="20"/>
          <w:color w:val="auto"/>
        </w:rPr>
      </w:pPr>
    </w:p>
    <w:p>
      <w:pPr>
        <w:ind w:firstLine="656"/>
        <w:spacing w:after="0" w:line="260" w:lineRule="auto"/>
        <w:tabs>
          <w:tab w:leader="none" w:pos="116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Closing Certificate</w:t>
      </w:r>
      <w:r>
        <w:rPr>
          <w:rFonts w:ascii="Arial" w:cs="Arial" w:eastAsia="Arial" w:hAnsi="Arial"/>
          <w:sz w:val="20"/>
          <w:szCs w:val="20"/>
          <w:color w:val="auto"/>
        </w:rPr>
        <w:t xml:space="preserve">. Receipt by the Administrative Agent of a certificate signed by a Responsible Officer of the Company certifying that the conditions specified in </w:t>
      </w:r>
      <w:r>
        <w:rPr>
          <w:rFonts w:ascii="Arial" w:cs="Arial" w:eastAsia="Arial" w:hAnsi="Arial"/>
          <w:sz w:val="20"/>
          <w:szCs w:val="20"/>
          <w:u w:val="single" w:color="auto"/>
          <w:color w:val="auto"/>
        </w:rPr>
        <w:t>Sections 5.01(c)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Sections 5.02(a)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19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Termination of Existing Credit Agreement</w:t>
      </w:r>
      <w:r>
        <w:rPr>
          <w:rFonts w:ascii="Arial" w:cs="Arial" w:eastAsia="Arial" w:hAnsi="Arial"/>
          <w:sz w:val="20"/>
          <w:szCs w:val="20"/>
          <w:color w:val="auto"/>
        </w:rPr>
        <w:t>. Receipt by the Administrative Agent of evidence reasonably satisfactory to the Administrative Agent that all obligations (other than contingent obligations surviving the termination of the Existing Credit Agreement) owing under the Existing Credit Agreement have been repaid in full, all commitments thereunder have been terminated and all Liens (if any) in connection therewith have been released.</w:t>
      </w:r>
    </w:p>
    <w:p>
      <w:pPr>
        <w:spacing w:after="0" w:line="191" w:lineRule="exact"/>
        <w:rPr>
          <w:rFonts w:ascii="Arial" w:cs="Arial" w:eastAsia="Arial" w:hAnsi="Arial"/>
          <w:sz w:val="20"/>
          <w:szCs w:val="20"/>
          <w:color w:val="auto"/>
        </w:rPr>
      </w:pPr>
    </w:p>
    <w:p>
      <w:pPr>
        <w:ind w:left="1060" w:hanging="40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Receipt by the Administrative Agent, the Arrangers and the Lenders of any fees required to be paid on or before the Closing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199" w:lineRule="exact"/>
        <w:rPr>
          <w:rFonts w:ascii="Arial" w:cs="Arial" w:eastAsia="Arial" w:hAnsi="Arial"/>
          <w:sz w:val="18"/>
          <w:szCs w:val="18"/>
          <w:color w:val="auto"/>
        </w:rPr>
      </w:pPr>
    </w:p>
    <w:p>
      <w:pPr>
        <w:jc w:val="both"/>
        <w:ind w:firstLine="656"/>
        <w:spacing w:after="0" w:line="278" w:lineRule="auto"/>
        <w:tabs>
          <w:tab w:leader="none" w:pos="108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Attorney Costs</w:t>
      </w:r>
      <w:r>
        <w:rPr>
          <w:rFonts w:ascii="Arial" w:cs="Arial" w:eastAsia="Arial" w:hAnsi="Arial"/>
          <w:sz w:val="18"/>
          <w:szCs w:val="18"/>
          <w:color w:val="auto"/>
        </w:rPr>
        <w:t>. Unless waived by the Administrative Agent, the Company shall have paid all the reasonable fees, charges and disbursements of counsel of the Administrative Agent to the extent invoices have been received at least one Business Day in advance prior to the Closing Date, plus such additional amounts of such fees, charges and disbursements of such counsel as shall constitute its reasonable estimate of such fees, charges and disbursements of such counsel incurred or to be incurred by it through the closing proceedings (provided that such estimate shall not thereafter preclude a final settling of accounts between the Company and the Administrative Agent).</w:t>
      </w:r>
    </w:p>
    <w:p>
      <w:pPr>
        <w:spacing w:after="0" w:line="165" w:lineRule="exact"/>
        <w:rPr>
          <w:rFonts w:ascii="Arial" w:cs="Arial" w:eastAsia="Arial" w:hAnsi="Arial"/>
          <w:sz w:val="18"/>
          <w:szCs w:val="18"/>
          <w:color w:val="auto"/>
        </w:rPr>
      </w:pPr>
    </w:p>
    <w:p>
      <w:pPr>
        <w:ind w:left="1020" w:hanging="364"/>
        <w:spacing w:after="0"/>
        <w:tabs>
          <w:tab w:leader="none" w:pos="102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KYC Information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91" w:lineRule="auto"/>
        <w:tabs>
          <w:tab w:leader="none" w:pos="1770" w:val="left"/>
        </w:tabs>
        <w:numPr>
          <w:ilvl w:val="1"/>
          <w:numId w:val="85"/>
        </w:numPr>
        <w:rPr>
          <w:rFonts w:ascii="Arial" w:cs="Arial" w:eastAsia="Arial" w:hAnsi="Arial"/>
          <w:sz w:val="18"/>
          <w:szCs w:val="18"/>
          <w:color w:val="auto"/>
        </w:rPr>
      </w:pPr>
      <w:r>
        <w:rPr>
          <w:rFonts w:ascii="Arial" w:cs="Arial" w:eastAsia="Arial" w:hAnsi="Arial"/>
          <w:sz w:val="18"/>
          <w:szCs w:val="18"/>
          <w:color w:val="auto"/>
        </w:rPr>
        <w:t>Upon the reasonable request of any Lender made at least 15 days prior to the Closing Date, the Company shall have provided to such Lender the documentation and other information so requested in connection with applicable “know your customer” and anti-money-laundering rules and regulations, including the Act, in each case at least five days prior to the Closing Date.</w:t>
      </w:r>
    </w:p>
    <w:p>
      <w:pPr>
        <w:spacing w:after="0" w:line="151" w:lineRule="exact"/>
        <w:rPr>
          <w:rFonts w:ascii="Arial" w:cs="Arial" w:eastAsia="Arial" w:hAnsi="Arial"/>
          <w:sz w:val="18"/>
          <w:szCs w:val="18"/>
          <w:color w:val="auto"/>
        </w:rPr>
      </w:pPr>
    </w:p>
    <w:p>
      <w:pPr>
        <w:ind w:left="660" w:firstLine="645"/>
        <w:spacing w:after="0" w:line="260" w:lineRule="auto"/>
        <w:tabs>
          <w:tab w:leader="none" w:pos="1811" w:val="left"/>
        </w:tabs>
        <w:numPr>
          <w:ilvl w:val="1"/>
          <w:numId w:val="85"/>
        </w:numPr>
        <w:rPr>
          <w:rFonts w:ascii="Arial" w:cs="Arial" w:eastAsia="Arial" w:hAnsi="Arial"/>
          <w:sz w:val="20"/>
          <w:szCs w:val="20"/>
          <w:color w:val="auto"/>
        </w:rPr>
      </w:pPr>
      <w:r>
        <w:rPr>
          <w:rFonts w:ascii="Arial" w:cs="Arial" w:eastAsia="Arial" w:hAnsi="Arial"/>
          <w:sz w:val="20"/>
          <w:szCs w:val="20"/>
          <w:color w:val="auto"/>
        </w:rPr>
        <w:t>At least five days prior to the Closing Date, if a Borrower qualifies as a “legal entity customer” under the Beneficial Ownership Regulation, it shall deliver a Beneficial Ownership Certification in relation to such Borrower.</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5.01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6" w:right="239" w:bottom="1440" w:gutter="0" w:footer="0" w:header="0"/>
        </w:sectPr>
      </w:pPr>
    </w:p>
    <w:bookmarkStart w:id="79" w:name="page80"/>
    <w:bookmarkEnd w:id="79"/>
    <w:p>
      <w:pPr>
        <w:jc w:val="both"/>
        <w:ind w:firstLine="648"/>
        <w:spacing w:after="0" w:line="263" w:lineRule="auto"/>
        <w:rPr>
          <w:sz w:val="20"/>
          <w:szCs w:val="20"/>
          <w:color w:val="auto"/>
        </w:rPr>
      </w:pPr>
      <w:r>
        <w:rPr>
          <w:rFonts w:ascii="Arial" w:cs="Arial" w:eastAsia="Arial" w:hAnsi="Arial"/>
          <w:sz w:val="19"/>
          <w:szCs w:val="19"/>
          <w:color w:val="auto"/>
        </w:rPr>
        <w:t>Lenders that are parties to the Existing Credit Agreement (and which constitute “Required Lenders” under and as defined in the Existing Credit Agreement) hereby waive any advance notice requirement for terminating the commitments under the Existing Credit Agreement, and the Borrowers and the applicable Lenders agree that the Existing Credit Agreement and the commitments thereunder shall be terminated on the date hereof (except for any provisions thereof which by their terms survive termination thereof).</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obligation of each Lender and the L/C Issuer to honor any Request for Credit Extension is subject to the following conditions precedent:</w:t>
      </w:r>
    </w:p>
    <w:p>
      <w:pPr>
        <w:spacing w:after="0" w:line="177" w:lineRule="exact"/>
        <w:rPr>
          <w:sz w:val="20"/>
          <w:szCs w:val="20"/>
          <w:color w:val="auto"/>
        </w:rPr>
      </w:pPr>
    </w:p>
    <w:p>
      <w:pPr>
        <w:jc w:val="both"/>
        <w:ind w:firstLine="656"/>
        <w:spacing w:after="0" w:line="244" w:lineRule="auto"/>
        <w:tabs>
          <w:tab w:leader="none" w:pos="1061"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Loan Parties contained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(excluding, except in the case of the Closing Date, the representation and warranty contained in </w:t>
      </w:r>
      <w:r>
        <w:rPr>
          <w:rFonts w:ascii="Arial" w:cs="Arial" w:eastAsia="Arial" w:hAnsi="Arial"/>
          <w:sz w:val="20"/>
          <w:szCs w:val="20"/>
          <w:u w:val="single" w:color="auto"/>
          <w:color w:val="auto"/>
        </w:rPr>
        <w:t>Section 6.05</w:t>
      </w:r>
      <w:r>
        <w:rPr>
          <w:rFonts w:ascii="Arial" w:cs="Arial" w:eastAsia="Arial" w:hAnsi="Arial"/>
          <w:sz w:val="20"/>
          <w:szCs w:val="20"/>
          <w:color w:val="auto"/>
        </w:rPr>
        <w:t>)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94" w:lineRule="exact"/>
        <w:rPr>
          <w:rFonts w:ascii="Arial" w:cs="Arial" w:eastAsia="Arial" w:hAnsi="Arial"/>
          <w:sz w:val="20"/>
          <w:szCs w:val="20"/>
          <w:color w:val="auto"/>
        </w:rPr>
      </w:pPr>
    </w:p>
    <w:p>
      <w:pPr>
        <w:ind w:left="1060" w:hanging="404"/>
        <w:spacing w:after="0"/>
        <w:tabs>
          <w:tab w:leader="none" w:pos="10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 Default shall exist, or would result from such proposed Credit Extension.</w:t>
      </w:r>
    </w:p>
    <w:p>
      <w:pPr>
        <w:spacing w:after="0" w:line="215" w:lineRule="exact"/>
        <w:rPr>
          <w:rFonts w:ascii="Arial" w:cs="Arial" w:eastAsia="Arial" w:hAnsi="Arial"/>
          <w:sz w:val="20"/>
          <w:szCs w:val="20"/>
          <w:color w:val="auto"/>
        </w:rPr>
      </w:pPr>
    </w:p>
    <w:p>
      <w:pPr>
        <w:ind w:right="20" w:firstLine="656"/>
        <w:spacing w:after="0" w:line="260" w:lineRule="auto"/>
        <w:tabs>
          <w:tab w:leader="none" w:pos="1102"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 or the Swing Line Lender shall have received a Request for Credit Extension in accordance with the requirements hereof.</w:t>
      </w:r>
    </w:p>
    <w:p>
      <w:pPr>
        <w:spacing w:after="0" w:line="176" w:lineRule="exact"/>
        <w:rPr>
          <w:rFonts w:ascii="Arial" w:cs="Arial" w:eastAsia="Arial" w:hAnsi="Arial"/>
          <w:sz w:val="20"/>
          <w:szCs w:val="20"/>
          <w:color w:val="auto"/>
        </w:rPr>
      </w:pPr>
    </w:p>
    <w:p>
      <w:pPr>
        <w:ind w:firstLine="656"/>
        <w:spacing w:after="0" w:line="260" w:lineRule="auto"/>
        <w:tabs>
          <w:tab w:leader="none" w:pos="11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If the applicable Borrower is a Designated Borrower, such Borrower shall have been designated as a Designated Borrower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129"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Each Request for Credit Extension (other than a Loan Notice requesting a conversion of the Loans to another Type or a continuation of Eurocurrency Rate Loans) submitted by a Borrower shall be deemed to be a representation and warranty that the conditions specified in </w:t>
      </w:r>
      <w:r>
        <w:rPr>
          <w:rFonts w:ascii="Arial" w:cs="Arial" w:eastAsia="Arial" w:hAnsi="Arial"/>
          <w:sz w:val="20"/>
          <w:szCs w:val="20"/>
          <w:u w:val="single" w:color="auto"/>
          <w:color w:val="auto"/>
        </w:rPr>
        <w:t>Sections 5.02(a)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To induce the Administrative Agent and the Lenders to enter into this Agreement and to induce the Lenders to make Loans and issue or participate in Letters of Credit hereunder, the Loan Parties represent and warrant to the Administrative Agent and the Lenders that:</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6"/>
          <w:szCs w:val="16"/>
          <w:u w:val="single" w:color="auto"/>
          <w:color w:val="auto"/>
        </w:rPr>
        <w:t>Organization, etc</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is a corporation duly organized, validly existing and in good standing (or equivalent status) under the Laws of the State of Wisconsin; each Designated Borrower and Significant Subsidiary 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6" w:right="239" w:bottom="1440" w:gutter="0" w:footer="0" w:header="0"/>
        </w:sectPr>
      </w:pPr>
    </w:p>
    <w:bookmarkStart w:id="80" w:name="page81"/>
    <w:bookmarkEnd w:id="80"/>
    <w:p>
      <w:pPr>
        <w:jc w:val="both"/>
        <w:spacing w:after="0" w:line="278" w:lineRule="auto"/>
        <w:rPr>
          <w:sz w:val="20"/>
          <w:szCs w:val="20"/>
          <w:color w:val="auto"/>
        </w:rPr>
      </w:pPr>
      <w:r>
        <w:rPr>
          <w:rFonts w:ascii="Arial" w:cs="Arial" w:eastAsia="Arial" w:hAnsi="Arial"/>
          <w:sz w:val="18"/>
          <w:szCs w:val="18"/>
          <w:color w:val="auto"/>
        </w:rPr>
        <w:t>duly organized, validly existing and in good standing (or equivalent status) under the Laws of the jurisdiction of its organization; and the Company, each Designated Borrower and each Significant Subsidiary is duly qualified to do business in each jurisdiction where the nature of its business makes such qualification necessary (except to the extent the failure to be so qualified or in good standing could not reasonably be expected to have a Material Adverse Effect) and has full power and authority to own its property and conduct its business as presently conducted by it (except to the extent the failure to have such authority could not reasonably be expected to have a Material Adverse Effect).</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execution, delivery and performance by each Loan Party of each Loan Document to which it is a party and the Credit Extensions hereunder (a) are within the organizational powers of the Company and each Loan Party, (b) have been duly authorized by all necessary organizational action on the part of such Loan Party (including any necessary shareholder, partner or member action), (c) have received all necessary governmental and other third-party approvals (if any shall be required) the failure of which to obtain could reasonably be expected to have a Material Adverse Effect, and (d) do not and will not (i) violate any provision of Law or any order, decree or judgment of any court or other Governmental Authority which is binding on the Company or any other Loan Party, (ii) contravene or conflict with, or result in a breach of, any provision of the Organization Documents of the Company or any other Loan Party or (iii) contravene or conflict with, or result in a Lien under, any material agreement, indenture, instrument or other document which is binding on the Company or any other Loan Party.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Validity and Binding Nature</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Each Loan Document to which a Loan Party is a party is the legal, valid and binding obligation of such Loan Party, enforceable against such Loan Party in accordance with its terms, subject to Debtor Relief Laws and to general principles of equity.</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8"/>
          <w:szCs w:val="18"/>
          <w:u w:val="single" w:color="auto"/>
          <w:color w:val="auto"/>
        </w:rPr>
        <w:t>Financial Condition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Audited Financial Statements were prepared in accordance with GAAP and present fairly in all material respects the consolidated financial condition of the Company and its Subsidiaries as at such date and the results of their operations for the period then ended, except as may be expressly noted therein.</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Since July 31, 2018, there has been no material adverse change in the financial condition, operations, assets, business or properties of the Company and its Subsidiaries taken as a whole.</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litigation (including derivative actions), arbitration proceeding, labor controversy or governmental investigation or proceeding is pending or, to the Company’s knowledge, threatened in writing against the Company or any Significant Subsidiary which could reasonably be expected to (a) have a Material Adverse Effect; (b) materially and adversely affect the ability of the Borrowers or any Guarantor to perform its obligations under the Loan Documents; or (c) materially and adversely affect the rights and remedies of the Administrative Agent or the Lenders under the Loan Documents.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6" w:right="239" w:bottom="1440" w:gutter="0" w:footer="0" w:header="0"/>
        </w:sectPr>
      </w:pPr>
    </w:p>
    <w:bookmarkStart w:id="81" w:name="page82"/>
    <w:bookmarkEnd w:id="81"/>
    <w:p>
      <w:pPr>
        <w:spacing w:after="0"/>
        <w:tabs>
          <w:tab w:leader="none" w:pos="52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6"/>
          <w:szCs w:val="16"/>
          <w:u w:val="single" w:color="auto"/>
          <w:color w:val="auto"/>
        </w:rPr>
        <w:t>Ownership of Properties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spacing w:after="0" w:line="11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As of the Closing Date, the Company has no Subsidiaries except those listed in </w:t>
      </w:r>
      <w:r>
        <w:rPr>
          <w:rFonts w:ascii="Arial" w:cs="Arial" w:eastAsia="Arial" w:hAnsi="Arial"/>
          <w:sz w:val="20"/>
          <w:szCs w:val="20"/>
          <w:u w:val="single" w:color="auto"/>
          <w:color w:val="auto"/>
        </w:rPr>
        <w:t>Schedule 6.08</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6"/>
          <w:szCs w:val="16"/>
          <w:u w:val="single" w:color="auto"/>
          <w:color w:val="auto"/>
        </w:rPr>
        <w:t>Pension Plans and Plan Assets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4" w:lineRule="auto"/>
        <w:tabs>
          <w:tab w:leader="none" w:pos="1102" w:val="left"/>
        </w:tabs>
        <w:numPr>
          <w:ilvl w:val="0"/>
          <w:numId w:val="87"/>
        </w:numPr>
        <w:rPr>
          <w:rFonts w:ascii="Arial" w:cs="Arial" w:eastAsia="Arial" w:hAnsi="Arial"/>
          <w:sz w:val="20"/>
          <w:szCs w:val="20"/>
          <w:color w:val="auto"/>
        </w:rPr>
      </w:pPr>
      <w:r>
        <w:rPr>
          <w:rFonts w:ascii="Arial" w:cs="Arial" w:eastAsia="Arial" w:hAnsi="Arial"/>
          <w:sz w:val="20"/>
          <w:szCs w:val="20"/>
          <w:color w:val="auto"/>
        </w:rPr>
        <w:t>During the twelve-consecutive-month period prior to the Closing Date or the making of any Credit Extension hereunder, (i) no steps have been taken to terminate any Pension Plan other than a “standard termination” in accordance with Section 4041(b) of ERISA and (ii) no contribution failure has occurred with respect to any Pension Plan sufficient to give rise to a Lien under Section 303(k) of ERISA. No condition exists or event or transaction has occurred with respect to any Pension Plan which could reasonably be expected to have a Material Adverse Effect.</w:t>
      </w:r>
    </w:p>
    <w:p>
      <w:pPr>
        <w:spacing w:after="0" w:line="194" w:lineRule="exact"/>
        <w:rPr>
          <w:rFonts w:ascii="Arial" w:cs="Arial" w:eastAsia="Arial" w:hAnsi="Arial"/>
          <w:sz w:val="20"/>
          <w:szCs w:val="20"/>
          <w:color w:val="auto"/>
        </w:rPr>
      </w:pPr>
    </w:p>
    <w:p>
      <w:pPr>
        <w:jc w:val="both"/>
        <w:ind w:firstLine="656"/>
        <w:spacing w:after="0" w:line="256" w:lineRule="auto"/>
        <w:tabs>
          <w:tab w:leader="none" w:pos="1059"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to the extent that the facts and circumstances causing such representation and warranty to be inaccurate could not reasonably be expected to have a Material Adverse Effect.</w:t>
      </w:r>
    </w:p>
    <w:p>
      <w:pPr>
        <w:spacing w:after="0" w:line="181" w:lineRule="exact"/>
        <w:rPr>
          <w:rFonts w:ascii="Arial" w:cs="Arial" w:eastAsia="Arial" w:hAnsi="Arial"/>
          <w:sz w:val="19"/>
          <w:szCs w:val="19"/>
          <w:color w:val="auto"/>
        </w:rPr>
      </w:pPr>
    </w:p>
    <w:p>
      <w:pPr>
        <w:ind w:left="1060" w:hanging="404"/>
        <w:spacing w:after="0"/>
        <w:tabs>
          <w:tab w:leader="none" w:pos="10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Neither the Company nor any other Loan Party is an entity deemed to hold Plan Assets.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Neither the Company nor any Subsidiary is an “investment company” or a company “controlled” by an “investment company”, within the meaning of the Investment Company Act of 1940.</w:t>
      </w:r>
    </w:p>
    <w:p>
      <w:pPr>
        <w:spacing w:after="0" w:line="17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8"/>
          <w:szCs w:val="18"/>
          <w:u w:val="single" w:color="auto"/>
          <w:color w:val="auto"/>
        </w:rPr>
        <w:t>Regulation U</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Borrower is engaged principally, or as one of its important activities, in the business of extending credit for the purpose of purchasing or carrying Margin Stock.</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Each of the Company and each Significant Subsidiary has filed all federal tax returns and other tax returns and tax reports required by Law to have been filed by it and has paid all taxes and governmental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6" w:right="239" w:bottom="1440" w:gutter="0" w:footer="0" w:header="0"/>
        </w:sectPr>
      </w:pPr>
    </w:p>
    <w:bookmarkStart w:id="82" w:name="page83"/>
    <w:bookmarkEnd w:id="82"/>
    <w:p>
      <w:pPr>
        <w:jc w:val="both"/>
        <w:spacing w:after="0" w:line="291" w:lineRule="auto"/>
        <w:rPr>
          <w:sz w:val="20"/>
          <w:szCs w:val="20"/>
          <w:color w:val="auto"/>
        </w:rPr>
      </w:pPr>
      <w:r>
        <w:rPr>
          <w:rFonts w:ascii="Arial" w:cs="Arial" w:eastAsia="Arial" w:hAnsi="Arial"/>
          <w:sz w:val="18"/>
          <w:szCs w:val="18"/>
          <w:color w:val="auto"/>
        </w:rPr>
        <w:t>charges thereby shown to be owing, except for any of the following: (i) any such taxes or charges which are being diligently contested in good faith by appropriate action and for which adequate reserves in accordance with GAAP shall have been set aside on its books and/or (ii) where failure of which to file and/or pay (as the case may be) could not reasonably be expected to have a Material Adverse Effect.</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Company conducts, in the ordinary course of business (in a manner sufficient to enable the Company to make the representation and warranty set forth in this </w:t>
      </w:r>
      <w:r>
        <w:rPr>
          <w:rFonts w:ascii="Arial" w:cs="Arial" w:eastAsia="Arial" w:hAnsi="Arial"/>
          <w:sz w:val="20"/>
          <w:szCs w:val="20"/>
          <w:u w:val="single" w:color="auto"/>
          <w:color w:val="auto"/>
        </w:rPr>
        <w:t>Section 6.13</w:t>
      </w:r>
      <w:r>
        <w:rPr>
          <w:rFonts w:ascii="Arial" w:cs="Arial" w:eastAsia="Arial" w:hAnsi="Arial"/>
          <w:sz w:val="20"/>
          <w:szCs w:val="20"/>
          <w:color w:val="auto"/>
        </w:rPr>
        <w:t>), a review of the effect of existing Environmental Laws (excluding health, safety and land use matters) and existing Environmental Claims (excluding health, safety and land use matters) on its and its Significant Subsidiaries’ business, operation and properties, and as a result thereof, the Company has reasonably concluded that, except for matters for which adequate reserves are maintained, the aggregate effect of such Environmental Laws and Environmental Claims, could not reasonably be expected to have a Material Adverse Effect.</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All information heretofore or contemporaneously herewith furnished in writing by the Company or any Subsidiary to the Administrative Agent or any Lender pursuant to this Agreement and the other Loan Documents hereby is, and all written information hereafter furnished by or on behalf of the Company or any Subsidiary to any Lender pursuant hereto, when taken as a whole, will be true and accurate in every material respect on the date as of which such information is dated or certified, and none of such information is or will be incomplete by omitting to state any material fact necessary to make such information not materially misleading in light of the circumstances under which made (it being recognized by the Administrative Agent and the Lenders that (a) any projections and forecasts provided by the Company or any Subsidiary are based on good faith estimates and assumptions believed by the Company or such Subsidiary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w:t>
      </w:r>
    </w:p>
    <w:p>
      <w:pPr>
        <w:spacing w:after="0" w:line="17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Default has occurred and is continuing or would result from the consummation of any transaction contemplated by this Agreement or any other Loan Document.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6.16</w:t>
      </w:r>
      <w:r>
        <w:rPr>
          <w:sz w:val="20"/>
          <w:szCs w:val="20"/>
          <w:color w:val="auto"/>
        </w:rPr>
        <w:tab/>
      </w:r>
      <w:r>
        <w:rPr>
          <w:rFonts w:ascii="Arial" w:cs="Arial" w:eastAsia="Arial" w:hAnsi="Arial"/>
          <w:sz w:val="16"/>
          <w:szCs w:val="16"/>
          <w:u w:val="single" w:color="auto"/>
          <w:color w:val="auto"/>
        </w:rPr>
        <w:t>Designated Borrower Joinder Agreement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as long as any Subsidiary shall be a Borrower, the representations and warranties of such Subsidiary in such Borrower’s Designated Borrower Joinder Agreement are true and correct in all material respects as of the date such representations and warranties are made or deemed to be made, except to the extent such representations and warranties expressly relate to an earlier date in which case they shall be true and correct in all material respects as of such earlier date.</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6.17</w:t>
      </w:r>
      <w:r>
        <w:rPr>
          <w:sz w:val="20"/>
          <w:szCs w:val="20"/>
          <w:color w:val="auto"/>
        </w:rPr>
        <w:tab/>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None of the Loan Parties, nor any of their Subsidiaries, nor, to the knowledge of the Loan Parties and their Subsidiaries, any director, officer, employee or Affiliate thereof, nor, to the knowledge of the Loan Parties, any agent of the Borrowers or any Subsidiary that will act as agent on behalf of the Borrowers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6" w:right="239" w:bottom="1440" w:gutter="0" w:footer="0" w:header="0"/>
        </w:sectPr>
      </w:pPr>
    </w:p>
    <w:bookmarkStart w:id="83" w:name="page84"/>
    <w:bookmarkEnd w:id="83"/>
    <w:p>
      <w:pPr>
        <w:jc w:val="both"/>
        <w:spacing w:after="0" w:line="246" w:lineRule="auto"/>
        <w:rPr>
          <w:sz w:val="20"/>
          <w:szCs w:val="20"/>
          <w:color w:val="auto"/>
        </w:rPr>
      </w:pPr>
      <w:r>
        <w:rPr>
          <w:rFonts w:ascii="Arial" w:cs="Arial" w:eastAsia="Arial" w:hAnsi="Arial"/>
          <w:sz w:val="20"/>
          <w:szCs w:val="20"/>
          <w:color w:val="auto"/>
        </w:rPr>
        <w:t>such Subsidiary in connection with the credit facility established hereby,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6.18</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Loan Parties and their Subsidiaries have conducted their businesses in compliance in all material respects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6.19</w:t>
      </w:r>
      <w:r>
        <w:rPr>
          <w:sz w:val="20"/>
          <w:szCs w:val="20"/>
          <w:color w:val="auto"/>
        </w:rPr>
        <w:tab/>
      </w:r>
      <w:r>
        <w:rPr>
          <w:rFonts w:ascii="Arial" w:cs="Arial" w:eastAsia="Arial" w:hAnsi="Arial"/>
          <w:sz w:val="16"/>
          <w:szCs w:val="16"/>
          <w:u w:val="single" w:color="auto"/>
          <w:color w:val="auto"/>
        </w:rPr>
        <w:t>Luxembourg Specific Representations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4" w:lineRule="auto"/>
        <w:tabs>
          <w:tab w:leader="none" w:pos="1170" w:val="left"/>
        </w:tabs>
        <w:numPr>
          <w:ilvl w:val="0"/>
          <w:numId w:val="88"/>
        </w:numPr>
        <w:rPr>
          <w:rFonts w:ascii="Arial" w:cs="Arial" w:eastAsia="Arial" w:hAnsi="Arial"/>
          <w:sz w:val="19"/>
          <w:szCs w:val="19"/>
          <w:color w:val="auto"/>
        </w:rPr>
      </w:pPr>
      <w:r>
        <w:rPr>
          <w:rFonts w:ascii="Arial" w:cs="Arial" w:eastAsia="Arial" w:hAnsi="Arial"/>
          <w:sz w:val="19"/>
          <w:szCs w:val="19"/>
          <w:color w:val="auto"/>
        </w:rPr>
        <w:t>Each Luxembourg Loan Party is in compliance with the Luxembourg Law of 31 May 1999 governing the domiciliation of companies (as amended from time to time and all related regulations); (b) the head office (</w:t>
      </w:r>
      <w:r>
        <w:rPr>
          <w:rFonts w:ascii="Arial" w:cs="Arial" w:eastAsia="Arial" w:hAnsi="Arial"/>
          <w:sz w:val="19"/>
          <w:szCs w:val="19"/>
          <w:i w:val="1"/>
          <w:iCs w:val="1"/>
          <w:color w:val="auto"/>
        </w:rPr>
        <w:t>administration centrale</w:t>
      </w:r>
      <w:r>
        <w:rPr>
          <w:rFonts w:ascii="Arial" w:cs="Arial" w:eastAsia="Arial" w:hAnsi="Arial"/>
          <w:sz w:val="19"/>
          <w:szCs w:val="19"/>
          <w:color w:val="auto"/>
        </w:rPr>
        <w:t>), the place of effective management (</w:t>
      </w:r>
      <w:r>
        <w:rPr>
          <w:rFonts w:ascii="Arial" w:cs="Arial" w:eastAsia="Arial" w:hAnsi="Arial"/>
          <w:sz w:val="19"/>
          <w:szCs w:val="19"/>
          <w:i w:val="1"/>
          <w:iCs w:val="1"/>
          <w:color w:val="auto"/>
        </w:rPr>
        <w:t>siège de direction effective</w:t>
      </w:r>
      <w:r>
        <w:rPr>
          <w:rFonts w:ascii="Arial" w:cs="Arial" w:eastAsia="Arial" w:hAnsi="Arial"/>
          <w:sz w:val="19"/>
          <w:szCs w:val="19"/>
          <w:color w:val="auto"/>
        </w:rPr>
        <w:t>) and (for the purposes of the European Insolvency Regulation) the center of main interests (</w:t>
      </w:r>
      <w:r>
        <w:rPr>
          <w:rFonts w:ascii="Arial" w:cs="Arial" w:eastAsia="Arial" w:hAnsi="Arial"/>
          <w:sz w:val="19"/>
          <w:szCs w:val="19"/>
          <w:i w:val="1"/>
          <w:iCs w:val="1"/>
          <w:color w:val="auto"/>
        </w:rPr>
        <w:t>centre des</w:t>
      </w:r>
      <w:r>
        <w:rPr>
          <w:rFonts w:ascii="Arial" w:cs="Arial" w:eastAsia="Arial" w:hAnsi="Arial"/>
          <w:sz w:val="19"/>
          <w:szCs w:val="19"/>
          <w:color w:val="auto"/>
        </w:rPr>
        <w:t xml:space="preserve"> </w:t>
      </w:r>
      <w:r>
        <w:rPr>
          <w:rFonts w:ascii="Arial" w:cs="Arial" w:eastAsia="Arial" w:hAnsi="Arial"/>
          <w:sz w:val="19"/>
          <w:szCs w:val="19"/>
          <w:i w:val="1"/>
          <w:iCs w:val="1"/>
          <w:color w:val="auto"/>
        </w:rPr>
        <w:t>intérêts principaux</w:t>
      </w:r>
      <w:r>
        <w:rPr>
          <w:rFonts w:ascii="Arial" w:cs="Arial" w:eastAsia="Arial" w:hAnsi="Arial"/>
          <w:sz w:val="19"/>
          <w:szCs w:val="19"/>
          <w:color w:val="auto"/>
        </w:rPr>
        <w:t>) of each Luxembourg Loan Party in Luxembourg is located at the place of its registered office (</w:t>
      </w:r>
      <w:r>
        <w:rPr>
          <w:rFonts w:ascii="Arial" w:cs="Arial" w:eastAsia="Arial" w:hAnsi="Arial"/>
          <w:sz w:val="19"/>
          <w:szCs w:val="19"/>
          <w:i w:val="1"/>
          <w:iCs w:val="1"/>
          <w:color w:val="auto"/>
        </w:rPr>
        <w:t>siège statutaire</w:t>
      </w:r>
      <w:r>
        <w:rPr>
          <w:rFonts w:ascii="Arial" w:cs="Arial" w:eastAsia="Arial" w:hAnsi="Arial"/>
          <w:sz w:val="19"/>
          <w:szCs w:val="19"/>
          <w:color w:val="auto"/>
        </w:rPr>
        <w:t>) in</w:t>
      </w:r>
      <w:r>
        <w:rPr>
          <w:rFonts w:ascii="Arial" w:cs="Arial" w:eastAsia="Arial" w:hAnsi="Arial"/>
          <w:sz w:val="19"/>
          <w:szCs w:val="19"/>
          <w:i w:val="1"/>
          <w:iCs w:val="1"/>
          <w:color w:val="auto"/>
        </w:rPr>
        <w:t xml:space="preserve"> </w:t>
      </w:r>
      <w:r>
        <w:rPr>
          <w:rFonts w:ascii="Arial" w:cs="Arial" w:eastAsia="Arial" w:hAnsi="Arial"/>
          <w:sz w:val="19"/>
          <w:szCs w:val="19"/>
          <w:color w:val="auto"/>
        </w:rPr>
        <w:t>Luxembourg; (c) no Luxembourg Loan Party has filed and, to the best of its knowledge, no Person has filed a request with any competent court seeking that any Luxembourg Loan Party, be declared subject to bankruptcy (</w:t>
      </w:r>
      <w:r>
        <w:rPr>
          <w:rFonts w:ascii="Arial" w:cs="Arial" w:eastAsia="Arial" w:hAnsi="Arial"/>
          <w:sz w:val="19"/>
          <w:szCs w:val="19"/>
          <w:i w:val="1"/>
          <w:iCs w:val="1"/>
          <w:color w:val="auto"/>
        </w:rPr>
        <w:t>faillite</w:t>
      </w:r>
      <w:r>
        <w:rPr>
          <w:rFonts w:ascii="Arial" w:cs="Arial" w:eastAsia="Arial" w:hAnsi="Arial"/>
          <w:sz w:val="19"/>
          <w:szCs w:val="19"/>
          <w:color w:val="auto"/>
        </w:rPr>
        <w:t>), general settlement or composition with creditors (</w:t>
      </w:r>
      <w:r>
        <w:rPr>
          <w:rFonts w:ascii="Arial" w:cs="Arial" w:eastAsia="Arial" w:hAnsi="Arial"/>
          <w:sz w:val="19"/>
          <w:szCs w:val="19"/>
          <w:i w:val="1"/>
          <w:iCs w:val="1"/>
          <w:color w:val="auto"/>
        </w:rPr>
        <w:t>concordat préventif de faillite</w:t>
      </w:r>
      <w:r>
        <w:rPr>
          <w:rFonts w:ascii="Arial" w:cs="Arial" w:eastAsia="Arial" w:hAnsi="Arial"/>
          <w:sz w:val="19"/>
          <w:szCs w:val="19"/>
          <w:color w:val="auto"/>
        </w:rPr>
        <w:t>) controlled management (</w:t>
      </w:r>
      <w:r>
        <w:rPr>
          <w:rFonts w:ascii="Arial" w:cs="Arial" w:eastAsia="Arial" w:hAnsi="Arial"/>
          <w:sz w:val="19"/>
          <w:szCs w:val="19"/>
          <w:i w:val="1"/>
          <w:iCs w:val="1"/>
          <w:color w:val="auto"/>
        </w:rPr>
        <w:t>gestion contrôlée</w:t>
      </w:r>
      <w:r>
        <w:rPr>
          <w:rFonts w:ascii="Arial" w:cs="Arial" w:eastAsia="Arial" w:hAnsi="Arial"/>
          <w:sz w:val="19"/>
          <w:szCs w:val="19"/>
          <w:color w:val="auto"/>
        </w:rPr>
        <w:t>), reprieve from payment (</w:t>
      </w:r>
      <w:r>
        <w:rPr>
          <w:rFonts w:ascii="Arial" w:cs="Arial" w:eastAsia="Arial" w:hAnsi="Arial"/>
          <w:sz w:val="19"/>
          <w:szCs w:val="19"/>
          <w:i w:val="1"/>
          <w:iCs w:val="1"/>
          <w:color w:val="auto"/>
        </w:rPr>
        <w:t>sursis de paiement</w:t>
      </w:r>
      <w:r>
        <w:rPr>
          <w:rFonts w:ascii="Arial" w:cs="Arial" w:eastAsia="Arial" w:hAnsi="Arial"/>
          <w:sz w:val="19"/>
          <w:szCs w:val="19"/>
          <w:color w:val="auto"/>
        </w:rPr>
        <w:t>), judicial or voluntary liquidation (</w:t>
      </w:r>
      <w:r>
        <w:rPr>
          <w:rFonts w:ascii="Arial" w:cs="Arial" w:eastAsia="Arial" w:hAnsi="Arial"/>
          <w:sz w:val="19"/>
          <w:szCs w:val="19"/>
          <w:i w:val="1"/>
          <w:iCs w:val="1"/>
          <w:color w:val="auto"/>
        </w:rPr>
        <w:t>liquidation judiciaire ou volontaire</w:t>
      </w:r>
      <w:r>
        <w:rPr>
          <w:rFonts w:ascii="Arial" w:cs="Arial" w:eastAsia="Arial" w:hAnsi="Arial"/>
          <w:sz w:val="19"/>
          <w:szCs w:val="19"/>
          <w:color w:val="auto"/>
        </w:rPr>
        <w:t xml:space="preserve">), such other proceedings listed at Article 13, items 2 to 11, 13 and Article 14 of the Luxembourg Law of 19 December 2002 on the register of commerce and companies, and the accounting and annual accounts of undertakings (as amended from time to time), (and which include foreign court decision as to </w:t>
      </w:r>
      <w:r>
        <w:rPr>
          <w:rFonts w:ascii="Arial" w:cs="Arial" w:eastAsia="Arial" w:hAnsi="Arial"/>
          <w:sz w:val="19"/>
          <w:szCs w:val="19"/>
          <w:i w:val="1"/>
          <w:iCs w:val="1"/>
          <w:color w:val="auto"/>
        </w:rPr>
        <w:t>faillite</w:t>
      </w:r>
      <w:r>
        <w:rPr>
          <w:rFonts w:ascii="Arial" w:cs="Arial" w:eastAsia="Arial" w:hAnsi="Arial"/>
          <w:sz w:val="19"/>
          <w:szCs w:val="19"/>
          <w:color w:val="auto"/>
        </w:rPr>
        <w:t xml:space="preserve">, </w:t>
      </w:r>
      <w:r>
        <w:rPr>
          <w:rFonts w:ascii="Arial" w:cs="Arial" w:eastAsia="Arial" w:hAnsi="Arial"/>
          <w:sz w:val="19"/>
          <w:szCs w:val="19"/>
          <w:i w:val="1"/>
          <w:iCs w:val="1"/>
          <w:color w:val="auto"/>
        </w:rPr>
        <w:t>concordat</w:t>
      </w:r>
      <w:r>
        <w:rPr>
          <w:rFonts w:ascii="Arial" w:cs="Arial" w:eastAsia="Arial" w:hAnsi="Arial"/>
          <w:sz w:val="19"/>
          <w:szCs w:val="19"/>
          <w:color w:val="auto"/>
        </w:rPr>
        <w:t xml:space="preserve"> or analogous procedures according to the European Insolvency Regulation); and (d) each Luxembourg Loan Party is not, and will not, as a result of its entry into the Loan Documents or the performance of its obligations thereunder, be in a state of cessation of payments (</w:t>
      </w:r>
      <w:r>
        <w:rPr>
          <w:rFonts w:ascii="Arial" w:cs="Arial" w:eastAsia="Arial" w:hAnsi="Arial"/>
          <w:sz w:val="19"/>
          <w:szCs w:val="19"/>
          <w:i w:val="1"/>
          <w:iCs w:val="1"/>
          <w:color w:val="auto"/>
        </w:rPr>
        <w:t>cessation des paiements</w:t>
      </w:r>
      <w:r>
        <w:rPr>
          <w:rFonts w:ascii="Arial" w:cs="Arial" w:eastAsia="Arial" w:hAnsi="Arial"/>
          <w:sz w:val="19"/>
          <w:szCs w:val="19"/>
          <w:color w:val="auto"/>
        </w:rPr>
        <w:t>), or be deemed to be in a such state, and has not, and will not, as a result of its entry into the Loan Documents or the performance of its obligations thereunder, lose its creditworthiness (</w:t>
      </w:r>
      <w:r>
        <w:rPr>
          <w:rFonts w:ascii="Arial" w:cs="Arial" w:eastAsia="Arial" w:hAnsi="Arial"/>
          <w:sz w:val="19"/>
          <w:szCs w:val="19"/>
          <w:i w:val="1"/>
          <w:iCs w:val="1"/>
          <w:color w:val="auto"/>
        </w:rPr>
        <w:t>ébranlement de crédit</w:t>
      </w:r>
      <w:r>
        <w:rPr>
          <w:rFonts w:ascii="Arial" w:cs="Arial" w:eastAsia="Arial" w:hAnsi="Arial"/>
          <w:sz w:val="19"/>
          <w:szCs w:val="19"/>
          <w:color w:val="auto"/>
        </w:rPr>
        <w:t>), or be deemed to have lost such creditworthiness and is not aware, or may not reasonably be aware of such circumstances.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6.20 </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As of the Closing Date, the information included in the Beneficial Ownership Certification is true and correct in all respects.</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18"/>
          <w:szCs w:val="18"/>
          <w:u w:val="single" w:color="auto"/>
          <w:color w:val="auto"/>
        </w:rPr>
        <w:t>No EEA Financial Institution</w:t>
      </w:r>
      <w:r>
        <w:rPr>
          <w:rFonts w:ascii="Arial" w:cs="Arial" w:eastAsia="Arial" w:hAnsi="Arial"/>
          <w:sz w:val="18"/>
          <w:szCs w:val="18"/>
          <w:color w:val="auto"/>
        </w:rPr>
        <w:t>. No Loan Party is an EEA Financial Institution.</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COVENANTS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Until the expiration or termination of the Commitments and thereafter until all Obligations of the Loan Parties hereunder and under the other Loan Documents (other than any contingent indemnification or similar obligations not yet due and payable) are paid in full and all Letters of Credit (other than any Letter of Credit that has been Cash Collateralized or with respect to which other arrangements satisfactory to the L/C Issuer have been made) have been terminated, the Loan Parties agree that, unless at any time the Required Lenders shall otherwise expressly consent in writing, they will: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6" w:right="239" w:bottom="1440" w:gutter="0" w:footer="0" w:header="0"/>
        </w:sectPr>
      </w:pPr>
    </w:p>
    <w:bookmarkStart w:id="84" w:name="page85"/>
    <w:bookmarkEnd w:id="84"/>
    <w:p>
      <w:pPr>
        <w:spacing w:after="0"/>
        <w:tabs>
          <w:tab w:leader="none" w:pos="52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u w:val="single" w:color="auto"/>
          <w:color w:val="auto"/>
        </w:rPr>
        <w:t>Reports, Certificates and Other Information</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Furnish to the Administrative Agent (for delivery to the Lenders):</w:t>
      </w:r>
    </w:p>
    <w:p>
      <w:pPr>
        <w:spacing w:after="0" w:line="216" w:lineRule="exact"/>
        <w:rPr>
          <w:sz w:val="20"/>
          <w:szCs w:val="20"/>
          <w:color w:val="auto"/>
        </w:rPr>
      </w:pPr>
    </w:p>
    <w:p>
      <w:pPr>
        <w:jc w:val="both"/>
        <w:ind w:firstLine="656"/>
        <w:spacing w:after="0" w:line="270" w:lineRule="auto"/>
        <w:tabs>
          <w:tab w:leader="none" w:pos="106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Audit Report</w:t>
      </w:r>
      <w:r>
        <w:rPr>
          <w:rFonts w:ascii="Arial" w:cs="Arial" w:eastAsia="Arial" w:hAnsi="Arial"/>
          <w:sz w:val="18"/>
          <w:szCs w:val="18"/>
          <w:color w:val="auto"/>
        </w:rPr>
        <w:t>. Promptly when available, and in any event not later than the earlier of (i) five Business Days after the filing thereof with the SEC and (ii) 105 days after the end of each Fiscal Year (commencing with the Fiscal Year ending on or about July 31, 2019), a copy of the audited consolidated balance sheet of the Company and its consolidated Subsidiaries for such Fiscal Year together with audited consolidated statements of earnings and cash flows for such Fiscal Year, accompanied by the report of Deloitte &amp; Touche LLP or another nationally-recognized independent registered public accounting firm (the “</w:t>
      </w:r>
      <w:r>
        <w:rPr>
          <w:rFonts w:ascii="Arial" w:cs="Arial" w:eastAsia="Arial" w:hAnsi="Arial"/>
          <w:sz w:val="18"/>
          <w:szCs w:val="18"/>
          <w:u w:val="single" w:color="auto"/>
          <w:color w:val="auto"/>
        </w:rPr>
        <w:t>Independent Auditor</w:t>
      </w:r>
      <w:r>
        <w:rPr>
          <w:rFonts w:ascii="Arial" w:cs="Arial" w:eastAsia="Arial" w:hAnsi="Arial"/>
          <w:sz w:val="18"/>
          <w:szCs w:val="18"/>
          <w:color w:val="auto"/>
        </w:rPr>
        <w:t xml:space="preserve">”), which report shall (A) state that such consolidated financial statements present fairly in all material respects the financial position for the periods indicated in conformity with GAAP and (B) not be qualified or limited because of a restricted or limited examination by the Independent Auditor of any material portion of the Company’s or any Subsidiary’s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w:t>
      </w:r>
    </w:p>
    <w:p>
      <w:pPr>
        <w:spacing w:after="0" w:line="173" w:lineRule="exact"/>
        <w:rPr>
          <w:rFonts w:ascii="Arial" w:cs="Arial" w:eastAsia="Arial" w:hAnsi="Arial"/>
          <w:sz w:val="18"/>
          <w:szCs w:val="18"/>
          <w:color w:val="auto"/>
        </w:rPr>
      </w:pPr>
    </w:p>
    <w:p>
      <w:pPr>
        <w:jc w:val="both"/>
        <w:ind w:firstLine="656"/>
        <w:spacing w:after="0" w:line="258" w:lineRule="auto"/>
        <w:tabs>
          <w:tab w:leader="none" w:pos="1059"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Quarterly Reports</w:t>
      </w:r>
      <w:r>
        <w:rPr>
          <w:rFonts w:ascii="Arial" w:cs="Arial" w:eastAsia="Arial" w:hAnsi="Arial"/>
          <w:sz w:val="19"/>
          <w:szCs w:val="19"/>
          <w:color w:val="auto"/>
        </w:rPr>
        <w:t>. Promptly when available, and in any event not later than (i) five Business Days after the filing thereof with the SEC and (ii) 45 days after the end of each Fiscal Quarter (except the last Fiscal Quarter of each Fiscal Year), consolidated balance sheets of the Company and its consolidated Subsidiaries as of the end of such Fiscal Quarter, together with a consolidated statement of earnings for such Fiscal Quarter and consolidated statements of earnings and cash flows for the period beginning with the first day of such Fiscal Year and ending on the last day of such Fiscal Quarter, certified by an Executive Officer as fairly presenting in all material respects, in accordance with GAAP (subject to normal year-end audit adjustments and the absence of footnotes), the consolidated financial position and results of operations for the Company and its consolidated Subsidiaries for such periods.</w:t>
      </w:r>
    </w:p>
    <w:p>
      <w:pPr>
        <w:spacing w:after="0" w:line="179" w:lineRule="exact"/>
        <w:rPr>
          <w:rFonts w:ascii="Arial" w:cs="Arial" w:eastAsia="Arial" w:hAnsi="Arial"/>
          <w:sz w:val="19"/>
          <w:szCs w:val="19"/>
          <w:color w:val="auto"/>
        </w:rPr>
      </w:pPr>
    </w:p>
    <w:p>
      <w:pPr>
        <w:jc w:val="both"/>
        <w:ind w:firstLine="656"/>
        <w:spacing w:after="0" w:line="260" w:lineRule="auto"/>
        <w:tabs>
          <w:tab w:leader="none" w:pos="104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Compliance Certificates</w:t>
      </w:r>
      <w:r>
        <w:rPr>
          <w:rFonts w:ascii="Arial" w:cs="Arial" w:eastAsia="Arial" w:hAnsi="Arial"/>
          <w:sz w:val="19"/>
          <w:szCs w:val="19"/>
          <w:color w:val="auto"/>
        </w:rPr>
        <w:t xml:space="preserve">. Contemporaneously with the furnishing of a copy of each annual audit report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and of each set of quarterly statements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a duly completed Compliance Certificate, with appropriate insertions, dated the date of such annual report or such quarterly statements and signed by an Executive Officer, containing a computation of each of the financial covenants set forth in </w:t>
      </w:r>
      <w:r>
        <w:rPr>
          <w:rFonts w:ascii="Arial" w:cs="Arial" w:eastAsia="Arial" w:hAnsi="Arial"/>
          <w:sz w:val="19"/>
          <w:szCs w:val="19"/>
          <w:u w:val="single" w:color="auto"/>
          <w:color w:val="auto"/>
        </w:rPr>
        <w:t>Section 7.06</w:t>
      </w:r>
      <w:r>
        <w:rPr>
          <w:rFonts w:ascii="Arial" w:cs="Arial" w:eastAsia="Arial" w:hAnsi="Arial"/>
          <w:sz w:val="19"/>
          <w:szCs w:val="19"/>
          <w:color w:val="auto"/>
        </w:rPr>
        <w:t>, and to the effect that such officer has not become aware of any Default that has occurred and is continuing or, if there is any such event, describing it and the steps, if any, being taken to cure it.</w:t>
      </w:r>
    </w:p>
    <w:p>
      <w:pPr>
        <w:spacing w:after="0" w:line="180" w:lineRule="exact"/>
        <w:rPr>
          <w:rFonts w:ascii="Arial" w:cs="Arial" w:eastAsia="Arial" w:hAnsi="Arial"/>
          <w:sz w:val="19"/>
          <w:szCs w:val="19"/>
          <w:color w:val="auto"/>
        </w:rPr>
      </w:pPr>
    </w:p>
    <w:p>
      <w:pPr>
        <w:jc w:val="both"/>
        <w:ind w:firstLine="656"/>
        <w:spacing w:after="0" w:line="243" w:lineRule="auto"/>
        <w:tabs>
          <w:tab w:leader="none" w:pos="1072"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Reports to SEC and to Shareholders</w:t>
      </w:r>
      <w:r>
        <w:rPr>
          <w:rFonts w:ascii="Arial" w:cs="Arial" w:eastAsia="Arial" w:hAnsi="Arial"/>
          <w:sz w:val="20"/>
          <w:szCs w:val="20"/>
          <w:color w:val="auto"/>
        </w:rPr>
        <w:t xml:space="preserve">. Except as otherwise provided in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7.01(b)</w:t>
      </w:r>
      <w:r>
        <w:rPr>
          <w:rFonts w:ascii="Arial" w:cs="Arial" w:eastAsia="Arial" w:hAnsi="Arial"/>
          <w:sz w:val="20"/>
          <w:szCs w:val="20"/>
          <w:color w:val="auto"/>
        </w:rPr>
        <w:t>, within 15 days after the filing or sending thereof, copies of all reports on Form 10-K, 10-Q or 8-K (including any amendment thereto) of any Loan Party filed with the SEC (excluding exhibits thereto, provided that the Company shall promptly deliver any such exhibit to the Administrative Agent upon request therefor); copies of all registration statements of any Loan Party filed with the SEC (other than on Form S-8); and copies of all proxy statements or other communications made generally to shareholders as a whole concerning material developments in the business of any Loan Party.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6" w:right="239" w:bottom="1440" w:gutter="0" w:footer="0" w:header="0"/>
        </w:sectPr>
      </w:pPr>
    </w:p>
    <w:bookmarkStart w:id="85" w:name="page86"/>
    <w:bookmarkEnd w:id="85"/>
    <w:p>
      <w:pPr>
        <w:ind w:firstLine="656"/>
        <w:spacing w:after="0" w:line="316" w:lineRule="auto"/>
        <w:tabs>
          <w:tab w:leader="none" w:pos="106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 of Default, Litigation and ERISA Matters</w:t>
      </w:r>
      <w:r>
        <w:rPr>
          <w:rFonts w:ascii="Arial" w:cs="Arial" w:eastAsia="Arial" w:hAnsi="Arial"/>
          <w:sz w:val="18"/>
          <w:szCs w:val="18"/>
          <w:color w:val="auto"/>
        </w:rPr>
        <w:t>. Promptly upon any Executive Officer becoming aware of any of the following, written notice describing the same and the steps being taken by the Company or the Subsidiary affected thereby with respect thereto:</w:t>
      </w:r>
    </w:p>
    <w:p>
      <w:pPr>
        <w:spacing w:after="0" w:line="130" w:lineRule="exact"/>
        <w:rPr>
          <w:rFonts w:ascii="Arial" w:cs="Arial" w:eastAsia="Arial" w:hAnsi="Arial"/>
          <w:sz w:val="18"/>
          <w:szCs w:val="18"/>
          <w:color w:val="auto"/>
        </w:rPr>
      </w:pPr>
    </w:p>
    <w:p>
      <w:pPr>
        <w:ind w:left="1680" w:hanging="375"/>
        <w:spacing w:after="0"/>
        <w:tabs>
          <w:tab w:leader="none" w:pos="168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occurrence of a Default;</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97" w:val="left"/>
        </w:tabs>
        <w:numPr>
          <w:ilvl w:val="1"/>
          <w:numId w:val="90"/>
        </w:numPr>
        <w:rPr>
          <w:rFonts w:ascii="Arial" w:cs="Arial" w:eastAsia="Arial" w:hAnsi="Arial"/>
          <w:sz w:val="20"/>
          <w:szCs w:val="20"/>
          <w:color w:val="auto"/>
        </w:rPr>
      </w:pPr>
      <w:r>
        <w:rPr>
          <w:rFonts w:ascii="Arial" w:cs="Arial" w:eastAsia="Arial" w:hAnsi="Arial"/>
          <w:sz w:val="20"/>
          <w:szCs w:val="20"/>
          <w:color w:val="auto"/>
        </w:rPr>
        <w:t>any litigation, arbitration or governmental investigation or proceeding not previously disclosed by the Company to the Lenders which involves an uninsured claim and has been instituted, or, to the knowledge of the Company, is threatened in writing against the Company or any Significant Subsidiary or to which any of the properties of any thereof is subject which could reasonably be expected to have a Material Adverse Effect;</w:t>
      </w:r>
    </w:p>
    <w:p>
      <w:pPr>
        <w:spacing w:after="0" w:line="191" w:lineRule="exact"/>
        <w:rPr>
          <w:rFonts w:ascii="Arial" w:cs="Arial" w:eastAsia="Arial" w:hAnsi="Arial"/>
          <w:sz w:val="20"/>
          <w:szCs w:val="20"/>
          <w:color w:val="auto"/>
        </w:rPr>
      </w:pPr>
    </w:p>
    <w:p>
      <w:pPr>
        <w:jc w:val="both"/>
        <w:ind w:left="660" w:firstLine="645"/>
        <w:spacing w:after="0" w:line="255" w:lineRule="auto"/>
        <w:tabs>
          <w:tab w:leader="none" w:pos="1826"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Pension Plan which could reasonably be expected to have a Material Adverse Effect, or any notice that any Multiemployer Pension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w:t>
      </w:r>
    </w:p>
    <w:p>
      <w:pPr>
        <w:spacing w:after="0" w:line="187" w:lineRule="exact"/>
        <w:rPr>
          <w:rFonts w:ascii="Arial" w:cs="Arial" w:eastAsia="Arial" w:hAnsi="Arial"/>
          <w:sz w:val="19"/>
          <w:szCs w:val="19"/>
          <w:color w:val="auto"/>
        </w:rPr>
      </w:pPr>
    </w:p>
    <w:p>
      <w:pPr>
        <w:ind w:left="1780" w:hanging="475"/>
        <w:spacing w:after="0"/>
        <w:tabs>
          <w:tab w:leader="none" w:pos="1780" w:val="left"/>
        </w:tabs>
        <w:numPr>
          <w:ilvl w:val="1"/>
          <w:numId w:val="90"/>
        </w:numPr>
        <w:rPr>
          <w:rFonts w:ascii="Arial" w:cs="Arial" w:eastAsia="Arial" w:hAnsi="Arial"/>
          <w:sz w:val="20"/>
          <w:szCs w:val="20"/>
          <w:color w:val="auto"/>
        </w:rPr>
      </w:pPr>
      <w:r>
        <w:rPr>
          <w:rFonts w:ascii="Arial" w:cs="Arial" w:eastAsia="Arial" w:hAnsi="Arial"/>
          <w:sz w:val="20"/>
          <w:szCs w:val="20"/>
          <w:color w:val="auto"/>
        </w:rPr>
        <w:t>any Loan Party becomes an entity deemed to hold Plan Assets; and</w:t>
      </w:r>
    </w:p>
    <w:p>
      <w:pPr>
        <w:spacing w:after="0" w:line="215" w:lineRule="exact"/>
        <w:rPr>
          <w:rFonts w:ascii="Arial" w:cs="Arial" w:eastAsia="Arial" w:hAnsi="Arial"/>
          <w:sz w:val="20"/>
          <w:szCs w:val="20"/>
          <w:color w:val="auto"/>
        </w:rPr>
      </w:pPr>
    </w:p>
    <w:p>
      <w:pPr>
        <w:ind w:left="660" w:firstLine="645"/>
        <w:spacing w:after="0" w:line="260" w:lineRule="auto"/>
        <w:tabs>
          <w:tab w:leader="none" w:pos="1746" w:val="left"/>
        </w:tabs>
        <w:numPr>
          <w:ilvl w:val="1"/>
          <w:numId w:val="90"/>
        </w:numPr>
        <w:rPr>
          <w:rFonts w:ascii="Arial" w:cs="Arial" w:eastAsia="Arial" w:hAnsi="Arial"/>
          <w:sz w:val="20"/>
          <w:szCs w:val="20"/>
          <w:color w:val="auto"/>
        </w:rPr>
      </w:pPr>
      <w:r>
        <w:rPr>
          <w:rFonts w:ascii="Arial" w:cs="Arial" w:eastAsia="Arial" w:hAnsi="Arial"/>
          <w:sz w:val="20"/>
          <w:szCs w:val="20"/>
          <w:color w:val="auto"/>
        </w:rPr>
        <w:t>any other event (including any violation of any Environmental Law or the assertion of any Environmental Claim) which could reasonably be expected to have a Material Adverse Effect.</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121"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From time to time (i) 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 (ii) such other information concerning the Company and its Subsidiaries (including material financial and management reports submitted to the Company by independent auditors in connection with each annual or interim audit made by such auditors of the books of the Company) as the Administrative Agent or any Lender through the Administrative Agent may reasonably request.</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7.01(d)</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publicly files such documents with the SEC; or (ii) on which such documents are (A) available on the website of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or (B) posted on a Borrower’s behalf on an Internet or intranet website, if any, to which each Lender and the Administrative Agent have access (whether a commercial, third 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documents that are not available on </w:t>
      </w:r>
      <w:r>
        <w:rPr>
          <w:rFonts w:ascii="Arial" w:cs="Arial" w:eastAsia="Arial" w:hAnsi="Arial"/>
          <w:sz w:val="18"/>
          <w:szCs w:val="18"/>
          <w:u w:val="single" w:color="auto"/>
          <w:color w:val="auto"/>
        </w:rPr>
        <w:t>http://www.sec.gov</w:t>
      </w:r>
      <w:r>
        <w:rPr>
          <w:rFonts w:ascii="Arial" w:cs="Arial" w:eastAsia="Arial" w:hAnsi="Arial"/>
          <w:sz w:val="18"/>
          <w:szCs w:val="18"/>
          <w:color w:val="auto"/>
        </w:rPr>
        <w:t>, the Company shall notify (which may be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6" w:right="239" w:bottom="1440" w:gutter="0" w:footer="0" w:header="0"/>
        </w:sectPr>
      </w:pPr>
    </w:p>
    <w:bookmarkStart w:id="86" w:name="page87"/>
    <w:bookmarkEnd w:id="86"/>
    <w:p>
      <w:pPr>
        <w:jc w:val="both"/>
        <w:spacing w:after="0" w:line="243" w:lineRule="auto"/>
        <w:rPr>
          <w:sz w:val="20"/>
          <w:szCs w:val="20"/>
          <w:color w:val="auto"/>
        </w:rPr>
      </w:pPr>
      <w:r>
        <w:rPr>
          <w:rFonts w:ascii="Arial" w:cs="Arial" w:eastAsia="Arial" w:hAnsi="Arial"/>
          <w:sz w:val="20"/>
          <w:szCs w:val="20"/>
          <w:color w:val="auto"/>
        </w:rPr>
        <w:t>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hereby acknowledges that (a) the Administrative Agent and/or the Arrangers may, but shall not be obligated to, make available to the Lenders and the L/C Issuer materials and/or information provided by or on behalf of the Company hereunder (collectively,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by posting the Borrower Materials on Debt Domain, IntraLinks,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w:t>
      </w:r>
    </w:p>
    <w:p>
      <w:pPr>
        <w:spacing w:after="0" w:line="1" w:lineRule="exact"/>
        <w:rPr>
          <w:sz w:val="20"/>
          <w:szCs w:val="20"/>
          <w:color w:val="auto"/>
        </w:rPr>
      </w:pPr>
    </w:p>
    <w:p>
      <w:pPr>
        <w:jc w:val="both"/>
        <w:ind w:firstLine="8"/>
        <w:spacing w:after="0" w:line="253" w:lineRule="auto"/>
        <w:tabs>
          <w:tab w:leader="none" w:pos="307" w:val="left"/>
        </w:tabs>
        <w:numPr>
          <w:ilvl w:val="0"/>
          <w:numId w:val="91"/>
        </w:numPr>
        <w:rPr>
          <w:rFonts w:ascii="Arial" w:cs="Arial" w:eastAsia="Arial" w:hAnsi="Arial"/>
          <w:sz w:val="19"/>
          <w:szCs w:val="19"/>
          <w:color w:val="auto"/>
        </w:rPr>
      </w:pPr>
      <w:r>
        <w:rPr>
          <w:rFonts w:ascii="Arial" w:cs="Arial" w:eastAsia="Arial" w:hAnsi="Arial"/>
          <w:sz w:val="19"/>
          <w:szCs w:val="19"/>
          <w:color w:val="auto"/>
        </w:rPr>
        <w:t>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Arrangers, the L/C Issuer and the Lenders to treat such Borrower Materials as not containing any material non-public information with respect to the Company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any Borrower Materials constitute Information, they shall be treated as set forth in </w:t>
      </w:r>
      <w:r>
        <w:rPr>
          <w:rFonts w:ascii="Arial" w:cs="Arial" w:eastAsia="Arial" w:hAnsi="Arial"/>
          <w:sz w:val="19"/>
          <w:szCs w:val="19"/>
          <w:u w:val="single" w:color="auto"/>
          <w:color w:val="auto"/>
        </w:rPr>
        <w:t>Section 11.07</w:t>
      </w:r>
      <w:r>
        <w:rPr>
          <w:rFonts w:ascii="Arial" w:cs="Arial" w:eastAsia="Arial" w:hAnsi="Arial"/>
          <w:sz w:val="19"/>
          <w:szCs w:val="19"/>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and shall only post such Borrower Materials on, a portion of the Platform not designated as “Public Side Information.” Notwithstanding the foregoing, the Company shall be under no obligation to mark any Borrower Materials “PUBLIC.”</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0" w:lineRule="auto"/>
        <w:tabs>
          <w:tab w:leader="none" w:pos="1061"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Keep, and cause each Significant Subsidiary to keep, its books and records in conformity with GAAP; (b) permit, and cause each Significant Subsidiary and each Domestic Subsidiary (other than Excluded Subsidiaries) to permit, the Administrative Agent (which may be accompanied by any Lender) or any representative thereof at any reasonable time during normal business hours and with reasonable prior notice to inspect the properties and operations of the Company and of such Subsidiary; and (c) permit, and cause each Significant Subsidiary and each Domestic Subsidiary (other than Excluded Subsidiaries) to permit, at any reasonable time during normal business hours and with reasonable notice (or at any time without notice if an Event of Default exists), the Administrative Agent (which may be accompanied by any Lender) or any representative thereof to visit any or all of its offices, to discuss its financial matters with its officers and its independent auditors (and the Company hereby authorizes such independent auditors to discuss such financial matters with the Administrative Agent (which may be accompanied by any Lender) or any representative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have the right to be present at any such discussions so long as no Event of Default exists), to examine (and photocopy extracts from) any of its books or other financial or operating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 Event of Default exists, (i) the Administrative Agent and the Lenders shall be limited in the aggregate to two visits and inspections per Fiscal Year (it being understood that the Administrative Agent may conduct such on-site visits and inspections when an Event of Default does not exist and may be accompanied by any Lender) and (ii) the costs and expenses associated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6" w:right="239" w:bottom="1440" w:gutter="0" w:footer="0" w:header="0"/>
        </w:sectPr>
      </w:pPr>
    </w:p>
    <w:bookmarkStart w:id="87" w:name="page88"/>
    <w:bookmarkEnd w:id="87"/>
    <w:p>
      <w:pPr>
        <w:jc w:val="both"/>
        <w:spacing w:after="0" w:line="260" w:lineRule="auto"/>
        <w:rPr>
          <w:sz w:val="20"/>
          <w:szCs w:val="20"/>
          <w:color w:val="auto"/>
        </w:rPr>
      </w:pPr>
      <w:r>
        <w:rPr>
          <w:rFonts w:ascii="Arial" w:cs="Arial" w:eastAsia="Arial" w:hAnsi="Arial"/>
          <w:sz w:val="20"/>
          <w:szCs w:val="20"/>
          <w:color w:val="auto"/>
        </w:rPr>
        <w:t xml:space="preserve">with any visit or inspection made pursuant to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for the account of the Administrative Agent (or, if acting upon the request of or accompanied by any Lender, such Lender).</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Maintain, and cause each Significant Subsidiary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and, upon request of the Administrative Agent or any Lender through the Administrative Agent, furnish to the Administrative Agent or the Administrative Agent for delivery to such Lender a certificate setting forth in reasonable detail the nature and extent of all insurance maintained by the Company, the Significant Subsidiaries and the Domestic Subsidiaries (other than Excluded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self-insurance of risks and in amounts customary in the industry of the Company and its Subsidiaries shall be permitted.</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7.04</w:t>
      </w:r>
      <w:r>
        <w:rPr>
          <w:sz w:val="20"/>
          <w:szCs w:val="20"/>
          <w:color w:val="auto"/>
        </w:rPr>
        <w:tab/>
      </w:r>
      <w:r>
        <w:rPr>
          <w:rFonts w:ascii="Arial" w:cs="Arial" w:eastAsia="Arial" w:hAnsi="Arial"/>
          <w:sz w:val="18"/>
          <w:szCs w:val="18"/>
          <w:u w:val="single" w:color="auto"/>
          <w:color w:val="auto"/>
        </w:rPr>
        <w:t>Compliance with Laws; Payment of Taxes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61" w:val="left"/>
        </w:tabs>
        <w:numPr>
          <w:ilvl w:val="0"/>
          <w:numId w:val="93"/>
        </w:numPr>
        <w:rPr>
          <w:rFonts w:ascii="Arial" w:cs="Arial" w:eastAsia="Arial" w:hAnsi="Arial"/>
          <w:sz w:val="19"/>
          <w:szCs w:val="19"/>
          <w:color w:val="auto"/>
        </w:rPr>
      </w:pPr>
      <w:r>
        <w:rPr>
          <w:rFonts w:ascii="Arial" w:cs="Arial" w:eastAsia="Arial" w:hAnsi="Arial"/>
          <w:sz w:val="19"/>
          <w:szCs w:val="19"/>
          <w:color w:val="auto"/>
        </w:rPr>
        <w:t>Comply, and cause each Significant Subsidiary to comply, with all applicable Laws (including Environmental Laws and ERISA), rules, regulations, decrees, orders, judgments, licenses and permits, except to the extent the failure to comply therewith, either individually or in the aggregate with all other such failures, could not reasonably be expected to have a Material Adverse Effect.</w:t>
      </w:r>
    </w:p>
    <w:p>
      <w:pPr>
        <w:spacing w:after="0" w:line="170" w:lineRule="exact"/>
        <w:rPr>
          <w:rFonts w:ascii="Arial" w:cs="Arial" w:eastAsia="Arial" w:hAnsi="Arial"/>
          <w:sz w:val="19"/>
          <w:szCs w:val="19"/>
          <w:color w:val="auto"/>
        </w:rPr>
      </w:pPr>
    </w:p>
    <w:p>
      <w:pPr>
        <w:jc w:val="both"/>
        <w:ind w:firstLine="656"/>
        <w:spacing w:after="0" w:line="260" w:lineRule="auto"/>
        <w:tabs>
          <w:tab w:leader="none" w:pos="1072"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Pay, and cause each Significant Subsidiary to pay all taxes and governmental charges against it or any of its property, except such taxes that are not overdue by more than 60 days and such taxes the failure of which to pay, either individually or in the aggregate with all other such failures, could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require the Company or any Subsidiary to pay any such tax or charge so long as it shall contest the validity thereof in good faith by appropriate action and shall set aside on its books adequate reserves with respect thereto.</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7.05</w:t>
      </w:r>
      <w:r>
        <w:rPr>
          <w:sz w:val="20"/>
          <w:szCs w:val="20"/>
          <w:color w:val="auto"/>
        </w:rPr>
        <w:tab/>
      </w:r>
      <w:r>
        <w:rPr>
          <w:rFonts w:ascii="Arial" w:cs="Arial" w:eastAsia="Arial" w:hAnsi="Arial"/>
          <w:sz w:val="16"/>
          <w:szCs w:val="16"/>
          <w:u w:val="single" w:color="auto"/>
          <w:color w:val="auto"/>
        </w:rPr>
        <w:t>Maintenance of Existence, etc</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Maintain and preserve, and (subject to </w:t>
      </w:r>
      <w:r>
        <w:rPr>
          <w:rFonts w:ascii="Arial" w:cs="Arial" w:eastAsia="Arial" w:hAnsi="Arial"/>
          <w:sz w:val="18"/>
          <w:szCs w:val="18"/>
          <w:u w:val="single" w:color="auto"/>
          <w:color w:val="auto"/>
        </w:rPr>
        <w:t>Section 7.09</w:t>
      </w:r>
      <w:r>
        <w:rPr>
          <w:rFonts w:ascii="Arial" w:cs="Arial" w:eastAsia="Arial" w:hAnsi="Arial"/>
          <w:sz w:val="18"/>
          <w:szCs w:val="18"/>
          <w:color w:val="auto"/>
        </w:rPr>
        <w:t>) cause each Significant Subsidiary to maintain and preserve, (a) its existence and good standing (or equivalent status) in the jurisdiction of its formation and (b) its qualification and good standing (or equivalent status) as a foreign entity in each jurisdiction where the nature of its business makes such qualification necessary (except in those instances in which the failure to be qualified or in good standing (or equivalent status) could not reasonably be expected to have a Material Adverse Effect).</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7.06</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7" w:lineRule="auto"/>
        <w:tabs>
          <w:tab w:leader="none" w:pos="1075"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Consolidated Net Leverage Ratio</w:t>
      </w:r>
      <w:r>
        <w:rPr>
          <w:rFonts w:ascii="Arial" w:cs="Arial" w:eastAsia="Arial" w:hAnsi="Arial"/>
          <w:sz w:val="19"/>
          <w:szCs w:val="19"/>
          <w:color w:val="auto"/>
        </w:rPr>
        <w:t xml:space="preserve">. Not permit the Consolidated Net Leverage Ratio as of the last day of any Computation Period to exceed 3.50 to 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any individual Permitted Acquisition (or any series of Permitted Acquisitions occurring in any four Fiscal Quarter period) for which the aggregate purchase consideration equals or exceeds $100,000,000, the maximum Consolidated Net Leverage Ratio, with prior notice to the Administrative Agent, shall increase to 3.75 to 1.0 for the four consecutive Fiscal Quarter period beginning with, if an individual Permitted Acquisition, the quarter in which such Permitted Acquisition occurs, or, if a series of Permitted Acquisitions, the quarter in which the last Permitted Acquisition occurs, so long as (i) the Company is in compliance on a pro forma basis with this </w:t>
      </w:r>
      <w:r>
        <w:rPr>
          <w:rFonts w:ascii="Arial" w:cs="Arial" w:eastAsia="Arial" w:hAnsi="Arial"/>
          <w:sz w:val="19"/>
          <w:szCs w:val="19"/>
          <w:u w:val="single" w:color="auto"/>
          <w:color w:val="auto"/>
        </w:rPr>
        <w:t>Section 7.06(a)</w:t>
      </w:r>
      <w:r>
        <w:rPr>
          <w:rFonts w:ascii="Arial" w:cs="Arial" w:eastAsia="Arial" w:hAnsi="Arial"/>
          <w:sz w:val="19"/>
          <w:szCs w:val="19"/>
          <w:color w:val="auto"/>
        </w:rPr>
        <w:t xml:space="preserve"> at such 3.75 to 1.0 level after giving effect to such Permitted Acquisition and (ii) after any such Permitted Acquisition that results in an increase to the 3.75 to 1.0 level,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6" w:right="239" w:bottom="1440" w:gutter="0" w:footer="0" w:header="0"/>
        </w:sectPr>
      </w:pPr>
    </w:p>
    <w:bookmarkStart w:id="88" w:name="page89"/>
    <w:bookmarkEnd w:id="88"/>
    <w:p>
      <w:pPr>
        <w:jc w:val="both"/>
        <w:spacing w:after="0" w:line="269" w:lineRule="auto"/>
        <w:rPr>
          <w:sz w:val="20"/>
          <w:szCs w:val="20"/>
          <w:color w:val="auto"/>
        </w:rPr>
      </w:pPr>
      <w:r>
        <w:rPr>
          <w:rFonts w:ascii="Arial" w:cs="Arial" w:eastAsia="Arial" w:hAnsi="Arial"/>
          <w:sz w:val="19"/>
          <w:szCs w:val="19"/>
          <w:color w:val="auto"/>
        </w:rPr>
        <w:t xml:space="preserve">the Consolidated Net Leverage Ratio permitted under this </w:t>
      </w:r>
      <w:r>
        <w:rPr>
          <w:rFonts w:ascii="Arial" w:cs="Arial" w:eastAsia="Arial" w:hAnsi="Arial"/>
          <w:sz w:val="19"/>
          <w:szCs w:val="19"/>
          <w:u w:val="single" w:color="auto"/>
          <w:color w:val="auto"/>
        </w:rPr>
        <w:t>Section 7.06(a)</w:t>
      </w:r>
      <w:r>
        <w:rPr>
          <w:rFonts w:ascii="Arial" w:cs="Arial" w:eastAsia="Arial" w:hAnsi="Arial"/>
          <w:sz w:val="19"/>
          <w:szCs w:val="19"/>
          <w:color w:val="auto"/>
        </w:rPr>
        <w:t xml:space="preserve"> shall decrease to 3.50 to 1.0 for at least one Fiscal Quarter before becoming eligible to again increase to 3.75 to 1.0 for a new period of four consecutive Fiscal Quarters (with the understanding that any Permitted Acquisition occurring during such Fiscal Quarter would be required to comply with the 3.50 to 1.0 ratio).</w:t>
      </w:r>
    </w:p>
    <w:p>
      <w:pPr>
        <w:spacing w:after="0" w:line="170" w:lineRule="exact"/>
        <w:rPr>
          <w:sz w:val="20"/>
          <w:szCs w:val="20"/>
          <w:color w:val="auto"/>
        </w:rPr>
      </w:pPr>
    </w:p>
    <w:p>
      <w:pPr>
        <w:ind w:firstLine="656"/>
        <w:spacing w:after="0" w:line="260" w:lineRule="auto"/>
        <w:tabs>
          <w:tab w:leader="none" w:pos="1072"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Not permit the Consolidated Interest Coverage Ratio as of the last day of any Computation Period to be less than 3.00 to 1.0.</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7.07</w:t>
      </w:r>
      <w:r>
        <w:rPr>
          <w:sz w:val="20"/>
          <w:szCs w:val="20"/>
          <w:color w:val="auto"/>
        </w:rPr>
        <w:tab/>
      </w:r>
      <w:r>
        <w:rPr>
          <w:rFonts w:ascii="Arial" w:cs="Arial" w:eastAsia="Arial" w:hAnsi="Arial"/>
          <w:sz w:val="18"/>
          <w:szCs w:val="18"/>
          <w:u w:val="single" w:color="auto"/>
          <w:color w:val="auto"/>
        </w:rPr>
        <w:t>Limitations on Debt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and not permit any Significant Subsidiary or any Securitization Subsidiary to, create, incur, assume or suffer to exist any Debt,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except:</w:t>
      </w:r>
    </w:p>
    <w:p>
      <w:pPr>
        <w:spacing w:after="0" w:line="200" w:lineRule="exact"/>
        <w:rPr>
          <w:sz w:val="20"/>
          <w:szCs w:val="20"/>
          <w:color w:val="auto"/>
        </w:rPr>
      </w:pPr>
    </w:p>
    <w:p>
      <w:pPr>
        <w:ind w:left="1060" w:hanging="404"/>
        <w:spacing w:after="0"/>
        <w:tabs>
          <w:tab w:leader="none" w:pos="1060" w:val="left"/>
        </w:tabs>
        <w:numPr>
          <w:ilvl w:val="1"/>
          <w:numId w:val="96"/>
        </w:numPr>
        <w:rPr>
          <w:rFonts w:ascii="Arial" w:cs="Arial" w:eastAsia="Arial" w:hAnsi="Arial"/>
          <w:sz w:val="20"/>
          <w:szCs w:val="20"/>
          <w:color w:val="auto"/>
        </w:rPr>
      </w:pPr>
      <w:r>
        <w:rPr>
          <w:rFonts w:ascii="Arial" w:cs="Arial" w:eastAsia="Arial" w:hAnsi="Arial"/>
          <w:sz w:val="20"/>
          <w:szCs w:val="20"/>
          <w:color w:val="auto"/>
        </w:rPr>
        <w:t>Debt arising under the Loan Documents;</w:t>
      </w:r>
    </w:p>
    <w:p>
      <w:pPr>
        <w:spacing w:after="0" w:line="215" w:lineRule="exact"/>
        <w:rPr>
          <w:rFonts w:ascii="Arial" w:cs="Arial" w:eastAsia="Arial" w:hAnsi="Arial"/>
          <w:sz w:val="20"/>
          <w:szCs w:val="20"/>
          <w:color w:val="auto"/>
        </w:rPr>
      </w:pPr>
    </w:p>
    <w:p>
      <w:pPr>
        <w:jc w:val="both"/>
        <w:ind w:firstLine="656"/>
        <w:spacing w:after="0" w:line="270" w:lineRule="auto"/>
        <w:tabs>
          <w:tab w:leader="none" w:pos="1059"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Debt incurred to finance the acquisition, construction or improvement of any fixed or capital asset (including (i) obligations under Capital Leases and (ii) Debt assumed in connection with the acquisition of any such asset or secured by a Lien on such asset prior to the acquisition thereof (and not incurred in contemplation of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Debt is incurred prior to or substantially concurrently with such acquisition or not later than 45 days following the completion of such construction or improvement, as the case may be,</w:t>
      </w:r>
    </w:p>
    <w:p>
      <w:pPr>
        <w:spacing w:after="0" w:line="2" w:lineRule="exact"/>
        <w:rPr>
          <w:rFonts w:ascii="Arial" w:cs="Arial" w:eastAsia="Arial" w:hAnsi="Arial"/>
          <w:sz w:val="18"/>
          <w:szCs w:val="18"/>
          <w:color w:val="auto"/>
        </w:rPr>
      </w:pPr>
    </w:p>
    <w:p>
      <w:pPr>
        <w:jc w:val="both"/>
        <w:ind w:firstLine="8"/>
        <w:spacing w:after="0"/>
        <w:tabs>
          <w:tab w:leader="none" w:pos="312"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such Debt does not exceed the cost of such asset as of the date of such acquisition or completion of construction thereof or of such improvement on the date of completion thereof, as the case may be, and (z) the aggregate outstanding principal amount of all Debt described in this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does not at the time of incurrence of any such Debt exceed the greater of (A) $50,000,000 and (B) 5% of the consolidated tangible 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ind w:left="1060" w:hanging="404"/>
        <w:spacing w:after="0"/>
        <w:tabs>
          <w:tab w:leader="none" w:pos="1060"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Debt secured by Liens permitted by </w:t>
      </w:r>
      <w:r>
        <w:rPr>
          <w:rFonts w:ascii="Arial" w:cs="Arial" w:eastAsia="Arial" w:hAnsi="Arial"/>
          <w:sz w:val="20"/>
          <w:szCs w:val="20"/>
          <w:u w:val="single" w:color="auto"/>
          <w:color w:val="auto"/>
        </w:rPr>
        <w:t>Section 7.08(c)</w:t>
      </w:r>
      <w:r>
        <w:rPr>
          <w:rFonts w:ascii="Arial" w:cs="Arial" w:eastAsia="Arial" w:hAnsi="Arial"/>
          <w:sz w:val="20"/>
          <w:szCs w:val="20"/>
          <w:color w:val="auto"/>
        </w:rPr>
        <w:t xml:space="preserve">, </w:t>
      </w:r>
      <w:r>
        <w:rPr>
          <w:rFonts w:ascii="Arial" w:cs="Arial" w:eastAsia="Arial" w:hAnsi="Arial"/>
          <w:sz w:val="20"/>
          <w:szCs w:val="20"/>
          <w:u w:val="single" w:color="auto"/>
          <w:color w:val="auto"/>
        </w:rPr>
        <w:t>7.08(f)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7.08(t)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Debt (or any undrawn commitment therefor) existing on the Closing Date and listed in </w:t>
      </w:r>
      <w:r>
        <w:rPr>
          <w:rFonts w:ascii="Arial" w:cs="Arial" w:eastAsia="Arial" w:hAnsi="Arial"/>
          <w:sz w:val="20"/>
          <w:szCs w:val="20"/>
          <w:u w:val="single" w:color="auto"/>
          <w:color w:val="auto"/>
        </w:rPr>
        <w:t>Schedule 7.07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316" w:lineRule="auto"/>
        <w:tabs>
          <w:tab w:leader="none" w:pos="1142"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refinancings, extensions or renewals of any of the foregoing Debt to the extent the principal amount thereof is not increased (including extensions, renewals or replacements of guarantees in respect of such Debt as so refinanced, extended or renewed);</w:t>
      </w:r>
    </w:p>
    <w:p>
      <w:pPr>
        <w:spacing w:after="0" w:line="130" w:lineRule="exact"/>
        <w:rPr>
          <w:rFonts w:ascii="Arial" w:cs="Arial" w:eastAsia="Arial" w:hAnsi="Arial"/>
          <w:sz w:val="18"/>
          <w:szCs w:val="18"/>
          <w:color w:val="auto"/>
        </w:rPr>
      </w:pPr>
    </w:p>
    <w:p>
      <w:pPr>
        <w:ind w:left="1040" w:hanging="384"/>
        <w:spacing w:after="0"/>
        <w:tabs>
          <w:tab w:leader="none" w:pos="1040" w:val="left"/>
        </w:tabs>
        <w:numPr>
          <w:ilvl w:val="1"/>
          <w:numId w:val="97"/>
        </w:numPr>
        <w:rPr>
          <w:rFonts w:ascii="Arial" w:cs="Arial" w:eastAsia="Arial" w:hAnsi="Arial"/>
          <w:sz w:val="20"/>
          <w:szCs w:val="20"/>
          <w:color w:val="auto"/>
        </w:rPr>
      </w:pPr>
      <w:r>
        <w:rPr>
          <w:rFonts w:ascii="Arial" w:cs="Arial" w:eastAsia="Arial" w:hAnsi="Arial"/>
          <w:sz w:val="20"/>
          <w:szCs w:val="20"/>
          <w:color w:val="auto"/>
        </w:rPr>
        <w:t>Subordinated Debt;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72" w:val="left"/>
        </w:tabs>
        <w:numPr>
          <w:ilvl w:val="1"/>
          <w:numId w:val="97"/>
        </w:numPr>
        <w:rPr>
          <w:rFonts w:ascii="Arial" w:cs="Arial" w:eastAsia="Arial" w:hAnsi="Arial"/>
          <w:sz w:val="20"/>
          <w:szCs w:val="20"/>
          <w:color w:val="auto"/>
        </w:rPr>
      </w:pPr>
      <w:r>
        <w:rPr>
          <w:rFonts w:ascii="Arial" w:cs="Arial" w:eastAsia="Arial" w:hAnsi="Arial"/>
          <w:sz w:val="20"/>
          <w:szCs w:val="20"/>
          <w:color w:val="auto"/>
        </w:rPr>
        <w:t>Hedging Obligations incurred in the ordinary course of business for bona fide hedging purposes and not for speculation and Debt in respect of overdraft facilities, employee credit card programs, netting services, automatic clearing house arrangements and other cash management and similar arrangements, in each case in the ordinary course of business;</w:t>
      </w:r>
    </w:p>
    <w:p>
      <w:pPr>
        <w:spacing w:after="0" w:line="186" w:lineRule="exact"/>
        <w:rPr>
          <w:rFonts w:ascii="Arial" w:cs="Arial" w:eastAsia="Arial" w:hAnsi="Arial"/>
          <w:sz w:val="20"/>
          <w:szCs w:val="20"/>
          <w:color w:val="auto"/>
        </w:rPr>
      </w:pPr>
    </w:p>
    <w:p>
      <w:pPr>
        <w:ind w:left="1060" w:hanging="404"/>
        <w:spacing w:after="0"/>
        <w:tabs>
          <w:tab w:leader="none" w:pos="1060" w:val="left"/>
        </w:tabs>
        <w:numPr>
          <w:ilvl w:val="1"/>
          <w:numId w:val="97"/>
        </w:numPr>
        <w:rPr>
          <w:rFonts w:ascii="Arial" w:cs="Arial" w:eastAsia="Arial" w:hAnsi="Arial"/>
          <w:sz w:val="20"/>
          <w:szCs w:val="20"/>
          <w:color w:val="auto"/>
        </w:rPr>
      </w:pPr>
      <w:r>
        <w:rPr>
          <w:rFonts w:ascii="Arial" w:cs="Arial" w:eastAsia="Arial" w:hAnsi="Arial"/>
          <w:sz w:val="20"/>
          <w:szCs w:val="20"/>
          <w:color w:val="auto"/>
        </w:rPr>
        <w:t>Debt of a Person acquired in connection with a Permitted Acquisition that was not incurred in contemplation thereof;</w:t>
      </w:r>
    </w:p>
    <w:p>
      <w:pPr>
        <w:spacing w:after="0" w:line="215" w:lineRule="exact"/>
        <w:rPr>
          <w:rFonts w:ascii="Arial" w:cs="Arial" w:eastAsia="Arial" w:hAnsi="Arial"/>
          <w:sz w:val="20"/>
          <w:szCs w:val="20"/>
          <w:color w:val="auto"/>
        </w:rPr>
      </w:pPr>
    </w:p>
    <w:p>
      <w:pPr>
        <w:ind w:left="1020" w:hanging="364"/>
        <w:spacing w:after="0"/>
        <w:tabs>
          <w:tab w:leader="none" w:pos="1020" w:val="left"/>
        </w:tabs>
        <w:numPr>
          <w:ilvl w:val="1"/>
          <w:numId w:val="97"/>
        </w:numPr>
        <w:rPr>
          <w:rFonts w:ascii="Arial" w:cs="Arial" w:eastAsia="Arial" w:hAnsi="Arial"/>
          <w:sz w:val="20"/>
          <w:szCs w:val="20"/>
          <w:color w:val="auto"/>
        </w:rPr>
      </w:pPr>
      <w:r>
        <w:rPr>
          <w:rFonts w:ascii="Arial" w:cs="Arial" w:eastAsia="Arial" w:hAnsi="Arial"/>
          <w:sz w:val="20"/>
          <w:szCs w:val="20"/>
          <w:color w:val="auto"/>
        </w:rPr>
        <w:t>Debt of the Company or a Significant Subsidiary as an account party in respect of trade and standby letters of credit;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6" w:right="239" w:bottom="1440" w:gutter="0" w:footer="0" w:header="0"/>
        </w:sectPr>
      </w:pPr>
    </w:p>
    <w:bookmarkStart w:id="89" w:name="page90"/>
    <w:bookmarkEnd w:id="89"/>
    <w:p>
      <w:pPr>
        <w:ind w:left="1020" w:hanging="364"/>
        <w:spacing w:after="0"/>
        <w:tabs>
          <w:tab w:leader="none" w:pos="10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Debt arising under surety, custom and similar bonds in the ordinary course of business consistent with past practice;</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086"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Securitization Obligations in an aggregate outstanding amount not exceeding at the time of incurrence of any such Securitization Obligations the greater of (i) $100,000,000 and (ii) 10% of the consolidated tangible 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the aggregate outstanding amount of all Securitization Obligations of the Domestic Borrowers and the Domestic Subsidiaries of the Company shall not exceed $35,000,000 at any time.</w:t>
      </w:r>
    </w:p>
    <w:p>
      <w:pPr>
        <w:spacing w:after="0" w:line="194" w:lineRule="exact"/>
        <w:rPr>
          <w:rFonts w:ascii="Arial" w:cs="Arial" w:eastAsia="Arial" w:hAnsi="Arial"/>
          <w:sz w:val="20"/>
          <w:szCs w:val="20"/>
          <w:color w:val="auto"/>
        </w:rPr>
      </w:pPr>
    </w:p>
    <w:p>
      <w:pPr>
        <w:ind w:firstLine="656"/>
        <w:spacing w:after="0" w:line="260" w:lineRule="auto"/>
        <w:tabs>
          <w:tab w:leader="none" w:pos="1150"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Debt under the Existing Credit Agreement, so long such Debt is repaid concurrently with the making of the initial Credit Extensions hereunder;</w:t>
      </w:r>
    </w:p>
    <w:p>
      <w:pPr>
        <w:spacing w:after="0" w:line="176" w:lineRule="exact"/>
        <w:rPr>
          <w:rFonts w:ascii="Arial" w:cs="Arial" w:eastAsia="Arial" w:hAnsi="Arial"/>
          <w:sz w:val="20"/>
          <w:szCs w:val="20"/>
          <w:color w:val="auto"/>
        </w:rPr>
      </w:pPr>
    </w:p>
    <w:p>
      <w:pPr>
        <w:ind w:firstLine="656"/>
        <w:spacing w:after="0" w:line="260" w:lineRule="auto"/>
        <w:tabs>
          <w:tab w:leader="none" w:pos="1168"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Debt arising under any Note Purchase Agreement or any Senior Note (and renewals, refinancings and extensions thereof) and, subject to </w:t>
      </w:r>
      <w:r>
        <w:rPr>
          <w:rFonts w:ascii="Arial" w:cs="Arial" w:eastAsia="Arial" w:hAnsi="Arial"/>
          <w:sz w:val="20"/>
          <w:szCs w:val="20"/>
          <w:u w:val="single" w:color="auto"/>
          <w:color w:val="auto"/>
        </w:rPr>
        <w:t>Section 7.16</w:t>
      </w:r>
      <w:r>
        <w:rPr>
          <w:rFonts w:ascii="Arial" w:cs="Arial" w:eastAsia="Arial" w:hAnsi="Arial"/>
          <w:sz w:val="20"/>
          <w:szCs w:val="20"/>
          <w:color w:val="auto"/>
        </w:rPr>
        <w:t>, any guarantee of the foregoing;</w:t>
      </w:r>
    </w:p>
    <w:p>
      <w:pPr>
        <w:spacing w:after="0" w:line="176" w:lineRule="exact"/>
        <w:rPr>
          <w:rFonts w:ascii="Arial" w:cs="Arial" w:eastAsia="Arial" w:hAnsi="Arial"/>
          <w:sz w:val="20"/>
          <w:szCs w:val="20"/>
          <w:color w:val="auto"/>
        </w:rPr>
      </w:pPr>
    </w:p>
    <w:p>
      <w:pPr>
        <w:ind w:firstLine="656"/>
        <w:spacing w:after="0" w:line="260" w:lineRule="auto"/>
        <w:tabs>
          <w:tab w:leader="none" w:pos="1207" w:val="left"/>
        </w:tabs>
        <w:numPr>
          <w:ilvl w:val="0"/>
          <w:numId w:val="98"/>
        </w:numPr>
        <w:rPr>
          <w:rFonts w:ascii="Arial" w:cs="Arial" w:eastAsia="Arial" w:hAnsi="Arial"/>
          <w:sz w:val="20"/>
          <w:szCs w:val="20"/>
          <w:color w:val="auto"/>
        </w:rPr>
      </w:pPr>
      <w:r>
        <w:rPr>
          <w:rFonts w:ascii="Arial" w:cs="Arial" w:eastAsia="Arial" w:hAnsi="Arial"/>
          <w:sz w:val="20"/>
          <w:szCs w:val="20"/>
          <w:color w:val="auto"/>
        </w:rPr>
        <w:t>Suretyship Liabilities of the Company with respect to Debt permitted hereunder (but subject to any limitations otherwise applicable to the Company to incur such Debt directly);</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Debt of a Foreign Subsidiary other than a Loan Party;</w:t>
      </w:r>
    </w:p>
    <w:p>
      <w:pPr>
        <w:spacing w:after="0" w:line="215" w:lineRule="exact"/>
        <w:rPr>
          <w:rFonts w:ascii="Arial" w:cs="Arial" w:eastAsia="Arial" w:hAnsi="Arial"/>
          <w:sz w:val="20"/>
          <w:szCs w:val="20"/>
          <w:color w:val="auto"/>
        </w:rPr>
      </w:pPr>
    </w:p>
    <w:p>
      <w:pPr>
        <w:ind w:firstLine="656"/>
        <w:spacing w:after="0" w:line="260" w:lineRule="auto"/>
        <w:tabs>
          <w:tab w:leader="none" w:pos="1059"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Debt arising from the honoring by a bank or other financial institution of a check, draft or similar instrument inadvertently (except in the case of daylight overdrafts) drawn against insufficient funds in the ordinary course of business;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86" w:val="left"/>
        </w:tabs>
        <w:numPr>
          <w:ilvl w:val="0"/>
          <w:numId w:val="98"/>
        </w:numPr>
        <w:rPr>
          <w:rFonts w:ascii="Arial" w:cs="Arial" w:eastAsia="Arial" w:hAnsi="Arial"/>
          <w:sz w:val="20"/>
          <w:szCs w:val="20"/>
          <w:color w:val="auto"/>
        </w:rPr>
      </w:pPr>
      <w:r>
        <w:rPr>
          <w:rFonts w:ascii="Arial" w:cs="Arial" w:eastAsia="Arial" w:hAnsi="Arial"/>
          <w:sz w:val="20"/>
          <w:szCs w:val="20"/>
          <w:color w:val="auto"/>
        </w:rPr>
        <w:t>Suretyship Liabilities of any Loan Party or any Subsidiary with respect to (i) recourse obligations resulting from endorsement of negotiable instruments for collection in the ordinary course of business and (ii) workers’ compensation and similar obligations of the Loan Parties and their Subsidiaries incurred in the ordinary course of business;</w:t>
      </w:r>
    </w:p>
    <w:p>
      <w:pPr>
        <w:spacing w:after="0" w:line="186" w:lineRule="exact"/>
        <w:rPr>
          <w:rFonts w:ascii="Arial" w:cs="Arial" w:eastAsia="Arial" w:hAnsi="Arial"/>
          <w:sz w:val="20"/>
          <w:szCs w:val="20"/>
          <w:color w:val="auto"/>
        </w:rPr>
      </w:pPr>
    </w:p>
    <w:p>
      <w:pPr>
        <w:ind w:left="1040" w:hanging="384"/>
        <w:spacing w:after="0"/>
        <w:tabs>
          <w:tab w:leader="none" w:pos="10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other unsecured Debt and, subject to </w:t>
      </w:r>
      <w:r>
        <w:rPr>
          <w:rFonts w:ascii="Arial" w:cs="Arial" w:eastAsia="Arial" w:hAnsi="Arial"/>
          <w:sz w:val="20"/>
          <w:szCs w:val="20"/>
          <w:u w:val="single" w:color="auto"/>
          <w:color w:val="auto"/>
        </w:rPr>
        <w:t>Section 7.17</w:t>
      </w:r>
      <w:r>
        <w:rPr>
          <w:rFonts w:ascii="Arial" w:cs="Arial" w:eastAsia="Arial" w:hAnsi="Arial"/>
          <w:sz w:val="20"/>
          <w:szCs w:val="20"/>
          <w:color w:val="auto"/>
        </w:rPr>
        <w:t>, any guaranty thereof; and</w:t>
      </w:r>
    </w:p>
    <w:p>
      <w:pPr>
        <w:spacing w:after="0" w:line="215" w:lineRule="exact"/>
        <w:rPr>
          <w:rFonts w:ascii="Arial" w:cs="Arial" w:eastAsia="Arial" w:hAnsi="Arial"/>
          <w:sz w:val="20"/>
          <w:szCs w:val="20"/>
          <w:color w:val="auto"/>
        </w:rPr>
      </w:pPr>
    </w:p>
    <w:p>
      <w:pPr>
        <w:ind w:left="1040" w:hanging="384"/>
        <w:spacing w:after="0"/>
        <w:tabs>
          <w:tab w:leader="none" w:pos="10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to the extent constituting Debt, Investments permitted under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16"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of Debt described in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after the Closing Date, (i) the Company is in pro forma compliance with the covenants set forth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and (ii) no Default shall exist or result from the incurrence of such Debt.</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7.08</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Not, and not permit any Significant Subsidiary or any Securitization Subsidiary to, create or permit to exist any Lien on any of its real or personal properties, assets or rights of whatsoever nature (whether now owned or hereafter acquired), except:</w:t>
      </w:r>
    </w:p>
    <w:p>
      <w:pPr>
        <w:spacing w:after="0" w:line="177" w:lineRule="exact"/>
        <w:rPr>
          <w:sz w:val="20"/>
          <w:szCs w:val="20"/>
          <w:color w:val="auto"/>
        </w:rPr>
      </w:pPr>
    </w:p>
    <w:p>
      <w:pPr>
        <w:ind w:firstLine="656"/>
        <w:spacing w:after="0" w:line="287" w:lineRule="auto"/>
        <w:tabs>
          <w:tab w:leader="none" w:pos="1129"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for taxes or other governmental charges not at the time delinquent for more than 90 days or thereafter payable without penalty or being contested in good faith by appropriate action and, in each case, for which it maintains adequate reserves;</w:t>
      </w:r>
    </w:p>
    <w:p>
      <w:pPr>
        <w:spacing w:after="0" w:line="152" w:lineRule="exact"/>
        <w:rPr>
          <w:rFonts w:ascii="Arial" w:cs="Arial" w:eastAsia="Arial" w:hAnsi="Arial"/>
          <w:sz w:val="19"/>
          <w:szCs w:val="19"/>
          <w:color w:val="auto"/>
        </w:rPr>
      </w:pPr>
    </w:p>
    <w:p>
      <w:pPr>
        <w:ind w:right="20" w:firstLine="656"/>
        <w:spacing w:after="0" w:line="260" w:lineRule="auto"/>
        <w:tabs>
          <w:tab w:leader="none" w:pos="1126" w:val="left"/>
        </w:tabs>
        <w:numPr>
          <w:ilvl w:val="0"/>
          <w:numId w:val="99"/>
        </w:numPr>
        <w:rPr>
          <w:rFonts w:ascii="Arial" w:cs="Arial" w:eastAsia="Arial" w:hAnsi="Arial"/>
          <w:sz w:val="20"/>
          <w:szCs w:val="20"/>
          <w:color w:val="auto"/>
        </w:rPr>
      </w:pPr>
      <w:r>
        <w:rPr>
          <w:rFonts w:ascii="Arial" w:cs="Arial" w:eastAsia="Arial" w:hAnsi="Arial"/>
          <w:sz w:val="20"/>
          <w:szCs w:val="20"/>
          <w:color w:val="auto"/>
        </w:rPr>
        <w:t>Liens arising in the ordinary course of business (such as (i) Liens of carriers, warehousemen, mechanics and materialmen and other similar Liens imposed by Law, (ii) Liens incurred in connection 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6" w:right="239" w:bottom="1440" w:gutter="0" w:footer="0" w:header="0"/>
        </w:sectPr>
      </w:pPr>
    </w:p>
    <w:bookmarkStart w:id="90" w:name="page91"/>
    <w:bookmarkEnd w:id="90"/>
    <w:p>
      <w:pPr>
        <w:jc w:val="both"/>
        <w:spacing w:after="0" w:line="244" w:lineRule="auto"/>
        <w:rPr>
          <w:sz w:val="20"/>
          <w:szCs w:val="20"/>
          <w:color w:val="auto"/>
        </w:rPr>
      </w:pPr>
      <w:r>
        <w:rPr>
          <w:rFonts w:ascii="Arial" w:cs="Arial" w:eastAsia="Arial" w:hAnsi="Arial"/>
          <w:sz w:val="20"/>
          <w:szCs w:val="20"/>
          <w:color w:val="auto"/>
        </w:rPr>
        <w:t>worker’s compensation, unemployment compensation and other types of social security (excluding Liens arising under ERISA) or in connection with surety bonds, bids, performance bonds and similar obligations, (iii) Liens deemed to exist in connection with investments in repurchase agreements not prohibited by this Agreement) for sums not overdue for a period of more than 30 days or, if more than 30 days overdue, being contested in good faith by appropriate action and not involving borrowed money, and, in each case, for which it maintains adequate reserves;</w:t>
      </w:r>
    </w:p>
    <w:p>
      <w:pPr>
        <w:spacing w:after="0" w:line="195" w:lineRule="exact"/>
        <w:rPr>
          <w:sz w:val="20"/>
          <w:szCs w:val="20"/>
          <w:color w:val="auto"/>
        </w:rPr>
      </w:pPr>
    </w:p>
    <w:p>
      <w:pPr>
        <w:jc w:val="both"/>
        <w:ind w:firstLine="656"/>
        <w:spacing w:after="0" w:line="250" w:lineRule="auto"/>
        <w:tabs>
          <w:tab w:leader="none" w:pos="114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Liens identified in </w:t>
      </w:r>
      <w:r>
        <w:rPr>
          <w:rFonts w:ascii="Arial" w:cs="Arial" w:eastAsia="Arial" w:hAnsi="Arial"/>
          <w:sz w:val="20"/>
          <w:szCs w:val="20"/>
          <w:u w:val="single" w:color="auto"/>
          <w:color w:val="auto"/>
        </w:rPr>
        <w:t>Schedule 7.08</w:t>
      </w:r>
      <w:r>
        <w:rPr>
          <w:rFonts w:ascii="Arial" w:cs="Arial" w:eastAsia="Arial" w:hAnsi="Arial"/>
          <w:sz w:val="20"/>
          <w:szCs w:val="20"/>
          <w:color w:val="auto"/>
        </w:rPr>
        <w:t xml:space="preserve"> and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attachments, appeal bonds, judgments and other similar Liens arising in connection with court proceedings, for an aggregate amount (with all other Liens existing pursuant to this clause (d)) at the time of incurrence not exceeding the greater of (i) $25,000,000 and (ii) 2.5% of the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execution or other enforcement of such Liens is effectively stayed and the claims secured thereby are being actively contested in good faith and by appropriate action;</w:t>
      </w:r>
    </w:p>
    <w:p>
      <w:pPr>
        <w:spacing w:after="0" w:line="165" w:lineRule="exact"/>
        <w:rPr>
          <w:rFonts w:ascii="Arial" w:cs="Arial" w:eastAsia="Arial" w:hAnsi="Arial"/>
          <w:sz w:val="18"/>
          <w:szCs w:val="18"/>
          <w:color w:val="auto"/>
        </w:rPr>
      </w:pPr>
    </w:p>
    <w:p>
      <w:pPr>
        <w:jc w:val="both"/>
        <w:ind w:firstLine="656"/>
        <w:spacing w:after="0" w:line="260" w:lineRule="auto"/>
        <w:tabs>
          <w:tab w:leader="none" w:pos="108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 zoning, building, entitlement and other land use regulations with which the normal operation of the business of the Company and its Subsidiaries complies; (ii) any zoning or similar Law or right reserved to or vested in any Governmental Authority to control or regulate the use of real property; and (iii) easements, rights of way, restrictions, minor defects or irregularities in title and other similar Liens, in each of the foregoing cases that is not interfering in any material respect with the ordinary conduct of the business of the Company, any Significant Subsidiary or any Domestic Subsidiary (other than Excluded Subsidiaries);</w:t>
      </w:r>
    </w:p>
    <w:p>
      <w:pPr>
        <w:spacing w:after="0" w:line="180" w:lineRule="exact"/>
        <w:rPr>
          <w:rFonts w:ascii="Arial" w:cs="Arial" w:eastAsia="Arial" w:hAnsi="Arial"/>
          <w:sz w:val="19"/>
          <w:szCs w:val="19"/>
          <w:color w:val="auto"/>
        </w:rPr>
      </w:pPr>
    </w:p>
    <w:p>
      <w:pPr>
        <w:jc w:val="both"/>
        <w:ind w:firstLine="656"/>
        <w:spacing w:after="0" w:line="259" w:lineRule="auto"/>
        <w:tabs>
          <w:tab w:leader="none" w:pos="10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and on proceeds thereof, and in each case not created in contemplation thereof or of such Person becoming a Subsidiary, provided 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78" w:lineRule="exact"/>
        <w:rPr>
          <w:rFonts w:ascii="Arial" w:cs="Arial" w:eastAsia="Arial" w:hAnsi="Arial"/>
          <w:sz w:val="19"/>
          <w:szCs w:val="19"/>
          <w:color w:val="auto"/>
        </w:rPr>
      </w:pPr>
    </w:p>
    <w:p>
      <w:pPr>
        <w:jc w:val="both"/>
        <w:ind w:firstLine="656"/>
        <w:spacing w:after="0" w:line="278" w:lineRule="auto"/>
        <w:tabs>
          <w:tab w:leader="none" w:pos="10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Liens securing Debt permitted by </w:t>
      </w:r>
      <w:r>
        <w:rPr>
          <w:rFonts w:ascii="Arial" w:cs="Arial" w:eastAsia="Arial" w:hAnsi="Arial"/>
          <w:sz w:val="18"/>
          <w:szCs w:val="18"/>
          <w:u w:val="single" w:color="auto"/>
          <w:color w:val="auto"/>
        </w:rPr>
        <w:t>Section 7.07(b)</w:t>
      </w:r>
      <w:r>
        <w:rPr>
          <w:rFonts w:ascii="Arial" w:cs="Arial" w:eastAsia="Arial" w:hAnsi="Arial"/>
          <w:sz w:val="18"/>
          <w:szCs w:val="18"/>
          <w:color w:val="auto"/>
        </w:rPr>
        <w:t xml:space="preserve"> (including, without limitation, Liens of sellers of goods arising under Article 2 of the Uniform Commercial Code or similar provisions of applicable Law) or any refinancing, renewal, extension or replacement thereof (to the extent the aggregate principal amount of such Debt is not increased);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attaches solely to the property so acquired, constructed or improved in such transaction (provided that individual financings under </w:t>
      </w:r>
      <w:r>
        <w:rPr>
          <w:rFonts w:ascii="Arial" w:cs="Arial" w:eastAsia="Arial" w:hAnsi="Arial"/>
          <w:sz w:val="18"/>
          <w:szCs w:val="18"/>
          <w:u w:val="single" w:color="auto"/>
          <w:color w:val="auto"/>
        </w:rPr>
        <w:t>Section 7.07(b)</w:t>
      </w:r>
      <w:r>
        <w:rPr>
          <w:rFonts w:ascii="Arial" w:cs="Arial" w:eastAsia="Arial" w:hAnsi="Arial"/>
          <w:sz w:val="18"/>
          <w:szCs w:val="18"/>
          <w:color w:val="auto"/>
        </w:rPr>
        <w:t xml:space="preserve"> provided by one Person (or an Affiliate thereof) may be cross-collateralized to other financings provided by such Person and its Affiliates that are permitted by </w:t>
      </w:r>
      <w:r>
        <w:rPr>
          <w:rFonts w:ascii="Arial" w:cs="Arial" w:eastAsia="Arial" w:hAnsi="Arial"/>
          <w:sz w:val="18"/>
          <w:szCs w:val="18"/>
          <w:u w:val="single" w:color="auto"/>
          <w:color w:val="auto"/>
        </w:rPr>
        <w:t>Section 7.07(b)</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56"/>
        <w:spacing w:after="0" w:line="263" w:lineRule="auto"/>
        <w:tabs>
          <w:tab w:leader="none" w:pos="105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 Liens arising in the ordinary course of business with respect to deposit accounts relating to intercompany cash pooling,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6" w:right="2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20"/>
          <w:szCs w:val="20"/>
          <w:color w:val="auto"/>
        </w:rPr>
        <w:t xml:space="preserve">interest set-off and/or sweeping arrangements;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deposit account is not a dedicated cash collateral account and is not subject to restrictions against access by the Company or the applicable Subsidiary in excess of those set forth by regulations promulgated by the FRB and (ii) such deposit account is not intended by the Company or the applicable Subsidiary to provide collateral to such depository institution;</w:t>
      </w:r>
    </w:p>
    <w:p>
      <w:pPr>
        <w:spacing w:after="0" w:line="192" w:lineRule="exact"/>
        <w:rPr>
          <w:sz w:val="20"/>
          <w:szCs w:val="20"/>
          <w:color w:val="auto"/>
        </w:rPr>
      </w:pPr>
    </w:p>
    <w:p>
      <w:pPr>
        <w:ind w:left="1020" w:hanging="364"/>
        <w:spacing w:after="0"/>
        <w:tabs>
          <w:tab w:leader="none" w:pos="10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Liens securing Securitization Obligations;</w:t>
      </w:r>
    </w:p>
    <w:p>
      <w:pPr>
        <w:spacing w:after="0" w:line="215" w:lineRule="exact"/>
        <w:rPr>
          <w:rFonts w:ascii="Arial" w:cs="Arial" w:eastAsia="Arial" w:hAnsi="Arial"/>
          <w:sz w:val="20"/>
          <w:szCs w:val="20"/>
          <w:color w:val="auto"/>
        </w:rPr>
      </w:pPr>
    </w:p>
    <w:p>
      <w:pPr>
        <w:jc w:val="both"/>
        <w:ind w:firstLine="656"/>
        <w:spacing w:after="0" w:line="291" w:lineRule="auto"/>
        <w:tabs>
          <w:tab w:leader="none" w:pos="10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 Liens arising under any Loan Document, (ii) Liens in favor of any Loan Party, (iii) Liens on the assets of any non-Loan Party in favor of the Company or any of its Subsidiaries, (iv) Liens on the assets of any Foreign Subsidiary in favor of any other Foreign Subsidiary; and (v) Liens on the assets of any Subsidiary that is not a Loan Party in connection with an Investment permitted pursuant </w:t>
      </w:r>
      <w:r>
        <w:rPr>
          <w:rFonts w:ascii="Arial" w:cs="Arial" w:eastAsia="Arial" w:hAnsi="Arial"/>
          <w:sz w:val="18"/>
          <w:szCs w:val="18"/>
          <w:u w:val="single" w:color="auto"/>
          <w:color w:val="auto"/>
        </w:rPr>
        <w:t>Section 7.17(d)</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1060" w:hanging="404"/>
        <w:spacing w:after="0"/>
        <w:tabs>
          <w:tab w:leader="none" w:pos="10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interest of title of a lessor under leases permitted by this Agreement;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6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(including Liens arising under Section 2-507 of the Uniform Commercial Code) entered into by the Company or any Subsidiary in the ordinary course of business;</w:t>
      </w:r>
    </w:p>
    <w:p>
      <w:pPr>
        <w:spacing w:after="0" w:line="186" w:lineRule="exact"/>
        <w:rPr>
          <w:rFonts w:ascii="Arial" w:cs="Arial" w:eastAsia="Arial" w:hAnsi="Arial"/>
          <w:sz w:val="20"/>
          <w:szCs w:val="20"/>
          <w:color w:val="auto"/>
        </w:rPr>
      </w:pPr>
    </w:p>
    <w:p>
      <w:pPr>
        <w:ind w:firstLine="656"/>
        <w:spacing w:after="0" w:line="260" w:lineRule="auto"/>
        <w:tabs>
          <w:tab w:leader="none" w:pos="111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Liens in favor of customs or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ind w:firstLine="656"/>
        <w:spacing w:after="0" w:line="260" w:lineRule="auto"/>
        <w:tabs>
          <w:tab w:leader="none" w:pos="108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security given to a public utility or any Governmental Authority when required by such public utility or Governmental Authority in connection with operations of a Loan Party of Subsidiary in the ordinary course of business;</w:t>
      </w:r>
    </w:p>
    <w:p>
      <w:pPr>
        <w:spacing w:after="0" w:line="176" w:lineRule="exact"/>
        <w:rPr>
          <w:rFonts w:ascii="Arial" w:cs="Arial" w:eastAsia="Arial" w:hAnsi="Arial"/>
          <w:sz w:val="20"/>
          <w:szCs w:val="20"/>
          <w:color w:val="auto"/>
        </w:rPr>
      </w:pPr>
    </w:p>
    <w:p>
      <w:pPr>
        <w:ind w:right="20" w:firstLine="656"/>
        <w:spacing w:after="0" w:line="260" w:lineRule="auto"/>
        <w:tabs>
          <w:tab w:leader="none" w:pos="108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receipt of progress payments and advances from customers in the ordinary course of business to the extent the same create Liens on the related inventory and proceeds thereof;</w:t>
      </w:r>
    </w:p>
    <w:p>
      <w:pPr>
        <w:spacing w:after="0" w:line="176" w:lineRule="exact"/>
        <w:rPr>
          <w:rFonts w:ascii="Arial" w:cs="Arial" w:eastAsia="Arial" w:hAnsi="Arial"/>
          <w:sz w:val="20"/>
          <w:szCs w:val="20"/>
          <w:color w:val="auto"/>
        </w:rPr>
      </w:pPr>
    </w:p>
    <w:p>
      <w:pPr>
        <w:ind w:firstLine="656"/>
        <w:spacing w:after="0" w:line="260" w:lineRule="auto"/>
        <w:tabs>
          <w:tab w:leader="none" w:pos="11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pledges and deposits in the ordinary course of business securing liability for reimbursement or indemnification obligations of insurance carriers providing property, casualty or liability insurance to the Company or any of its Subsidiaries;</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07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interest or title of an owner of equipment or inventory on loan or consignment to the Company or any of its Subsidiaries and Liens arising from precautionary UCC financing statement filings (or equivalent filings, registrations or agreements in foreign jurisdictions) made in respect of operating leases entered into by the Company or any Subsidiary in the ordinary course of business;</w:t>
      </w:r>
    </w:p>
    <w:p>
      <w:pPr>
        <w:spacing w:after="0" w:line="170" w:lineRule="exact"/>
        <w:rPr>
          <w:rFonts w:ascii="Arial" w:cs="Arial" w:eastAsia="Arial" w:hAnsi="Arial"/>
          <w:sz w:val="19"/>
          <w:szCs w:val="19"/>
          <w:color w:val="auto"/>
        </w:rPr>
      </w:pPr>
    </w:p>
    <w:p>
      <w:pPr>
        <w:jc w:val="both"/>
        <w:ind w:firstLine="656"/>
        <w:spacing w:after="0" w:line="250" w:lineRule="auto"/>
        <w:tabs>
          <w:tab w:leader="none" w:pos="1053"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Liens created or deemed to exist in connection with any sale, transfer, conveyance or other disposition of accounts receivable not prohibited by this Agreement, but only to the extent that any such Lien relates to the applicable accounts receivable actually sold, transferred conveyed or otherwise disposed of;</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105"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leases, subleases, licenses or sublicenses (including, in the case of licenses and sublicenses, of intellectual property) granted to others in the ordinary course of business which do not materially interfere with the ordinary conduct of the business of the Company or any Subsidiary and do not secure any Debt; and</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5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other Liens so long as, at the time of incurrence of the obligations secured by such Lien, the aggregate amount of all obligations secured by Liens incurred pursuant to this clause (t) shall not exceed the greater of (i) $50,000,000 and (ii) 5% of the consolidated tangible assets of the Company and its Subsidiaries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6" w:right="239" w:bottom="1440" w:gutter="0" w:footer="0" w:header="0"/>
        </w:sectPr>
      </w:pPr>
    </w:p>
    <w:bookmarkStart w:id="92" w:name="page93"/>
    <w:bookmarkEnd w:id="92"/>
    <w:p>
      <w:pPr>
        <w:spacing w:after="0" w:line="316" w:lineRule="auto"/>
        <w:rPr>
          <w:sz w:val="20"/>
          <w:szCs w:val="20"/>
          <w:color w:val="auto"/>
        </w:rPr>
      </w:pPr>
      <w:r>
        <w:rPr>
          <w:rFonts w:ascii="Arial" w:cs="Arial" w:eastAsia="Arial" w:hAnsi="Arial"/>
          <w:sz w:val="18"/>
          <w:szCs w:val="18"/>
          <w:color w:val="auto"/>
        </w:rPr>
        <w:t xml:space="preserve">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 permitted under this </w:t>
      </w:r>
      <w:r>
        <w:rPr>
          <w:rFonts w:ascii="Arial" w:cs="Arial" w:eastAsia="Arial" w:hAnsi="Arial"/>
          <w:sz w:val="18"/>
          <w:szCs w:val="18"/>
          <w:u w:val="single" w:color="auto"/>
          <w:color w:val="auto"/>
        </w:rPr>
        <w:t>clause (t)</w:t>
      </w:r>
      <w:r>
        <w:rPr>
          <w:rFonts w:ascii="Arial" w:cs="Arial" w:eastAsia="Arial" w:hAnsi="Arial"/>
          <w:sz w:val="18"/>
          <w:szCs w:val="18"/>
          <w:color w:val="auto"/>
        </w:rPr>
        <w:t xml:space="preserve"> may secure any obligations under any Note Purchase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Any Lien permitted above on any property may extend to the identifiable proceeds of such property.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7.09</w:t>
      </w:r>
      <w:r>
        <w:rPr>
          <w:sz w:val="20"/>
          <w:szCs w:val="20"/>
          <w:color w:val="auto"/>
        </w:rPr>
        <w:tab/>
      </w:r>
      <w:r>
        <w:rPr>
          <w:rFonts w:ascii="Arial" w:cs="Arial" w:eastAsia="Arial" w:hAnsi="Arial"/>
          <w:sz w:val="16"/>
          <w:szCs w:val="16"/>
          <w:u w:val="single" w:color="auto"/>
          <w:color w:val="auto"/>
        </w:rPr>
        <w:t>Fundamental Changes, Consolidations, Sales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Not, and not permit any Significant Subsidiary to, be a party to any merger or consolidation, consummate any Delaware LLC Division, or sell, transfer, convey or lease any of its assets, or sell or assign with or without recourse any receivables, except for:</w:t>
      </w:r>
    </w:p>
    <w:p>
      <w:pPr>
        <w:spacing w:after="0" w:line="153" w:lineRule="exact"/>
        <w:rPr>
          <w:sz w:val="20"/>
          <w:szCs w:val="20"/>
          <w:color w:val="auto"/>
        </w:rPr>
      </w:pPr>
    </w:p>
    <w:p>
      <w:pPr>
        <w:jc w:val="both"/>
        <w:ind w:firstLine="656"/>
        <w:spacing w:after="0" w:line="243" w:lineRule="auto"/>
        <w:tabs>
          <w:tab w:leader="none" w:pos="104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such merger or consolidation, sale, transfer, conveyance, lease or assignment (i) of or by any Guarantor or any Borrower into, with or to the Company, another Loan Party or any other wholly-owned Subsidiary (provided that (x) if the Company is a party to such transaction, the Company shall be the survivor, (y) if a Borrower (other than the Company) is party to such transaction, either such Borrower or another Borrower shall be the survivor and (z) if a Guarantor is a party to such transaction, either such Guarantor or another Loan Party shall be the survivor), (ii) of or by any Foreign Subsidiary into, with or to any other Foreign Subsidiary (provided that if a Borrower is party to such transaction, either such Borrower or another Borrower shall be the survivor); or (iii) of or by any Subsidiary that is not a Loan Party into, with or to any other Subsidiary or the Company;</w:t>
      </w:r>
    </w:p>
    <w:p>
      <w:pPr>
        <w:spacing w:after="0" w:line="193" w:lineRule="exact"/>
        <w:rPr>
          <w:rFonts w:ascii="Arial" w:cs="Arial" w:eastAsia="Arial" w:hAnsi="Arial"/>
          <w:sz w:val="20"/>
          <w:szCs w:val="20"/>
          <w:color w:val="auto"/>
        </w:rPr>
      </w:pPr>
    </w:p>
    <w:p>
      <w:pPr>
        <w:jc w:val="both"/>
        <w:ind w:firstLine="656"/>
        <w:spacing w:after="0" w:line="276" w:lineRule="auto"/>
        <w:tabs>
          <w:tab w:leader="none" w:pos="107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 Delaware LLC Division if, immediately upon the consummation of the Delaware LLC Division, in the case of a Delaware LLC Division of (i) a Loan Party, the assets of such applicable dividing person are held by one or more Wholly Owned Subsidiaries which are (or shall simultaneously become, pursuant to </w:t>
      </w:r>
      <w:r>
        <w:rPr>
          <w:rFonts w:ascii="Arial" w:cs="Arial" w:eastAsia="Arial" w:hAnsi="Arial"/>
          <w:sz w:val="18"/>
          <w:szCs w:val="18"/>
          <w:u w:val="single" w:color="auto"/>
          <w:color w:val="auto"/>
        </w:rPr>
        <w:t>Section 7.16</w:t>
      </w:r>
      <w:r>
        <w:rPr>
          <w:rFonts w:ascii="Arial" w:cs="Arial" w:eastAsia="Arial" w:hAnsi="Arial"/>
          <w:sz w:val="18"/>
          <w:szCs w:val="18"/>
          <w:color w:val="auto"/>
        </w:rPr>
        <w:t>) Loan Parties, (ii) a Significant Subsidiary, the assets of such applicable dividing person are held by one or more Significant Subsidiaries, and (iii) a Subsidiary, the assets of such applicable dividing person are held by one or more Subsidiaries, in each case, at such time, or, with respect to assets not so held in accordance with clauses (i) – (iii) above, such Delaware LLC Division, in the aggregate, would otherwise result in a disposition expressly permitted by this Section;</w:t>
      </w:r>
    </w:p>
    <w:p>
      <w:pPr>
        <w:spacing w:after="0" w:line="165" w:lineRule="exact"/>
        <w:rPr>
          <w:rFonts w:ascii="Arial" w:cs="Arial" w:eastAsia="Arial" w:hAnsi="Arial"/>
          <w:sz w:val="18"/>
          <w:szCs w:val="18"/>
          <w:color w:val="auto"/>
        </w:rPr>
      </w:pPr>
    </w:p>
    <w:p>
      <w:pPr>
        <w:ind w:left="1060" w:hanging="404"/>
        <w:spacing w:after="0"/>
        <w:tabs>
          <w:tab w:leader="none" w:pos="10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60" w:lineRule="auto"/>
        <w:tabs>
          <w:tab w:leader="none" w:pos="116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dispositions of accounts receivable, lease receivables, other financial assets and other rights and related assets pursuant to a Permitted Securitization or any factoring transaction;</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4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5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spacing w:after="0" w:line="186" w:lineRule="exact"/>
        <w:rPr>
          <w:rFonts w:ascii="Arial" w:cs="Arial" w:eastAsia="Arial" w:hAnsi="Arial"/>
          <w:sz w:val="20"/>
          <w:szCs w:val="20"/>
          <w:color w:val="auto"/>
        </w:rPr>
      </w:pPr>
    </w:p>
    <w:p>
      <w:pPr>
        <w:ind w:firstLine="656"/>
        <w:spacing w:after="0" w:line="260" w:lineRule="auto"/>
        <w:tabs>
          <w:tab w:leader="none" w:pos="107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sales and dispositions of assets (including Capital Stock of Subsidiaries) purchased in connection with (and as a direct result of) a Permitted Acquisition;</w:t>
      </w:r>
    </w:p>
    <w:p>
      <w:pPr>
        <w:spacing w:after="0" w:line="176" w:lineRule="exact"/>
        <w:rPr>
          <w:rFonts w:ascii="Arial" w:cs="Arial" w:eastAsia="Arial" w:hAnsi="Arial"/>
          <w:sz w:val="20"/>
          <w:szCs w:val="20"/>
          <w:color w:val="auto"/>
        </w:rPr>
      </w:pPr>
    </w:p>
    <w:p>
      <w:pPr>
        <w:ind w:right="20" w:firstLine="656"/>
        <w:spacing w:after="0" w:line="260" w:lineRule="auto"/>
        <w:tabs>
          <w:tab w:leader="none" w:pos="109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dispositions of property in the ordinary course of business to the extent that (i) such property is exchanged for credit against the purchase price of similar replacement equipment or other revenue-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6" w:right="239" w:bottom="1440" w:gutter="0" w:footer="0" w:header="0"/>
        </w:sectPr>
      </w:pPr>
    </w:p>
    <w:bookmarkStart w:id="93" w:name="page94"/>
    <w:bookmarkEnd w:id="93"/>
    <w:p>
      <w:pPr>
        <w:ind w:right="20"/>
        <w:spacing w:after="0" w:line="260" w:lineRule="auto"/>
        <w:rPr>
          <w:sz w:val="20"/>
          <w:szCs w:val="20"/>
          <w:color w:val="auto"/>
        </w:rPr>
      </w:pPr>
      <w:r>
        <w:rPr>
          <w:rFonts w:ascii="Arial" w:cs="Arial" w:eastAsia="Arial" w:hAnsi="Arial"/>
          <w:sz w:val="20"/>
          <w:szCs w:val="20"/>
          <w:color w:val="auto"/>
        </w:rPr>
        <w:t>producing property or (ii) the proceeds of such disposition are promptly applied to the purchase price of such replacement or other revenue-producing property;</w:t>
      </w:r>
    </w:p>
    <w:p>
      <w:pPr>
        <w:spacing w:after="0" w:line="177" w:lineRule="exact"/>
        <w:rPr>
          <w:sz w:val="20"/>
          <w:szCs w:val="20"/>
          <w:color w:val="auto"/>
        </w:rPr>
      </w:pPr>
    </w:p>
    <w:p>
      <w:pPr>
        <w:jc w:val="both"/>
        <w:ind w:firstLine="656"/>
        <w:spacing w:after="0" w:line="250" w:lineRule="auto"/>
        <w:tabs>
          <w:tab w:leader="none" w:pos="102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dispositions of property to the Company or any Subsidiary; provided, that if the transferor of such Property is a Loan Party (i) the transferee thereof must be a Loan Party (other than a Foreign Loan Party) or (ii) to the extent such transaction constitutes an Investment, such transaction is permitted under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1020" w:hanging="364"/>
        <w:spacing w:after="0"/>
        <w:tabs>
          <w:tab w:leader="none" w:pos="10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to the extent constituting a disposition, Investments permitted under </w:t>
      </w:r>
      <w:r>
        <w:rPr>
          <w:rFonts w:ascii="Arial" w:cs="Arial" w:eastAsia="Arial" w:hAnsi="Arial"/>
          <w:sz w:val="20"/>
          <w:szCs w:val="20"/>
          <w:u w:val="single" w:color="auto"/>
          <w:color w:val="auto"/>
        </w:rPr>
        <w:t>Section 7.17(n)</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07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other sales and dispositions of assets so long as no Default exists or would exist immediately after giving effect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fair market value of all tangible property (including, for the avoidance of doubt, real property) and intellectual property disposed of by the Loan Parties pursuant to this clause (k) shall not exceed 25% of consolidated tangible 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For the avoidance of doubt, the granting of a Lien to secure the repayment of Debt or other obligations shall not, in and of itself, constitute a conveyance or transfer of assets pursuant to this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Notwithstanding the foregoing, prior to the disposition (including by way of a merger or consolidation), dissolution, liquidation or winding up of any Subsidiary that is a Designated Borrower, the Company shall terminate such Subsidiary’s status as a Designated Borrower in accordance with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and any Loans or other outstanding Obligations of such Subsidiary shall be assumed by the Company.</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Use the proceeds of the Credit Extensions solely (i) to refinance indebtedness, (ii) to finance Permitted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proceeds of a Credit Extension shall not be used to finance a Permitted Acquisition (x) that is hostile or (y) in the case of the Acquisition of a Person, in which the Company or a Subsidiary does not have the approval of the board of directors (or the equivalent governing body) of the Person being acquired, in each case, without the prior written consent of all Lenders) and (iii) for capital expenditures, working capital and other general corporate purposes, and not use the proceeds of the Loans, directly or indirectly, to purchase or carry Margin Stock.</w:t>
      </w:r>
    </w:p>
    <w:p>
      <w:pPr>
        <w:spacing w:after="0" w:line="165"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Take, execute and deliver, and cause each applicable Subsidiary to take, execute and deliver, any and all such further acts and agreements as the Administrative Agent or the Required Lenders may reasonably request from time to time in order to ensure that the Obligations are guaranteed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by the Company and, to the extent required under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the applicable Subsidiaries; and deliver, or cause the applicable Guarantor to deliver, to the Administrative Agent such documents as the Administrative Agent (or the Required Lenders acting through the Administrative Agent) may reasonably request (including opinions of counsel) to confirm that the Guaranty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the legal, valid and binding obligation of each Guarantor.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6" w:right="239" w:bottom="1440" w:gutter="0" w:footer="0" w:header="0"/>
        </w:sectPr>
      </w:pPr>
    </w:p>
    <w:bookmarkStart w:id="94" w:name="page95"/>
    <w:bookmarkEnd w:id="94"/>
    <w:p>
      <w:pPr>
        <w:spacing w:after="0"/>
        <w:tabs>
          <w:tab w:leader="none" w:pos="52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 enter into, or cause, suffer or permit to exist any transaction, arrangement or contract with any of its other Affiliates (other than another Loan Party or another Subsidiary or a Person that becomes a Subsidiary as a result of such transaction, arrangement or contract) which is on terms, taken as a whole, which are less favorable than are obtainable from any Person which is not one of its Affiliates under comparable circumstances,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shall not prohibit:</w:t>
      </w:r>
    </w:p>
    <w:p>
      <w:pPr>
        <w:spacing w:after="0" w:line="192" w:lineRule="exact"/>
        <w:rPr>
          <w:sz w:val="20"/>
          <w:szCs w:val="20"/>
          <w:color w:val="auto"/>
        </w:rPr>
      </w:pPr>
    </w:p>
    <w:p>
      <w:pPr>
        <w:ind w:left="1060" w:hanging="40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capital contributions and dividends and other distributions with respect to the Capital Stock of the Company or such Loan Party;</w:t>
      </w:r>
    </w:p>
    <w:p>
      <w:pPr>
        <w:spacing w:after="0" w:line="238" w:lineRule="exact"/>
        <w:rPr>
          <w:rFonts w:ascii="Arial" w:cs="Arial" w:eastAsia="Arial" w:hAnsi="Arial"/>
          <w:sz w:val="18"/>
          <w:szCs w:val="18"/>
          <w:color w:val="auto"/>
        </w:rPr>
      </w:pPr>
    </w:p>
    <w:p>
      <w:pPr>
        <w:ind w:firstLine="656"/>
        <w:spacing w:after="0" w:line="260" w:lineRule="auto"/>
        <w:tabs>
          <w:tab w:leader="none" w:pos="1072"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employment or severance agreement and any amendment thereto entered into by the Company or any other Loan Party in the ordinary course of business;</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payment of reasonable directors’ fees and benefits;</w:t>
      </w:r>
    </w:p>
    <w:p>
      <w:pPr>
        <w:spacing w:after="0" w:line="215" w:lineRule="exact"/>
        <w:rPr>
          <w:rFonts w:ascii="Arial" w:cs="Arial" w:eastAsia="Arial" w:hAnsi="Arial"/>
          <w:sz w:val="20"/>
          <w:szCs w:val="20"/>
          <w:color w:val="auto"/>
        </w:rPr>
      </w:pPr>
    </w:p>
    <w:p>
      <w:pPr>
        <w:ind w:firstLine="656"/>
        <w:spacing w:after="0" w:line="260" w:lineRule="auto"/>
        <w:tabs>
          <w:tab w:leader="none" w:pos="109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provision of officers’ and directors’ indemnification and insurance in the ordinary course of business to the extent permitted by applicable Law;</w:t>
      </w:r>
    </w:p>
    <w:p>
      <w:pPr>
        <w:spacing w:after="0" w:line="176" w:lineRule="exact"/>
        <w:rPr>
          <w:rFonts w:ascii="Arial" w:cs="Arial" w:eastAsia="Arial" w:hAnsi="Arial"/>
          <w:sz w:val="20"/>
          <w:szCs w:val="20"/>
          <w:color w:val="auto"/>
        </w:rPr>
      </w:pPr>
    </w:p>
    <w:p>
      <w:pPr>
        <w:ind w:firstLine="656"/>
        <w:spacing w:after="0" w:line="260" w:lineRule="auto"/>
        <w:tabs>
          <w:tab w:leader="none" w:pos="1088" w:val="left"/>
        </w:tabs>
        <w:numPr>
          <w:ilvl w:val="0"/>
          <w:numId w:val="104"/>
        </w:numPr>
        <w:rPr>
          <w:rFonts w:ascii="Arial" w:cs="Arial" w:eastAsia="Arial" w:hAnsi="Arial"/>
          <w:sz w:val="20"/>
          <w:szCs w:val="20"/>
          <w:color w:val="auto"/>
        </w:rPr>
      </w:pPr>
      <w:r>
        <w:rPr>
          <w:rFonts w:ascii="Arial" w:cs="Arial" w:eastAsia="Arial" w:hAnsi="Arial"/>
          <w:sz w:val="20"/>
          <w:szCs w:val="20"/>
          <w:color w:val="auto"/>
        </w:rPr>
        <w:t>non-interest bearing (or below-market interest-bearing) intercompany loans or other advances in the ordinary course of business and consistent with past practice;</w:t>
      </w:r>
    </w:p>
    <w:p>
      <w:pPr>
        <w:spacing w:after="0" w:line="176" w:lineRule="exact"/>
        <w:rPr>
          <w:rFonts w:ascii="Arial" w:cs="Arial" w:eastAsia="Arial" w:hAnsi="Arial"/>
          <w:sz w:val="20"/>
          <w:szCs w:val="20"/>
          <w:color w:val="auto"/>
        </w:rPr>
      </w:pPr>
    </w:p>
    <w:p>
      <w:pPr>
        <w:ind w:left="1040" w:hanging="384"/>
        <w:spacing w:after="0"/>
        <w:tabs>
          <w:tab w:leader="none" w:pos="10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payment of employee salaries, bonuses and employee benefits in the ordinary course of business;</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sales or leases of goods to Affiliates in the ordinary course of business for less than fair market value, but for not less than cost;</w:t>
      </w:r>
    </w:p>
    <w:p>
      <w:pPr>
        <w:spacing w:after="0" w:line="238" w:lineRule="exact"/>
        <w:rPr>
          <w:rFonts w:ascii="Arial" w:cs="Arial" w:eastAsia="Arial" w:hAnsi="Arial"/>
          <w:sz w:val="18"/>
          <w:szCs w:val="18"/>
          <w:color w:val="auto"/>
        </w:rPr>
      </w:pPr>
    </w:p>
    <w:p>
      <w:pPr>
        <w:ind w:left="1060" w:hanging="404"/>
        <w:spacing w:after="0"/>
        <w:tabs>
          <w:tab w:leader="none" w:pos="10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020" w:hanging="364"/>
        <w:spacing w:after="0"/>
        <w:tabs>
          <w:tab w:leader="none" w:pos="10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transactions effected as part of a Permitted Securitization; or</w:t>
      </w:r>
    </w:p>
    <w:p>
      <w:pPr>
        <w:spacing w:after="0" w:line="215" w:lineRule="exact"/>
        <w:rPr>
          <w:rFonts w:ascii="Arial" w:cs="Arial" w:eastAsia="Arial" w:hAnsi="Arial"/>
          <w:sz w:val="20"/>
          <w:szCs w:val="20"/>
          <w:color w:val="auto"/>
        </w:rPr>
      </w:pPr>
    </w:p>
    <w:p>
      <w:pPr>
        <w:ind w:firstLine="656"/>
        <w:spacing w:after="0" w:line="260" w:lineRule="auto"/>
        <w:tabs>
          <w:tab w:leader="none" w:pos="102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any transaction permitted under </w:t>
      </w:r>
      <w:r>
        <w:rPr>
          <w:rFonts w:ascii="Arial" w:cs="Arial" w:eastAsia="Arial" w:hAnsi="Arial"/>
          <w:sz w:val="20"/>
          <w:szCs w:val="20"/>
          <w:u w:val="single" w:color="auto"/>
          <w:color w:val="auto"/>
        </w:rPr>
        <w:t>Section 7.07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Loan Party may forgive Debt owing to it by an Affiliate that is not a Loan Party), </w:t>
      </w:r>
      <w:r>
        <w:rPr>
          <w:rFonts w:ascii="Arial" w:cs="Arial" w:eastAsia="Arial" w:hAnsi="Arial"/>
          <w:sz w:val="20"/>
          <w:szCs w:val="20"/>
          <w:u w:val="single" w:color="auto"/>
          <w:color w:val="auto"/>
        </w:rPr>
        <w:t>7.09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7.17</w:t>
      </w:r>
      <w:r>
        <w:rPr>
          <w:rFonts w:ascii="Arial" w:cs="Arial" w:eastAsia="Arial" w:hAnsi="Arial"/>
          <w:sz w:val="20"/>
          <w:szCs w:val="20"/>
          <w:color w:val="auto"/>
        </w:rPr>
        <w:t>.</w:t>
      </w:r>
    </w:p>
    <w:p>
      <w:pPr>
        <w:spacing w:after="0" w:line="39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Maintain, and cause each Significant Subsidiary to maintain, each Pension Plan in compliance with all applicable requirements of Law and regulations, except to the extent non-compliance could not reasonably be expected to have a Material Adverse Effect.</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7.14</w:t>
      </w:r>
      <w:r>
        <w:rPr>
          <w:sz w:val="20"/>
          <w:szCs w:val="20"/>
          <w:color w:val="auto"/>
        </w:rPr>
        <w:tab/>
      </w: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Conduct, and cause each Significant Subsidiary to conduct, its operations and keep and maintain its property in compliance with all Environmental Laws, except to the extent non-compliance could not reasonably be expected to have a Material Adverse Effect.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6" w:right="239" w:bottom="1440" w:gutter="0" w:footer="0" w:header="0"/>
        </w:sectPr>
      </w:pPr>
    </w:p>
    <w:bookmarkStart w:id="95" w:name="page96"/>
    <w:bookmarkEnd w:id="95"/>
    <w:p>
      <w:pPr>
        <w:spacing w:after="0"/>
        <w:tabs>
          <w:tab w:leader="none" w:pos="520" w:val="left"/>
        </w:tabs>
        <w:rPr>
          <w:sz w:val="20"/>
          <w:szCs w:val="20"/>
          <w:color w:val="auto"/>
        </w:rPr>
      </w:pPr>
      <w:r>
        <w:rPr>
          <w:rFonts w:ascii="Arial" w:cs="Arial" w:eastAsia="Arial" w:hAnsi="Arial"/>
          <w:sz w:val="20"/>
          <w:szCs w:val="20"/>
          <w:color w:val="auto"/>
        </w:rPr>
        <w:t>7.15</w:t>
      </w:r>
      <w:r>
        <w:rPr>
          <w:sz w:val="20"/>
          <w:szCs w:val="20"/>
          <w:color w:val="auto"/>
        </w:rPr>
        <w:tab/>
      </w:r>
      <w:r>
        <w:rPr>
          <w:rFonts w:ascii="Arial" w:cs="Arial" w:eastAsia="Arial" w:hAnsi="Arial"/>
          <w:sz w:val="18"/>
          <w:szCs w:val="18"/>
          <w:u w:val="single" w:color="auto"/>
          <w:color w:val="auto"/>
        </w:rPr>
        <w:t>Business Activities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 and not permit any Significant Subsidiary to, engage in any line of business other than the same or similar lines of business engaged in by the Company and its Significant Subsidiaries as of the Closing Date and reasonable extensions thereof.</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7.16</w:t>
      </w:r>
      <w:r>
        <w:rPr>
          <w:sz w:val="20"/>
          <w:szCs w:val="20"/>
          <w:color w:val="auto"/>
        </w:rPr>
        <w:tab/>
      </w:r>
      <w:r>
        <w:rPr>
          <w:rFonts w:ascii="Arial" w:cs="Arial" w:eastAsia="Arial" w:hAnsi="Arial"/>
          <w:sz w:val="16"/>
          <w:szCs w:val="16"/>
          <w:u w:val="single" w:color="auto"/>
          <w:color w:val="auto"/>
        </w:rPr>
        <w:t>Non-Guarantor Domestic Subsidiaries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Not later than the date that is sixty (60) days after the end of each Fiscal Quarter (or such later date as agreed by the Administrative Agent in its sole discretion), take all steps necessary to cause each Domestic Subsidiary (other than Excluded Subsidiaries) that was not a Guarantor as of the end of such Fiscal Quarter to become a party to this Agreement as a Guarantor. Without limiting the foregoing, the Company will cause any Subsidiary that guarantees, or that is required by the terms of any Note Purchase Agreement or any Senior Note to guarantee, Debt in respect of any Note Purchase Agreement and/or any Senior Note to be a Guarantor.</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7.17</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and not permit any Significant Subsidiary to, make any Investments, except:</w:t>
      </w:r>
    </w:p>
    <w:p>
      <w:pPr>
        <w:spacing w:after="0" w:line="216" w:lineRule="exact"/>
        <w:rPr>
          <w:sz w:val="20"/>
          <w:szCs w:val="20"/>
          <w:color w:val="auto"/>
        </w:rPr>
      </w:pPr>
    </w:p>
    <w:p>
      <w:pPr>
        <w:ind w:left="1060" w:hanging="404"/>
        <w:spacing w:after="0"/>
        <w:tabs>
          <w:tab w:leader="none" w:pos="10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Investments held in the form of cash or Cash Equivalents;</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9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Investments existing or committed to as of the Closing Date and set forth in </w:t>
      </w:r>
      <w:r>
        <w:rPr>
          <w:rFonts w:ascii="Arial" w:cs="Arial" w:eastAsia="Arial" w:hAnsi="Arial"/>
          <w:sz w:val="20"/>
          <w:szCs w:val="20"/>
          <w:u w:val="single" w:color="auto"/>
          <w:color w:val="auto"/>
        </w:rPr>
        <w:t>Schedule 7.17</w:t>
      </w:r>
      <w:r>
        <w:rPr>
          <w:rFonts w:ascii="Arial" w:cs="Arial" w:eastAsia="Arial" w:hAnsi="Arial"/>
          <w:sz w:val="20"/>
          <w:szCs w:val="20"/>
          <w:color w:val="auto"/>
        </w:rPr>
        <w:t xml:space="preserve"> (and any modification, replacement, renewal or extension thereof, to the extent that the amount of the original Investment is not increased except by the terms of such Investment or as otherwise permitted under this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1060" w:hanging="404"/>
        <w:spacing w:after="0"/>
        <w:tabs>
          <w:tab w:leader="none" w:pos="10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Investments in any Person that is a Loan Party prior to giving effect to such Investment;</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Investments by any Subsidiary that is not a Loan Party in any other Subsidiary;</w:t>
      </w:r>
    </w:p>
    <w:p>
      <w:pPr>
        <w:spacing w:after="0" w:line="215" w:lineRule="exact"/>
        <w:rPr>
          <w:rFonts w:ascii="Arial" w:cs="Arial" w:eastAsia="Arial" w:hAnsi="Arial"/>
          <w:sz w:val="20"/>
          <w:szCs w:val="20"/>
          <w:color w:val="auto"/>
        </w:rPr>
      </w:pPr>
    </w:p>
    <w:p>
      <w:pPr>
        <w:jc w:val="both"/>
        <w:ind w:firstLine="656"/>
        <w:spacing w:after="0" w:line="259" w:lineRule="auto"/>
        <w:tabs>
          <w:tab w:leader="none" w:pos="110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 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spacing w:after="0" w:line="178" w:lineRule="exact"/>
        <w:rPr>
          <w:rFonts w:ascii="Arial" w:cs="Arial" w:eastAsia="Arial" w:hAnsi="Arial"/>
          <w:sz w:val="19"/>
          <w:szCs w:val="19"/>
          <w:color w:val="auto"/>
        </w:rPr>
      </w:pPr>
    </w:p>
    <w:p>
      <w:pPr>
        <w:jc w:val="both"/>
        <w:ind w:firstLine="656"/>
        <w:spacing w:after="0" w:line="250" w:lineRule="auto"/>
        <w:tabs>
          <w:tab w:leader="none" w:pos="124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loans and advances to officers, directors and employees of the Company or any Subsidiary in connection with travel, entertainment, relocation and analogous ordinary business purposes and advances of payroll payments to employees in the ordinary course of business;</w:t>
      </w:r>
    </w:p>
    <w:p>
      <w:pPr>
        <w:spacing w:after="0" w:line="186" w:lineRule="exact"/>
        <w:rPr>
          <w:rFonts w:ascii="Arial" w:cs="Arial" w:eastAsia="Arial" w:hAnsi="Arial"/>
          <w:sz w:val="20"/>
          <w:szCs w:val="20"/>
          <w:color w:val="auto"/>
        </w:rPr>
      </w:pPr>
    </w:p>
    <w:p>
      <w:pPr>
        <w:ind w:left="1060" w:hanging="404"/>
        <w:spacing w:after="0"/>
        <w:tabs>
          <w:tab w:leader="none" w:pos="10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Suretyship Liabilities permitted by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5" w:lineRule="exact"/>
        <w:rPr>
          <w:rFonts w:ascii="Arial" w:cs="Arial" w:eastAsia="Arial" w:hAnsi="Arial"/>
          <w:sz w:val="20"/>
          <w:szCs w:val="20"/>
          <w:color w:val="auto"/>
        </w:rPr>
      </w:pPr>
    </w:p>
    <w:p>
      <w:pPr>
        <w:ind w:firstLine="656"/>
        <w:spacing w:after="0" w:line="260" w:lineRule="auto"/>
        <w:tabs>
          <w:tab w:leader="none" w:pos="104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from credit-worthy obligors in connection with dispositions permitted under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6" w:right="239" w:bottom="1440" w:gutter="0" w:footer="0" w:header="0"/>
        </w:sectPr>
      </w:pPr>
    </w:p>
    <w:bookmarkStart w:id="96" w:name="page97"/>
    <w:bookmarkEnd w:id="96"/>
    <w:p>
      <w:pPr>
        <w:ind w:left="1020" w:hanging="364"/>
        <w:spacing w:after="0"/>
        <w:tabs>
          <w:tab w:leader="none" w:pos="10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Investments in non-qualified employee benefit plans, including deferred compensation plans;</w:t>
      </w:r>
    </w:p>
    <w:p>
      <w:pPr>
        <w:spacing w:after="0" w:line="215" w:lineRule="exact"/>
        <w:rPr>
          <w:rFonts w:ascii="Arial" w:cs="Arial" w:eastAsia="Arial" w:hAnsi="Arial"/>
          <w:sz w:val="20"/>
          <w:szCs w:val="20"/>
          <w:color w:val="auto"/>
        </w:rPr>
      </w:pPr>
    </w:p>
    <w:p>
      <w:pPr>
        <w:jc w:val="both"/>
        <w:ind w:firstLine="656"/>
        <w:spacing w:after="0" w:line="260" w:lineRule="auto"/>
        <w:tabs>
          <w:tab w:leader="none" w:pos="11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Investments in partnerships, joint ventures and any other non-Wholly Owned Subsidiary where the aggregate amount of such Investments (excluding any such Investment existing or committed for on the Closing Date and listed on </w:t>
      </w:r>
      <w:r>
        <w:rPr>
          <w:rFonts w:ascii="Arial" w:cs="Arial" w:eastAsia="Arial" w:hAnsi="Arial"/>
          <w:sz w:val="19"/>
          <w:szCs w:val="19"/>
          <w:u w:val="single" w:color="auto"/>
          <w:color w:val="auto"/>
        </w:rPr>
        <w:t>Schedule 7.17</w:t>
      </w:r>
      <w:r>
        <w:rPr>
          <w:rFonts w:ascii="Arial" w:cs="Arial" w:eastAsia="Arial" w:hAnsi="Arial"/>
          <w:sz w:val="19"/>
          <w:szCs w:val="19"/>
          <w:color w:val="auto"/>
        </w:rPr>
        <w:t xml:space="preserve">) outstanding at any one time does not exceed the greater of (i) $50,000,000 and (ii) 5% of consolidated tangible assets of the Company and its Subsidiaries as of the last day of the Fiscal Quarter most recently ended for which financial statements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Loan Party may become a general partner in any partnership;</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01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Investments by a Loan Party in a Subsidiary that is not a Loan Party for purposes of funding a Permitted Acquisition so long as the sum of (i) unrestricted cash of the Company and its Domestic Subsidiaries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unutilized availability under the Aggregate Revolving Commitments is at least $50,000,000;</w:t>
      </w:r>
    </w:p>
    <w:p>
      <w:pPr>
        <w:spacing w:after="0" w:line="186" w:lineRule="exact"/>
        <w:rPr>
          <w:rFonts w:ascii="Arial" w:cs="Arial" w:eastAsia="Arial" w:hAnsi="Arial"/>
          <w:sz w:val="20"/>
          <w:szCs w:val="20"/>
          <w:color w:val="auto"/>
        </w:rPr>
      </w:pPr>
    </w:p>
    <w:p>
      <w:pPr>
        <w:ind w:firstLine="656"/>
        <w:spacing w:after="0" w:line="316" w:lineRule="auto"/>
        <w:tabs>
          <w:tab w:leader="none" w:pos="11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Investment made by a Loan Party in a Subsidiary that is not a Loan Party with cash proceeds received from distributions from Subsidiaries that are not Loan Parties to the extent such Investment is made within 30 days of the receipt of such cash proceeds;</w:t>
      </w:r>
    </w:p>
    <w:p>
      <w:pPr>
        <w:spacing w:after="0" w:line="130" w:lineRule="exact"/>
        <w:rPr>
          <w:rFonts w:ascii="Arial" w:cs="Arial" w:eastAsia="Arial" w:hAnsi="Arial"/>
          <w:sz w:val="18"/>
          <w:szCs w:val="18"/>
          <w:color w:val="auto"/>
        </w:rPr>
      </w:pPr>
    </w:p>
    <w:p>
      <w:pPr>
        <w:jc w:val="both"/>
        <w:ind w:firstLine="656"/>
        <w:spacing w:after="0" w:line="250" w:lineRule="auto"/>
        <w:tabs>
          <w:tab w:leader="none" w:pos="105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Investments consisting of the transfer of Capital Stock or Debt (other than Obligations) of a Foreign Subsidiary to the Company or any other Subsidiary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Debt of a Foreign Subsidiary shall not be transferred to a Loan Party unless such Loan Party would be permitted to incur such Debt pursuant to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firstLine="656"/>
        <w:spacing w:after="0" w:line="260" w:lineRule="auto"/>
        <w:tabs>
          <w:tab w:leader="none" w:pos="105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endorsement of a check or other medium of payment for deposit or collection through normal banking channels or any similar transaction in the normal course of business;</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11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Investments by a Loan Party in a Subsidiary that is not a Loan Party made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such Investment is made, the aggregate amount of all Investments outstanding at any one time pursuant to this clause (p) shall not exceed the greater of (x) $50,000,000 and (y) 5% of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jc w:val="both"/>
        <w:ind w:firstLine="656"/>
        <w:spacing w:after="0" w:line="282" w:lineRule="auto"/>
        <w:tabs>
          <w:tab w:leader="none" w:pos="108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permitted under this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Investments of any nature,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such Investment is made, the aggregate amount of all Investments outstanding at any one time pursuant to this clause (q) shall not exceed the greater of (x) $100,000,000 and (y) 10% of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7.18</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Not, and not permit any Significant Subsidiary (other than an Excluded Subsidiary) to, enter into, or permit to exist, any written Contractual Obligation that encumbers or restricts the ability of any such Person to (i) pay dividends or make any other distributions to any Loan Party on its Capital Stock or with respect to any other interest or participation in, or measured by, its profits or (ii) repay any loans or advances owed to any Loan Party, except for (1) this Agreement and the other Loan Documents, (2) the Note Purchase Agreements, (3) restrictions and conditions imposed by Law, (4) customary restrictions and conditions contained in any agreement relating to the sale or other disposition of any property permitted under </w:t>
      </w:r>
      <w:r>
        <w:rPr>
          <w:rFonts w:ascii="Arial" w:cs="Arial" w:eastAsia="Arial" w:hAnsi="Arial"/>
          <w:sz w:val="20"/>
          <w:szCs w:val="20"/>
          <w:u w:val="single" w:color="auto"/>
          <w:color w:val="auto"/>
        </w:rPr>
        <w:t>Section 7.09</w:t>
      </w:r>
      <w:r>
        <w:rPr>
          <w:rFonts w:ascii="Arial" w:cs="Arial" w:eastAsia="Arial" w:hAnsi="Arial"/>
          <w:sz w:val="20"/>
          <w:szCs w:val="20"/>
          <w:color w:val="auto"/>
        </w:rPr>
        <w:t xml:space="preserve"> pending the consummation of such sale or other disposition, and/or (5) Contractual Obligations which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6" w:right="239" w:bottom="1440" w:gutter="0" w:footer="0" w:header="0"/>
        </w:sectPr>
      </w:pPr>
    </w:p>
    <w:bookmarkStart w:id="97" w:name="page98"/>
    <w:bookmarkEnd w:id="97"/>
    <w:p>
      <w:pPr>
        <w:jc w:val="both"/>
        <w:ind w:firstLine="8"/>
        <w:spacing w:after="0" w:line="257" w:lineRule="auto"/>
        <w:tabs>
          <w:tab w:leader="none" w:pos="33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(i) (x) exist on the Closing Date and (to the extent not otherwise permitted by this </w:t>
      </w:r>
      <w:r>
        <w:rPr>
          <w:rFonts w:ascii="Arial" w:cs="Arial" w:eastAsia="Arial" w:hAnsi="Arial"/>
          <w:sz w:val="19"/>
          <w:szCs w:val="19"/>
          <w:u w:val="single" w:color="auto"/>
          <w:color w:val="auto"/>
        </w:rPr>
        <w:t>Section 7.18</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Schedule 7.18</w:t>
      </w:r>
      <w:r>
        <w:rPr>
          <w:rFonts w:ascii="Arial" w:cs="Arial" w:eastAsia="Arial" w:hAnsi="Arial"/>
          <w:sz w:val="19"/>
          <w:szCs w:val="19"/>
          <w:color w:val="auto"/>
        </w:rPr>
        <w:t xml:space="preserve"> hereto and (y) to the extent Contractual Obligations permitted by clause (x) are set forth in an agreement evidencing Debt, are set forth in any agreement evidencing any permitted renewal, extension or refinancing of such Debt so long as such renewal, extension or refinancing does not expand the scope of such Contractual Obligation, (ii) are binding on a Subsidiary at the time such Subsidiary first becomes a Subsidiary, so long as such Contractual Obligations were not entered into in contemplation of such Person becoming a Subsidiary, (B) are customary provisions in joint venture agreements and other similar agreements applicable to joint ventures permitted under </w:t>
      </w:r>
      <w:r>
        <w:rPr>
          <w:rFonts w:ascii="Arial" w:cs="Arial" w:eastAsia="Arial" w:hAnsi="Arial"/>
          <w:sz w:val="19"/>
          <w:szCs w:val="19"/>
          <w:u w:val="single" w:color="auto"/>
          <w:color w:val="auto"/>
        </w:rPr>
        <w:t>Section 7.17</w:t>
      </w:r>
      <w:r>
        <w:rPr>
          <w:rFonts w:ascii="Arial" w:cs="Arial" w:eastAsia="Arial" w:hAnsi="Arial"/>
          <w:sz w:val="19"/>
          <w:szCs w:val="19"/>
          <w:color w:val="auto"/>
        </w:rPr>
        <w:t xml:space="preserve"> and applicable solely to such joint venture entered into in the ordinary course of business or (C) are set forth in the agreements governing any Permitted Securitization with respect to any Securitization Subsidiary.</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7.19</w:t>
      </w:r>
      <w:r>
        <w:rPr>
          <w:sz w:val="20"/>
          <w:szCs w:val="20"/>
          <w:color w:val="auto"/>
        </w:rPr>
        <w:tab/>
      </w:r>
      <w:r>
        <w:rPr>
          <w:rFonts w:ascii="Arial" w:cs="Arial" w:eastAsia="Arial" w:hAnsi="Arial"/>
          <w:sz w:val="16"/>
          <w:szCs w:val="16"/>
          <w:u w:val="single" w:color="auto"/>
          <w:color w:val="auto"/>
        </w:rPr>
        <w:t>Organization Documents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amend, modify or change its Organization Documents in a manner materially adverse to the Lenders.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7.20</w:t>
      </w:r>
      <w:r>
        <w:rPr>
          <w:sz w:val="20"/>
          <w:szCs w:val="20"/>
          <w:color w:val="auto"/>
        </w:rPr>
        <w:tab/>
      </w:r>
      <w:r>
        <w:rPr>
          <w:rFonts w:ascii="Arial" w:cs="Arial" w:eastAsia="Arial" w:hAnsi="Arial"/>
          <w:sz w:val="16"/>
          <w:szCs w:val="16"/>
          <w:u w:val="single" w:color="auto"/>
          <w:color w:val="auto"/>
        </w:rPr>
        <w:t>Sanctions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 directly or, to the knowledge of the Loan Parties,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of Sanctions.</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4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Conduct its businesses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8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Not directly or, to the knowledge of the Loan Parties, indirectly use the proceeds of any Credit Extension for any purpose which would breach the United States Foreign Corrupt Practices Act of 1977, the UK Bribery Act 2010 or other similar anti-corruption legislation in other jurisdictions.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following shall constitute an Event of Default under this Agreement:</w:t>
      </w:r>
    </w:p>
    <w:p>
      <w:pPr>
        <w:spacing w:after="0" w:line="216" w:lineRule="exact"/>
        <w:rPr>
          <w:sz w:val="20"/>
          <w:szCs w:val="20"/>
          <w:color w:val="auto"/>
        </w:rPr>
      </w:pPr>
    </w:p>
    <w:p>
      <w:pPr>
        <w:ind w:firstLine="656"/>
        <w:spacing w:after="0" w:line="260" w:lineRule="auto"/>
        <w:tabs>
          <w:tab w:leader="none" w:pos="1088"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Non-Payment of the Loans, etc</w:t>
      </w:r>
      <w:r>
        <w:rPr>
          <w:rFonts w:ascii="Arial" w:cs="Arial" w:eastAsia="Arial" w:hAnsi="Arial"/>
          <w:sz w:val="20"/>
          <w:szCs w:val="20"/>
          <w:color w:val="auto"/>
        </w:rPr>
        <w:t>. Default in the payment when due of the principal of any Loan or any reimbursement obligation with respect to any Letter of Credit; default, and continuance thereof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6" w:right="239" w:bottom="1440" w:gutter="0" w:footer="0" w:header="0"/>
        </w:sectPr>
      </w:pPr>
    </w:p>
    <w:bookmarkStart w:id="98" w:name="page99"/>
    <w:bookmarkEnd w:id="98"/>
    <w:p>
      <w:pPr>
        <w:spacing w:after="0" w:line="260" w:lineRule="auto"/>
        <w:rPr>
          <w:sz w:val="20"/>
          <w:szCs w:val="20"/>
          <w:color w:val="auto"/>
        </w:rPr>
      </w:pPr>
      <w:r>
        <w:rPr>
          <w:rFonts w:ascii="Arial" w:cs="Arial" w:eastAsia="Arial" w:hAnsi="Arial"/>
          <w:sz w:val="20"/>
          <w:szCs w:val="20"/>
          <w:color w:val="auto"/>
        </w:rPr>
        <w:t>for five days, in the payment when due of any interest or fee; or default, and continuance thereof for ten days, in the payment when due of any other amount payable by the Loan Parties hereunder or under any other Loan Document.</w:t>
      </w:r>
    </w:p>
    <w:p>
      <w:pPr>
        <w:spacing w:after="0" w:line="177" w:lineRule="exact"/>
        <w:rPr>
          <w:sz w:val="20"/>
          <w:szCs w:val="20"/>
          <w:color w:val="auto"/>
        </w:rPr>
      </w:pPr>
    </w:p>
    <w:p>
      <w:pPr>
        <w:jc w:val="both"/>
        <w:ind w:firstLine="656"/>
        <w:spacing w:after="0" w:line="242" w:lineRule="auto"/>
        <w:tabs>
          <w:tab w:leader="none" w:pos="1153" w:val="left"/>
        </w:tabs>
        <w:numPr>
          <w:ilvl w:val="1"/>
          <w:numId w:val="110"/>
        </w:numPr>
        <w:rPr>
          <w:rFonts w:ascii="Arial" w:cs="Arial" w:eastAsia="Arial" w:hAnsi="Arial"/>
          <w:sz w:val="20"/>
          <w:szCs w:val="20"/>
          <w:color w:val="auto"/>
        </w:rPr>
      </w:pPr>
      <w:r>
        <w:rPr>
          <w:rFonts w:ascii="Arial" w:cs="Arial" w:eastAsia="Arial" w:hAnsi="Arial"/>
          <w:sz w:val="20"/>
          <w:szCs w:val="20"/>
          <w:u w:val="single" w:color="auto"/>
          <w:color w:val="auto"/>
        </w:rPr>
        <w:t>Non-Payment of Other Debt, etc</w:t>
      </w:r>
      <w:r>
        <w:rPr>
          <w:rFonts w:ascii="Arial" w:cs="Arial" w:eastAsia="Arial" w:hAnsi="Arial"/>
          <w:sz w:val="20"/>
          <w:szCs w:val="20"/>
          <w:color w:val="auto"/>
        </w:rPr>
        <w:t>. (i) Any default shall occur under the terms applicable to any Debt of the Company or any Significant Subsidiary (other than Debt hereunder and intercompany Debt) in an aggregate principal amount (for all such Debt so affected) exceeding $25,000,000 and such default shall (x) consist of the failure to pay such Debt when due (subject to any applicable grace period), whether by acceleration or otherwise, or (y) accelerate the maturity of such Debt or permit the holder or holders thereof, or any trustee or agent for such holder or holders, to cause such Debt to become due and payable prior to its expressed maturity; or (ii) any event shall occur with respect to any Securitization Obligations that results in, or permits the holder or holders of such obligations, or any trustee or agent for such holder or holders, to require, the replacement or resignation of the servicer with respect thereto and the appointment of a new servicer other than the Company or any Subsidiary.</w:t>
      </w:r>
    </w:p>
    <w:p>
      <w:pPr>
        <w:spacing w:after="0" w:line="197" w:lineRule="exact"/>
        <w:rPr>
          <w:rFonts w:ascii="Arial" w:cs="Arial" w:eastAsia="Arial" w:hAnsi="Arial"/>
          <w:sz w:val="20"/>
          <w:szCs w:val="20"/>
          <w:color w:val="auto"/>
        </w:rPr>
      </w:pPr>
    </w:p>
    <w:p>
      <w:pPr>
        <w:jc w:val="both"/>
        <w:ind w:firstLine="656"/>
        <w:spacing w:after="0" w:line="271" w:lineRule="auto"/>
        <w:tabs>
          <w:tab w:leader="none" w:pos="1061"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Bankruptcy, Insolvency, etc</w:t>
      </w:r>
      <w:r>
        <w:rPr>
          <w:rFonts w:ascii="Arial" w:cs="Arial" w:eastAsia="Arial" w:hAnsi="Arial"/>
          <w:sz w:val="18"/>
          <w:szCs w:val="18"/>
          <w:color w:val="auto"/>
        </w:rPr>
        <w:t>. The Company or any Significant Subsidiary becomes insolvent or generally fails to pay, or admits in writing its general inability or refusal to pay, debts as they become due; or the Company or any Significant Subsidiary applies for, consents to, or acquiesces in the appointment of a trustee, receiver or other custodian for the Company or any Significant Subsidiary or any substantial part of the property thereof, or makes a general assignment for the benefit of creditors; or, in the absence of such application, consent or acquiescence, a trustee, receiver or other custodian is appointed for the Company or such Significant Subsidiary or for any substantial part of the property thereof and is not discharged within 60 days; or any bankruptcy, reorganization, debt arrangement, or other case or proceeding under any Debtor Relief Law, or any dissolution or liquidation proceeding (except the voluntary dissolution, not under any Debtor Relief Law, of a Significant Subsidiary), is commenced in respect of the Company or any Significant Subsidiary, and if such case or proceeding is not commenced by the Company or any Significant Subsidiary, an order for relief is entered therein, or such case or proceeding is consented to or acquiesced in by the Company or such Significant Subsidiary or remains for 60 days undismissed.</w:t>
      </w:r>
    </w:p>
    <w:p>
      <w:pPr>
        <w:spacing w:after="0" w:line="174" w:lineRule="exact"/>
        <w:rPr>
          <w:rFonts w:ascii="Arial" w:cs="Arial" w:eastAsia="Arial" w:hAnsi="Arial"/>
          <w:sz w:val="18"/>
          <w:szCs w:val="18"/>
          <w:color w:val="auto"/>
        </w:rPr>
      </w:pPr>
    </w:p>
    <w:p>
      <w:pPr>
        <w:jc w:val="both"/>
        <w:ind w:firstLine="656"/>
        <w:spacing w:after="0" w:line="272" w:lineRule="auto"/>
        <w:tabs>
          <w:tab w:leader="none" w:pos="1099"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Non-Compliance with Provisions of this Agreement</w:t>
      </w:r>
      <w:r>
        <w:rPr>
          <w:rFonts w:ascii="Arial" w:cs="Arial" w:eastAsia="Arial" w:hAnsi="Arial"/>
          <w:sz w:val="18"/>
          <w:szCs w:val="18"/>
          <w:color w:val="auto"/>
        </w:rPr>
        <w:t xml:space="preserve">. (i) Failure by the Company to comply with or to perform any covenant set forth in </w:t>
      </w:r>
      <w:r>
        <w:rPr>
          <w:rFonts w:ascii="Arial" w:cs="Arial" w:eastAsia="Arial" w:hAnsi="Arial"/>
          <w:sz w:val="18"/>
          <w:szCs w:val="18"/>
          <w:u w:val="single" w:color="auto"/>
          <w:color w:val="auto"/>
        </w:rPr>
        <w:t>Sections 7.01(e)(i)</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(with respect to the Borrowers),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w:t>
      </w:r>
      <w:r>
        <w:rPr>
          <w:rFonts w:ascii="Arial" w:cs="Arial" w:eastAsia="Arial" w:hAnsi="Arial"/>
          <w:sz w:val="18"/>
          <w:szCs w:val="18"/>
          <w:u w:val="single" w:color="auto"/>
          <w:color w:val="auto"/>
        </w:rPr>
        <w:t>7.12</w:t>
      </w:r>
      <w:r>
        <w:rPr>
          <w:rFonts w:ascii="Arial" w:cs="Arial" w:eastAsia="Arial" w:hAnsi="Arial"/>
          <w:sz w:val="18"/>
          <w:szCs w:val="18"/>
          <w:color w:val="auto"/>
        </w:rPr>
        <w:t xml:space="preserve">, </w:t>
      </w:r>
      <w:r>
        <w:rPr>
          <w:rFonts w:ascii="Arial" w:cs="Arial" w:eastAsia="Arial" w:hAnsi="Arial"/>
          <w:sz w:val="18"/>
          <w:szCs w:val="18"/>
          <w:u w:val="single" w:color="auto"/>
          <w:color w:val="auto"/>
        </w:rPr>
        <w:t>7.16</w:t>
      </w:r>
      <w:r>
        <w:rPr>
          <w:rFonts w:ascii="Arial" w:cs="Arial" w:eastAsia="Arial" w:hAnsi="Arial"/>
          <w:sz w:val="18"/>
          <w:szCs w:val="18"/>
          <w:color w:val="auto"/>
        </w:rPr>
        <w:t xml:space="preserve">, </w:t>
      </w:r>
      <w:r>
        <w:rPr>
          <w:rFonts w:ascii="Arial" w:cs="Arial" w:eastAsia="Arial" w:hAnsi="Arial"/>
          <w:sz w:val="18"/>
          <w:szCs w:val="18"/>
          <w:u w:val="single" w:color="auto"/>
          <w:color w:val="auto"/>
        </w:rPr>
        <w:t>7.17</w:t>
      </w:r>
      <w:r>
        <w:rPr>
          <w:rFonts w:ascii="Arial" w:cs="Arial" w:eastAsia="Arial" w:hAnsi="Arial"/>
          <w:sz w:val="18"/>
          <w:szCs w:val="18"/>
          <w:color w:val="auto"/>
        </w:rPr>
        <w:t xml:space="preserve">, </w:t>
      </w:r>
      <w:r>
        <w:rPr>
          <w:rFonts w:ascii="Arial" w:cs="Arial" w:eastAsia="Arial" w:hAnsi="Arial"/>
          <w:sz w:val="18"/>
          <w:szCs w:val="18"/>
          <w:u w:val="single" w:color="auto"/>
          <w:color w:val="auto"/>
        </w:rPr>
        <w:t>7.18</w:t>
      </w:r>
      <w:r>
        <w:rPr>
          <w:rFonts w:ascii="Arial" w:cs="Arial" w:eastAsia="Arial" w:hAnsi="Arial"/>
          <w:sz w:val="18"/>
          <w:szCs w:val="18"/>
          <w:color w:val="auto"/>
        </w:rPr>
        <w:t xml:space="preserve">, </w:t>
      </w:r>
      <w:r>
        <w:rPr>
          <w:rFonts w:ascii="Arial" w:cs="Arial" w:eastAsia="Arial" w:hAnsi="Arial"/>
          <w:sz w:val="18"/>
          <w:szCs w:val="18"/>
          <w:u w:val="single" w:color="auto"/>
          <w:color w:val="auto"/>
        </w:rPr>
        <w:t>7.20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7.21</w:t>
      </w:r>
      <w:r>
        <w:rPr>
          <w:rFonts w:ascii="Arial" w:cs="Arial" w:eastAsia="Arial" w:hAnsi="Arial"/>
          <w:sz w:val="18"/>
          <w:szCs w:val="18"/>
          <w:color w:val="auto"/>
        </w:rPr>
        <w:t xml:space="preserve">; (ii) failure by the Company to comply with or to perform any covenant set forth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7.01(e)</w:t>
      </w:r>
      <w:r>
        <w:rPr>
          <w:rFonts w:ascii="Arial" w:cs="Arial" w:eastAsia="Arial" w:hAnsi="Arial"/>
          <w:sz w:val="18"/>
          <w:szCs w:val="18"/>
          <w:color w:val="auto"/>
        </w:rPr>
        <w:t xml:space="preserve"> (to the extent not covered by clause</w:t>
      </w:r>
    </w:p>
    <w:p>
      <w:pPr>
        <w:spacing w:after="0" w:line="1" w:lineRule="exact"/>
        <w:rPr>
          <w:rFonts w:ascii="Arial" w:cs="Arial" w:eastAsia="Arial" w:hAnsi="Arial"/>
          <w:sz w:val="18"/>
          <w:szCs w:val="18"/>
          <w:color w:val="auto"/>
        </w:rPr>
      </w:pPr>
    </w:p>
    <w:p>
      <w:pPr>
        <w:jc w:val="both"/>
        <w:ind w:firstLine="8"/>
        <w:spacing w:after="0" w:line="276" w:lineRule="auto"/>
        <w:tabs>
          <w:tab w:leader="none" w:pos="2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(to the extent not covered by clause (i) above),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and continuance of such failure for ten days after an Executive Officer obtains actual knowledge; or (iii) failure by the Company to comply with or to perform any other provision of this Agreement (and not constituting an Event of Default under any of the other provisions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and continuance of such failure for 30 days after written notice thereof to the Company from the Administrative Agent or any Lender (acting through the Administrative Agent).</w:t>
      </w:r>
    </w:p>
    <w:p>
      <w:pPr>
        <w:spacing w:after="0" w:line="166" w:lineRule="exact"/>
        <w:rPr>
          <w:rFonts w:ascii="Arial" w:cs="Arial" w:eastAsia="Arial" w:hAnsi="Arial"/>
          <w:sz w:val="18"/>
          <w:szCs w:val="18"/>
          <w:color w:val="auto"/>
        </w:rPr>
      </w:pPr>
    </w:p>
    <w:p>
      <w:pPr>
        <w:jc w:val="both"/>
        <w:ind w:firstLine="656"/>
        <w:spacing w:after="0" w:line="246" w:lineRule="auto"/>
        <w:tabs>
          <w:tab w:leader="none" w:pos="1075" w:val="left"/>
        </w:tabs>
        <w:numPr>
          <w:ilvl w:val="1"/>
          <w:numId w:val="11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or warranty made by a Loan Party under any Loan Document is breached or is false or misleading in any material respect when made or deemed made, or any schedule, certificate, financial statement, report, notice or other writing furnished by a Loan Party to the Administrative Agent or any Lender pursuant hereto is false or misleading in any material respect on the date as of which the facts therein set forth are stated or certified.</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67" w:val="left"/>
        </w:tabs>
        <w:numPr>
          <w:ilvl w:val="1"/>
          <w:numId w:val="111"/>
        </w:numPr>
        <w:rPr>
          <w:rFonts w:ascii="Arial" w:cs="Arial" w:eastAsia="Arial" w:hAnsi="Arial"/>
          <w:sz w:val="20"/>
          <w:szCs w:val="20"/>
          <w:color w:val="auto"/>
        </w:rPr>
      </w:pPr>
      <w:r>
        <w:rPr>
          <w:rFonts w:ascii="Arial" w:cs="Arial" w:eastAsia="Arial" w:hAnsi="Arial"/>
          <w:sz w:val="20"/>
          <w:szCs w:val="20"/>
          <w:u w:val="single" w:color="auto"/>
          <w:color w:val="auto"/>
        </w:rPr>
        <w:t>Pension Plans and Plan Assets</w:t>
      </w:r>
      <w:r>
        <w:rPr>
          <w:rFonts w:ascii="Arial" w:cs="Arial" w:eastAsia="Arial" w:hAnsi="Arial"/>
          <w:sz w:val="20"/>
          <w:szCs w:val="20"/>
          <w:color w:val="auto"/>
        </w:rPr>
        <w:t>. (i) Institution of any steps by the Company or any Subsidiary or any other Person to terminate a Pension Plan if as a result of such termination the Company or any Subsidiary could reasonably be expected to be required to make a contribution to such Pension Plan, or could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6" w:right="239" w:bottom="1440" w:gutter="0" w:footer="0" w:header="0"/>
        </w:sectPr>
      </w:pPr>
    </w:p>
    <w:bookmarkStart w:id="99" w:name="page100"/>
    <w:bookmarkEnd w:id="99"/>
    <w:p>
      <w:pPr>
        <w:jc w:val="both"/>
        <w:spacing w:after="0" w:line="259" w:lineRule="auto"/>
        <w:rPr>
          <w:sz w:val="20"/>
          <w:szCs w:val="20"/>
          <w:color w:val="auto"/>
        </w:rPr>
      </w:pPr>
      <w:r>
        <w:rPr>
          <w:rFonts w:ascii="Arial" w:cs="Arial" w:eastAsia="Arial" w:hAnsi="Arial"/>
          <w:sz w:val="19"/>
          <w:szCs w:val="19"/>
          <w:color w:val="auto"/>
        </w:rPr>
        <w:t>reasonably be expected to incur a liability or obligation to such Pension Plan, in excess of $25,000,000; (ii) a contribution failure occurs with respect to any Pension Plan sufficient to give rise to a Lien securing a material amount under section 303(k) of ERISA; (iii) there shall occur any withdrawal or partial withdrawal from a Multiemployer Pension Plan and the withdrawal liability (without unaccrued interest) to Multiemployer Pension Plans as a result of such withdrawal (including any outstanding withdrawal liability that the Company and the Controlled Group have incurred on the date of such withdrawal) exceeds $25,000,000; or (iv) any Loan Party becomes an entity deemed to hold Plan Assets, and in each case, under this clause (f), such event or circumstance results in a Material Adverse Effect.</w:t>
      </w:r>
    </w:p>
    <w:p>
      <w:pPr>
        <w:spacing w:after="0" w:line="179" w:lineRule="exact"/>
        <w:rPr>
          <w:sz w:val="20"/>
          <w:szCs w:val="20"/>
          <w:color w:val="auto"/>
        </w:rPr>
      </w:pPr>
    </w:p>
    <w:p>
      <w:pPr>
        <w:jc w:val="both"/>
        <w:ind w:firstLine="656"/>
        <w:spacing w:after="0" w:line="260" w:lineRule="auto"/>
        <w:tabs>
          <w:tab w:leader="none" w:pos="1153"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(i) Final judgments which exceed an aggregate of $25,000,000 (net of insurance proceeds in the event a solvent insurer has acknowledged in writing its obligation to satisfy such judgment) shall be rendered against the Company or any Subsidiary or (ii) any one or more non-monetary final judgments shall be rendered against the Company or any Subsidiary that have, or could reasonably be expected to have, individually or in the aggregate, a Material Adverse Effect, in each case shall not have been paid, discharged or vacated or had execution thereof stayed pending appeal within 60 days after entry or filing of such judgments.</w:t>
      </w:r>
    </w:p>
    <w:p>
      <w:pPr>
        <w:spacing w:after="0" w:line="180" w:lineRule="exact"/>
        <w:rPr>
          <w:rFonts w:ascii="Arial" w:cs="Arial" w:eastAsia="Arial" w:hAnsi="Arial"/>
          <w:sz w:val="19"/>
          <w:szCs w:val="19"/>
          <w:color w:val="auto"/>
        </w:rPr>
      </w:pPr>
    </w:p>
    <w:p>
      <w:pPr>
        <w:jc w:val="both"/>
        <w:ind w:firstLine="656"/>
        <w:spacing w:after="0" w:line="259" w:lineRule="auto"/>
        <w:tabs>
          <w:tab w:leader="none" w:pos="1072"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Loan Document, at any time after its execution and delivery and for any reason other than as expressly permitted hereunder or thereunder, in accordance with its terms or satisfaction in full of all the Obligations (other than any contingent obligation that is not due and payable), ceases to be in full force and effect with respect to any Loan Party party thereto (other than in accordance with its terms); or any Loan Party (or any other Person acting on behalf thereof) contests in any manner the validity or enforceability of any Loan Document to which it is a party; or any Loan Party denies that it has any or further liability or obligation under, or purports to revoke, terminate or rescind, any Loan Document other than in accordance with its terms.</w:t>
      </w:r>
    </w:p>
    <w:p>
      <w:pPr>
        <w:spacing w:after="0" w:line="178" w:lineRule="exact"/>
        <w:rPr>
          <w:rFonts w:ascii="Arial" w:cs="Arial" w:eastAsia="Arial" w:hAnsi="Arial"/>
          <w:sz w:val="19"/>
          <w:szCs w:val="19"/>
          <w:color w:val="auto"/>
        </w:rPr>
      </w:pPr>
    </w:p>
    <w:p>
      <w:pPr>
        <w:jc w:val="both"/>
        <w:ind w:firstLine="656"/>
        <w:spacing w:after="0" w:line="232" w:lineRule="exact"/>
        <w:tabs>
          <w:tab w:leader="none" w:pos="1029"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 Any Person or group of Persons (within the meaning of Section 13 or 14 of the Securities Exchange Act of 1934) (excluding (w) any employee benefit plan of the Company or any of its Subsidiaries, (x) any person or entity acting in its capacity as trustee, agent or other fiduciary or administrator of any such plan and (y) Elizabeth Brady, William Brady and their descendants or any trusts established for them or their descendants, and the W. H. Brady Foundation, Inc.) shall acquire beneficial ownership (within the meaning of Rule 13d-3 promulgated under such Act) of one</w:t>
      </w:r>
      <w:r>
        <w:rPr>
          <w:rFonts w:ascii="MS PGothic" w:cs="MS PGothic" w:eastAsia="MS PGothic" w:hAnsi="MS PGothic"/>
          <w:sz w:val="18"/>
          <w:szCs w:val="18"/>
          <w:color w:val="auto"/>
        </w:rPr>
        <w:t>‑</w:t>
      </w:r>
      <w:r>
        <w:rPr>
          <w:rFonts w:ascii="Arial" w:cs="Arial" w:eastAsia="Arial" w:hAnsi="Arial"/>
          <w:sz w:val="18"/>
          <w:szCs w:val="18"/>
          <w:color w:val="auto"/>
        </w:rPr>
        <w:t>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 at least two-thirds of the directors who either were directors at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w:t>
      </w:r>
    </w:p>
    <w:p>
      <w:pPr>
        <w:spacing w:after="0" w:line="19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Required Lenders, take any or all of the following actions:</w:t>
      </w:r>
    </w:p>
    <w:p>
      <w:pPr>
        <w:spacing w:after="0" w:line="200" w:lineRule="exact"/>
        <w:rPr>
          <w:sz w:val="20"/>
          <w:szCs w:val="20"/>
          <w:color w:val="auto"/>
        </w:rPr>
      </w:pPr>
    </w:p>
    <w:p>
      <w:pPr>
        <w:ind w:firstLine="656"/>
        <w:spacing w:after="0" w:line="260" w:lineRule="auto"/>
        <w:tabs>
          <w:tab w:leader="none" w:pos="106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6" w:right="239" w:bottom="1440" w:gutter="0" w:footer="0" w:header="0"/>
        </w:sectPr>
      </w:pPr>
    </w:p>
    <w:bookmarkStart w:id="100" w:name="page101"/>
    <w:bookmarkEnd w:id="100"/>
    <w:p>
      <w:pPr>
        <w:jc w:val="both"/>
        <w:ind w:right="20" w:firstLine="656"/>
        <w:spacing w:after="0" w:line="250" w:lineRule="auto"/>
        <w:tabs>
          <w:tab w:leader="none" w:pos="105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6" w:lineRule="exact"/>
        <w:rPr>
          <w:rFonts w:ascii="Arial" w:cs="Arial" w:eastAsia="Arial" w:hAnsi="Arial"/>
          <w:sz w:val="20"/>
          <w:szCs w:val="20"/>
          <w:color w:val="auto"/>
        </w:rPr>
      </w:pPr>
    </w:p>
    <w:p>
      <w:pPr>
        <w:ind w:firstLine="656"/>
        <w:spacing w:after="0" w:line="260" w:lineRule="auto"/>
        <w:tabs>
          <w:tab w:leader="none" w:pos="108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require that the Borrowers Cash Collateralize the L/C Obligations (in an amount equal to the Minimum Collateral Amount with respect thereto); and</w:t>
      </w:r>
    </w:p>
    <w:p>
      <w:pPr>
        <w:spacing w:after="0" w:line="176" w:lineRule="exact"/>
        <w:rPr>
          <w:rFonts w:ascii="Arial" w:cs="Arial" w:eastAsia="Arial" w:hAnsi="Arial"/>
          <w:sz w:val="20"/>
          <w:szCs w:val="20"/>
          <w:color w:val="auto"/>
        </w:rPr>
      </w:pPr>
    </w:p>
    <w:p>
      <w:pPr>
        <w:ind w:firstLine="656"/>
        <w:spacing w:after="0" w:line="260" w:lineRule="auto"/>
        <w:tabs>
          <w:tab w:leader="none" w:pos="108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 all rights and remedies available to it, the Lenders and the L/C Issuer under the Loan Documents or applicable Law or equity;</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be applied by the Administrative Agent in the following order:</w:t>
      </w:r>
    </w:p>
    <w:p>
      <w:pPr>
        <w:spacing w:after="0" w:line="19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the reasonable and documented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and the L/C Issuer (including the reasonable and documented fees, charges and disbursements of counsel due and owing pursuant to the terms of this Agreement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77"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Letter of Credit Fees and interest on the Loans and L/C Borrowings and fees, premiums and scheduled periodic payments, and any interest accrued thereon, due under any Hedging Agreement between any Loan Party and any Lender, or any Affiliate of a Lender, ratably among the Lenders (and, in the case of such Hedging Agreements, Affiliates of Lenders) and the L/C Issuer in proportion to the respective amounts described in this clause Third held by them;</w:t>
      </w:r>
    </w:p>
    <w:p>
      <w:pPr>
        <w:spacing w:after="0" w:line="195"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to (a) payment of that portion of the Obligations constituting unpaid principal of the Loans and L/C Borrowings, (b) payment of breakage, termination or other payments, and any interest accrued thereon, due under any Hedging Agreement between any Loan Party and any Lender, or any Affiliate of a Lender, (c) payments of amounts due under any Treasury Management Agreement between any Loan Party and any Lender, or any Affiliate of a Lender and (d) Cash Collateralize that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6" w:right="239" w:bottom="1440" w:gutter="0" w:footer="0" w:header="0"/>
        </w:sectPr>
      </w:pPr>
    </w:p>
    <w:bookmarkStart w:id="101" w:name="page102"/>
    <w:bookmarkEnd w:id="101"/>
    <w:p>
      <w:pPr>
        <w:jc w:val="both"/>
        <w:ind w:left="660"/>
        <w:spacing w:after="0" w:line="250" w:lineRule="auto"/>
        <w:rPr>
          <w:sz w:val="20"/>
          <w:szCs w:val="20"/>
          <w:color w:val="auto"/>
        </w:rPr>
      </w:pPr>
      <w:r>
        <w:rPr>
          <w:rFonts w:ascii="Arial" w:cs="Arial" w:eastAsia="Arial" w:hAnsi="Arial"/>
          <w:sz w:val="20"/>
          <w:szCs w:val="20"/>
          <w:color w:val="auto"/>
        </w:rPr>
        <w:t xml:space="preserve">portion of L/C Obligations comprised of the aggregate undrawn amount of Letters of Credit, ratably among the Lenders (and, in the case of such Hedging Agreements, Affiliates of Lenders) and the L/C Issuer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 and</w:t>
      </w:r>
    </w:p>
    <w:p>
      <w:pPr>
        <w:spacing w:after="0" w:line="186"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(other than contingent obligations not yet due and payable) have been paid in full, to the Borrowers or as otherwise required by Law.</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Notwithstanding the foregoing, Obligations arising under any Hedging Agreement or Treasury Management Agreement between any Loan Party and any Hedge Bank or Treasury Management Bank, as applicable, shall be excluded from the application described above if the Administrative Agent has not received a written notice regarding such obligations, together with such supporting documentation as the Administrative Agent may reasonably request, from the applicable Lender or Affiliate of a Lender, as the case may be. Each Affiliate of a Lender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for itself and its Affiliates as if a “Lender” party hereto.</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Each of the Lenders and the L/C Issuer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with respect to </w:t>
      </w:r>
      <w:r>
        <w:rPr>
          <w:rFonts w:ascii="Arial" w:cs="Arial" w:eastAsia="Arial" w:hAnsi="Arial"/>
          <w:sz w:val="19"/>
          <w:szCs w:val="19"/>
          <w:u w:val="single" w:color="auto"/>
          <w:color w:val="auto"/>
        </w:rPr>
        <w:t>Sections 10.03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10.06</w:t>
      </w:r>
      <w:r>
        <w:rPr>
          <w:rFonts w:ascii="Arial" w:cs="Arial" w:eastAsia="Arial" w:hAnsi="Arial"/>
          <w:sz w:val="19"/>
          <w:szCs w:val="19"/>
          <w:color w:val="auto"/>
        </w:rPr>
        <w:t>,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Person serving as the Administrative Agent hereunder shall have the same rights and powers in its capacity as a Lender as any other Lender and may exercise the same as though it were not the Administrative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6" w:right="239" w:bottom="1440" w:gutter="0" w:footer="0" w:header="0"/>
        </w:sectPr>
      </w:pPr>
    </w:p>
    <w:bookmarkStart w:id="102" w:name="page103"/>
    <w:bookmarkEnd w:id="102"/>
    <w:p>
      <w:pPr>
        <w:jc w:val="both"/>
        <w:spacing w:after="0" w:line="260" w:lineRule="auto"/>
        <w:rPr>
          <w:sz w:val="20"/>
          <w:szCs w:val="20"/>
          <w:color w:val="auto"/>
        </w:rPr>
      </w:pPr>
      <w:r>
        <w:rPr>
          <w:rFonts w:ascii="Arial" w:cs="Arial" w:eastAsia="Arial" w:hAnsi="Arial"/>
          <w:sz w:val="19"/>
          <w:szCs w:val="19"/>
          <w:color w:val="auto"/>
        </w:rPr>
        <w:t>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86" w:lineRule="exact"/>
        <w:rPr>
          <w:sz w:val="20"/>
          <w:szCs w:val="20"/>
          <w:color w:val="auto"/>
        </w:rPr>
      </w:pPr>
    </w:p>
    <w:p>
      <w:pPr>
        <w:ind w:left="1060" w:hanging="404"/>
        <w:spacing w:after="0"/>
        <w:tabs>
          <w:tab w:leader="none" w:pos="10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 continuing;</w:t>
      </w:r>
    </w:p>
    <w:p>
      <w:pPr>
        <w:spacing w:after="0" w:line="227" w:lineRule="exact"/>
        <w:rPr>
          <w:rFonts w:ascii="Arial" w:cs="Arial" w:eastAsia="Arial" w:hAnsi="Arial"/>
          <w:sz w:val="19"/>
          <w:szCs w:val="19"/>
          <w:color w:val="auto"/>
        </w:rPr>
      </w:pPr>
    </w:p>
    <w:p>
      <w:pPr>
        <w:jc w:val="both"/>
        <w:ind w:firstLine="656"/>
        <w:spacing w:after="0" w:line="274"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9" w:lineRule="exact"/>
        <w:rPr>
          <w:rFonts w:ascii="Arial" w:cs="Arial" w:eastAsia="Arial" w:hAnsi="Arial"/>
          <w:sz w:val="18"/>
          <w:szCs w:val="18"/>
          <w:color w:val="auto"/>
        </w:rPr>
      </w:pPr>
    </w:p>
    <w:p>
      <w:pPr>
        <w:jc w:val="both"/>
        <w:ind w:firstLine="656"/>
        <w:spacing w:after="0" w:line="250" w:lineRule="auto"/>
        <w:tabs>
          <w:tab w:leader="none" w:pos="107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9.02</w:t>
      </w:r>
      <w:r>
        <w:rPr>
          <w:rFonts w:ascii="Arial" w:cs="Arial" w:eastAsia="Arial" w:hAnsi="Arial"/>
          <w:sz w:val="19"/>
          <w:szCs w:val="19"/>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Company, a Lender or the L/C Issuer.</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6" w:right="239" w:bottom="1440" w:gutter="0" w:footer="0" w:header="0"/>
        </w:sectPr>
      </w:pPr>
    </w:p>
    <w:bookmarkStart w:id="103" w:name="page104"/>
    <w:bookmarkEnd w:id="103"/>
    <w:p>
      <w:pPr>
        <w:jc w:val="both"/>
        <w:ind w:right="20"/>
        <w:spacing w:after="0" w:line="260" w:lineRule="auto"/>
        <w:rPr>
          <w:sz w:val="20"/>
          <w:szCs w:val="20"/>
          <w:color w:val="auto"/>
        </w:rPr>
      </w:pPr>
      <w:r>
        <w:rPr>
          <w:rFonts w:ascii="Arial" w:cs="Arial" w:eastAsia="Arial" w:hAnsi="Arial"/>
          <w:sz w:val="20"/>
          <w:szCs w:val="20"/>
          <w:color w:val="auto"/>
        </w:rPr>
        <w:t xml:space="preserve">or (v) the satisfaction of any condition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Administrative Agent shall be entitled to rely conclusively on a representation of the assignee Lender or Participant in any document delivered in connection with the Credit Agreement, including, without limitation, the relevant Assignment and Assumption or participation agreement, as applicable, that such assignee or purchaser is not a Disqualified Institution.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in good faith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w:t>
      </w:r>
      <w:r>
        <w:rPr>
          <w:rFonts w:ascii="MS PGothic" w:cs="MS PGothic" w:eastAsia="MS PGothic" w:hAnsi="MS PGothic"/>
          <w:sz w:val="19"/>
          <w:szCs w:val="19"/>
          <w:color w:val="auto"/>
        </w:rPr>
        <w:t>‑</w:t>
      </w:r>
      <w:r>
        <w:rPr>
          <w:rFonts w:ascii="Arial" w:cs="Arial" w:eastAsia="Arial" w:hAnsi="Arial"/>
          <w:sz w:val="19"/>
          <w:szCs w:val="19"/>
          <w:color w:val="auto"/>
        </w:rPr>
        <w:t>agents except to the extent that a court of competent jurisdiction determines in a final and nonappealable judgment that the Administrative Agent acted with gross negligence or willful misconduct in the selection of such sub-agents.</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88"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Administrative Agent may at any time give notice of its resignation to the Lenders, the L/C Issuer and the Company. Upon receipt of any such notice of resignation, the Required Lenders shall have the right, with the consent of the Company so long as no Event of Default exists (such consent of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6" w:right="239" w:bottom="1440" w:gutter="0" w:footer="0" w:header="0"/>
        </w:sectPr>
      </w:pPr>
    </w:p>
    <w:bookmarkStart w:id="104" w:name="page105"/>
    <w:bookmarkEnd w:id="104"/>
    <w:p>
      <w:pPr>
        <w:jc w:val="both"/>
        <w:spacing w:after="0" w:line="242" w:lineRule="auto"/>
        <w:rPr>
          <w:sz w:val="20"/>
          <w:szCs w:val="20"/>
          <w:color w:val="auto"/>
        </w:rPr>
      </w:pPr>
      <w:r>
        <w:rPr>
          <w:rFonts w:ascii="Arial" w:cs="Arial" w:eastAsia="Arial" w:hAnsi="Arial"/>
          <w:sz w:val="20"/>
          <w:szCs w:val="20"/>
          <w:color w:val="auto"/>
        </w:rPr>
        <w:t>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then the retiring Administrative Agent may (but shall not be obligated to) on behalf of the Lenders and the L/C Issuer, with the consent of the Company so long as no Event of Default exists (such consent of the Company not to be unreasonably withheld or delayed), appoint a successor Administrative Agent meeting the qualifications set forth above. Whether or not a successor has been appointed, such resignation shall become effective in accordance with such notice on the Resignation Effective Date.</w:t>
      </w:r>
    </w:p>
    <w:p>
      <w:pPr>
        <w:spacing w:after="0" w:line="198" w:lineRule="exact"/>
        <w:rPr>
          <w:sz w:val="20"/>
          <w:szCs w:val="20"/>
          <w:color w:val="auto"/>
        </w:rPr>
      </w:pPr>
    </w:p>
    <w:p>
      <w:pPr>
        <w:jc w:val="both"/>
        <w:ind w:firstLine="656"/>
        <w:spacing w:after="0" w:line="274" w:lineRule="auto"/>
        <w:tabs>
          <w:tab w:leader="none" w:pos="10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and with the consent of the Company so long as no Event of Default exists (such consent of the Company not to be unreasonably withheld or delayed), by notice in writing to the Company and such Person remove such Person as Administrative Agent and, with the consent of the Company so long as no Event of Default exists (such consent of the Company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such removal shall nonetheless become effective in accordance with such notice on the Removal Effective Date.</w:t>
      </w:r>
    </w:p>
    <w:p>
      <w:pPr>
        <w:spacing w:after="0" w:line="169" w:lineRule="exact"/>
        <w:rPr>
          <w:rFonts w:ascii="Arial" w:cs="Arial" w:eastAsia="Arial" w:hAnsi="Arial"/>
          <w:sz w:val="18"/>
          <w:szCs w:val="18"/>
          <w:color w:val="auto"/>
        </w:rPr>
      </w:pPr>
    </w:p>
    <w:p>
      <w:pPr>
        <w:jc w:val="both"/>
        <w:ind w:firstLine="656"/>
        <w:spacing w:after="0" w:line="269" w:lineRule="auto"/>
        <w:tabs>
          <w:tab w:leader="none" w:pos="118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75" w:lineRule="exact"/>
        <w:rPr>
          <w:rFonts w:ascii="Arial" w:cs="Arial" w:eastAsia="Arial" w:hAnsi="Arial"/>
          <w:sz w:val="18"/>
          <w:szCs w:val="18"/>
          <w:color w:val="auto"/>
        </w:rPr>
      </w:pPr>
    </w:p>
    <w:p>
      <w:pPr>
        <w:jc w:val="both"/>
        <w:ind w:firstLine="656"/>
        <w:spacing w:after="0" w:line="250" w:lineRule="auto"/>
        <w:tabs>
          <w:tab w:leader="none" w:pos="107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resignation by BMO as Administrative Agent pursuant to this Section shall also, on the Resignation Effective Date, effect its resignation as L/C Issuer and Swing Line Lender. If BMO so resigns as an L/C Issuer, it shall retain all the rights, powers, privileges and duties of the L/C Issuer hereunder 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6" w:right="239" w:bottom="1440" w:gutter="0" w:footer="0" w:header="0"/>
        </w:sectPr>
      </w:pPr>
    </w:p>
    <w:bookmarkStart w:id="105" w:name="page106"/>
    <w:bookmarkEnd w:id="105"/>
    <w:p>
      <w:pPr>
        <w:jc w:val="both"/>
        <w:spacing w:after="0" w:line="308" w:lineRule="auto"/>
        <w:rPr>
          <w:sz w:val="20"/>
          <w:szCs w:val="20"/>
          <w:color w:val="auto"/>
        </w:rPr>
      </w:pPr>
      <w:r>
        <w:rPr>
          <w:rFonts w:ascii="Arial" w:cs="Arial" w:eastAsia="Arial" w:hAnsi="Arial"/>
          <w:sz w:val="16"/>
          <w:szCs w:val="16"/>
          <w:color w:val="auto"/>
        </w:rPr>
        <w:t xml:space="preserve">respect to all Letters of Credit issued by it and outstanding as of the effective date of its resignation as L/C Issuer and all L/C Obligations with respect thereto, including the right to require the Lenders to make Base Rate Loans or fund risk participations in the related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BMO so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Company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as applicable,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3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92" w:lineRule="exact"/>
        <w:rPr>
          <w:sz w:val="20"/>
          <w:szCs w:val="20"/>
          <w:color w:val="auto"/>
        </w:rPr>
      </w:pPr>
    </w:p>
    <w:p>
      <w:pPr>
        <w:jc w:val="both"/>
        <w:ind w:firstLine="656"/>
        <w:spacing w:after="0" w:line="243" w:lineRule="auto"/>
        <w:tabs>
          <w:tab w:leader="none" w:pos="115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2.03(i)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6" w:right="239" w:bottom="1440" w:gutter="0" w:footer="0" w:header="0"/>
        </w:sectPr>
      </w:pPr>
    </w:p>
    <w:bookmarkStart w:id="106" w:name="page107"/>
    <w:bookmarkEnd w:id="106"/>
    <w:p>
      <w:pPr>
        <w:ind w:left="660"/>
        <w:spacing w:after="0"/>
        <w:tabs>
          <w:tab w:leader="none" w:pos="10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 same;</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6"/>
          <w:szCs w:val="16"/>
          <w:u w:val="single" w:color="auto"/>
          <w:color w:val="auto"/>
        </w:rPr>
        <w:t>Guaranty Matters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 Agent at any time, the Required Lenders will confirm in writing the Administrative Agent’s authority to release any Guarantor from its obligations under the Guaranty, pursuant to this </w:t>
      </w:r>
      <w:r>
        <w:rPr>
          <w:rFonts w:ascii="Arial" w:cs="Arial" w:eastAsia="Arial" w:hAnsi="Arial"/>
          <w:sz w:val="19"/>
          <w:szCs w:val="19"/>
          <w:u w:val="single" w:color="auto"/>
          <w:color w:val="auto"/>
        </w:rPr>
        <w:t>Section 10.10</w:t>
      </w:r>
      <w:r>
        <w:rPr>
          <w:rFonts w:ascii="Arial" w:cs="Arial" w:eastAsia="Arial" w:hAnsi="Arial"/>
          <w:sz w:val="19"/>
          <w:szCs w:val="19"/>
          <w:color w:val="auto"/>
        </w:rPr>
        <w: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6"/>
          <w:szCs w:val="16"/>
          <w:u w:val="single" w:color="auto"/>
          <w:color w:val="auto"/>
        </w:rPr>
        <w:t>Treasury Management Agreements and Hedge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No Treasury Management Bank or Hedge Bank that obtains the benefit of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or the Guaranty by virtue of the provisions hereof shall have any right to notice of any action or to consent to, direct or object to any action hereunder or under any other Loan Document or otherwise in respect of the provisions hereof or of the Guaranty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to the contrary, the Administrative Agent shall not be required to verify the payment of, or that other satisfactory arrangements have been made with respect to, Obligations arising under Treasury Management Agreements and Hedge Agreements with Treasury Management Banks or Hedge Banks, as applicable, except to the extent expressly provided herein and unless the Administrative Agent has received a written notice of such Obligations, together with such supporting documentation as the Administrative Agent may reasonably request, from the applicable Treasury Management Bank or Hedge Bank, as the case may be. The Administrative Agent shall not be required to verify the payment of, or that other satisfactory arrangements have been made with respect to, Obligations arising under Treasury Management Agreements and Hedge Agreements in the case of the Maturity Date.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amendment or waiver of any provision of this Agreement or any other Loan Document, and no consent to any departure by the Borrowers or any other Loan Party therefrom, shall be effective unless in writing signed by the Required Lenders (or by the Administrative Agent at the written request or direction of the Required Lenders) and the Loan Parties party thereto and acknowledged by the Administrative Agent,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6" w:right="239" w:bottom="1440" w:gutter="0" w:footer="0" w:header="0"/>
        </w:sectPr>
      </w:pPr>
    </w:p>
    <w:bookmarkStart w:id="107" w:name="page108"/>
    <w:bookmarkEnd w:id="107"/>
    <w:p>
      <w:pPr>
        <w:ind w:right="20"/>
        <w:spacing w:after="0" w:line="260" w:lineRule="auto"/>
        <w:rPr>
          <w:sz w:val="20"/>
          <w:szCs w:val="20"/>
          <w:color w:val="auto"/>
        </w:rPr>
      </w:pPr>
      <w:r>
        <w:rPr>
          <w:rFonts w:ascii="Arial" w:cs="Arial" w:eastAsia="Arial" w:hAnsi="Arial"/>
          <w:sz w:val="20"/>
          <w:szCs w:val="20"/>
          <w:color w:val="auto"/>
        </w:rPr>
        <w:t xml:space="preserve">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177" w:lineRule="exact"/>
        <w:rPr>
          <w:sz w:val="20"/>
          <w:szCs w:val="20"/>
          <w:color w:val="auto"/>
        </w:rPr>
      </w:pPr>
    </w:p>
    <w:p>
      <w:pPr>
        <w:ind w:left="1060" w:hanging="404"/>
        <w:spacing w:after="0"/>
        <w:tabs>
          <w:tab w:leader="none" w:pos="106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no such amendment, waiver or consent shall:</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43"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without the written consent of such Lender (it being understood and agreed that a waiver of any condition precedent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5.02</w:t>
      </w:r>
      <w:r>
        <w:rPr>
          <w:rFonts w:ascii="Arial" w:cs="Arial" w:eastAsia="Arial" w:hAnsi="Arial"/>
          <w:sz w:val="20"/>
          <w:szCs w:val="20"/>
          <w:color w:val="auto"/>
        </w:rPr>
        <w:t xml:space="preserve"> or of any Default or a mandatory reduction in Commitments is not considered an extension or increase in Commitments of any Lender);</w:t>
      </w:r>
    </w:p>
    <w:p>
      <w:pPr>
        <w:spacing w:after="0" w:line="191" w:lineRule="exact"/>
        <w:rPr>
          <w:rFonts w:ascii="Arial" w:cs="Arial" w:eastAsia="Arial" w:hAnsi="Arial"/>
          <w:sz w:val="20"/>
          <w:szCs w:val="20"/>
          <w:color w:val="auto"/>
        </w:rPr>
      </w:pPr>
    </w:p>
    <w:p>
      <w:pPr>
        <w:jc w:val="both"/>
        <w:ind w:left="660" w:firstLine="645"/>
        <w:spacing w:after="0" w:line="246" w:lineRule="auto"/>
        <w:tabs>
          <w:tab w:leader="none" w:pos="1865" w:val="left"/>
        </w:tabs>
        <w:numPr>
          <w:ilvl w:val="1"/>
          <w:numId w:val="119"/>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of principal (excluding mandatory prepayments), interest, fees or other amounts due to the Lenders (or any of them) or any scheduled reduction of the Aggregate Revolving Commitments hereunder or under any other Loan Document without the written consent of each Lender entitled to receive such payment or whose Commitment is being so reduced;</w:t>
      </w:r>
    </w:p>
    <w:p>
      <w:pPr>
        <w:spacing w:after="0" w:line="191" w:lineRule="exact"/>
        <w:rPr>
          <w:rFonts w:ascii="Arial" w:cs="Arial" w:eastAsia="Arial" w:hAnsi="Arial"/>
          <w:sz w:val="20"/>
          <w:szCs w:val="20"/>
          <w:color w:val="auto"/>
        </w:rPr>
      </w:pPr>
    </w:p>
    <w:p>
      <w:pPr>
        <w:jc w:val="both"/>
        <w:ind w:left="660" w:firstLine="645"/>
        <w:spacing w:after="0" w:line="276" w:lineRule="auto"/>
        <w:tabs>
          <w:tab w:leader="none" w:pos="179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clause (i) of the final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without the written consent of each Lender entitled to receive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65" w:lineRule="exact"/>
        <w:rPr>
          <w:rFonts w:ascii="Arial" w:cs="Arial" w:eastAsia="Arial" w:hAnsi="Arial"/>
          <w:sz w:val="18"/>
          <w:szCs w:val="18"/>
          <w:color w:val="auto"/>
        </w:rPr>
      </w:pPr>
    </w:p>
    <w:p>
      <w:pPr>
        <w:ind w:left="660" w:firstLine="645"/>
        <w:spacing w:after="0" w:line="260" w:lineRule="auto"/>
        <w:tabs>
          <w:tab w:leader="none" w:pos="1815"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in a manner that would alter the pro rata sharing of payments required thereby without the written consent of each Lender directly affected thereby;</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or the definition of “Alternative Currency” without the written consent of each Lender;</w:t>
      </w:r>
    </w:p>
    <w:p>
      <w:pPr>
        <w:spacing w:after="0" w:line="215" w:lineRule="exact"/>
        <w:rPr>
          <w:rFonts w:ascii="Arial" w:cs="Arial" w:eastAsia="Arial" w:hAnsi="Arial"/>
          <w:sz w:val="20"/>
          <w:szCs w:val="20"/>
          <w:color w:val="auto"/>
        </w:rPr>
      </w:pPr>
    </w:p>
    <w:p>
      <w:pPr>
        <w:ind w:left="660" w:firstLine="645"/>
        <w:spacing w:after="0" w:line="260" w:lineRule="auto"/>
        <w:tabs>
          <w:tab w:leader="none" w:pos="178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change any provision of this Section or the definition of “Required Lenders” without the written consent of each Lender directly affected thereby; or</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991"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release the Company or, except in connection with a transaction or series of transactions not prohibited by this Agreement, any other Borrower or all or substantially all of the Guarantors, from its or their obligations under the Loan Documents without the written consent of each Lender directly affected thereby except to the extent the release of any Guarantor is permitted pursuant to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firstLine="656"/>
        <w:spacing w:after="0" w:line="260" w:lineRule="auto"/>
        <w:tabs>
          <w:tab w:leader="none" w:pos="107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unless also signed by a L/C Issuer, no amendment, waiver or consent shall affect the rights or duties of such L/C Issuer under this Agreement or any Issuer Document relating to any Letter of Credit issued or to be issued by it;</w:t>
      </w:r>
    </w:p>
    <w:p>
      <w:pPr>
        <w:spacing w:after="0" w:line="176" w:lineRule="exact"/>
        <w:rPr>
          <w:rFonts w:ascii="Arial" w:cs="Arial" w:eastAsia="Arial" w:hAnsi="Arial"/>
          <w:sz w:val="20"/>
          <w:szCs w:val="20"/>
          <w:color w:val="auto"/>
        </w:rPr>
      </w:pPr>
    </w:p>
    <w:p>
      <w:pPr>
        <w:ind w:firstLine="656"/>
        <w:spacing w:after="0" w:line="260" w:lineRule="auto"/>
        <w:tabs>
          <w:tab w:leader="none" w:pos="106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unless also signed by the Swing Line Lender, no amendment, waiver or consent shall affect the rights or duties of the Swing Line Lender under this Agreement;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6" w:right="239" w:bottom="1440" w:gutter="0" w:footer="0" w:header="0"/>
        </w:sectPr>
      </w:pPr>
    </w:p>
    <w:bookmarkStart w:id="108" w:name="page109"/>
    <w:bookmarkEnd w:id="108"/>
    <w:p>
      <w:pPr>
        <w:ind w:firstLine="656"/>
        <w:spacing w:after="0" w:line="260" w:lineRule="auto"/>
        <w:tabs>
          <w:tab w:leader="none" w:pos="120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unless also signed by the Administrative Agent, no amendment, waiver or consent shall affect the rights or duties of the Administrative Agent under this Agreement or any other Loan Document;</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(iii) the Required Lenders shall determine whether or not to allow a Loan Party to use cash collateral in the context of a bankruptcy or insolvency proceeding and such determination shall be binding on all of the Lenders; and (iv) the Administrative Agent and the Company may make amendments contemplated by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the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(other than any disproportionate impact because of the relative size of such Lender’s Commitments) shall require the consent of such Defaulting Lender.</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Notwithstanding any provision of this Agreement or any other Loan Document to the contrary, (A) this Agreement or any other Loan Document may be amended by an agreement in writing entered into by the Company and the Administrative Agent to cure any ambiguity, omission, defect or inconsistency, or to comply with local law or advice of local counsel,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(B) as to any amendment, amendment and restatement or other modification otherwise approved in accordance with this </w:t>
      </w:r>
      <w:r>
        <w:rPr>
          <w:rFonts w:ascii="Arial" w:cs="Arial" w:eastAsia="Arial" w:hAnsi="Arial"/>
          <w:sz w:val="19"/>
          <w:szCs w:val="19"/>
          <w:u w:val="single" w:color="auto"/>
          <w:color w:val="auto"/>
        </w:rPr>
        <w:t>Section 11.01</w:t>
      </w:r>
      <w:r>
        <w:rPr>
          <w:rFonts w:ascii="Arial" w:cs="Arial" w:eastAsia="Arial" w:hAnsi="Arial"/>
          <w:sz w:val="19"/>
          <w:szCs w:val="19"/>
          <w:color w:val="auto"/>
        </w:rPr>
        <w:t>,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anything to the contrary contained herein, in order to implement any additional Commitments in accordance with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this Agreement may be amended for such purpose (but solely to the extent necessary to implement such additional Commitments in accordance with </w:t>
      </w:r>
      <w:r>
        <w:rPr>
          <w:rFonts w:ascii="Arial" w:cs="Arial" w:eastAsia="Arial" w:hAnsi="Arial"/>
          <w:sz w:val="20"/>
          <w:szCs w:val="20"/>
          <w:u w:val="single" w:color="auto"/>
          <w:color w:val="auto"/>
        </w:rPr>
        <w:t>Section 2.01(b)</w:t>
      </w:r>
      <w:r>
        <w:rPr>
          <w:rFonts w:ascii="Arial" w:cs="Arial" w:eastAsia="Arial" w:hAnsi="Arial"/>
          <w:sz w:val="20"/>
          <w:szCs w:val="20"/>
          <w:color w:val="auto"/>
        </w:rPr>
        <w:t>) by the Company, the other Loan Parties, the Administrative Agent and the relevant Lenders providing such additional Commitments.</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91" w:lineRule="auto"/>
        <w:tabs>
          <w:tab w:leader="none" w:pos="111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66" w:right="23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communications expressly permitted hereunder to be given by telephone shall be made to the applicable telephone number, as follows:</w:t>
      </w:r>
    </w:p>
    <w:p>
      <w:pPr>
        <w:spacing w:after="0" w:line="227" w:lineRule="exact"/>
        <w:rPr>
          <w:sz w:val="20"/>
          <w:szCs w:val="20"/>
          <w:color w:val="auto"/>
        </w:rPr>
      </w:pPr>
    </w:p>
    <w:p>
      <w:pPr>
        <w:ind w:left="660" w:firstLine="645"/>
        <w:spacing w:after="0" w:line="260" w:lineRule="auto"/>
        <w:tabs>
          <w:tab w:leader="none" w:pos="171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if to a Loan Party, the Administrative Agent, the L/C Issuer or the Swing Line Lender, to the address, facsimile number, electronic mail address or telephone number specified for such Person on </w:t>
      </w:r>
      <w:r>
        <w:rPr>
          <w:rFonts w:ascii="Arial" w:cs="Arial" w:eastAsia="Arial" w:hAnsi="Arial"/>
          <w:sz w:val="20"/>
          <w:szCs w:val="20"/>
          <w:u w:val="single" w:color="auto"/>
          <w:color w:val="auto"/>
        </w:rPr>
        <w:t>Schedule 11.02</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81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1" w:lineRule="exact"/>
        <w:rPr>
          <w:sz w:val="20"/>
          <w:szCs w:val="20"/>
          <w:color w:val="auto"/>
        </w:rPr>
      </w:pPr>
    </w:p>
    <w:p>
      <w:pPr>
        <w:jc w:val="both"/>
        <w:ind w:firstLine="656"/>
        <w:spacing w:after="0" w:line="274" w:lineRule="auto"/>
        <w:tabs>
          <w:tab w:leader="none" w:pos="107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 hereunder may be delivered or furnished by electronic communication (including e 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(on behalf of itself and the other Loan Parties)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(except as otherwise provided in the penultimate paragraph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1" w:lineRule="exact"/>
        <w:rPr>
          <w:sz w:val="20"/>
          <w:szCs w:val="20"/>
          <w:color w:val="auto"/>
        </w:rPr>
      </w:pPr>
    </w:p>
    <w:p>
      <w:pPr>
        <w:jc w:val="both"/>
        <w:ind w:firstLine="656"/>
        <w:spacing w:after="0" w:line="244" w:lineRule="auto"/>
        <w:tabs>
          <w:tab w:leader="none" w:pos="1129"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66" w:right="239" w:bottom="1440" w:gutter="0" w:footer="0" w:header="0"/>
        </w:sectPr>
      </w:pPr>
    </w:p>
    <w:bookmarkStart w:id="110" w:name="page111"/>
    <w:bookmarkEnd w:id="110"/>
    <w:p>
      <w:pPr>
        <w:jc w:val="both"/>
        <w:spacing w:after="0" w:line="272" w:lineRule="auto"/>
        <w:rPr>
          <w:sz w:val="20"/>
          <w:szCs w:val="20"/>
          <w:color w:val="auto"/>
        </w:rPr>
      </w:pPr>
      <w:r>
        <w:rPr>
          <w:rFonts w:ascii="Arial" w:cs="Arial" w:eastAsia="Arial" w:hAnsi="Arial"/>
          <w:sz w:val="18"/>
          <w:szCs w:val="18"/>
          <w:color w:val="auto"/>
        </w:rPr>
        <w:t>PURPOSE, NON-INFRINGEMENT OF THIRD PARTY RIGHTS OR FREEDOM FROM VIRUSES OR OTHER CODE DEFECTS, IS MADE BY ANY AGENT PARTY IN CONNECTION WITH THE BORROWER MATERIALS OR THE PLATFORM. In no event shall the Administrative Agent or any of its Related Parties (each such Person an “</w:t>
      </w:r>
      <w:r>
        <w:rPr>
          <w:rFonts w:ascii="Arial" w:cs="Arial" w:eastAsia="Arial" w:hAnsi="Arial"/>
          <w:sz w:val="18"/>
          <w:szCs w:val="18"/>
          <w:u w:val="single" w:color="auto"/>
          <w:color w:val="auto"/>
        </w:rPr>
        <w:t>Agent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as to the foregoing in this paragraph (c) shall any Agent Party have any liability to any Borrower, any Lender, the L/C Issuer or any other Person for indirect, special, incidental, consequential or punitive damages (as opposed to direct or actual damages).</w:t>
      </w:r>
    </w:p>
    <w:p>
      <w:pPr>
        <w:spacing w:after="0" w:line="171" w:lineRule="exact"/>
        <w:rPr>
          <w:sz w:val="20"/>
          <w:szCs w:val="20"/>
          <w:color w:val="auto"/>
        </w:rPr>
      </w:pPr>
    </w:p>
    <w:p>
      <w:pPr>
        <w:jc w:val="both"/>
        <w:ind w:firstLine="656"/>
        <w:spacing w:after="0" w:line="255" w:lineRule="auto"/>
        <w:tabs>
          <w:tab w:leader="none" w:pos="1140"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Loan Parties,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5" w:lineRule="exact"/>
        <w:rPr>
          <w:rFonts w:ascii="Arial" w:cs="Arial" w:eastAsia="Arial" w:hAnsi="Arial"/>
          <w:sz w:val="19"/>
          <w:szCs w:val="19"/>
          <w:color w:val="auto"/>
        </w:rPr>
      </w:pPr>
    </w:p>
    <w:p>
      <w:pPr>
        <w:jc w:val="both"/>
        <w:ind w:firstLine="656"/>
        <w:spacing w:after="0" w:line="272" w:lineRule="auto"/>
        <w:tabs>
          <w:tab w:leader="none" w:pos="110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bad faith,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66" w:right="2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0"/>
          <w:szCs w:val="20"/>
          <w:color w:val="auto"/>
        </w:rPr>
        <w:t>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or</w:t>
      </w:r>
    </w:p>
    <w:p>
      <w:pPr>
        <w:spacing w:after="0" w:line="4" w:lineRule="exact"/>
        <w:rPr>
          <w:sz w:val="20"/>
          <w:szCs w:val="20"/>
          <w:color w:val="auto"/>
        </w:rPr>
      </w:pPr>
    </w:p>
    <w:p>
      <w:pPr>
        <w:jc w:val="both"/>
        <w:ind w:firstLine="8"/>
        <w:spacing w:after="0"/>
        <w:tabs>
          <w:tab w:leader="none" w:pos="28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any Lender from filing proofs of claim or appearing and filing pleadings on its own behalf during the pendency of a proceeding relative to any Loan Party under any Debtor Relief Law;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and (ii) in addition to the matters set forth in clauses (b), (c) and (d) of the preceding proviso and subject to </w:t>
      </w:r>
      <w:r>
        <w:rPr>
          <w:rFonts w:ascii="Arial" w:cs="Arial" w:eastAsia="Arial" w:hAnsi="Arial"/>
          <w:sz w:val="20"/>
          <w:szCs w:val="20"/>
          <w:u w:val="single" w:color="auto"/>
          <w:color w:val="auto"/>
        </w:rPr>
        <w:t>Section 2.13</w:t>
      </w:r>
      <w:r>
        <w:rPr>
          <w:rFonts w:ascii="Arial" w:cs="Arial" w:eastAsia="Arial" w:hAnsi="Arial"/>
          <w:sz w:val="20"/>
          <w:szCs w:val="20"/>
          <w:color w:val="auto"/>
        </w:rPr>
        <w:t>, any Lender may, with the consent of the Required Lenders, enforce any rights and remedies available to it and as authorized by the Required Lenders.</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183"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Loan Parties shall pay (i) all reasonable and documented out-of-pocket expenses incurred by the Administrative Agent and its Affiliates (but limited, in the case of legal fees and expenses, to the reasonable and documented fees, charges and disbursements of one outside counsel for the Administrative Agent and its Affiliates taken as a whole and, if necessary, one local counsel to the Administrative Agent and its Affiliates in any relevant jurisdiction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(but limited, in the case of legal fees and expenses, to the reasonable and documented fees, charges and disbursements of one counsel to the Administrative Agent, the Lenders and the L/C Issuer taken as a whole and, if reasonably necessary, a single local counsel for the Administrative Agent, the Lenders and the L/C Issuer taken as a whole in each relevant jurisdiction, and solely in the case of a conflict of interest, one additional counsel in each relevant jurisdiction to the affected Lender and/or L/C Issuer similarly situated taken as a whole) in connection with the enforcement or protection of their respective rights (A) in connection with this Agreement and the other Loan Documents, including their respective rights under this Section, or (B) in connection with the Loans made or Letters of Credit issued hereunder, including all such out-of-pocket expenses incurred during any workout, restructuring or negotiations in respect of such Loans or Letters of Credit.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shall not apply with respect to Taxes.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66" w:right="239" w:bottom="1440" w:gutter="0" w:footer="0" w:header="0"/>
        </w:sectPr>
      </w:pPr>
    </w:p>
    <w:bookmarkStart w:id="112" w:name="page113"/>
    <w:bookmarkEnd w:id="112"/>
    <w:p>
      <w:pPr>
        <w:jc w:val="both"/>
        <w:ind w:firstLine="656"/>
        <w:spacing w:after="0" w:line="268" w:lineRule="auto"/>
        <w:tabs>
          <w:tab w:leader="none" w:pos="1059"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(but limited, in the case of legal fees and expenses, to the reasonable and documented out-of-pocket fees, disbursements and other charges of one counsel to the Indemnitees taken as a whole and, if reasonably necessary, a single local counsel for the Indemnitees taken as a whole in each relevant jurisdiction, and solely in the case of a conflict of interest, one additional counsel in each relevant jurisdiction to the affected Indemnitees similarly situated taken as a whole),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Substances on or from any property owned or operated by a Loan Party or any of its Subsidiaries, or any Environmental Claims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(or a settlement that expressly addresses indemnification) to have resulted from the gross negligence or willful misconduct of such Indemnitee, (y) result from a claim brought by any Borrower or any other Loan Party against an Indemnitee for a breach in bad faith of such Indemnitee’s obligations hereunder or under any other Loan Document, if such Borrower or such Loan Party has obtained a final and nonappealable judgment (or a settlement that expressly addresses indemnification) in its favor on such claim as determined by a court of competent jurisdiction or (z) arise solely from claims of any Indemnitee against one or more other Indemnities that do not involve or have not resulted from (A) an act or omission of an Indemnitee in its capacity as Administrative Agent, Lender, L/C Issuer, arranger or bookrunner or (B) an act or omission (or an alleged act or omission) by any Loan Party or any Subsidiary. Without limiting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72" w:lineRule="exact"/>
        <w:rPr>
          <w:rFonts w:ascii="Arial" w:cs="Arial" w:eastAsia="Arial" w:hAnsi="Arial"/>
          <w:sz w:val="18"/>
          <w:szCs w:val="18"/>
          <w:color w:val="auto"/>
        </w:rPr>
      </w:pPr>
    </w:p>
    <w:p>
      <w:pPr>
        <w:ind w:left="1100" w:hanging="444"/>
        <w:spacing w:after="0"/>
        <w:tabs>
          <w:tab w:leader="none" w:pos="110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Loan Parties for any reason fail to pay any amount required under subsection</w:t>
      </w:r>
    </w:p>
    <w:p>
      <w:pPr>
        <w:spacing w:after="0" w:line="38" w:lineRule="exact"/>
        <w:rPr>
          <w:rFonts w:ascii="Arial" w:cs="Arial" w:eastAsia="Arial" w:hAnsi="Arial"/>
          <w:sz w:val="18"/>
          <w:szCs w:val="18"/>
          <w:color w:val="auto"/>
        </w:rPr>
      </w:pPr>
    </w:p>
    <w:p>
      <w:pPr>
        <w:jc w:val="both"/>
        <w:ind w:firstLine="8"/>
        <w:spacing w:after="0"/>
        <w:tabs>
          <w:tab w:leader="none" w:pos="27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or (b) 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Revolving Outstandings of all Lenders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 Line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66" w:right="239" w:bottom="1440" w:gutter="0" w:footer="0" w:header="0"/>
        </w:sectPr>
      </w:pPr>
    </w:p>
    <w:bookmarkStart w:id="113" w:name="page114"/>
    <w:bookmarkEnd w:id="113"/>
    <w:p>
      <w:pPr>
        <w:jc w:val="both"/>
        <w:spacing w:after="0" w:line="250" w:lineRule="auto"/>
        <w:rPr>
          <w:sz w:val="20"/>
          <w:szCs w:val="20"/>
          <w:color w:val="auto"/>
        </w:rPr>
      </w:pPr>
      <w:r>
        <w:rPr>
          <w:rFonts w:ascii="Arial" w:cs="Arial" w:eastAsia="Arial" w:hAnsi="Arial"/>
          <w:sz w:val="20"/>
          <w:szCs w:val="20"/>
          <w:color w:val="auto"/>
        </w:rPr>
        <w:t xml:space="preserve">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Arial" w:cs="Arial" w:eastAsia="Arial" w:hAnsi="Arial"/>
          <w:sz w:val="20"/>
          <w:szCs w:val="20"/>
          <w:u w:val="single" w:color="auto"/>
          <w:color w:val="auto"/>
        </w:rPr>
        <w:t>Section 2.12(d)</w:t>
      </w:r>
      <w:r>
        <w:rPr>
          <w:rFonts w:ascii="Arial" w:cs="Arial" w:eastAsia="Arial" w:hAnsi="Arial"/>
          <w:sz w:val="20"/>
          <w:szCs w:val="20"/>
          <w:color w:val="auto"/>
        </w:rPr>
        <w:t>.</w:t>
      </w:r>
    </w:p>
    <w:p>
      <w:pPr>
        <w:spacing w:after="0" w:line="186" w:lineRule="exact"/>
        <w:rPr>
          <w:sz w:val="20"/>
          <w:szCs w:val="20"/>
          <w:color w:val="auto"/>
        </w:rPr>
      </w:pPr>
    </w:p>
    <w:p>
      <w:pPr>
        <w:jc w:val="both"/>
        <w:ind w:firstLine="656"/>
        <w:spacing w:after="0" w:line="271" w:lineRule="auto"/>
        <w:tabs>
          <w:tab w:leader="none" w:pos="111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no Loan Party shall assert, and each Loan Party hereby waives, and acknowledges that, to the actual knowledge of any Executive Officer of the Loan Parties,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(or from any such Person’s material breach in bad faith of any such Person’s obligations under any Loan Documents) as determined by a final and nonappealable judgment of a court of competent jurisdiction (or a settlement that expressly addresses indemnification).</w:t>
      </w:r>
    </w:p>
    <w:p>
      <w:pPr>
        <w:spacing w:after="0" w:line="170" w:lineRule="exact"/>
        <w:rPr>
          <w:rFonts w:ascii="Arial" w:cs="Arial" w:eastAsia="Arial" w:hAnsi="Arial"/>
          <w:sz w:val="18"/>
          <w:szCs w:val="18"/>
          <w:color w:val="auto"/>
        </w:rPr>
      </w:pPr>
    </w:p>
    <w:p>
      <w:pPr>
        <w:ind w:firstLine="656"/>
        <w:spacing w:after="0" w:line="260" w:lineRule="auto"/>
        <w:tabs>
          <w:tab w:leader="none" w:pos="1115"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not later than ten Business Days after written demand therefor setting forth in reasonable detail the basis therefor.</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07"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11.02(e)</w:t>
      </w:r>
      <w:r>
        <w:rPr>
          <w:rFonts w:ascii="Arial" w:cs="Arial" w:eastAsia="Arial" w:hAnsi="Arial"/>
          <w:sz w:val="20"/>
          <w:szCs w:val="20"/>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0" w:lineRule="auto"/>
        <w:tabs>
          <w:tab w:leader="none" w:pos="111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provisions of this Agreement and the other Loan Documents shall be binding upon and inure to the benefit of the parties hereto and thereto and their respective successors and assigns permitted hereby, except that neither the Company nor any Designated Borrower may assign or otherwise transfer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6" w:right="239" w:bottom="1440" w:gutter="0" w:footer="0" w:header="0"/>
        </w:sectPr>
      </w:pPr>
    </w:p>
    <w:bookmarkStart w:id="114" w:name="page115"/>
    <w:bookmarkEnd w:id="114"/>
    <w:p>
      <w:pPr>
        <w:jc w:val="both"/>
        <w:spacing w:after="0" w:line="302" w:lineRule="auto"/>
        <w:rPr>
          <w:sz w:val="20"/>
          <w:szCs w:val="20"/>
          <w:color w:val="auto"/>
        </w:rPr>
      </w:pPr>
      <w:r>
        <w:rPr>
          <w:rFonts w:ascii="Arial" w:cs="Arial" w:eastAsia="Arial" w:hAnsi="Arial"/>
          <w:sz w:val="16"/>
          <w:szCs w:val="16"/>
          <w:color w:val="auto"/>
        </w:rPr>
        <w:t>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w:t>
      </w:r>
    </w:p>
    <w:p>
      <w:pPr>
        <w:spacing w:after="0" w:line="4" w:lineRule="exact"/>
        <w:rPr>
          <w:sz w:val="20"/>
          <w:szCs w:val="20"/>
          <w:color w:val="auto"/>
        </w:rPr>
      </w:pPr>
    </w:p>
    <w:p>
      <w:pPr>
        <w:ind w:firstLine="8"/>
        <w:spacing w:after="0" w:line="244" w:lineRule="auto"/>
        <w:tabs>
          <w:tab w:leader="none" w:pos="28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of this Section and, to the extent expressly contemplated hereby, the Related Parties of each of the Administrative Agent, the L/C Issuer and the Lenders) any legal or equitable right, remedy or claim under or by reason of this Agreement.</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059" w:val="left"/>
        </w:tabs>
        <w:numPr>
          <w:ilvl w:val="1"/>
          <w:numId w:val="13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1" w:lineRule="exact"/>
        <w:rPr>
          <w:rFonts w:ascii="Arial" w:cs="Arial" w:eastAsia="Arial" w:hAnsi="Arial"/>
          <w:sz w:val="20"/>
          <w:szCs w:val="20"/>
          <w:color w:val="auto"/>
        </w:rPr>
      </w:pPr>
    </w:p>
    <w:p>
      <w:pPr>
        <w:ind w:left="1680" w:hanging="375"/>
        <w:spacing w:after="0"/>
        <w:tabs>
          <w:tab w:leader="none" w:pos="1680" w:val="left"/>
        </w:tabs>
        <w:numPr>
          <w:ilvl w:val="2"/>
          <w:numId w:val="13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63" w:lineRule="auto"/>
        <w:tabs>
          <w:tab w:leader="none" w:pos="2497" w:val="left"/>
        </w:tabs>
        <w:numPr>
          <w:ilvl w:val="3"/>
          <w:numId w:val="132"/>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and the related Loans at the time owing to it or contemporaneous assignments to related Approved Funds that equal at least the amount specified in subsection (b)(i)(B) of this Section in the aggregate or in the case of an assignment to a Lender, an Affiliate of a Lender or an Approved Fund, no minimum amount need be assigned; and</w:t>
      </w:r>
    </w:p>
    <w:p>
      <w:pPr>
        <w:spacing w:after="0" w:line="176" w:lineRule="exact"/>
        <w:rPr>
          <w:rFonts w:ascii="Arial" w:cs="Arial" w:eastAsia="Arial" w:hAnsi="Arial"/>
          <w:sz w:val="19"/>
          <w:szCs w:val="19"/>
          <w:color w:val="auto"/>
        </w:rPr>
      </w:pPr>
    </w:p>
    <w:p>
      <w:pPr>
        <w:jc w:val="both"/>
        <w:ind w:left="1300" w:firstLine="653"/>
        <w:spacing w:after="0" w:line="258" w:lineRule="auto"/>
        <w:tabs>
          <w:tab w:leader="none" w:pos="2392" w:val="left"/>
        </w:tabs>
        <w:numPr>
          <w:ilvl w:val="3"/>
          <w:numId w:val="132"/>
        </w:numPr>
        <w:rPr>
          <w:rFonts w:ascii="Arial" w:cs="Arial" w:eastAsia="Arial" w:hAnsi="Arial"/>
          <w:sz w:val="19"/>
          <w:szCs w:val="19"/>
          <w:color w:val="auto"/>
        </w:rPr>
      </w:pPr>
      <w:r>
        <w:rPr>
          <w:rFonts w:ascii="Arial" w:cs="Arial" w:eastAsia="Arial" w:hAnsi="Arial"/>
          <w:sz w:val="19"/>
          <w:szCs w:val="19"/>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79" w:lineRule="exact"/>
        <w:rPr>
          <w:rFonts w:ascii="Arial" w:cs="Arial" w:eastAsia="Arial" w:hAnsi="Arial"/>
          <w:sz w:val="19"/>
          <w:szCs w:val="19"/>
          <w:color w:val="auto"/>
        </w:rPr>
      </w:pPr>
    </w:p>
    <w:p>
      <w:pPr>
        <w:jc w:val="both"/>
        <w:ind w:left="660" w:firstLine="645"/>
        <w:spacing w:after="0" w:line="250" w:lineRule="auto"/>
        <w:tabs>
          <w:tab w:leader="none" w:pos="1865" w:val="left"/>
        </w:tabs>
        <w:numPr>
          <w:ilvl w:val="2"/>
          <w:numId w:val="132"/>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785" w:val="left"/>
        </w:tabs>
        <w:numPr>
          <w:ilvl w:val="2"/>
          <w:numId w:val="13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76" w:lineRule="exact"/>
        <w:rPr>
          <w:rFonts w:ascii="Arial" w:cs="Arial" w:eastAsia="Arial" w:hAnsi="Arial"/>
          <w:sz w:val="20"/>
          <w:szCs w:val="20"/>
          <w:color w:val="auto"/>
        </w:rPr>
      </w:pPr>
    </w:p>
    <w:p>
      <w:pPr>
        <w:jc w:val="both"/>
        <w:ind w:left="1300" w:firstLine="653"/>
        <w:spacing w:after="0" w:line="244" w:lineRule="auto"/>
        <w:tabs>
          <w:tab w:leader="none" w:pos="2497" w:val="left"/>
        </w:tabs>
        <w:numPr>
          <w:ilvl w:val="3"/>
          <w:numId w:val="132"/>
        </w:numPr>
        <w:rPr>
          <w:rFonts w:ascii="Arial" w:cs="Arial" w:eastAsia="Arial" w:hAnsi="Arial"/>
          <w:sz w:val="20"/>
          <w:szCs w:val="20"/>
          <w:color w:val="auto"/>
        </w:rPr>
      </w:pPr>
      <w:r>
        <w:rPr>
          <w:rFonts w:ascii="Arial" w:cs="Arial" w:eastAsia="Arial" w:hAnsi="Arial"/>
          <w:sz w:val="20"/>
          <w:szCs w:val="20"/>
          <w:color w:val="auto"/>
        </w:rPr>
        <w:t xml:space="preserve">the consent of the Company (such consent not to be unreasonably withheld or delayed (it being understood, without limiting other factors that may be reasonable, it shall be reasonable for the Company to consider the proposed assignee’s right to require reimbursement under </w:t>
      </w:r>
      <w:r>
        <w:rPr>
          <w:rFonts w:ascii="Arial" w:cs="Arial" w:eastAsia="Arial" w:hAnsi="Arial"/>
          <w:sz w:val="20"/>
          <w:szCs w:val="20"/>
          <w:u w:val="single" w:color="auto"/>
          <w:color w:val="auto"/>
        </w:rPr>
        <w:t>Article III</w:t>
      </w:r>
      <w:r>
        <w:rPr>
          <w:rFonts w:ascii="Arial" w:cs="Arial" w:eastAsia="Arial" w:hAnsi="Arial"/>
          <w:sz w:val="20"/>
          <w:szCs w:val="20"/>
          <w:color w:val="auto"/>
        </w:rPr>
        <w:t>)) shall be required unless (1) in the case of an assignment to a Person that is (x) not a Disqualified Institution, an Event of Default has occurred and is continuing at the time of such assignment or (y) a Disqualified Institution, an Event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6" w:right="239" w:bottom="1440" w:gutter="0" w:footer="0" w:header="0"/>
        </w:sectPr>
      </w:pPr>
    </w:p>
    <w:bookmarkStart w:id="115" w:name="page116"/>
    <w:bookmarkEnd w:id="115"/>
    <w:p>
      <w:pPr>
        <w:jc w:val="both"/>
        <w:ind w:left="100"/>
        <w:spacing w:after="0" w:line="243" w:lineRule="auto"/>
        <w:rPr>
          <w:sz w:val="20"/>
          <w:szCs w:val="20"/>
          <w:color w:val="auto"/>
        </w:rPr>
      </w:pPr>
      <w:r>
        <w:rPr>
          <w:rFonts w:ascii="Arial" w:cs="Arial" w:eastAsia="Arial" w:hAnsi="Arial"/>
          <w:sz w:val="20"/>
          <w:szCs w:val="20"/>
          <w:color w:val="auto"/>
        </w:rPr>
        <w:t xml:space="preserve">Default under </w:t>
      </w:r>
      <w:r>
        <w:rPr>
          <w:rFonts w:ascii="Arial" w:cs="Arial" w:eastAsia="Arial" w:hAnsi="Arial"/>
          <w:sz w:val="20"/>
          <w:szCs w:val="20"/>
          <w:u w:val="single" w:color="auto"/>
          <w:color w:val="auto"/>
        </w:rPr>
        <w:t>Section 9.01(a)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9.01(c)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9.01(d)</w:t>
      </w:r>
      <w:r>
        <w:rPr>
          <w:rFonts w:ascii="Arial" w:cs="Arial" w:eastAsia="Arial" w:hAnsi="Arial"/>
          <w:sz w:val="20"/>
          <w:szCs w:val="20"/>
          <w:color w:val="auto"/>
        </w:rPr>
        <w:t xml:space="preserve"> (solely as a result of the failure to comply with </w:t>
      </w:r>
      <w:r>
        <w:rPr>
          <w:rFonts w:ascii="Arial" w:cs="Arial" w:eastAsia="Arial" w:hAnsi="Arial"/>
          <w:sz w:val="20"/>
          <w:szCs w:val="20"/>
          <w:u w:val="single" w:color="auto"/>
          <w:color w:val="auto"/>
        </w:rPr>
        <w:t>Section 7.06</w:t>
      </w:r>
      <w:r>
        <w:rPr>
          <w:rFonts w:ascii="Arial" w:cs="Arial" w:eastAsia="Arial" w:hAnsi="Arial"/>
          <w:sz w:val="20"/>
          <w:szCs w:val="20"/>
          <w:color w:val="auto"/>
        </w:rPr>
        <w:t>) has occurred and is continuing at the time of such assignment, or (2) such assignment is to a Lender, an Affiliate of a Lender or an Approved Fund; provided, however, that with respect to any assignment that does not require the Company’s consent hereunder, the assignor shall nevertheless provide written notice to the Company thereof prior to, or promptly after, such assignment (it being understood that failure by such assignor to provide such notice shall not limit the effectiveness of such assignment);</w:t>
      </w:r>
    </w:p>
    <w:p>
      <w:pPr>
        <w:spacing w:after="0" w:line="196" w:lineRule="exact"/>
        <w:rPr>
          <w:sz w:val="20"/>
          <w:szCs w:val="20"/>
          <w:color w:val="auto"/>
        </w:rPr>
      </w:pPr>
    </w:p>
    <w:p>
      <w:pPr>
        <w:jc w:val="both"/>
        <w:ind w:left="100" w:firstLine="653"/>
        <w:spacing w:after="0" w:line="246" w:lineRule="auto"/>
        <w:tabs>
          <w:tab w:leader="none" w:pos="1287"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191" w:lineRule="exact"/>
        <w:rPr>
          <w:rFonts w:ascii="Arial" w:cs="Arial" w:eastAsia="Arial" w:hAnsi="Arial"/>
          <w:sz w:val="20"/>
          <w:szCs w:val="20"/>
          <w:color w:val="auto"/>
        </w:rPr>
      </w:pPr>
    </w:p>
    <w:p>
      <w:pPr>
        <w:jc w:val="both"/>
        <w:ind w:left="100" w:firstLine="653"/>
        <w:spacing w:after="0" w:line="250" w:lineRule="auto"/>
        <w:tabs>
          <w:tab w:leader="none" w:pos="1205"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86" w:lineRule="exact"/>
        <w:rPr>
          <w:rFonts w:ascii="Arial" w:cs="Arial" w:eastAsia="Arial" w:hAnsi="Arial"/>
          <w:sz w:val="20"/>
          <w:szCs w:val="20"/>
          <w:color w:val="auto"/>
        </w:rPr>
      </w:pPr>
    </w:p>
    <w:p>
      <w:pPr>
        <w:ind w:left="100" w:firstLine="653"/>
        <w:spacing w:after="0" w:line="260" w:lineRule="auto"/>
        <w:tabs>
          <w:tab w:leader="none" w:pos="132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consent of the Swing Line Lender (such consent not to be unreasonably withheld or delayed) shall be required for any assignment in respect of Revolving Loans and Revolving Commitments.</w:t>
      </w:r>
    </w:p>
    <w:p>
      <w:pPr>
        <w:spacing w:after="0" w:line="176" w:lineRule="exact"/>
        <w:rPr>
          <w:rFonts w:ascii="Arial" w:cs="Arial" w:eastAsia="Arial" w:hAnsi="Arial"/>
          <w:sz w:val="20"/>
          <w:szCs w:val="20"/>
          <w:color w:val="auto"/>
        </w:rPr>
      </w:pPr>
    </w:p>
    <w:p>
      <w:pPr>
        <w:jc w:val="both"/>
        <w:ind w:left="-540" w:firstLine="645"/>
        <w:spacing w:after="0" w:line="282" w:lineRule="auto"/>
        <w:tabs>
          <w:tab w:leader="none" w:pos="62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61" w:lineRule="exact"/>
        <w:rPr>
          <w:rFonts w:ascii="Arial" w:cs="Arial" w:eastAsia="Arial" w:hAnsi="Arial"/>
          <w:sz w:val="18"/>
          <w:szCs w:val="18"/>
          <w:color w:val="auto"/>
        </w:rPr>
      </w:pPr>
    </w:p>
    <w:p>
      <w:pPr>
        <w:jc w:val="both"/>
        <w:ind w:left="-540" w:firstLine="645"/>
        <w:spacing w:after="0" w:line="269" w:lineRule="auto"/>
        <w:tabs>
          <w:tab w:leader="none" w:pos="56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to (A) to the Company or any of the Company’s Affiliates or Subsidiaries, (B) any Defaulting Lender or any of its Subsidiaries, or any Person who, upon becoming a Lender hereunder, would constitute any of the foregoing Persons described in this clause (B) or (C) a natural Person.</w:t>
      </w:r>
    </w:p>
    <w:p>
      <w:pPr>
        <w:spacing w:after="0" w:line="170" w:lineRule="exact"/>
        <w:rPr>
          <w:rFonts w:ascii="Arial" w:cs="Arial" w:eastAsia="Arial" w:hAnsi="Arial"/>
          <w:sz w:val="19"/>
          <w:szCs w:val="19"/>
          <w:color w:val="auto"/>
        </w:rPr>
      </w:pPr>
    </w:p>
    <w:p>
      <w:pPr>
        <w:jc w:val="both"/>
        <w:ind w:left="-540" w:firstLine="645"/>
        <w:spacing w:after="0" w:line="255" w:lineRule="auto"/>
        <w:tabs>
          <w:tab w:leader="none" w:pos="669"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w:t>
      </w: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220"/>
          </w:cols>
          <w:pgMar w:left="1440" w:top="366" w:right="239" w:bottom="1440" w:gutter="0" w:footer="0" w:header="0"/>
        </w:sectPr>
      </w:pPr>
    </w:p>
    <w:bookmarkStart w:id="116" w:name="page117"/>
    <w:bookmarkEnd w:id="116"/>
    <w:p>
      <w:pPr>
        <w:ind w:left="660"/>
        <w:spacing w:after="0" w:line="260" w:lineRule="auto"/>
        <w:rPr>
          <w:sz w:val="20"/>
          <w:szCs w:val="20"/>
          <w:color w:val="auto"/>
        </w:rPr>
      </w:pPr>
      <w:r>
        <w:rPr>
          <w:rFonts w:ascii="Arial" w:cs="Arial" w:eastAsia="Arial" w:hAnsi="Arial"/>
          <w:sz w:val="20"/>
          <w:szCs w:val="20"/>
          <w:color w:val="auto"/>
        </w:rPr>
        <w:t>compliance with the provisions of this paragraph, then the assignee of such interest shall be deemed to be a Defaulting Lender for all purposes of this Agreement until such compliance occurs.</w:t>
      </w:r>
    </w:p>
    <w:p>
      <w:pPr>
        <w:spacing w:after="0" w:line="177" w:lineRule="exact"/>
        <w:rPr>
          <w:sz w:val="20"/>
          <w:szCs w:val="20"/>
          <w:color w:val="auto"/>
        </w:rPr>
      </w:pPr>
    </w:p>
    <w:p>
      <w:pPr>
        <w:jc w:val="both"/>
        <w:ind w:left="660" w:firstLine="645"/>
        <w:spacing w:after="0" w:line="246" w:lineRule="auto"/>
        <w:tabs>
          <w:tab w:leader="none" w:pos="1937"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No Assignment Resulting in Additional Indemnified Taxes</w:t>
      </w:r>
      <w:r>
        <w:rPr>
          <w:rFonts w:ascii="Arial" w:cs="Arial" w:eastAsia="Arial" w:hAnsi="Arial"/>
          <w:sz w:val="20"/>
          <w:szCs w:val="20"/>
          <w:color w:val="auto"/>
        </w:rPr>
        <w:t xml:space="preserve">. No such assignment shall be made to any Person that, through its Lending Offices, is not capable of lending the applicable Alternative Currencies to the relevant Borrowers without the imposition of any additional Taxes for which the Loan Parties are required to indemnify the Administrative Agent and the Lenders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 having been a Defaulting Lender. Upon request, the Borrowers (at their expense) shall execute and deliver Notes to the assignee Lender and the assigning Lender shall use commercially reasonable efforts to return its Note(s) to the Borrower marked “paid in full” (or similar term).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3" w:lineRule="exact"/>
        <w:rPr>
          <w:sz w:val="20"/>
          <w:szCs w:val="20"/>
          <w:color w:val="auto"/>
        </w:rPr>
      </w:pPr>
    </w:p>
    <w:p>
      <w:pPr>
        <w:jc w:val="both"/>
        <w:ind w:firstLine="656"/>
        <w:spacing w:after="0" w:line="273" w:lineRule="auto"/>
        <w:tabs>
          <w:tab w:leader="none" w:pos="1102"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69" w:lineRule="exact"/>
        <w:rPr>
          <w:rFonts w:ascii="Arial" w:cs="Arial" w:eastAsia="Arial" w:hAnsi="Arial"/>
          <w:sz w:val="18"/>
          <w:szCs w:val="18"/>
          <w:color w:val="auto"/>
        </w:rPr>
      </w:pPr>
    </w:p>
    <w:p>
      <w:pPr>
        <w:jc w:val="both"/>
        <w:ind w:firstLine="656"/>
        <w:spacing w:after="0" w:line="274" w:lineRule="auto"/>
        <w:tabs>
          <w:tab w:leader="none" w:pos="1072"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Borrowers or the Administrative Agent, sell participations to any Person (other than a natural Person, a Defaulting Lender or the Borrowers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66" w:right="239" w:bottom="1440" w:gutter="0" w:footer="0" w:header="0"/>
        </w:sectPr>
      </w:pPr>
    </w:p>
    <w:bookmarkStart w:id="117" w:name="page118"/>
    <w:bookmarkEnd w:id="117"/>
    <w:p>
      <w:pPr>
        <w:jc w:val="both"/>
        <w:spacing w:after="0" w:line="260" w:lineRule="auto"/>
        <w:rPr>
          <w:sz w:val="20"/>
          <w:szCs w:val="20"/>
          <w:color w:val="auto"/>
        </w:rPr>
      </w:pPr>
      <w:r>
        <w:rPr>
          <w:rFonts w:ascii="Arial" w:cs="Arial" w:eastAsia="Arial" w:hAnsi="Arial"/>
          <w:sz w:val="20"/>
          <w:szCs w:val="20"/>
          <w:color w:val="auto"/>
        </w:rPr>
        <w:t xml:space="preserve">under this Agreement. For the avoidance of doubt, each Lender shall be responsible for the indemnity under </w:t>
      </w:r>
      <w:r>
        <w:rPr>
          <w:rFonts w:ascii="Arial" w:cs="Arial" w:eastAsia="Arial" w:hAnsi="Arial"/>
          <w:sz w:val="20"/>
          <w:szCs w:val="20"/>
          <w:u w:val="single" w:color="auto"/>
          <w:color w:val="auto"/>
        </w:rPr>
        <w:t>Section 11.04(c)</w:t>
      </w:r>
      <w:r>
        <w:rPr>
          <w:rFonts w:ascii="Arial" w:cs="Arial" w:eastAsia="Arial" w:hAnsi="Arial"/>
          <w:sz w:val="20"/>
          <w:szCs w:val="20"/>
          <w:color w:val="auto"/>
        </w:rPr>
        <w:t xml:space="preserve"> without regard to the existence of any participation.</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that directly affects such Participant (it being understood that (i) any vote to rescind any acceleration made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amounts owing with respect to the Loans and other Obligations and (ii) any modifications of the provisions relating to amounts, timing or application of prepayments of Loans and other Obligations shall not require the approval of such Participant). Subject to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the Borrowers agree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(subject to the requirements in those Sections, including timely delivery of forms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as if it were a Lender and had acquired its interest by assignment pursuant to subsection (b)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11.14</w:t>
      </w:r>
      <w:r>
        <w:rPr>
          <w:rFonts w:ascii="Arial" w:cs="Arial" w:eastAsia="Arial" w:hAnsi="Arial"/>
          <w:sz w:val="18"/>
          <w:szCs w:val="18"/>
          <w:color w:val="auto"/>
        </w:rPr>
        <w:t xml:space="preserve"> as if it were an assignee under paragraph (b) of this Section. Each Lender that sells a participation agrees, at the Borrowers’ request and expense, to use reasonable efforts to cooperate with the Borrowers to effectuate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9" w:lineRule="exact"/>
        <w:rPr>
          <w:sz w:val="20"/>
          <w:szCs w:val="20"/>
          <w:color w:val="auto"/>
        </w:rPr>
      </w:pPr>
    </w:p>
    <w:p>
      <w:pPr>
        <w:jc w:val="both"/>
        <w:ind w:firstLine="656"/>
        <w:spacing w:after="0" w:line="246" w:lineRule="auto"/>
        <w:tabs>
          <w:tab w:leader="none" w:pos="1129"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67"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Limitation upon Participant Rights</w:t>
      </w:r>
      <w:r>
        <w:rPr>
          <w:rFonts w:ascii="Arial" w:cs="Arial" w:eastAsia="Arial" w:hAnsi="Arial"/>
          <w:sz w:val="20"/>
          <w:szCs w:val="20"/>
          <w:color w:val="auto"/>
        </w:rPr>
        <w:t xml:space="preserve">. A Participant that would be a Foreign Lender if it were a Lender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the Company is notified of the participation sold to such Participant and such Participant agrees, for the benefit of the Borrowers,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as though it were a Lender.</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86"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Resignation as L/C Issuer or Swing Line Lender after Assignment</w:t>
      </w:r>
      <w:r>
        <w:rPr>
          <w:rFonts w:ascii="Arial" w:cs="Arial" w:eastAsia="Arial" w:hAnsi="Arial"/>
          <w:sz w:val="20"/>
          <w:szCs w:val="20"/>
          <w:color w:val="auto"/>
        </w:rPr>
        <w:t>. Notwithstanding anything to the contrary contained herein, if at any time BMO or Bank of America assigns all of its Commitment and Loans pursuant to subsection (b) above, (i) BMO or Bank of America may, as applicable,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66" w:right="239" w:bottom="1440" w:gutter="0" w:footer="0" w:header="0"/>
        </w:sectPr>
      </w:pPr>
    </w:p>
    <w:bookmarkStart w:id="118" w:name="page119"/>
    <w:bookmarkEnd w:id="118"/>
    <w:p>
      <w:pPr>
        <w:jc w:val="both"/>
        <w:spacing w:after="0" w:line="306" w:lineRule="auto"/>
        <w:rPr>
          <w:sz w:val="20"/>
          <w:szCs w:val="20"/>
          <w:color w:val="auto"/>
        </w:rPr>
      </w:pPr>
      <w:r>
        <w:rPr>
          <w:rFonts w:ascii="Arial" w:cs="Arial" w:eastAsia="Arial" w:hAnsi="Arial"/>
          <w:sz w:val="16"/>
          <w:szCs w:val="16"/>
          <w:color w:val="auto"/>
        </w:rPr>
        <w:t xml:space="preserve">upon thirty days’ notice to the Company and the Lenders, resign as L/C Issuer and/or (ii) BMO may upon thirty days’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Company to appoint any such successor shall affect the resignation of BMO or Bank of America as L/C Issuer or Swing Line Lender, as the case may be. If BMO or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the related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BMO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applicable Letters of Credit, if any, outstanding at the time of such succession or make other arrangements satisfactory to BMO or Bank of America to effectively assume the obligations of BMO or Bank of America with respect to such Letters of Credit.</w:t>
      </w:r>
    </w:p>
    <w:p>
      <w:pPr>
        <w:spacing w:after="0" w:line="381" w:lineRule="exact"/>
        <w:rPr>
          <w:sz w:val="20"/>
          <w:szCs w:val="20"/>
          <w:color w:val="auto"/>
        </w:rPr>
      </w:pPr>
    </w:p>
    <w:p>
      <w:pPr>
        <w:jc w:val="both"/>
        <w:ind w:firstLine="656"/>
        <w:spacing w:after="0" w:line="271"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Notwithstanding anything to the contrary in this Agreement, no assignment or participation shall be made to any Person that was a Disqualified Institution as of the date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on which the assigning Lender entered into an Assignment and Assumption or participation agreement, as applicable, with such Person (unless the Company has consented to such assignment to such entity (or unless such consent is not required because an Event of Default has occurred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9.01(d)</w:t>
      </w:r>
      <w:r>
        <w:rPr>
          <w:rFonts w:ascii="Arial" w:cs="Arial" w:eastAsia="Arial" w:hAnsi="Arial"/>
          <w:sz w:val="18"/>
          <w:szCs w:val="18"/>
          <w:color w:val="auto"/>
        </w:rPr>
        <w:t xml:space="preserve"> (solely as a result of the failure to comply with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in which case such entity will not be considered a Disqualified Institution for the purpose of such assignment). For the avoidance of doubt, with respect to any assignee that becomes a Disqualified Institution after the applicable Trade Date (including as a result of the delivery of a notice pursuant to the definition of “Disqualified Institution”), (i) such assignee shall not retroactively be disqualified from becoming a Lender and (ii) the execution by the Company of an Assignment and Assumption with respect to such assignee will not by itself result in such assignee no longer being considered a Disqualified Institution. Any assignment in violation of this </w:t>
      </w:r>
      <w:r>
        <w:rPr>
          <w:rFonts w:ascii="Arial" w:cs="Arial" w:eastAsia="Arial" w:hAnsi="Arial"/>
          <w:sz w:val="18"/>
          <w:szCs w:val="18"/>
          <w:u w:val="single" w:color="auto"/>
          <w:color w:val="auto"/>
        </w:rPr>
        <w:t>Section 11.06(h)</w:t>
      </w:r>
      <w:r>
        <w:rPr>
          <w:rFonts w:ascii="Arial" w:cs="Arial" w:eastAsia="Arial" w:hAnsi="Arial"/>
          <w:sz w:val="18"/>
          <w:szCs w:val="18"/>
          <w:color w:val="auto"/>
        </w:rPr>
        <w:t xml:space="preserve"> shall not be void, but the provisions of the paragraphs below shall apply.</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any assignment or participation is made to any Disqualified Institution without the Company’s prior written consent (if required), or if any Person becomes a Disqualified Institution after the applicable Trade Date, the Company may, at its sole expense and effort,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no such purchase or prepayment shall be made with the proceeds of any Revolving Loans), plus accrued interest, accrued fees and all other amounts (other than principal amounts) payable to 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 such purchase or prepayment shall be made with the proceeds of any Revolving Loans) and/or (B) require such Disqualified Institutions to assign, without recourse (in accordance with and subject to the restrictions contained in </w:t>
      </w:r>
      <w:r>
        <w:rPr>
          <w:rFonts w:ascii="Arial" w:cs="Arial" w:eastAsia="Arial" w:hAnsi="Arial"/>
          <w:sz w:val="19"/>
          <w:szCs w:val="19"/>
          <w:u w:val="single" w:color="auto"/>
          <w:color w:val="auto"/>
        </w:rPr>
        <w:t>Section 11.06</w:t>
      </w:r>
      <w:r>
        <w:rPr>
          <w:rFonts w:ascii="Arial" w:cs="Arial" w:eastAsia="Arial" w:hAnsi="Arial"/>
          <w:sz w:val="19"/>
          <w:szCs w:val="19"/>
          <w:color w:val="auto"/>
        </w:rPr>
        <w:t>), all of their respective interest, rights and obligations under this Agreement to one or more Eligible Assignees at the principal amount thereof, plus accrued interest, accrued fees and all other amounts (other than principal amounts) payable to it hereunder.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66" w:right="239" w:bottom="1440" w:gutter="0" w:footer="0" w:header="0"/>
        </w:sectPr>
      </w:pPr>
    </w:p>
    <w:bookmarkStart w:id="119" w:name="page120"/>
    <w:bookmarkEnd w:id="119"/>
    <w:p>
      <w:pPr>
        <w:jc w:val="both"/>
        <w:ind w:firstLine="648"/>
        <w:spacing w:after="0" w:line="270" w:lineRule="auto"/>
        <w:rPr>
          <w:sz w:val="20"/>
          <w:szCs w:val="20"/>
          <w:color w:val="auto"/>
        </w:rPr>
      </w:pPr>
      <w:r>
        <w:rPr>
          <w:rFonts w:ascii="Arial" w:cs="Arial" w:eastAsia="Arial" w:hAnsi="Arial"/>
          <w:sz w:val="18"/>
          <w:szCs w:val="18"/>
          <w:color w:val="auto"/>
        </w:rPr>
        <w:t xml:space="preserve">Notwithstanding anything to the contrary contained in this Agreement, Disqualified Institutions acquiring their interest in violation of this Agreement (1) will not (x) have the right to receive information, reports or other materials provided to the Lenders by the Borrowers, the Administrative Agent or any other Lender, (y) attend or participate in meetings attended by the Lenders and the Administrative Agent, or (z) access the Platform or any other electronic site established for the Lenders or confidential communications from counsel to or financial advisors of the Administrative Agent or the Lenders and (2) (x) for purposes of any consent to any amendment, waiver or modification of, or any action under, and for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bankruptcy reorganization plan that affects the Loans, each Disqualified Institution hereby agrees (I) not to vote on such plan, (II) if such Disqualified Institution does vote on such plan notwithstanding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such vote will be deemed not to have been in good faith and shall be “designated” pursuant to Section 1126(e) of the Bankruptcy Code of the United States (or any similar provision of any other Debtor Relief Laws), and such vote shall not be counted in determine whether the applicable class has accepted or rejected such plan in accordance with Section 1126(c) of the Bankruptcy Code of the United States (or any similar provision of any other Debtor Relief Laws), and (III) not to contest any request by any party for a determination by the Bankruptcy Court (or other applicable court of competent jurisdiction) effectuating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and that the Administrative Agent, the relevant Lender or the L/C Issuer, as the case may be, shall be responsible to the Loan Parties for any failure by such Person to maintain the confidentiality of the Information),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(c) and the foregoing clause (b), (i) the Administrative Agent, the Lenders or the L/C Issuer, as the case may be, shall disclose only the information required and, to the extent permitted by applicable law and regulation and practical under the circumstances, shall notify the Company in writing prior to such disclosure and (ii) notwithstanding anything to the contrary contained herein, the Administrative Agent, the Lenders or the L/C Issuer, and their Affiliates may disclose Information, without notice to the Company, to any governmental agency, regulatory authority or self-regulatory authority (including bank and securities examiners) having or claiming to have authority to regulate or oversee any aspect of such Person’s or its Affiliate’s business in connection with the exercise of such authority or claimed authority),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or (ii) any actual or prospective party (or its Related Parties) to any swap derivative or other transaction under which payments are to be made by reference to the Loan Parties and their obligations, this Agreement or payments hereunder,</w:t>
      </w:r>
    </w:p>
    <w:p>
      <w:pPr>
        <w:spacing w:after="0" w:line="3" w:lineRule="exact"/>
        <w:rPr>
          <w:sz w:val="20"/>
          <w:szCs w:val="20"/>
          <w:color w:val="auto"/>
        </w:rPr>
      </w:pPr>
    </w:p>
    <w:p>
      <w:pPr>
        <w:ind w:firstLine="8"/>
        <w:spacing w:after="0" w:line="244" w:lineRule="auto"/>
        <w:tabs>
          <w:tab w:leader="none" w:pos="29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on a confidential basis to (i) any rating agency in connection with rating any Loan Party or its Subsidiaries or the credit facility provided hereunder or (ii) the CUSIP Service Bureau or any similar agency in connection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66" w:right="239" w:bottom="1440" w:gutter="0" w:footer="0" w:header="0"/>
        </w:sectPr>
      </w:pPr>
    </w:p>
    <w:bookmarkStart w:id="120" w:name="page121"/>
    <w:bookmarkEnd w:id="120"/>
    <w:p>
      <w:pPr>
        <w:jc w:val="both"/>
        <w:spacing w:after="0" w:line="270" w:lineRule="auto"/>
        <w:rPr>
          <w:sz w:val="20"/>
          <w:szCs w:val="20"/>
          <w:color w:val="auto"/>
        </w:rPr>
      </w:pPr>
      <w:r>
        <w:rPr>
          <w:rFonts w:ascii="Arial" w:cs="Arial" w:eastAsia="Arial" w:hAnsi="Arial"/>
          <w:sz w:val="18"/>
          <w:szCs w:val="18"/>
          <w:color w:val="auto"/>
        </w:rPr>
        <w:t>with the issuance and monitoring of CUSIP numbers or other market identifiers with respect to the credit facility provided hereunder,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so long as such source is not known by such Person to be bound by a confidentiality agreement with any Loan Party or Subsidiary or (i) with the consent of the Company. In addition, the Administrative Agent and the Lenders may disclose the existence of this Agreement and customary information about this Agreement to market data collectors.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Loan Party or any Subsidiary after the Closing Date, such information is clearly identified at the time of delivery as confidential or delivered under circumstances that would cause a reasonable person to believe such information to be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If an Event of Default shall have occurred and be continuing, each Lender, the L/C Issuer and each of their respective Affiliates is hereby authorized at any time and from time to time, to the fullest extent permitted by applicable Law, to set-off and apply any and all deposits (general or special, time or demand, provisional or final, in whatever currency, but excluding deposits held in a trustee, fiduciary, agency or similar capacity or otherwise for the benefit of a third party)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6" w:right="239" w:bottom="1440" w:gutter="0" w:footer="0" w:header="0"/>
        </w:sectPr>
      </w:pPr>
    </w:p>
    <w:bookmarkStart w:id="121" w:name="page122"/>
    <w:bookmarkEnd w:id="121"/>
    <w:p>
      <w:pPr>
        <w:spacing w:after="0"/>
        <w:tabs>
          <w:tab w:leader="none" w:pos="60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u w:val="single" w:color="auto"/>
          <w:color w:val="auto"/>
        </w:rPr>
        <w:t>Integration; Effectiveness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5.01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66" w:right="239" w:bottom="1440" w:gutter="0" w:footer="0" w:header="0"/>
        </w:sectPr>
      </w:pPr>
    </w:p>
    <w:bookmarkStart w:id="122" w:name="page123"/>
    <w:bookmarkEnd w:id="122"/>
    <w:p>
      <w:pPr>
        <w:spacing w:after="0"/>
        <w:tabs>
          <w:tab w:leader="none" w:pos="60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1" w:lineRule="exact"/>
        <w:rPr>
          <w:sz w:val="20"/>
          <w:szCs w:val="20"/>
          <w:color w:val="auto"/>
        </w:rPr>
      </w:pPr>
    </w:p>
    <w:p>
      <w:pPr>
        <w:jc w:val="both"/>
        <w:ind w:firstLine="8"/>
        <w:spacing w:after="0" w:line="255" w:lineRule="auto"/>
        <w:tabs>
          <w:tab w:leader="none" w:pos="30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11.13</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If the Company is entitled to replace a Lender pursuant to </w:t>
      </w:r>
      <w:r>
        <w:rPr>
          <w:rFonts w:ascii="Arial" w:cs="Arial" w:eastAsia="Arial" w:hAnsi="Arial"/>
          <w:sz w:val="20"/>
          <w:szCs w:val="20"/>
          <w:u w:val="single" w:color="auto"/>
          <w:color w:val="auto"/>
        </w:rPr>
        <w:t>Section 3.06</w:t>
      </w:r>
      <w:r>
        <w:rPr>
          <w:rFonts w:ascii="Arial" w:cs="Arial" w:eastAsia="Arial" w:hAnsi="Arial"/>
          <w:sz w:val="20"/>
          <w:szCs w:val="20"/>
          <w:color w:val="auto"/>
        </w:rPr>
        <w:t xml:space="preserve">, or if any Lender is a Defaulting Lender or a Non-Consenting Lender, or if any Lender shall effectuate (or purport to effectuate) an assignment in violation of the terms of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all of its interests, rights (other than its existing rights to payments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3" w:lineRule="exact"/>
        <w:rPr>
          <w:sz w:val="20"/>
          <w:szCs w:val="20"/>
          <w:color w:val="auto"/>
        </w:rPr>
      </w:pPr>
    </w:p>
    <w:p>
      <w:pPr>
        <w:ind w:left="660" w:right="20" w:firstLine="645"/>
        <w:spacing w:after="0" w:line="260" w:lineRule="auto"/>
        <w:tabs>
          <w:tab w:leader="none" w:pos="171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the Company shall have paid (or caused to be paid) to the Administrative Agent the assignment fee (if any) specified in </w:t>
      </w: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3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applicable Borrower(s) (in the case of all other amounts);</w:t>
      </w:r>
    </w:p>
    <w:p>
      <w:pPr>
        <w:spacing w:after="0" w:line="191" w:lineRule="exact"/>
        <w:rPr>
          <w:rFonts w:ascii="Arial" w:cs="Arial" w:eastAsia="Arial" w:hAnsi="Arial"/>
          <w:sz w:val="20"/>
          <w:szCs w:val="20"/>
          <w:color w:val="auto"/>
        </w:rPr>
      </w:pPr>
    </w:p>
    <w:p>
      <w:pPr>
        <w:ind w:left="660" w:firstLine="645"/>
        <w:spacing w:after="0" w:line="316" w:lineRule="auto"/>
        <w:tabs>
          <w:tab w:leader="none" w:pos="181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30" w:lineRule="exact"/>
        <w:rPr>
          <w:rFonts w:ascii="Arial" w:cs="Arial" w:eastAsia="Arial" w:hAnsi="Arial"/>
          <w:sz w:val="18"/>
          <w:szCs w:val="18"/>
          <w:color w:val="auto"/>
        </w:rPr>
      </w:pPr>
    </w:p>
    <w:p>
      <w:pPr>
        <w:ind w:left="1780" w:hanging="475"/>
        <w:spacing w:after="0"/>
        <w:tabs>
          <w:tab w:leader="none" w:pos="17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jc w:val="both"/>
        <w:ind w:left="660" w:firstLine="645"/>
        <w:spacing w:after="0" w:line="243" w:lineRule="auto"/>
        <w:tabs>
          <w:tab w:leader="none" w:pos="174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Lender becoming a Non-Consenting Lender, the applicable assignee shall have consented to the applicable amendment, waiver or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20"/>
          <w:szCs w:val="20"/>
          <w:u w:val="single" w:color="auto"/>
          <w:color w:val="auto"/>
        </w:rPr>
        <w:t>Section 11.14</w:t>
      </w:r>
      <w:r>
        <w:rPr>
          <w:rFonts w:ascii="Arial" w:cs="Arial" w:eastAsia="Arial" w:hAnsi="Arial"/>
          <w:sz w:val="20"/>
          <w:szCs w:val="20"/>
          <w:color w:val="auto"/>
        </w:rPr>
        <w:t xml:space="preserve"> shall nevertheless be effective without the execution by such Non-Consenting Lender of an Assignment and Assumption.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66" w:right="239" w:bottom="1440" w:gutter="0" w:footer="0" w:header="0"/>
        </w:sectPr>
      </w:pPr>
    </w:p>
    <w:bookmarkStart w:id="123" w:name="page124"/>
    <w:bookmarkEnd w:id="123"/>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15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THIS AGREEMENT SHALL BE GOVERNED BY, AND CONSTRUED IN ACCORDANCE WITH, THE LAW OF THE STATE OF ILLINOIS APPLICABLE TO AGREEMENTS MADE AND TO BE PERFORMED ENTIRELY WITHIN SUCH STATE;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AND EACH LENDER SHALL RETAIN ALL RIGHTS ARISING UNDER FEDERAL LAW.</w:t>
      </w:r>
    </w:p>
    <w:p>
      <w:pPr>
        <w:spacing w:after="0" w:line="191" w:lineRule="exact"/>
        <w:rPr>
          <w:rFonts w:ascii="Arial" w:cs="Arial" w:eastAsia="Arial" w:hAnsi="Arial"/>
          <w:sz w:val="20"/>
          <w:szCs w:val="20"/>
          <w:color w:val="auto"/>
        </w:rPr>
      </w:pPr>
    </w:p>
    <w:p>
      <w:pPr>
        <w:jc w:val="both"/>
        <w:ind w:firstLine="656"/>
        <w:spacing w:after="0" w:line="241" w:lineRule="auto"/>
        <w:tabs>
          <w:tab w:leader="none" w:pos="132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ANY LEGAL ACTION OR PROCEEDING WITH RESPECT TO THIS AGREEMENT OR ANY OTHER LOAN DOCUMENT MAY BE BROUGHT IN THE COURTS OF THE STATE OF ILLINOIS SITTING IN CHICAGO, ILLINOIS OR OF THE UNITED STATES FOR THE NORTHERN DISTRICT OF ILLINOIS (EASTERN DIVISION),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Arial" w:cs="Arial" w:eastAsia="Arial" w:hAnsi="Arial"/>
          <w:sz w:val="20"/>
          <w:szCs w:val="20"/>
          <w:i w:val="1"/>
          <w:iCs w:val="1"/>
          <w:color w:val="auto"/>
        </w:rPr>
        <w:t>FORUM NON CONVENIENS</w:t>
      </w:r>
      <w:r>
        <w:rPr>
          <w:rFonts w:ascii="Arial" w:cs="Arial" w:eastAsia="Arial" w:hAnsi="Arial"/>
          <w:sz w:val="20"/>
          <w:szCs w:val="20"/>
          <w:color w:val="auto"/>
        </w:rPr>
        <w:t>, WHICH IT MAY NOW OR HEREAFTER HAVE TO THE BRINGING OF ANY ACTION OR PROCEEDING IN SUCH JURISDICTION IN RESPECT OF ANY LOAN DOCUMENT OR OTHER DOCUMENT RELATED THERETO. EACH PARTY HERETO WAIVES PERSONAL SERVICE OF ANY SUMMONS, COMPLAINT OR OTHER PROCESS, WHICH MAY BE MADE BY ANY OTHER MEANS PERMITTED BY THE LAW OF SUCH STATE.</w:t>
      </w:r>
    </w:p>
    <w:p>
      <w:pPr>
        <w:spacing w:after="0" w:line="20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u w:val="single" w:color="auto"/>
          <w:color w:val="auto"/>
        </w:rPr>
        <w:t>USA PATRIOT Act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66" w:right="2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ongoing obligations under applicable “know your customer” and anti-money laundering rules and regulations, including the Act.</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8"/>
          <w:szCs w:val="18"/>
          <w:u w:val="single" w:color="auto"/>
          <w:color w:val="auto"/>
        </w:rPr>
        <w:t>Concerning Joint and Several Liability of the Domestic Borrowers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19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Each Domestic Borrower is accepting joint and several liability under this </w:t>
      </w:r>
      <w:r>
        <w:rPr>
          <w:rFonts w:ascii="Arial" w:cs="Arial" w:eastAsia="Arial" w:hAnsi="Arial"/>
          <w:sz w:val="20"/>
          <w:szCs w:val="20"/>
          <w:u w:val="single" w:color="auto"/>
          <w:color w:val="auto"/>
        </w:rPr>
        <w:t>Section 11.19</w:t>
      </w:r>
      <w:r>
        <w:rPr>
          <w:rFonts w:ascii="Arial" w:cs="Arial" w:eastAsia="Arial" w:hAnsi="Arial"/>
          <w:sz w:val="20"/>
          <w:szCs w:val="20"/>
          <w:color w:val="auto"/>
        </w:rPr>
        <w:t xml:space="preserve"> in consideration of the financial accommodation to be provided by the Lenders under this Agreement, for the mutual benefit, directly and indirectly, of each Domestic Borrower and in consideration of the undertakings of each Domestic Borrower to accept joint and several liability for the Obligations of each of the other Domestic Borrowers.</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05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Domestic Borrower jointly and severally hereby irrevocably and unconditionally accepts, not merely as a surety but also as a co-debtor, joint and several liability with the other Domestic Borrowers with respect to the payment and performance of all of the Obligations arising under this Agreement and the other Loan Documents, it being the intention of the parties hereto that all the Obligations shall be the joint and several obligations of each of the Domestic Borrowers without preferences or distinction among them.</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075"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If and to the extent that a Domestic Borrower shall fail to make any payment with respect to any of the Obligations hereunder as and when due or to perform any of such obligations in accordance with the terms thereof, then in each such event, the other Domestic Borrowers will make such payment with respect to, or perform, such obligation.</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7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The obligations of each Domestic Borrower under the provisions of this </w:t>
      </w:r>
      <w:r>
        <w:rPr>
          <w:rFonts w:ascii="Arial" w:cs="Arial" w:eastAsia="Arial" w:hAnsi="Arial"/>
          <w:sz w:val="20"/>
          <w:szCs w:val="20"/>
          <w:u w:val="single" w:color="auto"/>
          <w:color w:val="auto"/>
        </w:rPr>
        <w:t>Section 11.19</w:t>
      </w:r>
      <w:r>
        <w:rPr>
          <w:rFonts w:ascii="Arial" w:cs="Arial" w:eastAsia="Arial" w:hAnsi="Arial"/>
          <w:sz w:val="20"/>
          <w:szCs w:val="20"/>
          <w:color w:val="auto"/>
        </w:rPr>
        <w:t xml:space="preserve"> constitute full recourse obligations of such Domestic Borrower, enforceable against it to the full extent of its properties and assets, irrespective of the validity, regularity or enforceability of this Agreement or any other circumstances whatsoever.</w:t>
      </w:r>
    </w:p>
    <w:p>
      <w:pPr>
        <w:spacing w:after="0" w:line="186" w:lineRule="exact"/>
        <w:rPr>
          <w:rFonts w:ascii="Arial" w:cs="Arial" w:eastAsia="Arial" w:hAnsi="Arial"/>
          <w:sz w:val="20"/>
          <w:szCs w:val="20"/>
          <w:color w:val="auto"/>
        </w:rPr>
      </w:pPr>
    </w:p>
    <w:p>
      <w:pPr>
        <w:ind w:firstLine="656"/>
        <w:spacing w:after="0" w:line="260" w:lineRule="auto"/>
        <w:tabs>
          <w:tab w:leader="none" w:pos="114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Except as otherwise expressly provided herein, each Domestic Borrower hereby waives notice of acceptance of its joint and several liability, notice of occurrence of any Default (except to the extent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66" w:right="239" w:bottom="1440" w:gutter="0" w:footer="0" w:header="0"/>
        </w:sectPr>
      </w:pPr>
    </w:p>
    <w:bookmarkStart w:id="125" w:name="page126"/>
    <w:bookmarkEnd w:id="125"/>
    <w:p>
      <w:pPr>
        <w:jc w:val="both"/>
        <w:spacing w:after="0" w:line="268" w:lineRule="auto"/>
        <w:rPr>
          <w:sz w:val="20"/>
          <w:szCs w:val="20"/>
          <w:color w:val="auto"/>
        </w:rPr>
      </w:pPr>
      <w:r>
        <w:rPr>
          <w:rFonts w:ascii="Arial" w:cs="Arial" w:eastAsia="Arial" w:hAnsi="Arial"/>
          <w:sz w:val="18"/>
          <w:szCs w:val="18"/>
          <w:color w:val="auto"/>
        </w:rPr>
        <w:t xml:space="preserve">notice is expressly required to be given pursuant to the terms of this Agreement), or of any demand for any payment under this Agreement, notice of any action at any time taken or omitted by the Administrative Agent or the Lenders under or in respect of any of the Obligations hereunder, any requirement of diligence and, generally, all demands, notices and other formalities of every kind in connection with this Agreement (other than, in each case, any notice any Domestic Borrower has the express right to receive under the Loan Documents). Each Domestic Borrower hereby assents to, and waives notice of (other than, in each case, any notice any Domestic Borrower has the express right to receive under the Loan Documents), any extension or postponement of the time for the payment of any of the Obligations hereunder of the Domestic Borrowers, the acceptance of any partial payment thereon, any waiver, consent or other action or acquiescence by the Lenders at any time or times in respect of any default by any other Domestic Borrower in the performance or satisfaction of any term, covenant, condition or provision of this Agreement, any and all other indulgences whatsoever by the Lenders in respect of any of the Obligations hereunder of the other Domestic Borrowers, and the taking, addition, substitution or release, in whole or in part, at any time or times, of any security for any of such Obligations or the addition, substitution or release, in whole or in part, of any other Domestic Borrower. Without limiting the generality of the foregoing, each Domestic Borrower assents to any other action or delay in acting or any failure to act without the other Borrowers on the part of the Administrative Agent or the Lenders,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afford grounds for terminating, discharging or relieving such Domestic Borrower, in whole or in part, from any of its obligations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11.19</w:t>
      </w:r>
      <w:r>
        <w:rPr>
          <w:rFonts w:ascii="Arial" w:cs="Arial" w:eastAsia="Arial" w:hAnsi="Arial"/>
          <w:sz w:val="18"/>
          <w:szCs w:val="18"/>
          <w:color w:val="auto"/>
        </w:rPr>
        <w:t xml:space="preserve">, it being the intention of each Domestic Borrower that, so long as any of the Obligations hereunder of the other Domestic Borrowers remain unsatisfied, the obligations of such Domestic Borrower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shall not be discharged except by performance and then only to the extent of such performance. The obligations of each Domestic Borrower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shall not be diminished or rendered unenforceable by any winding up, reorganization, arrangement, liquidation, reconstruction or similar proceeding with respect to any reconstruction or similar proceeding with respect to any Loan Party or the Lenders. The joint and several liability of the Domestic Borrowers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shall continue in full force and effect notwithstanding any absorption, merger, amalgamation or any other change whatsoever in the name, membership, constitution or place of formation of any Loan Party or the Lenders.</w:t>
      </w:r>
    </w:p>
    <w:p>
      <w:pPr>
        <w:spacing w:after="0" w:line="182" w:lineRule="exact"/>
        <w:rPr>
          <w:sz w:val="20"/>
          <w:szCs w:val="20"/>
          <w:color w:val="auto"/>
        </w:rPr>
      </w:pPr>
    </w:p>
    <w:p>
      <w:pPr>
        <w:jc w:val="both"/>
        <w:ind w:firstLine="656"/>
        <w:spacing w:after="0" w:line="256" w:lineRule="auto"/>
        <w:tabs>
          <w:tab w:leader="none" w:pos="10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are made for the benefit of the Administrative Agent and the Lenders and their respective successors and assigns, and may be enforced by any such Person from time to time against any of the Domestic Borrowers as often as occasion therefore may arise and without requirement on the part of any Lender first to marshal any of its claims or to exercise any of its rights against any other Loan Party or to exhaust any remedies available to it against any other Loan Party or to resort to any other source or means of obtaining payment of any of the Obligations or to elect any other remedy. 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shall remain in effect until all the Obligations 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Loan Parties, or otherwise, 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will forthwith be reinstated and in effect as though such payment had not been made.</w:t>
      </w:r>
    </w:p>
    <w:p>
      <w:pPr>
        <w:spacing w:after="0" w:line="184" w:lineRule="exact"/>
        <w:rPr>
          <w:rFonts w:ascii="Arial" w:cs="Arial" w:eastAsia="Arial" w:hAnsi="Arial"/>
          <w:sz w:val="19"/>
          <w:szCs w:val="19"/>
          <w:color w:val="auto"/>
        </w:rPr>
      </w:pPr>
    </w:p>
    <w:p>
      <w:pPr>
        <w:jc w:val="both"/>
        <w:ind w:firstLine="656"/>
        <w:spacing w:after="0" w:line="263" w:lineRule="auto"/>
        <w:tabs>
          <w:tab w:leader="none" w:pos="105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Notwithstanding any provision to the contrary contained herein or in any other of the Loan Documents or Hedging Agreements or Treasury Management Agreements, the obligations of each Domestic Borrower under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66" w:right="239" w:bottom="1440" w:gutter="0" w:footer="0" w:header="0"/>
        </w:sectPr>
      </w:pPr>
    </w:p>
    <w:bookmarkStart w:id="126" w:name="page127"/>
    <w:bookmarkEnd w:id="126"/>
    <w:p>
      <w:pPr>
        <w:jc w:val="both"/>
        <w:ind w:firstLine="656"/>
        <w:spacing w:after="0" w:line="250" w:lineRule="auto"/>
        <w:tabs>
          <w:tab w:leader="none" w:pos="109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For purposes of clarification with respect to the Designated Borrowers that are Foreign Subsidiaries, (i) the Obligations of such Designated Borrowers are several and not joint and several and (ii)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 the Company and the other Domestic Borrowers shall guarantee the Obligations of such Designated Borrowers.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8"/>
          <w:szCs w:val="18"/>
          <w:u w:val="single" w:color="auto"/>
          <w:color w:val="auto"/>
        </w:rPr>
        <w:t>Subordination of Intercompany Debt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Loan Party agrees that all intercompany Debt among Loan Parties (the “</w:t>
      </w:r>
      <w:r>
        <w:rPr>
          <w:rFonts w:ascii="Arial" w:cs="Arial" w:eastAsia="Arial" w:hAnsi="Arial"/>
          <w:sz w:val="19"/>
          <w:szCs w:val="19"/>
          <w:u w:val="single" w:color="auto"/>
          <w:color w:val="auto"/>
        </w:rPr>
        <w:t>Intercompany Debt</w:t>
      </w:r>
      <w:r>
        <w:rPr>
          <w:rFonts w:ascii="Arial" w:cs="Arial" w:eastAsia="Arial" w:hAnsi="Arial"/>
          <w:sz w:val="19"/>
          <w:szCs w:val="19"/>
          <w:color w:val="auto"/>
        </w:rPr>
        <w:t xml:space="preserve">”) is subordinated in right of payment, to the prior payment in full of all Obligations (other than contingent obligations not yet due and payable). Notwithstanding any provision of this Agreement to the contrary, provided that no Event of Default has occurred and is continuing, Loan Parties may make and receive payments with respect to the Intercompany Debt to the extent otherwise permitted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and during the continuation of any Event of Default, no payment shall be made by or on behalf of any Loan Party on account of any Intercompany Debt. In the event that any Loan Party receives any payment of any Intercompany Debt at a time when such payment is prohibited by this </w:t>
      </w:r>
      <w:r>
        <w:rPr>
          <w:rFonts w:ascii="Arial" w:cs="Arial" w:eastAsia="Arial" w:hAnsi="Arial"/>
          <w:sz w:val="19"/>
          <w:szCs w:val="19"/>
          <w:u w:val="single" w:color="auto"/>
          <w:color w:val="auto"/>
        </w:rPr>
        <w:t>Section 11.20</w:t>
      </w:r>
      <w:r>
        <w:rPr>
          <w:rFonts w:ascii="Arial" w:cs="Arial" w:eastAsia="Arial" w:hAnsi="Arial"/>
          <w:sz w:val="19"/>
          <w:szCs w:val="19"/>
          <w:color w:val="auto"/>
        </w:rPr>
        <w:t>, such payment shall be held by such Loan Party, in trust for the benefit of, and shall be paid forthwith over and delivered, upon written request, to, the Administrative Agent</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any Lender has any obligation to the Loan Parties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Loan Parties and their respective Affiliates, and neither the Administrative Agent, the Arrangers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words “execute,” “execution,” “signed,” “signature,” and words of like import in or related to any document to be signed in connection with this Agreement, any other document executed in connection herewith and the transactions contemplated hereby (including without limitation Assignment and Assumptions, amendments or other modifications, Loan Notices, Swing Line Loan Notices, waivers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66" w:right="239" w:bottom="1440" w:gutter="0" w:footer="0" w:header="0"/>
        </w:sectPr>
      </w:pPr>
    </w:p>
    <w:bookmarkStart w:id="127" w:name="page128"/>
    <w:bookmarkEnd w:id="127"/>
    <w:p>
      <w:pPr>
        <w:jc w:val="both"/>
        <w:spacing w:after="0" w:line="256" w:lineRule="auto"/>
        <w:rPr>
          <w:sz w:val="20"/>
          <w:szCs w:val="20"/>
          <w:color w:val="auto"/>
        </w:rPr>
      </w:pPr>
      <w:r>
        <w:rPr>
          <w:rFonts w:ascii="Arial" w:cs="Arial" w:eastAsia="Arial" w:hAnsi="Arial"/>
          <w:sz w:val="19"/>
          <w:szCs w:val="19"/>
          <w:color w:val="auto"/>
        </w:rPr>
        <w:t>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any party, any electronic signature shall be promptly followed by such manually executed counterpart.</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Solely to the extent 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5" w:lineRule="exact"/>
        <w:rPr>
          <w:sz w:val="20"/>
          <w:szCs w:val="20"/>
          <w:color w:val="auto"/>
        </w:rPr>
      </w:pPr>
    </w:p>
    <w:p>
      <w:pPr>
        <w:ind w:firstLine="656"/>
        <w:spacing w:after="0" w:line="260" w:lineRule="auto"/>
        <w:tabs>
          <w:tab w:leader="none" w:pos="117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84" w:val="left"/>
        </w:tabs>
        <w:numPr>
          <w:ilvl w:val="1"/>
          <w:numId w:val="146"/>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660" w:firstLine="645"/>
        <w:spacing w:after="0" w:line="260" w:lineRule="auto"/>
        <w:tabs>
          <w:tab w:leader="none" w:pos="1826" w:val="left"/>
        </w:tabs>
        <w:numPr>
          <w:ilvl w:val="1"/>
          <w:numId w:val="146"/>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 To the extent that the Loan Documents provide support, through a guarantee or otherwise, for Hedging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Illinois and/or of the United States or any other state of the United States):</w:t>
      </w:r>
    </w:p>
    <w:p>
      <w:pPr>
        <w:spacing w:after="0" w:line="169" w:lineRule="exact"/>
        <w:rPr>
          <w:sz w:val="20"/>
          <w:szCs w:val="20"/>
          <w:color w:val="auto"/>
        </w:rPr>
      </w:pPr>
    </w:p>
    <w:p>
      <w:pPr>
        <w:ind w:firstLine="656"/>
        <w:spacing w:after="0" w:line="260" w:lineRule="auto"/>
        <w:tabs>
          <w:tab w:leader="none" w:pos="1048"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u w:val="single" w:color="auto"/>
          <w:color w:val="auto"/>
        </w:rPr>
        <w:t>Covered Party</w:t>
      </w:r>
      <w:r>
        <w:rPr>
          <w:rFonts w:ascii="Arial" w:cs="Arial" w:eastAsia="Arial" w:hAnsi="Arial"/>
          <w:sz w:val="20"/>
          <w:szCs w:val="20"/>
          <w:color w:val="auto"/>
        </w:rPr>
        <w:t>”) becomes subject to a proceeding under a U.S. Special Resolution Regime, the transfer of such Supported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66" w:right="239" w:bottom="1440" w:gutter="0" w:footer="0" w:header="0"/>
        </w:sectPr>
      </w:pPr>
    </w:p>
    <w:bookmarkStart w:id="128" w:name="page129"/>
    <w:bookmarkEnd w:id="128"/>
    <w:p>
      <w:pPr>
        <w:jc w:val="both"/>
        <w:spacing w:after="0" w:line="271" w:lineRule="auto"/>
        <w:rPr>
          <w:sz w:val="20"/>
          <w:szCs w:val="20"/>
          <w:color w:val="auto"/>
        </w:rPr>
      </w:pPr>
      <w:r>
        <w:rPr>
          <w:rFonts w:ascii="Arial" w:cs="Arial" w:eastAsia="Arial" w:hAnsi="Arial"/>
          <w:sz w:val="18"/>
          <w:szCs w:val="18"/>
          <w:color w:val="auto"/>
        </w:rPr>
        <w:t>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11.24</w:t>
      </w:r>
      <w:r>
        <w:rPr>
          <w:rFonts w:ascii="Arial" w:cs="Arial" w:eastAsia="Arial" w:hAnsi="Arial"/>
          <w:sz w:val="18"/>
          <w:szCs w:val="18"/>
          <w:color w:val="auto"/>
        </w:rPr>
        <w:t>, the following terms have the following meanings:</w:t>
      </w:r>
    </w:p>
    <w:p>
      <w:pPr>
        <w:spacing w:after="0" w:line="216" w:lineRule="exact"/>
        <w:rPr>
          <w:sz w:val="20"/>
          <w:szCs w:val="20"/>
          <w:color w:val="auto"/>
        </w:rPr>
      </w:pPr>
    </w:p>
    <w:p>
      <w:pPr>
        <w:jc w:val="both"/>
        <w:ind w:left="660" w:firstLine="101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90" w:lineRule="exact"/>
        <w:rPr>
          <w:sz w:val="20"/>
          <w:szCs w:val="20"/>
          <w:color w:val="auto"/>
        </w:rPr>
      </w:pPr>
    </w:p>
    <w:p>
      <w:pPr>
        <w:jc w:val="both"/>
        <w:ind w:left="660" w:firstLine="87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jc w:val="both"/>
        <w:ind w:left="660" w:right="20" w:firstLine="88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90" w:lineRule="exact"/>
        <w:rPr>
          <w:sz w:val="20"/>
          <w:szCs w:val="20"/>
          <w:color w:val="auto"/>
        </w:rPr>
      </w:pPr>
    </w:p>
    <w:p>
      <w:pPr>
        <w:ind w:left="660" w:right="80" w:firstLine="79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66"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62"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color w:val="auto"/>
        </w:rPr>
        <w:t>BORROWERS:</w:t>
      </w:r>
      <w:r>
        <w:rPr>
          <w:sz w:val="20"/>
          <w:szCs w:val="20"/>
          <w:color w:val="auto"/>
        </w:rPr>
        <w:tab/>
      </w:r>
      <w:r>
        <w:rPr>
          <w:rFonts w:ascii="Arial" w:cs="Arial" w:eastAsia="Arial" w:hAnsi="Arial"/>
          <w:sz w:val="19"/>
          <w:szCs w:val="19"/>
          <w:color w:val="auto"/>
        </w:rPr>
        <w:t>BRADY CORPORATION,</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Wisconsin corporation</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Aaron J. Pearce</w:t>
      </w:r>
    </w:p>
    <w:p>
      <w:pPr>
        <w:ind w:left="3900"/>
        <w:spacing w:after="0"/>
        <w:rPr>
          <w:sz w:val="20"/>
          <w:szCs w:val="20"/>
          <w:color w:val="auto"/>
        </w:rPr>
      </w:pPr>
      <w:r>
        <w:rPr>
          <w:rFonts w:ascii="Arial" w:cs="Arial" w:eastAsia="Arial" w:hAnsi="Arial"/>
          <w:sz w:val="20"/>
          <w:szCs w:val="20"/>
          <w:color w:val="auto"/>
        </w:rPr>
        <w:t>Title: Chief Financial Officer and Treasurer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BRADY WORLDWIDE,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Wisconsin corporation</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Aaron J. Pearce</w:t>
      </w:r>
    </w:p>
    <w:p>
      <w:pPr>
        <w:ind w:left="3900"/>
        <w:spacing w:after="0"/>
        <w:rPr>
          <w:sz w:val="20"/>
          <w:szCs w:val="20"/>
          <w:color w:val="auto"/>
        </w:rPr>
      </w:pPr>
      <w:r>
        <w:rPr>
          <w:rFonts w:ascii="Arial" w:cs="Arial" w:eastAsia="Arial" w:hAnsi="Arial"/>
          <w:sz w:val="20"/>
          <w:szCs w:val="20"/>
          <w:color w:val="auto"/>
        </w:rPr>
        <w:t>Title: Chief Financial Officer and Treasurer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TRICOR DIRECT,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Aaron J. Pearce</w:t>
      </w:r>
    </w:p>
    <w:p>
      <w:pPr>
        <w:ind w:left="3900"/>
        <w:spacing w:after="0"/>
        <w:rPr>
          <w:sz w:val="20"/>
          <w:szCs w:val="20"/>
          <w:color w:val="auto"/>
        </w:rPr>
      </w:pPr>
      <w:r>
        <w:rPr>
          <w:rFonts w:ascii="Arial" w:cs="Arial" w:eastAsia="Arial" w:hAnsi="Arial"/>
          <w:sz w:val="20"/>
          <w:szCs w:val="20"/>
          <w:color w:val="auto"/>
        </w:rPr>
        <w:t>Title: Chief Financial Officer and Treasurer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BRADY FINANCE LUXEMBOURG,</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Luxembourg private limited liability company</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ARIANNE VERSTRAETEN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Arianne Verstraeten</w:t>
      </w: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Aaron J. Pearce</w:t>
      </w: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BRADY S.à r.l.,</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Luxembourg private limited liability company</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ARIANNE VERSTRAETEN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Arianne Verstraeten</w:t>
      </w: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Aaron J. Pearce</w:t>
      </w: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5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40"/>
          </w:cols>
          <w:pgMar w:left="240" w:top="366" w:right="919" w:bottom="1440" w:gutter="0" w:footer="0" w:header="0"/>
        </w:sectPr>
      </w:pPr>
    </w:p>
    <w:bookmarkStart w:id="130" w:name="page131"/>
    <w:bookmarkEnd w:id="130"/>
    <w:p>
      <w:pPr>
        <w:ind w:left="1600" w:right="5200" w:hanging="3889"/>
        <w:spacing w:after="0" w:line="247" w:lineRule="auto"/>
        <w:tabs>
          <w:tab w:leader="none" w:pos="1580" w:val="left"/>
        </w:tabs>
        <w:rPr>
          <w:sz w:val="20"/>
          <w:szCs w:val="20"/>
          <w:color w:val="auto"/>
        </w:rPr>
      </w:pPr>
      <w:r>
        <w:rPr>
          <w:rFonts w:ascii="Arial" w:cs="Arial" w:eastAsia="Arial" w:hAnsi="Arial"/>
          <w:sz w:val="20"/>
          <w:szCs w:val="20"/>
          <w:color w:val="auto"/>
        </w:rPr>
        <w:t>GUARANTORS:</w:t>
        <w:tab/>
        <w:t>BRADY INTERNATIONAL CO., a Wisconsin corporation</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WORLDMARK OF WISCONSIN INCORPORATED, a Delaware corporation</w:t>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CLEMENT COMMUNICATIONS, INCORPORATED, a Pennsylvania corporation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AIO ACQUISITION, INC., a Delaware corporation</w:t>
      </w:r>
    </w:p>
    <w:p>
      <w:pPr>
        <w:ind w:left="3900"/>
        <w:spacing w:after="0"/>
        <w:rPr>
          <w:sz w:val="20"/>
          <w:szCs w:val="20"/>
          <w:color w:val="auto"/>
        </w:rPr>
      </w:pPr>
      <w:r>
        <w:rPr>
          <w:rFonts w:ascii="Arial" w:cs="Arial" w:eastAsia="Arial" w:hAnsi="Arial"/>
          <w:sz w:val="20"/>
          <w:szCs w:val="20"/>
          <w:color w:val="auto"/>
        </w:rPr>
        <w:t>PRECISION DYNAMICS CORPORATION, a California corporation</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Aaron J. Pearce</w:t>
      </w:r>
    </w:p>
    <w:p>
      <w:pPr>
        <w:ind w:left="3900"/>
        <w:spacing w:after="0"/>
        <w:rPr>
          <w:sz w:val="20"/>
          <w:szCs w:val="20"/>
          <w:color w:val="auto"/>
        </w:rPr>
      </w:pPr>
      <w:r>
        <w:rPr>
          <w:rFonts w:ascii="Arial" w:cs="Arial" w:eastAsia="Arial" w:hAnsi="Arial"/>
          <w:sz w:val="20"/>
          <w:szCs w:val="20"/>
          <w:color w:val="auto"/>
        </w:rPr>
        <w:t>Title: Chief Financial Officer and Treasurer</w:t>
      </w:r>
    </w:p>
    <w:p>
      <w:pPr>
        <w:spacing w:after="0" w:line="200" w:lineRule="exact"/>
        <w:rPr>
          <w:sz w:val="20"/>
          <w:szCs w:val="20"/>
          <w:color w:val="auto"/>
        </w:rPr>
      </w:pPr>
    </w:p>
    <w:p>
      <w:pPr>
        <w:spacing w:after="0" w:line="243" w:lineRule="exact"/>
        <w:rPr>
          <w:sz w:val="20"/>
          <w:szCs w:val="20"/>
          <w:color w:val="auto"/>
        </w:rPr>
      </w:pPr>
    </w:p>
    <w:p>
      <w:pPr>
        <w:spacing w:after="0"/>
        <w:tabs>
          <w:tab w:leader="none" w:pos="2620" w:val="left"/>
        </w:tabs>
        <w:rPr>
          <w:sz w:val="20"/>
          <w:szCs w:val="20"/>
          <w:color w:val="auto"/>
        </w:rPr>
      </w:pPr>
      <w:r>
        <w:rPr>
          <w:rFonts w:ascii="Arial" w:cs="Arial" w:eastAsia="Arial" w:hAnsi="Arial"/>
          <w:sz w:val="20"/>
          <w:szCs w:val="20"/>
          <w:color w:val="auto"/>
        </w:rPr>
        <w:t>ADMINISTRATIVE AGENT:</w:t>
      </w:r>
      <w:r>
        <w:rPr>
          <w:sz w:val="20"/>
          <w:szCs w:val="20"/>
          <w:color w:val="auto"/>
        </w:rPr>
        <w:tab/>
      </w:r>
      <w:r>
        <w:rPr>
          <w:rFonts w:ascii="Arial" w:cs="Arial" w:eastAsia="Arial" w:hAnsi="Arial"/>
          <w:sz w:val="19"/>
          <w:szCs w:val="19"/>
          <w:color w:val="auto"/>
        </w:rPr>
        <w:t>BMO HARRIS BANK, N.A.,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DEBORAH ROESNER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Deborah Roesner</w:t>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560"/>
          </w:cols>
          <w:pgMar w:left="240" w:top="366" w:right="1099" w:bottom="1440" w:gutter="0" w:footer="0" w:header="0"/>
        </w:sectPr>
      </w:pPr>
    </w:p>
    <w:bookmarkStart w:id="131" w:name="page132"/>
    <w:bookmarkEnd w:id="131"/>
    <w:p>
      <w:pPr>
        <w:spacing w:after="0"/>
        <w:tabs>
          <w:tab w:leader="none" w:pos="1140" w:val="left"/>
        </w:tabs>
        <w:rPr>
          <w:sz w:val="20"/>
          <w:szCs w:val="20"/>
          <w:color w:val="auto"/>
        </w:rPr>
      </w:pPr>
      <w:r>
        <w:rPr>
          <w:rFonts w:ascii="Arial" w:cs="Arial" w:eastAsia="Arial" w:hAnsi="Arial"/>
          <w:sz w:val="20"/>
          <w:szCs w:val="20"/>
          <w:color w:val="auto"/>
        </w:rPr>
        <w:t>LENDERS:</w:t>
      </w:r>
      <w:r>
        <w:rPr>
          <w:sz w:val="20"/>
          <w:szCs w:val="20"/>
          <w:color w:val="auto"/>
        </w:rPr>
        <w:tab/>
      </w:r>
      <w:r>
        <w:rPr>
          <w:rFonts w:ascii="Arial" w:cs="Arial" w:eastAsia="Arial" w:hAnsi="Arial"/>
          <w:sz w:val="19"/>
          <w:szCs w:val="19"/>
          <w:color w:val="auto"/>
        </w:rPr>
        <w:t>BMO HARRIS BANK, N.A.,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 L/C Issuer and Swing Line Lender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DEBORAH ROESNER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Deborah Roesner</w:t>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 and L/C Issuer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K. KESSLER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Steven K. Kessler</w:t>
      </w:r>
    </w:p>
    <w:p>
      <w:pPr>
        <w:ind w:left="39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WELLS FARGO BANK, NATIONAL ASSOCIATION,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JASON M. EGGERT</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Jason M. Eggert</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PNC BANK, NATIONAL ASSOCIATION,</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JOSEPH VEHEC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Joseph Vehec</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ASSOCIATED BANK, NATIONAL ASSOCIATION,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VIKTOR R. GOTTLIEB</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Viktor R. Gottlieb</w:t>
      </w:r>
    </w:p>
    <w:p>
      <w:pPr>
        <w:ind w:left="3900"/>
        <w:spacing w:after="0"/>
        <w:rPr>
          <w:sz w:val="20"/>
          <w:szCs w:val="20"/>
          <w:color w:val="auto"/>
        </w:rPr>
      </w:pPr>
      <w:r>
        <w:rPr>
          <w:rFonts w:ascii="Arial" w:cs="Arial" w:eastAsia="Arial" w:hAnsi="Arial"/>
          <w:sz w:val="20"/>
          <w:szCs w:val="20"/>
          <w:color w:val="auto"/>
        </w:rPr>
        <w:t>Title: Senior Vice President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sectPr>
      <w:pgSz w:w="11900" w:h="16838" w:orient="portrait"/>
      <w:cols w:equalWidth="0" w:num="1">
        <w:col w:w="10219"/>
      </w:cols>
      <w:pgMar w:left="240" w:top="3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lowerRoman"/>
      <w:start w:val="2"/>
    </w:lvl>
  </w:abstractNum>
  <w:abstractNum w:abstractNumId="3">
    <w:nsid w:val="51D9C564"/>
    <w:multiLevelType w:val="hybridMultilevel"/>
    <w:lvl w:ilvl="0">
      <w:lvlJc w:val="left"/>
      <w:lvlText w:val="(%1)"/>
      <w:numFmt w:val="lowerLetter"/>
      <w:start w:val="2"/>
    </w:lvl>
  </w:abstractNum>
  <w:abstractNum w:abstractNumId="4">
    <w:nsid w:val="613EFDC5"/>
    <w:multiLevelType w:val="hybridMultilevel"/>
    <w:lvl w:ilvl="0">
      <w:lvlJc w:val="left"/>
      <w:lvlText w:val="(%1)"/>
      <w:numFmt w:val="lowerLetter"/>
      <w:start w:val="4"/>
    </w:lvl>
  </w:abstractNum>
  <w:abstractNum w:abstractNumId="5">
    <w:nsid w:val="BF72B14"/>
    <w:multiLevelType w:val="hybridMultilevel"/>
    <w:lvl w:ilvl="0">
      <w:lvlJc w:val="left"/>
      <w:lvlText w:val="(%1)"/>
      <w:numFmt w:val="lowerLetter"/>
      <w:start w:val="1"/>
    </w:lvl>
    <w:lvl w:ilvl="1">
      <w:lvlJc w:val="left"/>
      <w:lvlText w:val="(%2)"/>
      <w:numFmt w:val="lowerRoman"/>
      <w:start w:val="1"/>
    </w:lvl>
  </w:abstractNum>
  <w:abstractNum w:abstractNumId="6">
    <w:nsid w:val="11447B73"/>
    <w:multiLevelType w:val="hybridMultilevel"/>
    <w:lvl w:ilvl="0">
      <w:lvlJc w:val="left"/>
      <w:lvlText w:val="(%1)"/>
      <w:numFmt w:val="lowerRoman"/>
      <w:start w:val="3"/>
    </w:lvl>
  </w:abstractNum>
  <w:abstractNum w:abstractNumId="7">
    <w:nsid w:val="42963E5A"/>
    <w:multiLevelType w:val="hybridMultilevel"/>
    <w:lvl w:ilvl="0">
      <w:lvlJc w:val="left"/>
      <w:lvlText w:val="(%1)"/>
      <w:numFmt w:val="lowerLetter"/>
      <w:start w:val="2"/>
    </w:lvl>
  </w:abstractNum>
  <w:abstractNum w:abstractNumId="8">
    <w:nsid w:val="A0382C5"/>
    <w:multiLevelType w:val="hybridMultilevel"/>
    <w:lvl w:ilvl="0">
      <w:lvlJc w:val="left"/>
      <w:lvlText w:val="(%1)"/>
      <w:numFmt w:val="lowerRoman"/>
      <w:start w:val="1"/>
    </w:lvl>
  </w:abstractNum>
  <w:abstractNum w:abstractNumId="9">
    <w:nsid w:val="8F2B15E"/>
    <w:multiLevelType w:val="hybridMultilevel"/>
    <w:lvl w:ilvl="0">
      <w:lvlJc w:val="left"/>
      <w:lvlText w:val="(%1)"/>
      <w:numFmt w:val="lowerRoman"/>
      <w:start w:val="1"/>
    </w:lvl>
  </w:abstractNum>
  <w:abstractNum w:abstractNumId="10">
    <w:nsid w:val="1A32234B"/>
    <w:multiLevelType w:val="hybridMultilevel"/>
    <w:lvl w:ilvl="0">
      <w:lvlJc w:val="left"/>
      <w:lvlText w:val="(%1)"/>
      <w:numFmt w:val="lowerLetter"/>
      <w:start w:val="1"/>
    </w:lvl>
    <w:lvl w:ilvl="1">
      <w:lvlJc w:val="left"/>
      <w:lvlText w:val="(%2)"/>
      <w:numFmt w:val="lowerRoman"/>
      <w:start w:val="2"/>
    </w:lvl>
  </w:abstractNum>
  <w:abstractNum w:abstractNumId="11">
    <w:nsid w:val="3B0FD379"/>
    <w:multiLevelType w:val="hybridMultilevel"/>
    <w:lvl w:ilvl="0">
      <w:lvlJc w:val="left"/>
      <w:lvlText w:val="(%1)"/>
      <w:numFmt w:val="lowerLetter"/>
      <w:start w:val="1"/>
    </w:lvl>
  </w:abstractNum>
  <w:abstractNum w:abstractNumId="12">
    <w:nsid w:val="68EB2F63"/>
    <w:multiLevelType w:val="hybridMultilevel"/>
    <w:lvl w:ilvl="0">
      <w:lvlJc w:val="left"/>
      <w:lvlText w:val="%1"/>
      <w:numFmt w:val="lowerLetter"/>
      <w:start w:val="1"/>
    </w:lvl>
    <w:lvl w:ilvl="1">
      <w:lvlJc w:val="left"/>
      <w:lvlText w:val="(%2)"/>
      <w:numFmt w:val="lowerLetter"/>
      <w:start w:val="2"/>
    </w:lvl>
  </w:abstractNum>
  <w:abstractNum w:abstractNumId="13">
    <w:nsid w:val="4962813B"/>
    <w:multiLevelType w:val="hybridMultilevel"/>
    <w:lvl w:ilvl="0">
      <w:lvlJc w:val="left"/>
      <w:lvlText w:val="(%1)"/>
      <w:numFmt w:val="lowerLetter"/>
      <w:start w:val="9"/>
    </w:lvl>
    <w:lvl w:ilvl="1">
      <w:lvlJc w:val="left"/>
      <w:lvlText w:val="%2"/>
      <w:numFmt w:val="lowerLetter"/>
      <w:start w:val="1"/>
    </w:lvl>
  </w:abstractNum>
  <w:abstractNum w:abstractNumId="14">
    <w:nsid w:val="60B6DF70"/>
    <w:multiLevelType w:val="hybridMultilevel"/>
    <w:lvl w:ilvl="0">
      <w:lvlJc w:val="left"/>
      <w:lvlText w:val="(%1)"/>
      <w:numFmt w:val="lowerLetter"/>
      <w:start w:val="1"/>
    </w:lvl>
  </w:abstractNum>
  <w:abstractNum w:abstractNumId="15">
    <w:nsid w:val="6A5EE64"/>
    <w:multiLevelType w:val="hybridMultilevel"/>
    <w:lvl w:ilvl="0">
      <w:lvlJc w:val="left"/>
      <w:lvlText w:val="(%1)"/>
      <w:numFmt w:val="lowerLetter"/>
      <w:start w:val="3"/>
    </w:lvl>
  </w:abstractNum>
  <w:abstractNum w:abstractNumId="16">
    <w:nsid w:val="14330624"/>
    <w:multiLevelType w:val="hybridMultilevel"/>
    <w:lvl w:ilvl="0">
      <w:lvlJc w:val="left"/>
      <w:lvlText w:val="(%1)"/>
      <w:numFmt w:val="lowerLetter"/>
      <w:start w:val="1"/>
    </w:lvl>
  </w:abstractNum>
  <w:abstractNum w:abstractNumId="17">
    <w:nsid w:val="7FFFCA11"/>
    <w:multiLevelType w:val="hybridMultilevel"/>
    <w:lvl w:ilvl="0">
      <w:lvlJc w:val="left"/>
      <w:lvlText w:val="(%1)"/>
      <w:numFmt w:val="lowerLetter"/>
      <w:start w:val="1"/>
    </w:lvl>
  </w:abstractNum>
  <w:abstractNum w:abstractNumId="18">
    <w:nsid w:val="1A27709E"/>
    <w:multiLevelType w:val="hybridMultilevel"/>
    <w:lvl w:ilvl="0">
      <w:lvlJc w:val="left"/>
      <w:lvlText w:val="(%1)"/>
      <w:numFmt w:val="lowerLetter"/>
      <w:start w:val="7"/>
    </w:lvl>
  </w:abstractNum>
  <w:abstractNum w:abstractNumId="19">
    <w:nsid w:val="71EA1109"/>
    <w:multiLevelType w:val="hybridMultilevel"/>
    <w:lvl w:ilvl="0">
      <w:lvlJc w:val="left"/>
      <w:lvlText w:val="(%1)"/>
      <w:numFmt w:val="lowerLetter"/>
      <w:start w:val="1"/>
    </w:lvl>
    <w:lvl w:ilvl="1">
      <w:lvlJc w:val="left"/>
      <w:lvlText w:val="(%2)"/>
      <w:numFmt w:val="lowerRoman"/>
      <w:start w:val="1"/>
    </w:lvl>
  </w:abstractNum>
  <w:abstractNum w:abstractNumId="20">
    <w:nsid w:val="100F59DC"/>
    <w:multiLevelType w:val="hybridMultilevel"/>
    <w:lvl w:ilvl="0">
      <w:lvlJc w:val="left"/>
      <w:lvlText w:val="(%1)"/>
      <w:numFmt w:val="lowerRoman"/>
      <w:start w:val="6"/>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lowerLetter"/>
      <w:start w:val="2"/>
    </w:lvl>
  </w:abstractNum>
  <w:abstractNum w:abstractNumId="23">
    <w:nsid w:val="6F6DD9AC"/>
    <w:multiLevelType w:val="hybridMultilevel"/>
    <w:lvl w:ilvl="0">
      <w:lvlJc w:val="left"/>
      <w:lvlText w:val="(%1)"/>
      <w:numFmt w:val="lowerLetter"/>
      <w:start w:val="1"/>
    </w:lvl>
    <w:lvl w:ilvl="1">
      <w:lvlJc w:val="left"/>
      <w:lvlText w:val="(%2)"/>
      <w:numFmt w:val="lowerLetter"/>
      <w:start w:val="9"/>
    </w:lvl>
  </w:abstractNum>
  <w:abstractNum w:abstractNumId="24">
    <w:nsid w:val="94211F2"/>
    <w:multiLevelType w:val="hybridMultilevel"/>
    <w:lvl w:ilvl="0">
      <w:lvlJc w:val="left"/>
      <w:lvlText w:val="(%1)"/>
      <w:numFmt w:val="lowerRoman"/>
      <w:start w:val="2"/>
    </w:lvl>
    <w:lvl w:ilvl="1">
      <w:lvlJc w:val="left"/>
      <w:lvlText w:val="(%2)"/>
      <w:numFmt w:val="upperLetter"/>
      <w:start w:val="1"/>
    </w:lvl>
  </w:abstractNum>
  <w:abstractNum w:abstractNumId="25">
    <w:nsid w:val="885E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6">
    <w:nsid w:val="76272110"/>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7">
    <w:nsid w:val="4C04A8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
    <w:nsid w:val="1716703B"/>
    <w:multiLevelType w:val="hybridMultilevel"/>
    <w:lvl w:ilvl="0">
      <w:lvlJc w:val="left"/>
      <w:lvlText w:val="(%1)"/>
      <w:numFmt w:val="lowerRoman"/>
      <w:start w:val="2"/>
    </w:lvl>
  </w:abstractNum>
  <w:abstractNum w:abstractNumId="29">
    <w:nsid w:val="14E17E33"/>
    <w:multiLevelType w:val="hybridMultilevel"/>
    <w:lvl w:ilvl="0">
      <w:lvlJc w:val="left"/>
      <w:lvlText w:val="%1"/>
      <w:numFmt w:val="lowerLetter"/>
      <w:start w:val="1"/>
    </w:lvl>
    <w:lvl w:ilvl="1">
      <w:lvlJc w:val="left"/>
      <w:lvlText w:val="(%2)"/>
      <w:numFmt w:val="lowerRoman"/>
      <w:start w:val="4"/>
    </w:lvl>
  </w:abstractNum>
  <w:abstractNum w:abstractNumId="30">
    <w:nsid w:val="3222E7CD"/>
    <w:multiLevelType w:val="hybridMultilevel"/>
    <w:lvl w:ilvl="0">
      <w:lvlJc w:val="left"/>
      <w:lvlText w:val="(%1)"/>
      <w:numFmt w:val="lowerLetter"/>
      <w:start w:val="3"/>
    </w:lvl>
    <w:lvl w:ilvl="1">
      <w:lvlJc w:val="left"/>
      <w:lvlText w:val="(%2)"/>
      <w:numFmt w:val="lowerRoman"/>
      <w:start w:val="1"/>
    </w:lvl>
  </w:abstractNum>
  <w:abstractNum w:abstractNumId="31">
    <w:nsid w:val="74DE0EE3"/>
    <w:multiLevelType w:val="hybridMultilevel"/>
    <w:lvl w:ilvl="0">
      <w:lvlJc w:val="left"/>
      <w:lvlText w:val="(%1)"/>
      <w:numFmt w:val="lowerRoman"/>
      <w:start w:val="3"/>
    </w:lvl>
  </w:abstractNum>
  <w:abstractNum w:abstractNumId="32">
    <w:nsid w:val="68EBC550"/>
    <w:multiLevelType w:val="hybridMultilevel"/>
    <w:lvl w:ilvl="0">
      <w:lvlJc w:val="left"/>
      <w:lvlText w:val="(%1)"/>
      <w:numFmt w:val="lowerLetter"/>
      <w:start w:val="4"/>
    </w:lvl>
    <w:lvl w:ilvl="1">
      <w:lvlJc w:val="left"/>
      <w:lvlText w:val="(%2)"/>
      <w:numFmt w:val="lowerRoman"/>
      <w:start w:val="1"/>
    </w:lvl>
  </w:abstractNum>
  <w:abstractNum w:abstractNumId="33">
    <w:nsid w:val="2DF6D648"/>
    <w:multiLevelType w:val="hybridMultilevel"/>
    <w:lvl w:ilvl="0">
      <w:lvlJc w:val="left"/>
      <w:lvlText w:val="(%1)"/>
      <w:numFmt w:val="lowerRoman"/>
      <w:start w:val="6"/>
    </w:lvl>
  </w:abstractNum>
  <w:abstractNum w:abstractNumId="34">
    <w:nsid w:val="46B7D447"/>
    <w:multiLevelType w:val="hybridMultilevel"/>
    <w:lvl w:ilvl="0">
      <w:lvlJc w:val="left"/>
      <w:lvlText w:val="(%1)"/>
      <w:numFmt w:val="lowerLetter"/>
      <w:start w:val="6"/>
    </w:lvl>
  </w:abstractNum>
  <w:abstractNum w:abstractNumId="35">
    <w:nsid w:val="4A2AC315"/>
    <w:multiLevelType w:val="hybridMultilevel"/>
    <w:lvl w:ilvl="0">
      <w:lvlJc w:val="left"/>
      <w:lvlText w:val="(%1)"/>
      <w:numFmt w:val="lowerLetter"/>
      <w:start w:val="7"/>
    </w:lvl>
  </w:abstractNum>
  <w:abstractNum w:abstractNumId="36">
    <w:nsid w:val="39EE015C"/>
    <w:multiLevelType w:val="hybridMultilevel"/>
    <w:lvl w:ilvl="0">
      <w:lvlJc w:val="left"/>
      <w:lvlText w:val="(%1)"/>
      <w:numFmt w:val="lowerLetter"/>
      <w:start w:val="10"/>
    </w:lvl>
  </w:abstractNum>
  <w:abstractNum w:abstractNumId="37">
    <w:nsid w:val="57FC4FBB"/>
    <w:multiLevelType w:val="hybridMultilevel"/>
    <w:lvl w:ilvl="0">
      <w:lvlJc w:val="left"/>
      <w:lvlText w:val="(%1)"/>
      <w:numFmt w:val="lowerLetter"/>
      <w:start w:val="1"/>
    </w:lvl>
  </w:abstractNum>
  <w:abstractNum w:abstractNumId="38">
    <w:nsid w:val="CC1016F"/>
    <w:multiLevelType w:val="hybridMultilevel"/>
    <w:lvl w:ilvl="0">
      <w:lvlJc w:val="left"/>
      <w:lvlText w:val="(%1)"/>
      <w:numFmt w:val="lowerLetter"/>
      <w:start w:val="3"/>
    </w:lvl>
    <w:lvl w:ilvl="1">
      <w:lvlJc w:val="left"/>
      <w:lvlText w:val="(%2)"/>
      <w:numFmt w:val="lowerRoman"/>
      <w:start w:val="1"/>
    </w:lvl>
  </w:abstractNum>
  <w:abstractNum w:abstractNumId="39">
    <w:nsid w:val="43F18422"/>
    <w:multiLevelType w:val="hybridMultilevel"/>
    <w:lvl w:ilvl="0">
      <w:lvlJc w:val="left"/>
      <w:lvlText w:val="%1"/>
      <w:numFmt w:val="lowerLetter"/>
      <w:start w:val="1"/>
    </w:lvl>
    <w:lvl w:ilvl="1">
      <w:lvlJc w:val="left"/>
      <w:lvlText w:val="(%2)"/>
      <w:numFmt w:val="lowerRoman"/>
      <w:start w:val="4"/>
    </w:lvl>
  </w:abstractNum>
  <w:abstractNum w:abstractNumId="40">
    <w:nsid w:val="60EF0119"/>
    <w:multiLevelType w:val="hybridMultilevel"/>
    <w:lvl w:ilvl="0">
      <w:lvlJc w:val="left"/>
      <w:lvlText w:val="(%1)"/>
      <w:numFmt w:val="lowerLetter"/>
      <w:start w:val="4"/>
    </w:lvl>
    <w:lvl w:ilvl="1">
      <w:lvlJc w:val="left"/>
      <w:lvlText w:val="(%2)"/>
      <w:numFmt w:val="lowerRoman"/>
      <w:start w:val="1"/>
    </w:lvl>
  </w:abstractNum>
  <w:abstractNum w:abstractNumId="41">
    <w:nsid w:val="26F324BA"/>
    <w:multiLevelType w:val="hybridMultilevel"/>
    <w:lvl w:ilvl="0">
      <w:lvlJc w:val="left"/>
      <w:lvlText w:val="(%1)"/>
      <w:numFmt w:val="lowerLetter"/>
      <w:start w:val="1"/>
    </w:lvl>
    <w:lvl w:ilvl="1">
      <w:lvlJc w:val="left"/>
      <w:lvlText w:val="(%2)"/>
      <w:numFmt w:val="lowerRoman"/>
      <w:start w:val="1"/>
    </w:lvl>
  </w:abstractNum>
  <w:abstractNum w:abstractNumId="42">
    <w:nsid w:val="7F01579B"/>
    <w:multiLevelType w:val="hybridMultilevel"/>
    <w:lvl w:ilvl="0">
      <w:lvlJc w:val="left"/>
      <w:lvlText w:val="(%1)"/>
      <w:numFmt w:val="lowerRoman"/>
      <w:start w:val="2"/>
    </w:lvl>
  </w:abstractNum>
  <w:abstractNum w:abstractNumId="43">
    <w:nsid w:val="49DA307D"/>
    <w:multiLevelType w:val="hybridMultilevel"/>
    <w:lvl w:ilvl="0">
      <w:lvlJc w:val="left"/>
      <w:lvlText w:val="(%1)"/>
      <w:numFmt w:val="lowerLetter"/>
      <w:start w:val="1"/>
    </w:lvl>
  </w:abstractNum>
  <w:abstractNum w:abstractNumId="44">
    <w:nsid w:val="7055A5F5"/>
    <w:multiLevelType w:val="hybridMultilevel"/>
    <w:lvl w:ilvl="0">
      <w:lvlJc w:val="left"/>
      <w:lvlText w:val="(%1)"/>
      <w:numFmt w:val="lowerLetter"/>
      <w:start w:val="1"/>
    </w:lvl>
    <w:lvl w:ilvl="1">
      <w:lvlJc w:val="left"/>
      <w:lvlText w:val="(%2)"/>
      <w:numFmt w:val="lowerRoman"/>
      <w:start w:val="2"/>
    </w:lvl>
  </w:abstractNum>
  <w:abstractNum w:abstractNumId="45">
    <w:nsid w:val="5FB8370B"/>
    <w:multiLevelType w:val="hybridMultilevel"/>
    <w:lvl w:ilvl="0">
      <w:lvlJc w:val="left"/>
      <w:lvlText w:val="(%1)"/>
      <w:numFmt w:val="lowerLetter"/>
      <w:start w:val="1"/>
    </w:lvl>
  </w:abstractNum>
  <w:abstractNum w:abstractNumId="46">
    <w:nsid w:val="50801EE1"/>
    <w:multiLevelType w:val="hybridMultilevel"/>
    <w:lvl w:ilvl="0">
      <w:lvlJc w:val="left"/>
      <w:lvlText w:val="(%1)"/>
      <w:numFmt w:val="lowerLetter"/>
      <w:start w:val="2"/>
    </w:lvl>
    <w:lvl w:ilvl="1">
      <w:lvlJc w:val="left"/>
      <w:lvlText w:val="(%2)"/>
      <w:numFmt w:val="lowerRoman"/>
      <w:start w:val="1"/>
    </w:lvl>
  </w:abstractNum>
  <w:abstractNum w:abstractNumId="47">
    <w:nsid w:val="488AC1A"/>
    <w:multiLevelType w:val="hybridMultilevel"/>
    <w:lvl w:ilvl="0">
      <w:lvlJc w:val="left"/>
      <w:lvlText w:val="(%1)"/>
      <w:numFmt w:val="lowerLetter"/>
      <w:start w:val="1"/>
    </w:lvl>
  </w:abstractNum>
  <w:abstractNum w:abstractNumId="48">
    <w:nsid w:val="5FB8011C"/>
    <w:multiLevelType w:val="hybridMultilevel"/>
    <w:lvl w:ilvl="0">
      <w:lvlJc w:val="left"/>
      <w:lvlText w:val="(%1)"/>
      <w:numFmt w:val="lowerLetter"/>
      <w:start w:val="1"/>
    </w:lvl>
  </w:abstractNum>
  <w:abstractNum w:abstractNumId="49">
    <w:nsid w:val="6AA78F7F"/>
    <w:multiLevelType w:val="hybridMultilevel"/>
    <w:lvl w:ilvl="0">
      <w:lvlJc w:val="left"/>
      <w:lvlText w:val="%1"/>
      <w:numFmt w:val="lowerLetter"/>
      <w:start w:val="1"/>
    </w:lvl>
    <w:lvl w:ilvl="1">
      <w:lvlJc w:val="left"/>
      <w:lvlText w:val="(%2)"/>
      <w:numFmt w:val="lowerRoman"/>
      <w:start w:val="2"/>
    </w:lvl>
  </w:abstractNum>
  <w:abstractNum w:abstractNumId="50">
    <w:nsid w:val="7672BD23"/>
    <w:multiLevelType w:val="hybridMultilevel"/>
    <w:lvl w:ilvl="0">
      <w:lvlJc w:val="left"/>
      <w:lvlText w:val="(%1)"/>
      <w:numFmt w:val="lowerLetter"/>
      <w:start w:val="3"/>
    </w:lvl>
    <w:lvl w:ilvl="1">
      <w:lvlJc w:val="left"/>
      <w:lvlText w:val="%2"/>
      <w:numFmt w:val="lowerRoman"/>
      <w:start w:val="1"/>
    </w:lvl>
  </w:abstractNum>
  <w:abstractNum w:abstractNumId="51">
    <w:nsid w:val="6FC75AF8"/>
    <w:multiLevelType w:val="hybridMultilevel"/>
    <w:lvl w:ilvl="0">
      <w:lvlJc w:val="left"/>
      <w:lvlText w:val="(%1)"/>
      <w:numFmt w:val="lowerRoman"/>
      <w:start w:val="1"/>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Letter"/>
      <w:start w:val="3"/>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3"/>
    </w:lvl>
  </w:abstractNum>
  <w:abstractNum w:abstractNumId="56">
    <w:nsid w:val="7DE67713"/>
    <w:multiLevelType w:val="hybridMultilevel"/>
    <w:lvl w:ilvl="0">
      <w:lvlJc w:val="left"/>
      <w:lvlText w:val="(%1)"/>
      <w:numFmt w:val="lowerLetter"/>
      <w:start w:val="1"/>
    </w:lvl>
    <w:lvl w:ilvl="1">
      <w:lvlJc w:val="left"/>
      <w:lvlText w:val="(%2)"/>
      <w:numFmt w:val="lowerRoman"/>
      <w:start w:val="1"/>
    </w:lvl>
  </w:abstractNum>
  <w:abstractNum w:abstractNumId="57">
    <w:nsid w:val="555C55B5"/>
    <w:multiLevelType w:val="hybridMultilevel"/>
    <w:lvl w:ilvl="0">
      <w:lvlJc w:val="left"/>
      <w:lvlText w:val="(%1)"/>
      <w:numFmt w:val="lowerRoman"/>
      <w:start w:val="3"/>
    </w:lvl>
    <w:lvl w:ilvl="1">
      <w:lvlJc w:val="left"/>
      <w:lvlText w:val="(%2)"/>
      <w:numFmt w:val="upperLetter"/>
      <w:start w:val="1"/>
    </w:lvl>
  </w:abstractNum>
  <w:abstractNum w:abstractNumId="58">
    <w:nsid w:val="3FA62ACA"/>
    <w:multiLevelType w:val="hybridMultilevel"/>
    <w:lvl w:ilvl="0">
      <w:lvlJc w:val="left"/>
      <w:lvlText w:val="(%1)"/>
      <w:numFmt w:val="lowerLetter"/>
      <w:start w:val="2"/>
    </w:lvl>
  </w:abstractNum>
  <w:abstractNum w:abstractNumId="59">
    <w:nsid w:val="14FCE74E"/>
    <w:multiLevelType w:val="hybridMultilevel"/>
    <w:lvl w:ilvl="0">
      <w:lvlJc w:val="left"/>
      <w:lvlText w:val="(%1)"/>
      <w:numFmt w:val="lowerLetter"/>
      <w:start w:val="1"/>
    </w:lvl>
  </w:abstractNum>
  <w:abstractNum w:abstractNumId="60">
    <w:nsid w:val="6A3DD3E8"/>
    <w:multiLevelType w:val="hybridMultilevel"/>
    <w:lvl w:ilvl="0">
      <w:lvlJc w:val="left"/>
      <w:lvlText w:val="(%1)"/>
      <w:numFmt w:val="lowerLetter"/>
      <w:start w:val="2"/>
    </w:lvl>
    <w:lvl w:ilvl="1">
      <w:lvlJc w:val="left"/>
      <w:lvlText w:val="(%2)"/>
      <w:numFmt w:val="lowerLetter"/>
      <w:start w:val="9"/>
    </w:lvl>
  </w:abstractNum>
  <w:abstractNum w:abstractNumId="61">
    <w:nsid w:val="71C91298"/>
    <w:multiLevelType w:val="hybridMultilevel"/>
    <w:lvl w:ilvl="0">
      <w:lvlJc w:val="left"/>
      <w:lvlText w:val="%1"/>
      <w:numFmt w:val="lowerLetter"/>
      <w:start w:val="1"/>
    </w:lvl>
    <w:lvl w:ilvl="1">
      <w:lvlJc w:val="left"/>
      <w:lvlText w:val="(%2)"/>
      <w:numFmt w:val="lowerLetter"/>
      <w:start w:val="35"/>
    </w:lvl>
  </w:abstractNum>
  <w:abstractNum w:abstractNumId="62">
    <w:nsid w:val="9DAF632"/>
    <w:multiLevelType w:val="hybridMultilevel"/>
    <w:lvl w:ilvl="0">
      <w:lvlJc w:val="left"/>
      <w:lvlText w:val="(%1)"/>
      <w:numFmt w:val="lowerLetter"/>
      <w:start w:val="7"/>
    </w:lvl>
    <w:lvl w:ilvl="1">
      <w:lvlJc w:val="left"/>
      <w:lvlText w:val="%2"/>
      <w:numFmt w:val="lowerLetter"/>
      <w:start w:val="1"/>
    </w:lvl>
  </w:abstractNum>
  <w:abstractNum w:abstractNumId="63">
    <w:nsid w:val="53299938"/>
    <w:multiLevelType w:val="hybridMultilevel"/>
    <w:lvl w:ilvl="0">
      <w:lvlJc w:val="left"/>
      <w:lvlText w:val="(%1)"/>
      <w:numFmt w:val="lowerLetter"/>
      <w:start w:val="1"/>
    </w:lvl>
    <w:lvl w:ilvl="1">
      <w:lvlJc w:val="left"/>
      <w:lvlText w:val="(%2)"/>
      <w:numFmt w:val="lowerRoman"/>
      <w:start w:val="1"/>
    </w:lvl>
  </w:abstractNum>
  <w:abstractNum w:abstractNumId="64">
    <w:nsid w:val="1FBFE8E0"/>
    <w:multiLevelType w:val="hybridMultilevel"/>
    <w:lvl w:ilvl="0">
      <w:lvlJc w:val="left"/>
      <w:lvlText w:val="(%1)"/>
      <w:numFmt w:val="lowerLetter"/>
      <w:start w:val="2"/>
    </w:lvl>
    <w:lvl w:ilvl="1">
      <w:lvlJc w:val="left"/>
      <w:lvlText w:val="(%2)"/>
      <w:numFmt w:val="lowerLetter"/>
      <w:start w:val="35"/>
    </w:lvl>
  </w:abstractNum>
  <w:abstractNum w:abstractNumId="65">
    <w:nsid w:val="5092CA7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6">
    <w:nsid w:val="1D545C4D"/>
    <w:multiLevelType w:val="hybridMultilevel"/>
    <w:lvl w:ilvl="0">
      <w:lvlJc w:val="left"/>
      <w:lvlText w:val="%1"/>
      <w:numFmt w:val="upperLetter"/>
      <w:start w:val="1"/>
    </w:lvl>
    <w:lvl w:ilvl="1">
      <w:lvlJc w:val="left"/>
      <w:lvlText w:val="(%2)"/>
      <w:numFmt w:val="decimal"/>
      <w:start w:val="2"/>
    </w:lvl>
  </w:abstractNum>
  <w:abstractNum w:abstractNumId="67">
    <w:nsid w:val="59ADEA3D"/>
    <w:multiLevelType w:val="hybridMultilevel"/>
    <w:lvl w:ilvl="0">
      <w:lvlJc w:val="left"/>
      <w:lvlText w:val="(%1)"/>
      <w:numFmt w:val="upperLetter"/>
      <w:start w:val="3"/>
    </w:lvl>
    <w:lvl w:ilvl="1">
      <w:lvlJc w:val="left"/>
      <w:lvlText w:val="%2"/>
      <w:numFmt w:val="decimal"/>
      <w:start w:val="1"/>
    </w:lvl>
  </w:abstractNum>
  <w:abstractNum w:abstractNumId="68">
    <w:nsid w:val="288F1A34"/>
    <w:multiLevelType w:val="hybridMultilevel"/>
    <w:lvl w:ilvl="0">
      <w:lvlJc w:val="left"/>
      <w:lvlText w:val="%1"/>
      <w:numFmt w:val="lowerLetter"/>
      <w:start w:val="1"/>
    </w:lvl>
    <w:lvl w:ilvl="1">
      <w:lvlJc w:val="left"/>
      <w:lvlText w:val="(%2)"/>
      <w:numFmt w:val="lowerLetter"/>
      <w:start w:val="61"/>
    </w:lvl>
  </w:abstractNum>
  <w:abstractNum w:abstractNumId="69">
    <w:nsid w:val="2A155DBC"/>
    <w:multiLevelType w:val="hybridMultilevel"/>
    <w:lvl w:ilvl="0">
      <w:lvlJc w:val="left"/>
      <w:lvlText w:val="(%1)"/>
      <w:numFmt w:val="lowerLetter"/>
      <w:start w:val="6"/>
    </w:lvl>
    <w:lvl w:ilvl="1">
      <w:lvlJc w:val="left"/>
      <w:lvlText w:val="%2"/>
      <w:numFmt w:val="lowerLetter"/>
      <w:start w:val="1"/>
    </w:lvl>
  </w:abstractNum>
  <w:abstractNum w:abstractNumId="70">
    <w:nsid w:val="1D9F6E5F"/>
    <w:multiLevelType w:val="hybridMultilevel"/>
    <w:lvl w:ilvl="0">
      <w:lvlJc w:val="left"/>
      <w:lvlText w:val="(%1)"/>
      <w:numFmt w:val="lowerLetter"/>
      <w:start w:val="1"/>
    </w:lvl>
  </w:abstractNum>
  <w:abstractNum w:abstractNumId="71">
    <w:nsid w:val="97E1B4E"/>
    <w:multiLevelType w:val="hybridMultilevel"/>
    <w:lvl w:ilvl="0">
      <w:lvlJc w:val="left"/>
      <w:lvlText w:val="(%1)"/>
      <w:numFmt w:val="lowerLetter"/>
      <w:start w:val="2"/>
    </w:lvl>
  </w:abstractNum>
  <w:abstractNum w:abstractNumId="72">
    <w:nsid w:val="51088277"/>
    <w:multiLevelType w:val="hybridMultilevel"/>
    <w:lvl w:ilvl="0">
      <w:lvlJc w:val="left"/>
      <w:lvlText w:val="(%1)"/>
      <w:numFmt w:val="lowerLetter"/>
      <w:start w:val="1"/>
    </w:lvl>
    <w:lvl w:ilvl="1">
      <w:lvlJc w:val="left"/>
      <w:lvlText w:val="(%2)"/>
      <w:numFmt w:val="lowerRoman"/>
      <w:start w:val="1"/>
    </w:lvl>
  </w:abstractNum>
  <w:abstractNum w:abstractNumId="73">
    <w:nsid w:val="1CA0C5FA"/>
    <w:multiLevelType w:val="hybridMultilevel"/>
    <w:lvl w:ilvl="0">
      <w:lvlJc w:val="left"/>
      <w:lvlText w:val="(%1)"/>
      <w:numFmt w:val="lowerLetter"/>
      <w:start w:val="2"/>
    </w:lvl>
  </w:abstractNum>
  <w:abstractNum w:abstractNumId="74">
    <w:nsid w:val="53584BCB"/>
    <w:multiLevelType w:val="hybridMultilevel"/>
    <w:lvl w:ilvl="0">
      <w:lvlJc w:val="left"/>
      <w:lvlText w:val="(%1)"/>
      <w:numFmt w:val="lowerLetter"/>
      <w:start w:val="3"/>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1"/>
    </w:lvl>
  </w:abstractNum>
  <w:abstractNum w:abstractNumId="77">
    <w:nsid w:val="23D86AAC"/>
    <w:multiLevelType w:val="hybridMultilevel"/>
    <w:lvl w:ilvl="0">
      <w:lvlJc w:val="left"/>
      <w:lvlText w:val="(%1)"/>
      <w:numFmt w:val="lowerRoman"/>
      <w:start w:val="1"/>
    </w:lvl>
  </w:abstractNum>
  <w:abstractNum w:abstractNumId="78">
    <w:nsid w:val="45E6D486"/>
    <w:multiLevelType w:val="hybridMultilevel"/>
    <w:lvl w:ilvl="0">
      <w:lvlJc w:val="left"/>
      <w:lvlText w:val="(%1)"/>
      <w:numFmt w:val="lowerRoman"/>
      <w:start w:val="2"/>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lowerLetter"/>
      <w:start w:val="3"/>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1"/>
    </w:lvl>
    <w:lvl w:ilvl="1">
      <w:lvlJc w:val="left"/>
      <w:lvlText w:val="(%2)"/>
      <w:numFmt w:val="lowerRoman"/>
      <w:start w:val="1"/>
    </w:lvl>
  </w:abstractNum>
  <w:abstractNum w:abstractNumId="83">
    <w:nsid w:val="78DF6A55"/>
    <w:multiLevelType w:val="hybridMultilevel"/>
    <w:lvl w:ilvl="0">
      <w:lvlJc w:val="left"/>
      <w:lvlText w:val="%1"/>
      <w:numFmt w:val="lowerLetter"/>
      <w:start w:val="1"/>
    </w:lvl>
    <w:lvl w:ilvl="1">
      <w:lvlJc w:val="left"/>
      <w:lvlText w:val="(%2)"/>
      <w:numFmt w:val="lowerRoman"/>
      <w:start w:val="4"/>
    </w:lvl>
  </w:abstractNum>
  <w:abstractNum w:abstractNumId="84">
    <w:nsid w:val="39B7AAA2"/>
    <w:multiLevelType w:val="hybridMultilevel"/>
    <w:lvl w:ilvl="0">
      <w:lvlJc w:val="left"/>
      <w:lvlText w:val="(%1)"/>
      <w:numFmt w:val="lowerLetter"/>
      <w:start w:val="6"/>
    </w:lvl>
    <w:lvl w:ilvl="1">
      <w:lvlJc w:val="left"/>
      <w:lvlText w:val="(%2)"/>
      <w:numFmt w:val="lowerRoman"/>
      <w:start w:val="1"/>
    </w:lvl>
  </w:abstractNum>
  <w:abstractNum w:abstractNumId="85">
    <w:nsid w:val="2B0D8DBE"/>
    <w:multiLevelType w:val="hybridMultilevel"/>
    <w:lvl w:ilvl="0">
      <w:lvlJc w:val="left"/>
      <w:lvlText w:val="(%1)"/>
      <w:numFmt w:val="lowerLetter"/>
      <w:start w:val="1"/>
    </w:lvl>
  </w:abstractNum>
  <w:abstractNum w:abstractNumId="86">
    <w:nsid w:val="6C80EC70"/>
    <w:multiLevelType w:val="hybridMultilevel"/>
    <w:lvl w:ilvl="0">
      <w:lvlJc w:val="left"/>
      <w:lvlText w:val="(%1)"/>
      <w:numFmt w:val="lowerLetter"/>
      <w:start w:val="1"/>
    </w:lvl>
  </w:abstractNum>
  <w:abstractNum w:abstractNumId="87">
    <w:nsid w:val="379E21B5"/>
    <w:multiLevelType w:val="hybridMultilevel"/>
    <w:lvl w:ilvl="0">
      <w:lvlJc w:val="left"/>
      <w:lvlText w:val="(%1)"/>
      <w:numFmt w:val="lowerLetter"/>
      <w:start w:val="1"/>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5"/>
    </w:lvl>
    <w:lvl w:ilvl="1">
      <w:lvlJc w:val="left"/>
      <w:lvlText w:val="(%2)"/>
      <w:numFmt w:val="lowerRoman"/>
      <w:start w:val="1"/>
    </w:lvl>
  </w:abstractNum>
  <w:abstractNum w:abstractNumId="90">
    <w:nsid w:val="4C9B0904"/>
    <w:multiLevelType w:val="hybridMultilevel"/>
    <w:lvl w:ilvl="0">
      <w:lvlJc w:val="left"/>
      <w:lvlText w:val="(%1)"/>
      <w:numFmt w:val="lowerLetter"/>
      <w:start w:val="2"/>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2"/>
    </w:lvl>
  </w:abstractNum>
  <w:abstractNum w:abstractNumId="95">
    <w:nsid w:val="3DB012B3"/>
    <w:multiLevelType w:val="hybridMultilevel"/>
    <w:lvl w:ilvl="0">
      <w:lvlJc w:val="left"/>
      <w:lvlText w:val="%1"/>
      <w:numFmt w:val="lowerLetter"/>
      <w:start w:val="1"/>
    </w:lvl>
    <w:lvl w:ilvl="1">
      <w:lvlJc w:val="left"/>
      <w:lvlText w:val="(%2)"/>
      <w:numFmt w:val="lowerLetter"/>
      <w:start w:val="1"/>
    </w:lvl>
  </w:abstractNum>
  <w:abstractNum w:abstractNumId="96">
    <w:nsid w:val="2708C9AF"/>
    <w:multiLevelType w:val="hybridMultilevel"/>
    <w:lvl w:ilvl="0">
      <w:lvlJc w:val="left"/>
      <w:lvlText w:val="(%1)"/>
      <w:numFmt w:val="lowerLetter"/>
      <w:start w:val="25"/>
    </w:lvl>
    <w:lvl w:ilvl="1">
      <w:lvlJc w:val="left"/>
      <w:lvlText w:val="(%2)"/>
      <w:numFmt w:val="lowerLetter"/>
      <w:start w:val="3"/>
    </w:lvl>
  </w:abstractNum>
  <w:abstractNum w:abstractNumId="97">
    <w:nsid w:val="5B25ACE2"/>
    <w:multiLevelType w:val="hybridMultilevel"/>
    <w:lvl w:ilvl="0">
      <w:lvlJc w:val="left"/>
      <w:lvlText w:val="(%1)"/>
      <w:numFmt w:val="lowerLetter"/>
      <w:start w:val="10"/>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lowerLetter"/>
      <w:start w:val="3"/>
    </w:lvl>
  </w:abstractNum>
  <w:abstractNum w:abstractNumId="100">
    <w:nsid w:val="53B0A9E"/>
    <w:multiLevelType w:val="hybridMultilevel"/>
    <w:lvl w:ilvl="0">
      <w:lvlJc w:val="left"/>
      <w:lvlText w:val="(%1)"/>
      <w:numFmt w:val="lowerLetter"/>
      <w:start w:val="9"/>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9"/>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Letter"/>
      <w:start w:val="10"/>
    </w:lvl>
  </w:abstractNum>
  <w:abstractNum w:abstractNumId="106">
    <w:nsid w:val="17A1B582"/>
    <w:multiLevelType w:val="hybridMultilevel"/>
    <w:lvl w:ilvl="0">
      <w:lvlJc w:val="left"/>
      <w:lvlText w:val="(%1)"/>
      <w:numFmt w:val="upperLetter"/>
      <w:start w:val="1"/>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1"/>
    </w:lvl>
    <w:lvl w:ilvl="1">
      <w:lvlJc w:val="left"/>
      <w:lvlText w:val="(%2)"/>
      <w:numFmt w:val="lowerLetter"/>
      <w:start w:val="2"/>
    </w:lvl>
  </w:abstractNum>
  <w:abstractNum w:abstractNumId="110">
    <w:nsid w:val="2A082C70"/>
    <w:multiLevelType w:val="hybridMultilevel"/>
    <w:lvl w:ilvl="0">
      <w:lvlJc w:val="left"/>
      <w:lvlText w:val="(%1)"/>
      <w:numFmt w:val="lowerLetter"/>
      <w:start w:val="9"/>
    </w:lvl>
    <w:lvl w:ilvl="1">
      <w:lvlJc w:val="left"/>
      <w:lvlText w:val="(%2)"/>
      <w:numFmt w:val="lowerLetter"/>
      <w:start w:val="5"/>
    </w:lvl>
  </w:abstractNum>
  <w:abstractNum w:abstractNumId="111">
    <w:nsid w:val="5EC6AFD4"/>
    <w:multiLevelType w:val="hybridMultilevel"/>
    <w:lvl w:ilvl="0">
      <w:lvlJc w:val="left"/>
      <w:lvlText w:val="(%1)"/>
      <w:numFmt w:val="lowerLetter"/>
      <w:start w:val="7"/>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1)"/>
      <w:numFmt w:val="lowerLetter"/>
      <w:start w:val="2"/>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2"/>
    </w:lvl>
  </w:abstractNum>
  <w:abstractNum w:abstractNumId="117">
    <w:nsid w:val="4427069A"/>
    <w:multiLevelType w:val="hybridMultilevel"/>
    <w:lvl w:ilvl="0">
      <w:lvlJc w:val="left"/>
      <w:lvlText w:val="(%1)"/>
      <w:numFmt w:val="lowerLetter"/>
      <w:start w:val="1"/>
    </w:lvl>
  </w:abstractNum>
  <w:abstractNum w:abstractNumId="118">
    <w:nsid w:val="B37E80A"/>
    <w:multiLevelType w:val="hybridMultilevel"/>
    <w:lvl w:ilvl="0">
      <w:lvlJc w:val="left"/>
      <w:lvlText w:val="(%1)"/>
      <w:numFmt w:val="lowerLetter"/>
      <w:start w:val="1"/>
    </w:lvl>
    <w:lvl w:ilvl="1">
      <w:lvlJc w:val="left"/>
      <w:lvlText w:val="(%2)"/>
      <w:numFmt w:val="lowerRoman"/>
      <w:start w:val="1"/>
    </w:lvl>
  </w:abstractNum>
  <w:abstractNum w:abstractNumId="119">
    <w:nsid w:val="2157F6BC"/>
    <w:multiLevelType w:val="hybridMultilevel"/>
    <w:lvl w:ilvl="0">
      <w:lvlJc w:val="left"/>
      <w:lvlText w:val="(%1)"/>
      <w:numFmt w:val="lowerLetter"/>
      <w:start w:val="4"/>
    </w:lvl>
  </w:abstractNum>
  <w:abstractNum w:abstractNumId="120">
    <w:nsid w:val="704E1DD5"/>
    <w:multiLevelType w:val="hybridMultilevel"/>
    <w:lvl w:ilvl="0">
      <w:lvlJc w:val="left"/>
      <w:lvlText w:val="(%1)"/>
      <w:numFmt w:val="lowerLetter"/>
      <w:start w:val="1"/>
    </w:lvl>
  </w:abstractNum>
  <w:abstractNum w:abstractNumId="121">
    <w:nsid w:val="57D2F10E"/>
    <w:multiLevelType w:val="hybridMultilevel"/>
    <w:lvl w:ilvl="0">
      <w:lvlJc w:val="left"/>
      <w:lvlText w:val="(%1)"/>
      <w:numFmt w:val="lowerRoman"/>
      <w:start w:val="1"/>
    </w:lvl>
  </w:abstractNum>
  <w:abstractNum w:abstractNumId="122">
    <w:nsid w:val="BFFAE18"/>
    <w:multiLevelType w:val="hybridMultilevel"/>
    <w:lvl w:ilvl="0">
      <w:lvlJc w:val="left"/>
      <w:lvlText w:val="(%1)"/>
      <w:numFmt w:val="lowerLetter"/>
      <w:start w:val="2"/>
    </w:lvl>
  </w:abstractNum>
  <w:abstractNum w:abstractNumId="123">
    <w:nsid w:val="E3E47A8"/>
    <w:multiLevelType w:val="hybridMultilevel"/>
    <w:lvl w:ilvl="0">
      <w:lvlJc w:val="left"/>
      <w:lvlText w:val="(%1)"/>
      <w:numFmt w:val="lowerLetter"/>
      <w:start w:val="3"/>
    </w:lvl>
  </w:abstractNum>
  <w:abstractNum w:abstractNumId="124">
    <w:nsid w:val="2E48F044"/>
    <w:multiLevelType w:val="hybridMultilevel"/>
    <w:lvl w:ilvl="0">
      <w:lvlJc w:val="left"/>
      <w:lvlText w:val="(%1)"/>
      <w:numFmt w:val="lowerLetter"/>
      <w:start w:val="4"/>
    </w:lvl>
  </w:abstractNum>
  <w:abstractNum w:abstractNumId="125">
    <w:nsid w:val="49D0FEAC"/>
    <w:multiLevelType w:val="hybridMultilevel"/>
    <w:lvl w:ilvl="0">
      <w:lvlJc w:val="left"/>
      <w:lvlText w:val="(%1)"/>
      <w:numFmt w:val="lowerLetter"/>
      <w:start w:val="4"/>
    </w:lvl>
  </w:abstractNum>
  <w:abstractNum w:abstractNumId="126">
    <w:nsid w:val="4BEE5A5B"/>
    <w:multiLevelType w:val="hybridMultilevel"/>
    <w:lvl w:ilvl="0">
      <w:lvlJc w:val="left"/>
      <w:lvlText w:val="(%1)"/>
      <w:numFmt w:val="lowerLetter"/>
      <w:start w:val="1"/>
    </w:lvl>
  </w:abstractNum>
  <w:abstractNum w:abstractNumId="127">
    <w:nsid w:val="5551B9F3"/>
    <w:multiLevelType w:val="hybridMultilevel"/>
    <w:lvl w:ilvl="0">
      <w:lvlJc w:val="left"/>
      <w:lvlText w:val="%1"/>
      <w:numFmt w:val="lowerLetter"/>
      <w:start w:val="1"/>
    </w:lvl>
    <w:lvl w:ilvl="1">
      <w:lvlJc w:val="left"/>
      <w:lvlText w:val="(%2)"/>
      <w:numFmt w:val="lowerLetter"/>
      <w:start w:val="2"/>
    </w:lvl>
  </w:abstractNum>
  <w:abstractNum w:abstractNumId="128">
    <w:nsid w:val="24F6AB8E"/>
    <w:multiLevelType w:val="hybridMultilevel"/>
    <w:lvl w:ilvl="0">
      <w:lvlJc w:val="left"/>
      <w:lvlText w:val="(%1)"/>
      <w:numFmt w:val="lowerLetter"/>
      <w:start w:val="1"/>
    </w:lvl>
    <w:lvl w:ilvl="1">
      <w:lvlJc w:val="left"/>
      <w:lvlText w:val="%2"/>
      <w:numFmt w:val="lowerLetter"/>
      <w:start w:val="1"/>
    </w:lvl>
  </w:abstractNum>
  <w:abstractNum w:abstractNumId="129">
    <w:nsid w:val="634C574C"/>
    <w:multiLevelType w:val="hybridMultilevel"/>
    <w:lvl w:ilvl="0">
      <w:lvlJc w:val="left"/>
      <w:lvlText w:val="(%1)"/>
      <w:numFmt w:val="lowerLetter"/>
      <w:start w:val="4"/>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32">
    <w:nsid w:val="1849C29B"/>
    <w:multiLevelType w:val="hybridMultilevel"/>
    <w:lvl w:ilvl="0">
      <w:lvlJc w:val="left"/>
      <w:lvlText w:val="%1"/>
      <w:numFmt w:val="lowerRoman"/>
      <w:start w:val="1"/>
    </w:lvl>
    <w:lvl w:ilvl="1">
      <w:lvlJc w:val="left"/>
      <w:lvlText w:val="(%2)"/>
      <w:numFmt w:val="upperLetter"/>
      <w:start w:val="2"/>
    </w:lvl>
  </w:abstractNum>
  <w:abstractNum w:abstractNumId="133">
    <w:nsid w:val="7DFF9D09"/>
    <w:multiLevelType w:val="hybridMultilevel"/>
    <w:lvl w:ilvl="0">
      <w:lvlJc w:val="left"/>
      <w:lvlText w:val="(%1)"/>
      <w:numFmt w:val="lowerRoman"/>
      <w:start w:val="4"/>
    </w:lvl>
    <w:lvl w:ilvl="1">
      <w:lvlJc w:val="left"/>
      <w:lvlText w:val="%2"/>
      <w:numFmt w:val="upperLetter"/>
      <w:start w:val="1"/>
    </w:lvl>
  </w:abstractNum>
  <w:abstractNum w:abstractNumId="134">
    <w:nsid w:val="754342"/>
    <w:multiLevelType w:val="hybridMultilevel"/>
    <w:lvl w:ilvl="0">
      <w:lvlJc w:val="left"/>
      <w:lvlText w:val="(%1)"/>
      <w:numFmt w:val="lowerRoman"/>
      <w:start w:val="7"/>
    </w:lvl>
  </w:abstractNum>
  <w:abstractNum w:abstractNumId="135">
    <w:nsid w:val="69E7F3E5"/>
    <w:multiLevelType w:val="hybridMultilevel"/>
    <w:lvl w:ilvl="0">
      <w:lvlJc w:val="left"/>
      <w:lvlText w:val="(%1)"/>
      <w:numFmt w:val="lowerLetter"/>
      <w:start w:val="3"/>
    </w:lvl>
  </w:abstractNum>
  <w:abstractNum w:abstractNumId="136">
    <w:nsid w:val="2A6DE806"/>
    <w:multiLevelType w:val="hybridMultilevel"/>
    <w:lvl w:ilvl="0">
      <w:lvlJc w:val="left"/>
      <w:lvlText w:val="(%1)"/>
      <w:numFmt w:val="lowerLetter"/>
      <w:start w:val="5"/>
    </w:lvl>
  </w:abstractNum>
  <w:abstractNum w:abstractNumId="137">
    <w:nsid w:val="1816F8C4"/>
    <w:multiLevelType w:val="hybridMultilevel"/>
    <w:lvl w:ilvl="0">
      <w:lvlJc w:val="left"/>
      <w:lvlText w:val="(%1)"/>
      <w:numFmt w:val="lowerLetter"/>
      <w:start w:val="8"/>
    </w:lvl>
  </w:abstractNum>
  <w:abstractNum w:abstractNumId="138">
    <w:nsid w:val="37DF2233"/>
    <w:multiLevelType w:val="hybridMultilevel"/>
    <w:lvl w:ilvl="0">
      <w:lvlJc w:val="left"/>
      <w:lvlText w:val="(%1)"/>
      <w:numFmt w:val="lowerLetter"/>
      <w:start w:val="7"/>
    </w:lvl>
  </w:abstractNum>
  <w:abstractNum w:abstractNumId="139">
    <w:nsid w:val="7AB49DAF"/>
    <w:multiLevelType w:val="hybridMultilevel"/>
    <w:lvl w:ilvl="0">
      <w:lvlJc w:val="left"/>
      <w:lvlText w:val="(%1)"/>
      <w:numFmt w:val="lowerLetter"/>
      <w:start w:val="2"/>
    </w:lvl>
  </w:abstractNum>
  <w:abstractNum w:abstractNumId="140">
    <w:nsid w:val="759F82CD"/>
    <w:multiLevelType w:val="hybridMultilevel"/>
    <w:lvl w:ilvl="0">
      <w:lvlJc w:val="left"/>
      <w:lvlText w:val="(%1)"/>
      <w:numFmt w:val="lowerRoman"/>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lowerLetter"/>
      <w:start w:val="1"/>
    </w:lvl>
  </w:abstractNum>
  <w:abstractNum w:abstractNumId="143">
    <w:nsid w:val="F819E7F"/>
    <w:multiLevelType w:val="hybridMultilevel"/>
    <w:lvl w:ilvl="0">
      <w:lvlJc w:val="left"/>
      <w:lvlText w:val="(%1)"/>
      <w:numFmt w:val="lowerLetter"/>
      <w:start w:val="6"/>
    </w:lvl>
  </w:abstractNum>
  <w:abstractNum w:abstractNumId="144">
    <w:nsid w:val="57C7D42D"/>
    <w:multiLevelType w:val="hybridMultilevel"/>
    <w:lvl w:ilvl="0">
      <w:lvlJc w:val="left"/>
      <w:lvlText w:val="(%1)"/>
      <w:numFmt w:val="lowerLetter"/>
      <w:start w:val="8"/>
    </w:lvl>
  </w:abstractNum>
  <w:abstractNum w:abstractNumId="145">
    <w:nsid w:val="312167AD"/>
    <w:multiLevelType w:val="hybridMultilevel"/>
    <w:lvl w:ilvl="0">
      <w:lvlJc w:val="left"/>
      <w:lvlText w:val="(%1)"/>
      <w:numFmt w:val="lowerLetter"/>
      <w:start w:val="1"/>
    </w:lvl>
    <w:lvl w:ilvl="1">
      <w:lvlJc w:val="left"/>
      <w:lvlText w:val="(%2)"/>
      <w:numFmt w:val="lowerRoman"/>
      <w:start w:val="1"/>
    </w:lvl>
  </w:abstractNum>
  <w:abstractNum w:abstractNumId="146">
    <w:nsid w:val="631B64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2019-12-28T09:09:42Z</dcterms:created>
  <dcterms:modified xsi:type="dcterms:W3CDTF">2019-12-28T09:09:42Z</dcterms:modified>
</cp:coreProperties>
</file>