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3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 April 10, 2008</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BRADY MATCHED 401(K) PLAN</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Commission File Number 1-14959</w:t>
      </w:r>
    </w:p>
    <w:p>
      <w:pPr>
        <w:sectPr>
          <w:pgSz w:w="11900" w:h="16838" w:orient="portrait"/>
          <w:cols w:equalWidth="0" w:num="1">
            <w:col w:w="11300"/>
          </w:cols>
          <w:pgMar w:left="240" w:top="921"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Wisconsin</w:t>
      </w:r>
    </w:p>
    <w:p>
      <w:pPr>
        <w:spacing w:after="0" w:line="27"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39-0971239</w:t>
      </w:r>
    </w:p>
    <w:p>
      <w:pPr>
        <w:spacing w:after="0" w:line="2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1" w:right="359" w:bottom="1440" w:gutter="0" w:footer="0" w:header="0"/>
          <w:type w:val="continuous"/>
        </w:sectPr>
      </w:pP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6555 West Good Hope Road</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(414) 358-6600</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(Registrant’s Telephone Number)</w:t>
      </w:r>
    </w:p>
    <w:p>
      <w:pPr>
        <w:sectPr>
          <w:pgSz w:w="11900" w:h="16838" w:orient="portrait"/>
          <w:cols w:equalWidth="0" w:num="1">
            <w:col w:w="11300"/>
          </w:cols>
          <w:pgMar w:left="240" w:top="921" w:right="359" w:bottom="1440" w:gutter="0" w:footer="0" w:header="0"/>
          <w:type w:val="continuous"/>
        </w:sect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(17CFR 240.14d-2(b))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1"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4.01 CHANGES IN REGISTRANT’S CERTIFYING ACCOUNTANT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Explanatory Note: The Change in Registrant’s Certifying Accountant referenced below relates solely to the Brady Matched 401(k) Plan (the “Plan”).</w:t>
      </w:r>
    </w:p>
    <w:p>
      <w:pPr>
        <w:spacing w:after="0" w:line="113" w:lineRule="exact"/>
        <w:rPr>
          <w:sz w:val="20"/>
          <w:szCs w:val="20"/>
          <w:color w:val="auto"/>
        </w:rPr>
      </w:pPr>
    </w:p>
    <w:p>
      <w:pPr>
        <w:ind w:right="420" w:firstLine="8"/>
        <w:spacing w:after="0" w:line="268" w:lineRule="auto"/>
        <w:tabs>
          <w:tab w:leader="none" w:pos="19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Previous Independent Registered Public Accounting Firm. </w:t>
      </w:r>
      <w:r>
        <w:rPr>
          <w:rFonts w:ascii="Times New Roman" w:cs="Times New Roman" w:eastAsia="Times New Roman" w:hAnsi="Times New Roman"/>
          <w:sz w:val="18"/>
          <w:szCs w:val="18"/>
          <w:color w:val="auto"/>
        </w:rPr>
        <w:t>On April 10, 2008, the Retirement Committee responsible for the Plan,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 by the Brady Corporation (the “Company”) Audit Committee, dismissed Deloitte and Touche LLP (“Deloitte &amp; Touche”) as the Plan’s independent registered public accounting firm.</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reports of Deloitte &amp; Touche on the financial statements of the Plan for the years ended December 31, 2005 and December 31, 2006 neither (i) contained an adverse opinion or disclaimer of opinion; nor (ii) were qualified or modified as to uncertainty, audit scope or accounting principles.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two fiscal years ended December 31, 2005 and December 31, 2006 and the subsequent period through April 10, 2008 there has not been (i) any disagreement between the Plan and Deloitte &amp; Touche on any matter of accounting principles or practices, financial statement disclosure, or auditing scope or procedure, which if not resolved to Deloitte &amp; Touche’s satisfaction would have caused Deloitte &amp; Touche to make reference to the subject matter of the disagreement in connection with its report, and (ii) any “reportable event” (as defined in Regulation S-K, Item 304(a)(1)(v)).</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Deloitte &amp; Touche has been provided a copy of the above disclosure with a request that it furnish to the Plan a letter addressed to the Securities and Exchange Commission stating whether it agrees with the statements made by the Plan and, if not, stating why it does not agree. A letter from Deloitte &amp; Touche is attached hereto and incorporated herein as Exhibit 16.</w:t>
      </w:r>
    </w:p>
    <w:p>
      <w:pPr>
        <w:spacing w:after="0" w:line="64" w:lineRule="exact"/>
        <w:rPr>
          <w:sz w:val="20"/>
          <w:szCs w:val="20"/>
          <w:color w:val="auto"/>
        </w:rPr>
      </w:pPr>
    </w:p>
    <w:p>
      <w:pPr>
        <w:ind w:right="80" w:firstLine="8"/>
        <w:spacing w:after="0" w:line="262" w:lineRule="auto"/>
        <w:tabs>
          <w:tab w:leader="none" w:pos="1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Independent Registered Public Accounting Firm. </w:t>
      </w:r>
      <w:r>
        <w:rPr>
          <w:rFonts w:ascii="Times New Roman" w:cs="Times New Roman" w:eastAsia="Times New Roman" w:hAnsi="Times New Roman"/>
          <w:sz w:val="18"/>
          <w:szCs w:val="18"/>
          <w:color w:val="auto"/>
        </w:rPr>
        <w:t>On April 10, 2008 the Retirement Committee responsible for the Plan, after recommendation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Audit Committee, engaged Clifton Gunderson LLP (“Clifton Gunderson”) as the independent registered accounting firm to audit the Plan’s financial statements beginning with the fiscal year ended December 31, 2007. During the Plan’s fiscal years ended December 31, 2005 and December 31, 2006, the Plan (or someone on its behalf) did not:</w:t>
      </w:r>
    </w:p>
    <w:p>
      <w:pPr>
        <w:spacing w:after="0" w:line="72" w:lineRule="exact"/>
        <w:rPr>
          <w:rFonts w:ascii="Times New Roman" w:cs="Times New Roman" w:eastAsia="Times New Roman" w:hAnsi="Times New Roman"/>
          <w:sz w:val="18"/>
          <w:szCs w:val="18"/>
          <w:b w:val="1"/>
          <w:bCs w:val="1"/>
          <w:color w:val="auto"/>
        </w:rPr>
      </w:pPr>
    </w:p>
    <w:p>
      <w:pPr>
        <w:ind w:left="660" w:right="180" w:hanging="436"/>
        <w:spacing w:after="0" w:line="261"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Clifton Gunderson regarding the application of accounting principles to a specific transaction, either completed or proposed, or the type of audit opinion that might be rendered on the Plan’s financial statements; and neither a written report nor oral advice was provided to the Plan by Clifton Gunderson that Clifton Gunderson concluded was an important factor considered by the Plan in reaching a decision as to an accounting, auditing or financial issue;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ind w:left="660" w:right="640" w:hanging="436"/>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Clifton Gunderson regarding any matter that was either the subject of a disagreement, as that term is defined in Item 304(a)(1)(iv) of Regulation S-K, or a reportable event, as that term is defined in Item 304(a)(1)(v)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 No.</w:t>
            </w:r>
          </w:p>
        </w:tc>
        <w:tc>
          <w:tcPr>
            <w:tcW w:w="107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Description of Exhibit</w:t>
            </w:r>
          </w:p>
        </w:tc>
      </w:tr>
      <w:tr>
        <w:trPr>
          <w:trHeight w:val="20"/>
        </w:trPr>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180" w:type="dxa"/>
            <w:vAlign w:val="bottom"/>
            <w:shd w:val="clear" w:color="auto" w:fill="000000"/>
          </w:tcPr>
          <w:p>
            <w:pPr>
              <w:spacing w:after="0" w:line="20" w:lineRule="exact"/>
              <w:rPr>
                <w:sz w:val="1"/>
                <w:szCs w:val="1"/>
                <w:color w:val="auto"/>
              </w:rPr>
            </w:pPr>
          </w:p>
        </w:tc>
      </w:tr>
      <w:tr>
        <w:trPr>
          <w:trHeight w:val="426"/>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16</w:t>
            </w:r>
          </w:p>
        </w:tc>
        <w:tc>
          <w:tcPr>
            <w:tcW w:w="10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Letter regarding change in certifying accountant from Deloitte &amp; Touche LLP to the SEC, dated April 15, 2008.</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0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BRADY MATCHED 401(K) PLAN</w:t>
            </w:r>
          </w:p>
        </w:tc>
        <w:tc>
          <w:tcPr>
            <w:tcW w:w="106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70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BRADY CORPORATION</w:t>
            </w:r>
          </w:p>
        </w:tc>
        <w:tc>
          <w:tcPr>
            <w:tcW w:w="106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2008</w:t>
            </w:r>
          </w:p>
        </w:tc>
        <w:tc>
          <w:tcPr>
            <w:tcW w:w="70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GARY VOSE</w:t>
            </w:r>
          </w:p>
        </w:tc>
        <w:tc>
          <w:tcPr>
            <w:tcW w:w="106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Gary Vose</w:t>
            </w:r>
          </w:p>
        </w:tc>
        <w:tc>
          <w:tcPr>
            <w:tcW w:w="106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Plan Administrative Committee Member</w:t>
            </w:r>
          </w:p>
        </w:tc>
        <w:tc>
          <w:tcPr>
            <w:tcW w:w="1060" w:type="dxa"/>
            <w:vAlign w:val="bottom"/>
          </w:tcPr>
          <w:p>
            <w:pPr>
              <w:spacing w:after="0"/>
              <w:rPr>
                <w:sz w:val="20"/>
                <w:szCs w:val="20"/>
                <w:color w:val="auto"/>
              </w:rPr>
            </w:pPr>
          </w:p>
        </w:tc>
      </w:tr>
      <w:tr>
        <w:trPr>
          <w:trHeight w:val="648"/>
        </w:trPr>
        <w:tc>
          <w:tcPr>
            <w:tcW w:w="3300" w:type="dxa"/>
            <w:vAlign w:val="bottom"/>
          </w:tcPr>
          <w:p>
            <w:pPr>
              <w:spacing w:after="0"/>
              <w:rPr>
                <w:sz w:val="24"/>
                <w:szCs w:val="24"/>
                <w:color w:val="auto"/>
              </w:rPr>
            </w:pPr>
          </w:p>
        </w:tc>
        <w:tc>
          <w:tcPr>
            <w:tcW w:w="70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THOMAS FELMER</w:t>
            </w:r>
          </w:p>
        </w:tc>
        <w:tc>
          <w:tcPr>
            <w:tcW w:w="106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Thomas Felmer</w:t>
            </w:r>
          </w:p>
        </w:tc>
        <w:tc>
          <w:tcPr>
            <w:tcW w:w="106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Chief Financial Officer and</w:t>
            </w:r>
          </w:p>
        </w:tc>
        <w:tc>
          <w:tcPr>
            <w:tcW w:w="106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Retirement Committee Member</w:t>
            </w:r>
          </w:p>
        </w:tc>
        <w:tc>
          <w:tcPr>
            <w:tcW w:w="1060" w:type="dxa"/>
            <w:vAlign w:val="bottom"/>
          </w:tcPr>
          <w:p>
            <w:pPr>
              <w:spacing w:after="0"/>
              <w:rPr>
                <w:sz w:val="20"/>
                <w:szCs w:val="20"/>
                <w:color w:val="auto"/>
              </w:rPr>
            </w:pPr>
          </w:p>
        </w:tc>
      </w:tr>
      <w:tr>
        <w:trPr>
          <w:trHeight w:val="632"/>
        </w:trPr>
        <w:tc>
          <w:tcPr>
            <w:tcW w:w="330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 w:name="page5"/>
    <w:bookmarkEnd w:id="4"/>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EXHIBIT 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wp:posOffset>
            </wp:positionV>
            <wp:extent cx="6500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186" w:lineRule="exact"/>
        <w:rPr>
          <w:sz w:val="20"/>
          <w:szCs w:val="20"/>
          <w:color w:val="auto"/>
        </w:rPr>
      </w:pPr>
    </w:p>
    <w:p>
      <w:pPr>
        <w:ind w:left="220"/>
        <w:spacing w:after="0"/>
        <w:tabs>
          <w:tab w:leader="none" w:pos="116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color w:val="auto"/>
        </w:rPr>
        <w:t>Letter regarding change in certifying accountant from Deloitte &amp; Touche LLP to the SEC, dated April 15, 2008.</w:t>
      </w:r>
    </w:p>
    <w:p>
      <w:pPr>
        <w:sectPr>
          <w:pgSz w:w="11900" w:h="16838" w:orient="portrait"/>
          <w:cols w:equalWidth="0" w:num="1">
            <w:col w:w="10219"/>
          </w:cols>
          <w:pgMar w:left="240" w:top="144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read Item 4.01 of Brady Matched 401(k) Plan’s Form 8-K dated April 15, 2008, and have the following comments:</w:t>
      </w:r>
    </w:p>
    <w:p>
      <w:pPr>
        <w:spacing w:after="0" w:line="117"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with the statements made in paragraphs 1 through 4 of section 1.</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basis on which to agree or disagree with the statements made in section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lvl w:ilvl="1">
      <w:lvlJc w:val="left"/>
      <w:lvlText w:val="%2)"/>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2019-12-13T14:04:26Z</dcterms:created>
  <dcterms:modified xsi:type="dcterms:W3CDTF">2019-12-13T14:04:26Z</dcterms:modified>
</cp:coreProperties>
</file>