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55880</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70485</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September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70485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BRADY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37465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6" w:lineRule="exact"/>
        <w:rPr>
          <w:sz w:val="24"/>
          <w:szCs w:val="24"/>
          <w:color w:val="auto"/>
        </w:rPr>
      </w:pPr>
    </w:p>
    <w:tbl>
      <w:tblPr>
        <w:tblLayout w:type="fixed"/>
        <w:tblInd w:w="1520" w:type="dxa"/>
        <w:tblCellMar>
          <w:top w:w="0" w:type="dxa"/>
          <w:left w:w="0" w:type="dxa"/>
          <w:bottom w:w="0" w:type="dxa"/>
          <w:right w:w="0" w:type="dxa"/>
        </w:tblCellMar>
      </w:tblPr>
      <w:tr>
        <w:trPr>
          <w:trHeight w:val="159"/>
        </w:trPr>
        <w:tc>
          <w:tcPr>
            <w:tcW w:w="2860" w:type="dxa"/>
            <w:vAlign w:val="bottom"/>
          </w:tcPr>
          <w:p>
            <w:pPr>
              <w:spacing w:after="0"/>
              <w:rPr>
                <w:sz w:val="13"/>
                <w:szCs w:val="13"/>
                <w:color w:val="auto"/>
              </w:rPr>
            </w:pPr>
          </w:p>
        </w:tc>
        <w:tc>
          <w:tcPr>
            <w:tcW w:w="4900" w:type="dxa"/>
            <w:vAlign w:val="bottom"/>
            <w:gridSpan w:val="2"/>
          </w:tcPr>
          <w:p>
            <w:pPr>
              <w:jc w:val="center"/>
              <w:ind w:right="2312"/>
              <w:spacing w:after="0"/>
              <w:rPr>
                <w:sz w:val="20"/>
                <w:szCs w:val="20"/>
                <w:color w:val="auto"/>
              </w:rPr>
            </w:pPr>
            <w:r>
              <w:rPr>
                <w:rFonts w:ascii="Times New Roman" w:cs="Times New Roman" w:eastAsia="Times New Roman" w:hAnsi="Times New Roman"/>
                <w:sz w:val="12"/>
                <w:szCs w:val="12"/>
                <w:b w:val="1"/>
                <w:bCs w:val="1"/>
                <w:color w:val="auto"/>
                <w:w w:val="99"/>
              </w:rPr>
              <w:t>Commission File Number 1-14959</w:t>
            </w:r>
          </w:p>
        </w:tc>
      </w:tr>
      <w:tr>
        <w:trPr>
          <w:trHeight w:val="299"/>
        </w:trPr>
        <w:tc>
          <w:tcPr>
            <w:tcW w:w="2860" w:type="dxa"/>
            <w:vAlign w:val="bottom"/>
          </w:tcPr>
          <w:p>
            <w:pPr>
              <w:jc w:val="center"/>
              <w:ind w:right="326"/>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4900" w:type="dxa"/>
            <w:vAlign w:val="bottom"/>
            <w:gridSpan w:val="2"/>
          </w:tcPr>
          <w:p>
            <w:pPr>
              <w:jc w:val="right"/>
              <w:ind w:right="372"/>
              <w:spacing w:after="0"/>
              <w:rPr>
                <w:sz w:val="20"/>
                <w:szCs w:val="20"/>
                <w:color w:val="auto"/>
              </w:rPr>
            </w:pPr>
            <w:r>
              <w:rPr>
                <w:rFonts w:ascii="Times New Roman" w:cs="Times New Roman" w:eastAsia="Times New Roman" w:hAnsi="Times New Roman"/>
                <w:sz w:val="12"/>
                <w:szCs w:val="12"/>
                <w:b w:val="1"/>
                <w:bCs w:val="1"/>
                <w:color w:val="auto"/>
              </w:rPr>
              <w:t>39-0178960</w:t>
            </w:r>
          </w:p>
        </w:tc>
      </w:tr>
      <w:tr>
        <w:trPr>
          <w:trHeight w:val="125"/>
        </w:trPr>
        <w:tc>
          <w:tcPr>
            <w:tcW w:w="2860" w:type="dxa"/>
            <w:vAlign w:val="bottom"/>
          </w:tcPr>
          <w:p>
            <w:pPr>
              <w:jc w:val="center"/>
              <w:ind w:right="326"/>
              <w:spacing w:after="0"/>
              <w:rPr>
                <w:sz w:val="20"/>
                <w:szCs w:val="20"/>
                <w:color w:val="auto"/>
              </w:rPr>
            </w:pPr>
            <w:r>
              <w:rPr>
                <w:rFonts w:ascii="Times New Roman" w:cs="Times New Roman" w:eastAsia="Times New Roman" w:hAnsi="Times New Roman"/>
                <w:sz w:val="10"/>
                <w:szCs w:val="10"/>
                <w:b w:val="1"/>
                <w:bCs w:val="1"/>
                <w:color w:val="auto"/>
                <w:w w:val="96"/>
              </w:rPr>
              <w:t>(State or other jurisdiction of incorporation or organization)</w:t>
            </w:r>
          </w:p>
        </w:tc>
        <w:tc>
          <w:tcPr>
            <w:tcW w:w="2520" w:type="dxa"/>
            <w:vAlign w:val="bottom"/>
          </w:tcPr>
          <w:p>
            <w:pPr>
              <w:spacing w:after="0"/>
              <w:rPr>
                <w:sz w:val="10"/>
                <w:szCs w:val="10"/>
                <w:color w:val="auto"/>
              </w:rPr>
            </w:pPr>
          </w:p>
        </w:tc>
        <w:tc>
          <w:tcPr>
            <w:tcW w:w="2380" w:type="dxa"/>
            <w:vAlign w:val="bottom"/>
          </w:tcPr>
          <w:p>
            <w:pPr>
              <w:jc w:val="center"/>
              <w:ind w:left="932"/>
              <w:spacing w:after="0"/>
              <w:rPr>
                <w:sz w:val="20"/>
                <w:szCs w:val="20"/>
                <w:color w:val="auto"/>
              </w:rPr>
            </w:pPr>
            <w:r>
              <w:rPr>
                <w:rFonts w:ascii="Times New Roman" w:cs="Times New Roman" w:eastAsia="Times New Roman" w:hAnsi="Times New Roman"/>
                <w:sz w:val="10"/>
                <w:szCs w:val="10"/>
                <w:b w:val="1"/>
                <w:bCs w:val="1"/>
                <w:color w:val="auto"/>
                <w:w w:val="96"/>
              </w:rPr>
              <w:t>(IRS Employer Identification No.)</w:t>
            </w:r>
          </w:p>
        </w:tc>
      </w:tr>
      <w:tr>
        <w:trPr>
          <w:trHeight w:val="281"/>
        </w:trPr>
        <w:tc>
          <w:tcPr>
            <w:tcW w:w="2860" w:type="dxa"/>
            <w:vAlign w:val="bottom"/>
          </w:tcPr>
          <w:p>
            <w:pPr>
              <w:spacing w:after="0"/>
              <w:rPr>
                <w:sz w:val="24"/>
                <w:szCs w:val="24"/>
                <w:color w:val="auto"/>
              </w:rPr>
            </w:pPr>
          </w:p>
        </w:tc>
        <w:tc>
          <w:tcPr>
            <w:tcW w:w="4900" w:type="dxa"/>
            <w:vAlign w:val="bottom"/>
            <w:gridSpan w:val="2"/>
          </w:tcPr>
          <w:p>
            <w:pPr>
              <w:jc w:val="center"/>
              <w:ind w:right="2332"/>
              <w:spacing w:after="0"/>
              <w:rPr>
                <w:sz w:val="20"/>
                <w:szCs w:val="20"/>
                <w:color w:val="auto"/>
              </w:rPr>
            </w:pPr>
            <w:r>
              <w:rPr>
                <w:rFonts w:ascii="Times New Roman" w:cs="Times New Roman" w:eastAsia="Times New Roman" w:hAnsi="Times New Roman"/>
                <w:sz w:val="12"/>
                <w:szCs w:val="12"/>
                <w:b w:val="1"/>
                <w:bCs w:val="1"/>
                <w:color w:val="auto"/>
                <w:w w:val="99"/>
              </w:rPr>
              <w:t>6555 West Good Hope Road</w:t>
            </w:r>
          </w:p>
        </w:tc>
      </w:tr>
      <w:tr>
        <w:trPr>
          <w:trHeight w:val="142"/>
        </w:trPr>
        <w:tc>
          <w:tcPr>
            <w:tcW w:w="2860" w:type="dxa"/>
            <w:vAlign w:val="bottom"/>
          </w:tcPr>
          <w:p>
            <w:pPr>
              <w:spacing w:after="0"/>
              <w:rPr>
                <w:sz w:val="12"/>
                <w:szCs w:val="12"/>
                <w:color w:val="auto"/>
              </w:rPr>
            </w:pPr>
          </w:p>
        </w:tc>
        <w:tc>
          <w:tcPr>
            <w:tcW w:w="4900" w:type="dxa"/>
            <w:vAlign w:val="bottom"/>
            <w:gridSpan w:val="2"/>
          </w:tcPr>
          <w:p>
            <w:pPr>
              <w:jc w:val="center"/>
              <w:ind w:right="2332"/>
              <w:spacing w:after="0"/>
              <w:rPr>
                <w:sz w:val="20"/>
                <w:szCs w:val="20"/>
                <w:color w:val="auto"/>
              </w:rPr>
            </w:pPr>
            <w:r>
              <w:rPr>
                <w:rFonts w:ascii="Times New Roman" w:cs="Times New Roman" w:eastAsia="Times New Roman" w:hAnsi="Times New Roman"/>
                <w:sz w:val="12"/>
                <w:szCs w:val="12"/>
                <w:b w:val="1"/>
                <w:bCs w:val="1"/>
                <w:color w:val="auto"/>
                <w:w w:val="99"/>
              </w:rPr>
              <w:t>Milwaukee, Wisconsin 53223</w:t>
            </w:r>
          </w:p>
        </w:tc>
      </w:tr>
      <w:tr>
        <w:trPr>
          <w:trHeight w:val="125"/>
        </w:trPr>
        <w:tc>
          <w:tcPr>
            <w:tcW w:w="2860" w:type="dxa"/>
            <w:vAlign w:val="bottom"/>
          </w:tcPr>
          <w:p>
            <w:pPr>
              <w:spacing w:after="0"/>
              <w:rPr>
                <w:sz w:val="10"/>
                <w:szCs w:val="10"/>
                <w:color w:val="auto"/>
              </w:rPr>
            </w:pPr>
          </w:p>
        </w:tc>
        <w:tc>
          <w:tcPr>
            <w:tcW w:w="4900" w:type="dxa"/>
            <w:vAlign w:val="bottom"/>
            <w:gridSpan w:val="2"/>
          </w:tcPr>
          <w:p>
            <w:pPr>
              <w:jc w:val="center"/>
              <w:ind w:right="2312"/>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and Zip Code)</w:t>
            </w:r>
          </w:p>
        </w:tc>
      </w:tr>
      <w:tr>
        <w:trPr>
          <w:trHeight w:val="199"/>
        </w:trPr>
        <w:tc>
          <w:tcPr>
            <w:tcW w:w="2860" w:type="dxa"/>
            <w:vAlign w:val="bottom"/>
          </w:tcPr>
          <w:p>
            <w:pPr>
              <w:spacing w:after="0"/>
              <w:rPr>
                <w:sz w:val="17"/>
                <w:szCs w:val="17"/>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(414) 358-6600</w:t>
            </w:r>
          </w:p>
        </w:tc>
        <w:tc>
          <w:tcPr>
            <w:tcW w:w="2380" w:type="dxa"/>
            <w:vAlign w:val="bottom"/>
          </w:tcPr>
          <w:p>
            <w:pPr>
              <w:spacing w:after="0"/>
              <w:rPr>
                <w:sz w:val="17"/>
                <w:szCs w:val="17"/>
                <w:color w:val="auto"/>
              </w:rPr>
            </w:pPr>
          </w:p>
        </w:tc>
      </w:tr>
      <w:tr>
        <w:trPr>
          <w:trHeight w:val="125"/>
        </w:trPr>
        <w:tc>
          <w:tcPr>
            <w:tcW w:w="2860" w:type="dxa"/>
            <w:vAlign w:val="bottom"/>
          </w:tcPr>
          <w:p>
            <w:pPr>
              <w:spacing w:after="0"/>
              <w:rPr>
                <w:sz w:val="10"/>
                <w:szCs w:val="10"/>
                <w:color w:val="auto"/>
              </w:rPr>
            </w:pPr>
          </w:p>
        </w:tc>
        <w:tc>
          <w:tcPr>
            <w:tcW w:w="4900" w:type="dxa"/>
            <w:vAlign w:val="bottom"/>
            <w:gridSpan w:val="2"/>
          </w:tcPr>
          <w:p>
            <w:pPr>
              <w:jc w:val="center"/>
              <w:ind w:right="2332"/>
              <w:spacing w:after="0"/>
              <w:rPr>
                <w:sz w:val="20"/>
                <w:szCs w:val="20"/>
                <w:color w:val="auto"/>
              </w:rPr>
            </w:pPr>
            <w:r>
              <w:rPr>
                <w:rFonts w:ascii="Times New Roman" w:cs="Times New Roman" w:eastAsia="Times New Roman" w:hAnsi="Times New Roman"/>
                <w:sz w:val="10"/>
                <w:szCs w:val="10"/>
                <w:b w:val="1"/>
                <w:bCs w:val="1"/>
                <w:color w:val="auto"/>
                <w:w w:val="94"/>
              </w:rPr>
              <w:t>(Registrant’s Telephone Number)</w:t>
            </w:r>
          </w:p>
        </w:tc>
      </w:tr>
      <w:tr>
        <w:trPr>
          <w:trHeight w:val="62"/>
        </w:trPr>
        <w:tc>
          <w:tcPr>
            <w:tcW w:w="286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380" w:type="dxa"/>
            <w:vAlign w:val="bottom"/>
          </w:tcPr>
          <w:p>
            <w:pPr>
              <w:spacing w:after="0"/>
              <w:rPr>
                <w:sz w:val="5"/>
                <w:szCs w:val="5"/>
                <w:color w:val="auto"/>
              </w:rPr>
            </w:pPr>
          </w:p>
        </w:tc>
      </w:tr>
    </w:tbl>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14"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05"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14"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14"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6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2"/>
        </w:trPr>
        <w:tc>
          <w:tcPr>
            <w:tcW w:w="6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42"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4"/>
          <w:szCs w:val="14"/>
          <w:color w:val="auto"/>
        </w:rPr>
        <w:t>☐</w:t>
      </w:r>
    </w:p>
    <w:p>
      <w:pPr>
        <w:spacing w:after="0" w:line="103" w:lineRule="exact"/>
        <w:rPr>
          <w:sz w:val="24"/>
          <w:szCs w:val="24"/>
          <w:color w:val="auto"/>
        </w:rPr>
      </w:pPr>
    </w:p>
    <w:p>
      <w:pPr>
        <w:jc w:val="both"/>
        <w:ind w:right="20"/>
        <w:spacing w:after="0" w:line="17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340360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8" w:right="29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2"/>
          <w:szCs w:val="12"/>
          <w:color w:val="auto"/>
        </w:rPr>
        <w:t>Item 2.02</w:t>
      </w:r>
      <w:r>
        <w:rPr>
          <w:sz w:val="20"/>
          <w:szCs w:val="20"/>
          <w:color w:val="auto"/>
        </w:rPr>
        <w:tab/>
      </w:r>
      <w:r>
        <w:rPr>
          <w:rFonts w:ascii="Times New Roman" w:cs="Times New Roman" w:eastAsia="Times New Roman" w:hAnsi="Times New Roman"/>
          <w:sz w:val="11"/>
          <w:szCs w:val="11"/>
          <w:color w:val="auto"/>
        </w:rPr>
        <w:t>RESULTS OF OPERATIONS AND FINANCIAL CONDITION</w:t>
      </w:r>
    </w:p>
    <w:p>
      <w:pPr>
        <w:spacing w:after="0" w:line="231"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On September 6, 2024, Brady Corporation (the “Company”) issued a press release announcing its fiscal 2024 fourth quarter financial results. A copy of the press release is being furnished to the Securities and Exchange Commission as Exhibit 99.1 attached hereto and is incorporated herein by reference.</w:t>
      </w:r>
    </w:p>
    <w:p>
      <w:pPr>
        <w:spacing w:after="0" w:line="2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2"/>
          <w:szCs w:val="12"/>
          <w:color w:val="auto"/>
        </w:rPr>
        <w:t>Item 7.01</w:t>
      </w:r>
      <w:r>
        <w:rPr>
          <w:sz w:val="20"/>
          <w:szCs w:val="20"/>
          <w:color w:val="auto"/>
        </w:rPr>
        <w:tab/>
      </w:r>
      <w:r>
        <w:rPr>
          <w:rFonts w:ascii="Times New Roman" w:cs="Times New Roman" w:eastAsia="Times New Roman" w:hAnsi="Times New Roman"/>
          <w:sz w:val="11"/>
          <w:szCs w:val="11"/>
          <w:color w:val="auto"/>
        </w:rPr>
        <w:t>REGULATION FD DISCLOSURE</w:t>
      </w:r>
    </w:p>
    <w:p>
      <w:pPr>
        <w:spacing w:after="0" w:line="22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On September 6, 2024, the Company hosted a conference call related to its fiscal 2024 fourth quarter financial results. A copy of the slides referenced in the conference call, which is also posted on the Company's website, is being furnished to the Securities and Exchange Commission as Exhibit 99.3 attached hereto and is incorporated herein by reference.</w:t>
      </w:r>
    </w:p>
    <w:p>
      <w:pPr>
        <w:spacing w:after="0" w:line="2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2"/>
          <w:szCs w:val="12"/>
          <w:color w:val="auto"/>
        </w:rPr>
        <w:t>Item 8.01</w:t>
      </w:r>
      <w:r>
        <w:rPr>
          <w:sz w:val="20"/>
          <w:szCs w:val="20"/>
          <w:color w:val="auto"/>
        </w:rPr>
        <w:tab/>
      </w:r>
      <w:r>
        <w:rPr>
          <w:rFonts w:ascii="Times New Roman" w:cs="Times New Roman" w:eastAsia="Times New Roman" w:hAnsi="Times New Roman"/>
          <w:sz w:val="12"/>
          <w:szCs w:val="12"/>
          <w:color w:val="auto"/>
        </w:rPr>
        <w:t>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Increase in Annual Dividend</w:t>
      </w:r>
    </w:p>
    <w:p>
      <w:pPr>
        <w:spacing w:after="0" w:line="116"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On September 4, 2024, the Company's Board of Directors approved an increase in the annual cash dividend on its Class A Common Stock from $0.94 to $0.96 per share. A quarterly dividend in the amount of $0.24 per share will be paid on October 31, 2024 to shareholders of record as of the close of business on October 10, 2024. A copy of the press release regarding the dividend is attached hereto as Exhibit 99.2 and is incorporated herein by reference.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Share Repurchase Authorization</w:t>
      </w:r>
    </w:p>
    <w:p>
      <w:pPr>
        <w:spacing w:after="0" w:line="116"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September 4, 2024, the Company's Board of Directors authorized an increase in the Company's share repurchase program, authorizing the repurchase of an additional $100.0 million of the Company's Class A Nonvoting Common Stock. The program may be implemented by purchasing shares in the open market or in privately negotiated transactions, with repurchased shares delivered to treasury and available for use in connection with the Company’s stock-based plans and for other corporate purposes. The share repurchase program was described in a press release issued by the Company in connection with its fiscal 2024 fourth quarter financial results, which is attached hereto as Exhibit 99.1 and is incorporated by reference.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Item 9.01</w:t>
            </w:r>
          </w:p>
        </w:tc>
        <w:tc>
          <w:tcPr>
            <w:tcW w:w="10080" w:type="dxa"/>
            <w:vAlign w:val="bottom"/>
            <w:gridSpan w:val="5"/>
          </w:tcPr>
          <w:p>
            <w:pPr>
              <w:ind w:left="80"/>
              <w:spacing w:after="0"/>
              <w:rPr>
                <w:sz w:val="20"/>
                <w:szCs w:val="20"/>
                <w:color w:val="auto"/>
              </w:rPr>
            </w:pPr>
            <w:r>
              <w:rPr>
                <w:rFonts w:ascii="Times New Roman" w:cs="Times New Roman" w:eastAsia="Times New Roman" w:hAnsi="Times New Roman"/>
                <w:sz w:val="12"/>
                <w:szCs w:val="12"/>
                <w:color w:val="auto"/>
              </w:rPr>
              <w:t>FINANCIAL STATEMENTS AND EXHIBITS</w:t>
            </w:r>
          </w:p>
        </w:tc>
      </w:tr>
      <w:tr>
        <w:trPr>
          <w:trHeight w:val="369"/>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1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61"/>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EXHIBIT NUMBER</w:t>
            </w:r>
          </w:p>
        </w:tc>
        <w:tc>
          <w:tcPr>
            <w:tcW w:w="160" w:type="dxa"/>
            <w:vAlign w:val="bottom"/>
          </w:tcPr>
          <w:p>
            <w:pPr>
              <w:spacing w:after="0"/>
              <w:rPr>
                <w:sz w:val="22"/>
                <w:szCs w:val="22"/>
                <w:color w:val="auto"/>
              </w:rPr>
            </w:pPr>
          </w:p>
        </w:tc>
        <w:tc>
          <w:tcPr>
            <w:tcW w:w="9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2"/>
                <w:szCs w:val="12"/>
                <w:color w:val="auto"/>
              </w:rPr>
              <w:t>DESCRIPTION</w:t>
            </w:r>
          </w:p>
        </w:tc>
      </w:tr>
      <w:tr>
        <w:trPr>
          <w:trHeight w:val="178"/>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60" w:type="dxa"/>
            <w:vAlign w:val="bottom"/>
          </w:tcPr>
          <w:p>
            <w:pPr>
              <w:spacing w:after="0"/>
              <w:rPr>
                <w:sz w:val="15"/>
                <w:szCs w:val="15"/>
                <w:color w:val="auto"/>
              </w:rPr>
            </w:pPr>
          </w:p>
        </w:tc>
        <w:tc>
          <w:tcPr>
            <w:tcW w:w="992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0000FF"/>
              </w:rPr>
              <w:t>Press Release of Brady Corporation, dated September 6, 2024, relating to fourth quarter fiscal 2024 financial results.</w:t>
            </w:r>
          </w:p>
        </w:tc>
      </w:tr>
      <w:tr>
        <w:trPr>
          <w:trHeight w:val="259"/>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60" w:type="dxa"/>
            <w:vAlign w:val="bottom"/>
          </w:tcPr>
          <w:p>
            <w:pPr>
              <w:spacing w:after="0"/>
              <w:rPr>
                <w:sz w:val="22"/>
                <w:szCs w:val="22"/>
                <w:color w:val="auto"/>
              </w:rPr>
            </w:pPr>
          </w:p>
        </w:tc>
        <w:tc>
          <w:tcPr>
            <w:tcW w:w="560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12"/>
                <w:szCs w:val="12"/>
                <w:color w:val="0000FF"/>
              </w:rPr>
              <w:t>Press Release of Brady Corporation, dated September 5, 2024, relating to increase in annual dividend.</w:t>
            </w:r>
          </w:p>
        </w:tc>
        <w:tc>
          <w:tcPr>
            <w:tcW w:w="4320" w:type="dxa"/>
            <w:vAlign w:val="bottom"/>
            <w:gridSpan w:val="2"/>
          </w:tcPr>
          <w:p>
            <w:pPr>
              <w:spacing w:after="0"/>
              <w:rPr>
                <w:sz w:val="22"/>
                <w:szCs w:val="22"/>
                <w:color w:val="auto"/>
              </w:rPr>
            </w:pPr>
          </w:p>
        </w:tc>
      </w:tr>
      <w:tr>
        <w:trPr>
          <w:trHeight w:val="20"/>
        </w:trPr>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0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59"/>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99.3</w:t>
            </w:r>
          </w:p>
        </w:tc>
        <w:tc>
          <w:tcPr>
            <w:tcW w:w="160" w:type="dxa"/>
            <w:vAlign w:val="bottom"/>
          </w:tcPr>
          <w:p>
            <w:pPr>
              <w:spacing w:after="0"/>
              <w:rPr>
                <w:sz w:val="22"/>
                <w:szCs w:val="22"/>
                <w:color w:val="auto"/>
              </w:rPr>
            </w:pPr>
          </w:p>
        </w:tc>
        <w:tc>
          <w:tcPr>
            <w:tcW w:w="992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0000FF"/>
              </w:rPr>
              <w:t>Informational slides provided by Brady Corporation, dated September 6, 2024, relating to fourth quarter fiscal 2024 financial results.</w:t>
            </w:r>
          </w:p>
        </w:tc>
      </w:tr>
      <w:tr>
        <w:trPr>
          <w:trHeight w:val="268"/>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60" w:type="dxa"/>
            <w:vAlign w:val="bottom"/>
          </w:tcPr>
          <w:p>
            <w:pPr>
              <w:spacing w:after="0"/>
              <w:rPr>
                <w:sz w:val="23"/>
                <w:szCs w:val="23"/>
                <w:color w:val="auto"/>
              </w:rPr>
            </w:pPr>
          </w:p>
        </w:tc>
        <w:tc>
          <w:tcPr>
            <w:tcW w:w="638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(embedded within Inline XBRL document).</w:t>
            </w:r>
          </w:p>
        </w:tc>
        <w:tc>
          <w:tcPr>
            <w:tcW w:w="3540" w:type="dxa"/>
            <w:vAlign w:val="bottom"/>
          </w:tcPr>
          <w:p>
            <w:pPr>
              <w:spacing w:after="0"/>
              <w:rPr>
                <w:sz w:val="23"/>
                <w:szCs w:val="23"/>
                <w:color w:val="auto"/>
              </w:rPr>
            </w:pPr>
          </w:p>
        </w:tc>
      </w:tr>
      <w:tr>
        <w:trPr>
          <w:trHeight w:val="810"/>
        </w:trPr>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77" w:right="299" w:bottom="1440" w:gutter="0" w:footer="0" w:header="0"/>
        </w:sectPr>
      </w:pPr>
    </w:p>
    <w:bookmarkStart w:id="2" w:name="page3"/>
    <w:bookmarkEnd w:id="2"/>
    <w:p>
      <w:pPr>
        <w:ind w:left="5320"/>
        <w:spacing w:after="0"/>
        <w:rPr>
          <w:sz w:val="20"/>
          <w:szCs w:val="20"/>
          <w:color w:val="auto"/>
        </w:rPr>
      </w:pPr>
      <w:r>
        <w:rPr>
          <w:rFonts w:ascii="Times New Roman" w:cs="Times New Roman" w:eastAsia="Times New Roman" w:hAnsi="Times New Roman"/>
          <w:sz w:val="12"/>
          <w:szCs w:val="12"/>
          <w:color w:val="auto"/>
        </w:rPr>
        <w:t>SIGNATURE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September 6, 2024</w:t>
      </w:r>
    </w:p>
    <w:p>
      <w:pPr>
        <w:spacing w:after="0" w:line="1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9525</wp:posOffset>
            </wp:positionV>
            <wp:extent cx="242316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23160" cy="5715"/>
                    </a:xfrm>
                    <a:prstGeom prst="rect">
                      <a:avLst/>
                    </a:prstGeom>
                    <a:noFill/>
                  </pic:spPr>
                </pic:pic>
              </a:graphicData>
            </a:graphic>
          </wp:anchor>
        </w:drawing>
      </w:r>
    </w:p>
    <w:p>
      <w:pPr>
        <w:spacing w:after="0" w:line="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Ann E. Thornton</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Chief Financial Officer, Chief Accounting Officer and Treasurer</w:t>
      </w:r>
    </w:p>
    <w:p>
      <w:pPr>
        <w:sectPr>
          <w:pgSz w:w="11900" w:h="16838" w:orient="portrait"/>
          <w:cols w:equalWidth="0" w:num="1">
            <w:col w:w="10580"/>
          </w:cols>
          <w:pgMar w:left="300" w:top="750" w:right="10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99.1</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Reports Record EPS in its Fiscal 2024 Fourth Quarter, Expands its Share Buyback Program and Announces its Fiscal 2025 EPS Guidance</w:t>
      </w:r>
    </w:p>
    <w:p>
      <w:pPr>
        <w:spacing w:after="0" w:line="204" w:lineRule="exact"/>
        <w:rPr>
          <w:sz w:val="20"/>
          <w:szCs w:val="20"/>
          <w:color w:val="auto"/>
        </w:rPr>
      </w:pPr>
    </w:p>
    <w:p>
      <w:pPr>
        <w:ind w:left="420" w:hanging="212"/>
        <w:spacing w:after="0" w:line="310" w:lineRule="auto"/>
        <w:tabs>
          <w:tab w:leader="none" w:pos="41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Diluted EPS increased 15.0 percent to a record high of $1.15 in the fourth quarter of fiscal 2024 compared to $1.00 in the same quarter of the prior year. Diluted EPS Excluding Certain Items* increased 14.4 percent to a record high of $1.19 in the fourth quarter of fiscal 2024 compared to $1.04 in the same quarter of the prior year.</w:t>
      </w:r>
    </w:p>
    <w:p>
      <w:pPr>
        <w:spacing w:after="0" w:line="12"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Gross profit margin increased to 51.6 percent in the fourth quarter of fiscal 2024 compared to 50.8 percent in the same quarter of the prior year.</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Net cash provided by operating activities increased to a record high of $255.1 million in fiscal 2024 compared to $209.1 million in fiscal 2023.</w:t>
      </w:r>
    </w:p>
    <w:p>
      <w:pPr>
        <w:spacing w:after="0" w:line="55" w:lineRule="exact"/>
        <w:rPr>
          <w:rFonts w:ascii="Arial" w:cs="Arial" w:eastAsia="Arial" w:hAnsi="Arial"/>
          <w:sz w:val="14"/>
          <w:szCs w:val="14"/>
          <w:color w:val="auto"/>
        </w:rPr>
      </w:pPr>
    </w:p>
    <w:p>
      <w:pPr>
        <w:ind w:left="420" w:right="20" w:hanging="212"/>
        <w:spacing w:after="0" w:line="310" w:lineRule="auto"/>
        <w:tabs>
          <w:tab w:leader="none" w:pos="41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On September 4, 2024, Brady’s Board of Directors authorized an additional $100 million of shares for repurchase, which based on current share prices equates to approximately 1.5 million shares and approximately 3.0 percent of total outstanding shares.</w:t>
      </w:r>
    </w:p>
    <w:p>
      <w:pPr>
        <w:spacing w:after="0" w:line="12"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Diluted EPS guidance for the year ending July 31, 2025 was announced at a range of $4.15 to $4.45 on a GAAP basis, and a range of $4.40 to $4.70 on a non-GAAP basis.</w:t>
      </w:r>
    </w:p>
    <w:p>
      <w:pPr>
        <w:spacing w:after="0" w:line="208" w:lineRule="exact"/>
        <w:rPr>
          <w:sz w:val="20"/>
          <w:szCs w:val="20"/>
          <w:color w:val="auto"/>
        </w:rPr>
      </w:pPr>
    </w:p>
    <w:p>
      <w:pPr>
        <w:jc w:val="both"/>
        <w:spacing w:after="0" w:line="353" w:lineRule="auto"/>
        <w:rPr>
          <w:sz w:val="20"/>
          <w:szCs w:val="20"/>
          <w:color w:val="auto"/>
        </w:rPr>
      </w:pPr>
      <w:r>
        <w:rPr>
          <w:rFonts w:ascii="Times New Roman" w:cs="Times New Roman" w:eastAsia="Times New Roman" w:hAnsi="Times New Roman"/>
          <w:sz w:val="13"/>
          <w:szCs w:val="13"/>
          <w:color w:val="auto"/>
        </w:rPr>
        <w:t>MILWAUKEE (September 6, 2024) -- Brady Corporation (NYSE: BRC) (“Brady” or “Company”), a world leader in identification solutions, today reported its financial results for its fiscal 2024 fourth quarter ended July 31,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Quarter Ended July 31, 2024 Financial Results:</w:t>
      </w:r>
    </w:p>
    <w:p>
      <w:pPr>
        <w:spacing w:after="0" w:line="51" w:lineRule="exact"/>
        <w:rPr>
          <w:sz w:val="20"/>
          <w:szCs w:val="20"/>
          <w:color w:val="auto"/>
        </w:rPr>
      </w:pPr>
    </w:p>
    <w:p>
      <w:pPr>
        <w:jc w:val="both"/>
        <w:ind w:firstLine="432"/>
        <w:spacing w:after="0" w:line="332" w:lineRule="auto"/>
        <w:rPr>
          <w:sz w:val="20"/>
          <w:szCs w:val="20"/>
          <w:color w:val="auto"/>
        </w:rPr>
      </w:pPr>
      <w:r>
        <w:rPr>
          <w:rFonts w:ascii="Times New Roman" w:cs="Times New Roman" w:eastAsia="Times New Roman" w:hAnsi="Times New Roman"/>
          <w:sz w:val="13"/>
          <w:szCs w:val="13"/>
          <w:color w:val="auto"/>
        </w:rPr>
        <w:t>Sales for the quarter ended July 31, 2024 decreased 0.7 percent, which consisted of organic sales growth of 1.6 percent, a decrease of 0.8 percent from foreign currency translation and a decrease of 1.5 percent from divestitures. Sales for the quarter ended July 31, 2024 were $343.4 million compared to $345.9 million in the same quarter last year. By region, sales increased 0.4 percent in the Americas &amp; Asia and decreased 3.0 percent in Europe &amp; Australia, which consisted of organic sales growth of 3.4 percent in the Americas &amp; Asia and an organic sales decline of 1.8 percent in Europe &amp; Australia.</w:t>
      </w:r>
    </w:p>
    <w:p>
      <w:pPr>
        <w:spacing w:after="0" w:line="1" w:lineRule="exact"/>
        <w:rPr>
          <w:sz w:val="20"/>
          <w:szCs w:val="20"/>
          <w:color w:val="auto"/>
        </w:rPr>
      </w:pPr>
    </w:p>
    <w:p>
      <w:pPr>
        <w:jc w:val="both"/>
        <w:ind w:right="20" w:firstLine="432"/>
        <w:spacing w:after="0" w:line="332" w:lineRule="auto"/>
        <w:rPr>
          <w:sz w:val="20"/>
          <w:szCs w:val="20"/>
          <w:color w:val="auto"/>
        </w:rPr>
      </w:pPr>
      <w:r>
        <w:rPr>
          <w:rFonts w:ascii="Times New Roman" w:cs="Times New Roman" w:eastAsia="Times New Roman" w:hAnsi="Times New Roman"/>
          <w:sz w:val="13"/>
          <w:szCs w:val="13"/>
          <w:color w:val="auto"/>
        </w:rPr>
        <w:t>Income before income taxes increased 6.9 percent to $68.2 million for the quarter ended July 31, 2024, compared to $63.8 million in the same quarter last year. Income Before Income Taxes Excluding Certain Items* for the quarter ended July 31, 2024, which was adjusted for amortization expense of $2.3 million, was $70.5 million, an increase of 6.6 percent.</w:t>
      </w:r>
    </w:p>
    <w:p>
      <w:pPr>
        <w:jc w:val="both"/>
        <w:ind w:firstLine="432"/>
        <w:spacing w:after="0" w:line="342" w:lineRule="auto"/>
        <w:rPr>
          <w:sz w:val="20"/>
          <w:szCs w:val="20"/>
          <w:color w:val="auto"/>
        </w:rPr>
      </w:pPr>
      <w:r>
        <w:rPr>
          <w:rFonts w:ascii="Times New Roman" w:cs="Times New Roman" w:eastAsia="Times New Roman" w:hAnsi="Times New Roman"/>
          <w:sz w:val="13"/>
          <w:szCs w:val="13"/>
          <w:color w:val="auto"/>
        </w:rPr>
        <w:t>Net income for the quarter ended July 31, 2024 was $55.5 million compared to $49.4 million in the same quarter last year. Earnings per diluted Class A Nonvoting Common Share were $1.15 in the fourth quarter of fiscal 2024, compared to $1.00 in the same quarter last year. Net Income Excluding Certain Items* for the quarter ended July 31, 2024 was $57.3 million and Diluted EPS Excluding Certain Items* for the quarter ended July 31, 2024 was</w:t>
      </w:r>
    </w:p>
    <w:p>
      <w:pPr>
        <w:sectPr>
          <w:pgSz w:w="11900" w:h="16838" w:orient="portrait"/>
          <w:cols w:equalWidth="0" w:num="1">
            <w:col w:w="11300"/>
          </w:cols>
          <w:pgMar w:left="300" w:top="636"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color w:val="auto"/>
        </w:rPr>
        <w:t>$1.19. Net Income Excluding Certain Items* for the quarter ended July 31, 2023 was $51.2 million and Diluted EPS Excluding Certain Items* for the quarter ended July 31, 2023 was $1.04.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Year Ended July 31, 2024 Financial Results:</w:t>
      </w:r>
    </w:p>
    <w:p>
      <w:pPr>
        <w:spacing w:after="0" w:line="51" w:lineRule="exact"/>
        <w:rPr>
          <w:sz w:val="20"/>
          <w:szCs w:val="20"/>
          <w:color w:val="auto"/>
        </w:rPr>
      </w:pPr>
    </w:p>
    <w:p>
      <w:pPr>
        <w:jc w:val="both"/>
        <w:ind w:firstLine="432"/>
        <w:spacing w:after="0" w:line="332" w:lineRule="auto"/>
        <w:rPr>
          <w:sz w:val="20"/>
          <w:szCs w:val="20"/>
          <w:color w:val="auto"/>
        </w:rPr>
      </w:pPr>
      <w:r>
        <w:rPr>
          <w:rFonts w:ascii="Times New Roman" w:cs="Times New Roman" w:eastAsia="Times New Roman" w:hAnsi="Times New Roman"/>
          <w:sz w:val="13"/>
          <w:szCs w:val="13"/>
          <w:color w:val="auto"/>
        </w:rPr>
        <w:t>Sales for the year ended July 31, 2024 increased 0.7 percent, which consisted of organic sales growth of 2.6 percent, an increase of 0.2 percent from foreign currency translation and a decrease of 2.1 percent from divestitures. Sales for the year ended July 31, 2024 were $1.34 billion compared to $1.33 billion in the prior year. By region, sales decreased 0.3 percent in the Americas &amp; Asia and increased 2.7 percent in Europe &amp; Australia, which consisted of organic sales growth of 3.1 percent in the Americas &amp; Asia and organic sales growth of 1.6 percent in Europe &amp; Australia.</w:t>
      </w:r>
    </w:p>
    <w:p>
      <w:pPr>
        <w:spacing w:after="0" w:line="1" w:lineRule="exact"/>
        <w:rPr>
          <w:sz w:val="20"/>
          <w:szCs w:val="20"/>
          <w:color w:val="auto"/>
        </w:rPr>
      </w:pPr>
    </w:p>
    <w:p>
      <w:pPr>
        <w:jc w:val="both"/>
        <w:ind w:firstLine="432"/>
        <w:spacing w:after="0" w:line="332" w:lineRule="auto"/>
        <w:rPr>
          <w:sz w:val="20"/>
          <w:szCs w:val="20"/>
          <w:color w:val="auto"/>
        </w:rPr>
      </w:pPr>
      <w:r>
        <w:rPr>
          <w:rFonts w:ascii="Times New Roman" w:cs="Times New Roman" w:eastAsia="Times New Roman" w:hAnsi="Times New Roman"/>
          <w:sz w:val="13"/>
          <w:szCs w:val="13"/>
          <w:color w:val="auto"/>
        </w:rPr>
        <w:t>Income before income taxes increased 9.8 percent to $247.8 million for the year ended July 31, 2024, compared to $225.7 million for the year ended July 31, 2023. Income Before Income Taxes Excluding Certain Items* for the year ended July 31, 2024, which was adjusted for amortization expense of $9.4 million, was $257.3 million, an increase of 10.1 percent compared to the year ended July 31, 2023.</w:t>
      </w:r>
    </w:p>
    <w:p>
      <w:pPr>
        <w:jc w:val="both"/>
        <w:ind w:firstLine="432"/>
        <w:spacing w:after="0" w:line="368" w:lineRule="auto"/>
        <w:rPr>
          <w:sz w:val="20"/>
          <w:szCs w:val="20"/>
          <w:color w:val="auto"/>
        </w:rPr>
      </w:pPr>
      <w:r>
        <w:rPr>
          <w:rFonts w:ascii="Times New Roman" w:cs="Times New Roman" w:eastAsia="Times New Roman" w:hAnsi="Times New Roman"/>
          <w:sz w:val="13"/>
          <w:szCs w:val="13"/>
          <w:color w:val="auto"/>
        </w:rPr>
        <w:t>Net income for the year ended July 31, 2024 was $197.2 million compared to $174.9 million for the year ended July 31, 2023. Earnings per diluted Class A Nonvoting Common Share were $4.07 for the year ended July 31, 2024 compared to $3.51 in the same period last year. Net Income Excluding Certain Items* for the year ended July 31, 2024 was $204.5 million and Diluted EPS Excluding Certain Items* for the year ended July 31, 2024 was $4.22. Net Income Excluding Certain Items* for the year ended July 31, 2023 was $181.5 million, and Diluted EPS Excluding Certain Items* for the year ended July 31, 2023 was $3.64.</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Commentary:</w:t>
      </w:r>
    </w:p>
    <w:p>
      <w:pPr>
        <w:spacing w:after="0" w:line="60" w:lineRule="exact"/>
        <w:rPr>
          <w:sz w:val="20"/>
          <w:szCs w:val="20"/>
          <w:color w:val="auto"/>
        </w:rPr>
      </w:pPr>
    </w:p>
    <w:p>
      <w:pPr>
        <w:jc w:val="both"/>
        <w:ind w:firstLine="432"/>
        <w:spacing w:after="0" w:line="335" w:lineRule="auto"/>
        <w:rPr>
          <w:sz w:val="20"/>
          <w:szCs w:val="20"/>
          <w:color w:val="auto"/>
        </w:rPr>
      </w:pPr>
      <w:r>
        <w:rPr>
          <w:rFonts w:ascii="Times New Roman" w:cs="Times New Roman" w:eastAsia="Times New Roman" w:hAnsi="Times New Roman"/>
          <w:sz w:val="13"/>
          <w:szCs w:val="13"/>
          <w:color w:val="auto"/>
        </w:rPr>
        <w:t>“This quarter, we once again reported record-high EPS, marking Brady’s best earnings year ever. For the full year ended July 31, 2024, our GAAP EPS was $4.07, representing a 16.0 percent increase over the previous year’s record,” said Brady’s President and CEO, Russell R. Shaller. “Both regions continue to perform well, with growth in organic sales and operating income. I’m excited about the innovative new products we have slated for launch in fiscal 2025. We also look forward to expanding our product offerings with the addition of direct part marking and laser engraving solutions, following our acquisition of Gravotech, which closed on August 1, 2024.”</w:t>
      </w:r>
    </w:p>
    <w:p>
      <w:pPr>
        <w:spacing w:after="0" w:line="2" w:lineRule="exact"/>
        <w:rPr>
          <w:sz w:val="20"/>
          <w:szCs w:val="20"/>
          <w:color w:val="auto"/>
        </w:rPr>
      </w:pPr>
    </w:p>
    <w:p>
      <w:pPr>
        <w:jc w:val="both"/>
        <w:ind w:firstLine="432"/>
        <w:spacing w:after="0" w:line="350" w:lineRule="auto"/>
        <w:rPr>
          <w:sz w:val="20"/>
          <w:szCs w:val="20"/>
          <w:color w:val="auto"/>
        </w:rPr>
      </w:pPr>
      <w:r>
        <w:rPr>
          <w:rFonts w:ascii="Times New Roman" w:cs="Times New Roman" w:eastAsia="Times New Roman" w:hAnsi="Times New Roman"/>
          <w:sz w:val="13"/>
          <w:szCs w:val="13"/>
          <w:color w:val="auto"/>
        </w:rPr>
        <w:t>“In addition to our record EPS this quarter and this fiscal year, we also used our strong balance sheet and cash generation to return funds to our shareholders through share buybacks and increased dividends. This year, we repurchased a total of 1.3 million shares for $72.2 million, and returned another $45.1 million to our shareholders in the form of dividends,” said Brady’s Chief Financial Officer, Ann Thornton. “Our strong balance sheet provides us with opportunities to continue to invest in both organic growth and strategic acquisitions to increase shareholder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Share Buyback Program:</w:t>
      </w:r>
    </w:p>
    <w:p>
      <w:pPr>
        <w:spacing w:after="0" w:line="60" w:lineRule="exact"/>
        <w:rPr>
          <w:sz w:val="20"/>
          <w:szCs w:val="20"/>
          <w:color w:val="auto"/>
        </w:rPr>
      </w:pPr>
    </w:p>
    <w:p>
      <w:pPr>
        <w:jc w:val="both"/>
        <w:ind w:firstLine="432"/>
        <w:spacing w:after="0" w:line="367" w:lineRule="auto"/>
        <w:rPr>
          <w:sz w:val="20"/>
          <w:szCs w:val="20"/>
          <w:color w:val="auto"/>
        </w:rPr>
      </w:pPr>
      <w:r>
        <w:rPr>
          <w:rFonts w:ascii="Times New Roman" w:cs="Times New Roman" w:eastAsia="Times New Roman" w:hAnsi="Times New Roman"/>
          <w:sz w:val="13"/>
          <w:szCs w:val="13"/>
          <w:color w:val="auto"/>
        </w:rPr>
        <w:t>On September 4, 2024, Brady’s Board of Directors authorized an additional $100 million of Class A Nonvoting Common Stock for repurchase under the Company’s share buyback program. The share buyback program may be implemented from time to time in the open market or in privately negotiated transactions and has no expiration date.</w:t>
      </w:r>
    </w:p>
    <w:p>
      <w:pPr>
        <w:sectPr>
          <w:pgSz w:w="11900" w:h="16838" w:orient="portrait"/>
          <w:cols w:equalWidth="0" w:num="1">
            <w:col w:w="11300"/>
          </w:cols>
          <w:pgMar w:left="300" w:top="67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color w:val="auto"/>
        </w:rPr>
        <w:t>Fiscal 2025 Guidance:</w:t>
      </w:r>
    </w:p>
    <w:p>
      <w:pPr>
        <w:spacing w:after="0" w:line="78" w:lineRule="exact"/>
        <w:rPr>
          <w:sz w:val="20"/>
          <w:szCs w:val="20"/>
          <w:color w:val="auto"/>
        </w:rPr>
      </w:pPr>
    </w:p>
    <w:p>
      <w:pPr>
        <w:jc w:val="both"/>
        <w:ind w:right="20" w:firstLine="432"/>
        <w:spacing w:after="0" w:line="317" w:lineRule="auto"/>
        <w:rPr>
          <w:sz w:val="20"/>
          <w:szCs w:val="20"/>
          <w:color w:val="auto"/>
        </w:rPr>
      </w:pPr>
      <w:r>
        <w:rPr>
          <w:rFonts w:ascii="Times New Roman" w:cs="Times New Roman" w:eastAsia="Times New Roman" w:hAnsi="Times New Roman"/>
          <w:sz w:val="13"/>
          <w:szCs w:val="13"/>
          <w:color w:val="auto"/>
        </w:rPr>
        <w:t>The Company expects GAAP earnings per diluted Class A Nonvoting Common Share to range from $4.15 to $4.45, which would be an increase of 2.0 percent to 9.3 percent over GAAP earnings per diluted Class A Nonvoting Common Share of $4.07 for the year ended July 31, 2024.</w:t>
      </w:r>
    </w:p>
    <w:p>
      <w:pPr>
        <w:spacing w:after="0" w:line="1" w:lineRule="exact"/>
        <w:rPr>
          <w:sz w:val="20"/>
          <w:szCs w:val="20"/>
          <w:color w:val="auto"/>
        </w:rPr>
      </w:pPr>
    </w:p>
    <w:p>
      <w:pPr>
        <w:jc w:val="both"/>
        <w:ind w:firstLine="432"/>
        <w:spacing w:after="0" w:line="317" w:lineRule="auto"/>
        <w:rPr>
          <w:sz w:val="20"/>
          <w:szCs w:val="20"/>
          <w:color w:val="auto"/>
        </w:rPr>
      </w:pPr>
      <w:r>
        <w:rPr>
          <w:rFonts w:ascii="Times New Roman" w:cs="Times New Roman" w:eastAsia="Times New Roman" w:hAnsi="Times New Roman"/>
          <w:sz w:val="13"/>
          <w:szCs w:val="13"/>
          <w:color w:val="auto"/>
        </w:rPr>
        <w:t>The Company also expects Diluted EPS Excluding Certain Items* to range from $4.40 to $4.70 for the year ending July 31, 2024, which would be an increase of 4.3 percent to 11.4 percent over Diluted EPS Excluding Certain Items* of $4.22 for the year ended July 31, 2024. Adjusted from this Diluted EPS Excluding Certain Items* guidance is amortization expense estimated at $0.25 per share for the year ending July 31, 2025.</w:t>
      </w:r>
    </w:p>
    <w:p>
      <w:pPr>
        <w:spacing w:after="0" w:line="2" w:lineRule="exact"/>
        <w:rPr>
          <w:sz w:val="20"/>
          <w:szCs w:val="20"/>
          <w:color w:val="auto"/>
        </w:rPr>
      </w:pPr>
    </w:p>
    <w:p>
      <w:pPr>
        <w:jc w:val="both"/>
        <w:ind w:firstLine="432"/>
        <w:spacing w:after="0" w:line="353" w:lineRule="auto"/>
        <w:rPr>
          <w:sz w:val="20"/>
          <w:szCs w:val="20"/>
          <w:color w:val="auto"/>
        </w:rPr>
      </w:pPr>
      <w:r>
        <w:rPr>
          <w:rFonts w:ascii="Times New Roman" w:cs="Times New Roman" w:eastAsia="Times New Roman" w:hAnsi="Times New Roman"/>
          <w:sz w:val="13"/>
          <w:szCs w:val="13"/>
          <w:color w:val="auto"/>
        </w:rPr>
        <w:t>Included in fiscal 2025 guidance are a full-year income tax rate of approximately 20 percent and depreciation and amortization expense ranging from $38 million to $40 million. Capital expenditures are expected to approximate $35 million. Fiscal 2025 guidance is based upon foreign currency exchange rates as of July 31, 2024 and assumes continued economic growth.</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 xml:space="preserve">A webcast regarding Brady’s fiscal 2024 fourth quarter financial results will be available at </w:t>
      </w:r>
      <w:r>
        <w:rPr>
          <w:rFonts w:ascii="Times New Roman" w:cs="Times New Roman" w:eastAsia="Times New Roman" w:hAnsi="Times New Roman"/>
          <w:sz w:val="13"/>
          <w:szCs w:val="13"/>
          <w:u w:val="single" w:color="auto"/>
          <w:color w:val="0000FF"/>
        </w:rPr>
        <w:t>www.bradycorp.com/investors</w:t>
      </w:r>
      <w:r>
        <w:rPr>
          <w:rFonts w:ascii="Times New Roman" w:cs="Times New Roman" w:eastAsia="Times New Roman" w:hAnsi="Times New Roman"/>
          <w:sz w:val="13"/>
          <w:szCs w:val="13"/>
          <w:color w:val="auto"/>
        </w:rPr>
        <w:t xml:space="preserve"> beginning at 9:30 a.m. central time today.</w:t>
      </w:r>
    </w:p>
    <w:p>
      <w:pPr>
        <w:spacing w:after="0" w:line="211" w:lineRule="exact"/>
        <w:rPr>
          <w:sz w:val="20"/>
          <w:szCs w:val="20"/>
          <w:color w:val="auto"/>
        </w:rPr>
      </w:pPr>
    </w:p>
    <w:p>
      <w:pPr>
        <w:jc w:val="both"/>
        <w:ind w:firstLine="432"/>
        <w:spacing w:after="0" w:line="326"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2024, employed approximately 5,700 people in its worldwide businesses. Brady’s fiscal 2024 sales were approximately $1.34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www.bradyid.com</w:t>
      </w:r>
      <w:r>
        <w:rPr>
          <w:rFonts w:ascii="Times New Roman" w:cs="Times New Roman" w:eastAsia="Times New Roman" w:hAnsi="Times New Roman"/>
          <w:sz w:val="13"/>
          <w:szCs w:val="13"/>
          <w:color w:val="auto"/>
        </w:rPr>
        <w:t>.</w:t>
      </w:r>
    </w:p>
    <w:p>
      <w:pPr>
        <w:spacing w:after="0" w:line="146" w:lineRule="exact"/>
        <w:rPr>
          <w:sz w:val="20"/>
          <w:szCs w:val="20"/>
          <w:color w:val="auto"/>
        </w:rPr>
      </w:pPr>
    </w:p>
    <w:p>
      <w:pPr>
        <w:ind w:firstLine="424"/>
        <w:spacing w:after="0" w:line="367" w:lineRule="auto"/>
        <w:tabs>
          <w:tab w:leader="none" w:pos="537"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Income Before Income Taxes Excluding Certain Items, Net Income Excluding Certain Items, and Diluted EPS Excluding Certain Items are non-GAAP measures. See appendix for more information on these measures, including reconciliations to the most directly comparable GAAP measures.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2"/>
          <w:szCs w:val="12"/>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increased cost of raw materials and labor as well as material shortages and supply chain disruptions; decreased demand for our products; our ability to compete effectively or to successfully execute our strategy; our ability to develop technologically advanced products that meet customer demands; Brady’s ability to identify, integrate and grow acquired companies, and to manage contingent liabilities from divested businesses; difficulties in protecting our websites, networks, and systems against security breaches; risks associated with the loss of key employees; extensive regulations by U.S. and non-U.S. governmental and self-regulatory entities; global climate change and environmental regulations; litigation, including product liability claims; foreign currency fluctuations; changes in tax legislation and tax rates;</w:t>
      </w:r>
    </w:p>
    <w:p>
      <w:pPr>
        <w:sectPr>
          <w:pgSz w:w="11900" w:h="16838" w:orient="portrait"/>
          <w:cols w:equalWidth="0" w:num="1">
            <w:col w:w="11300"/>
          </w:cols>
          <w:pgMar w:left="300" w:top="672" w:right="299" w:bottom="1440" w:gutter="0" w:footer="0" w:header="0"/>
        </w:sectPr>
      </w:pPr>
    </w:p>
    <w:bookmarkStart w:id="6" w:name="page7"/>
    <w:bookmarkEnd w:id="6"/>
    <w:p>
      <w:pPr>
        <w:jc w:val="both"/>
        <w:spacing w:after="0" w:line="249" w:lineRule="auto"/>
        <w:rPr>
          <w:sz w:val="20"/>
          <w:szCs w:val="20"/>
          <w:color w:val="auto"/>
        </w:rPr>
      </w:pPr>
      <w:r>
        <w:rPr>
          <w:rFonts w:ascii="Times New Roman" w:cs="Times New Roman" w:eastAsia="Times New Roman" w:hAnsi="Times New Roman"/>
          <w:sz w:val="12"/>
          <w:szCs w:val="12"/>
          <w:color w:val="auto"/>
        </w:rPr>
        <w:t>potential write-offs of goodwill and other intangible assets;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33"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6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July 31,</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60" w:type="dxa"/>
            <w:vAlign w:val="bottom"/>
            <w:tcBorders>
              <w:bottom w:val="single" w:sz="8" w:color="auto"/>
            </w:tcBorders>
          </w:tcPr>
          <w:p>
            <w:pPr>
              <w:spacing w:after="0"/>
              <w:rPr>
                <w:sz w:val="12"/>
                <w:szCs w:val="12"/>
                <w:color w:val="auto"/>
              </w:rPr>
            </w:pPr>
          </w:p>
        </w:tc>
      </w:tr>
      <w:tr>
        <w:trPr>
          <w:trHeight w:val="133"/>
        </w:trPr>
        <w:tc>
          <w:tcPr>
            <w:tcW w:w="55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2024</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2023</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2023</w:t>
            </w:r>
          </w:p>
        </w:tc>
      </w:tr>
      <w:tr>
        <w:trPr>
          <w:trHeight w:val="135"/>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sales</w:t>
            </w: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343,402</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345,929</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1,341,393</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1,331,863</w:t>
            </w:r>
          </w:p>
        </w:tc>
      </w:tr>
      <w:tr>
        <w:trPr>
          <w:trHeight w:val="142"/>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166,347</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170,049</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653,509</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674,588</w:t>
            </w:r>
          </w:p>
        </w:tc>
      </w:tr>
      <w:tr>
        <w:trPr>
          <w:trHeight w:val="135"/>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177,055</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175,880</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687,884</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657,275</w:t>
            </w:r>
          </w:p>
        </w:tc>
      </w:tr>
      <w:tr>
        <w:trPr>
          <w:trHeight w:val="142"/>
        </w:trPr>
        <w:tc>
          <w:tcPr>
            <w:tcW w:w="5560" w:type="dxa"/>
            <w:vAlign w:val="bottom"/>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6"/>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17,533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16,340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67,748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61,365</w:t>
            </w:r>
          </w:p>
        </w:tc>
      </w:tr>
      <w:tr>
        <w:trPr>
          <w:trHeight w:val="142"/>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93,307</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97,495</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376,722</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370,697</w:t>
            </w:r>
          </w:p>
        </w:tc>
      </w:tr>
      <w:tr>
        <w:trPr>
          <w:trHeight w:val="135"/>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110,840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113,835</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444,470</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432,062</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66,215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62,045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243,414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225,213</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7,553</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4,022</w:t>
            </w:r>
          </w:p>
        </w:tc>
      </w:tr>
      <w:tr>
        <w:trPr>
          <w:trHeight w:val="144"/>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(842)</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(3,126)</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(3,539)</w:t>
            </w:r>
          </w:p>
        </w:tc>
      </w:tr>
      <w:tr>
        <w:trPr>
          <w:trHeight w:val="126"/>
        </w:trPr>
        <w:tc>
          <w:tcPr>
            <w:tcW w:w="5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68,208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63,818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247,841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225,696</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12,752</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14,440</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50,626</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50,839</w:t>
            </w:r>
          </w:p>
        </w:tc>
      </w:tr>
      <w:tr>
        <w:trPr>
          <w:trHeight w:val="126"/>
        </w:trPr>
        <w:tc>
          <w:tcPr>
            <w:tcW w:w="5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60"/>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55,456</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49,378</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197,215</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174,857</w:t>
            </w:r>
          </w:p>
        </w:tc>
      </w:tr>
      <w:tr>
        <w:trPr>
          <w:trHeight w:val="126"/>
        </w:trPr>
        <w:tc>
          <w:tcPr>
            <w:tcW w:w="5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A Nonvoting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80" w:type="dxa"/>
            <w:vAlign w:val="bottom"/>
          </w:tcPr>
          <w:p>
            <w:pPr>
              <w:spacing w:after="0"/>
              <w:rPr>
                <w:sz w:val="12"/>
                <w:szCs w:val="12"/>
                <w:color w:val="auto"/>
              </w:rPr>
            </w:pPr>
          </w:p>
        </w:tc>
        <w:tc>
          <w:tcPr>
            <w:tcW w:w="4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3.53</w:t>
            </w:r>
          </w:p>
        </w:tc>
      </w:tr>
      <w:tr>
        <w:trPr>
          <w:trHeight w:val="146"/>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3.51</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w:t>
            </w:r>
          </w:p>
        </w:tc>
        <w:tc>
          <w:tcPr>
            <w:tcW w:w="80" w:type="dxa"/>
            <w:vAlign w:val="bottom"/>
          </w:tcPr>
          <w:p>
            <w:pPr>
              <w:spacing w:after="0"/>
              <w:rPr>
                <w:sz w:val="12"/>
                <w:szCs w:val="12"/>
                <w:color w:val="auto"/>
              </w:rPr>
            </w:pPr>
          </w:p>
        </w:tc>
        <w:tc>
          <w:tcPr>
            <w:tcW w:w="4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3.51</w:t>
            </w:r>
          </w:p>
        </w:tc>
      </w:tr>
      <w:tr>
        <w:trPr>
          <w:trHeight w:val="146"/>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3.49</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47,595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49,099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48,119</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49,591</w:t>
            </w:r>
          </w:p>
        </w:tc>
      </w:tr>
      <w:tr>
        <w:trPr>
          <w:trHeight w:val="146"/>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48,063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49,377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48,496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49,869</w:t>
            </w:r>
          </w:p>
        </w:tc>
      </w:tr>
    </w:tbl>
    <w:p>
      <w:pPr>
        <w:sectPr>
          <w:pgSz w:w="11900" w:h="16838" w:orient="portrait"/>
          <w:cols w:equalWidth="0" w:num="1">
            <w:col w:w="11240"/>
          </w:cols>
          <w:pgMar w:left="300" w:top="56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July 31, 2024</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rPr>
              <w:t>July 31, 2023</w:t>
            </w:r>
          </w:p>
        </w:tc>
      </w:tr>
      <w:tr>
        <w:trPr>
          <w:trHeight w:val="106"/>
        </w:trPr>
        <w:tc>
          <w:tcPr>
            <w:tcW w:w="284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7"/>
              </w:rPr>
              <w:t>ASSETS</w:t>
            </w:r>
          </w:p>
        </w:tc>
        <w:tc>
          <w:tcPr>
            <w:tcW w:w="3820" w:type="dxa"/>
            <w:vAlign w:val="bottom"/>
            <w:tcBorders>
              <w:bottom w:val="single" w:sz="8" w:color="CCEEFF"/>
            </w:tcBorders>
            <w:gridSpan w:val="2"/>
            <w:shd w:val="clear" w:color="auto" w:fill="CCEEFF"/>
          </w:tcPr>
          <w:p>
            <w:pPr>
              <w:spacing w:after="0"/>
              <w:rPr>
                <w:sz w:val="9"/>
                <w:szCs w:val="9"/>
                <w:color w:val="auto"/>
              </w:rPr>
            </w:pPr>
          </w:p>
        </w:tc>
        <w:tc>
          <w:tcPr>
            <w:tcW w:w="110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0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250,118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151,532</w:t>
            </w:r>
          </w:p>
        </w:tc>
      </w:tr>
      <w:tr>
        <w:trPr>
          <w:trHeight w:val="142"/>
        </w:trPr>
        <w:tc>
          <w:tcPr>
            <w:tcW w:w="8040" w:type="dxa"/>
            <w:vAlign w:val="bottom"/>
            <w:gridSpan w:val="5"/>
          </w:tcPr>
          <w:p>
            <w:pPr>
              <w:ind w:left="140"/>
              <w:spacing w:after="0"/>
              <w:rPr>
                <w:sz w:val="20"/>
                <w:szCs w:val="20"/>
                <w:color w:val="auto"/>
              </w:rPr>
            </w:pPr>
            <w:r>
              <w:rPr>
                <w:rFonts w:ascii="Times New Roman" w:cs="Times New Roman" w:eastAsia="Times New Roman" w:hAnsi="Times New Roman"/>
                <w:sz w:val="11"/>
                <w:szCs w:val="11"/>
                <w:color w:val="auto"/>
              </w:rPr>
              <w:t>Accounts receivable, net of allowance for credit losses of $6,749 and $8,467, respectively</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185,486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184,420</w:t>
            </w: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Inventories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152,729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177,078</w:t>
            </w:r>
          </w:p>
        </w:tc>
      </w:tr>
      <w:tr>
        <w:trPr>
          <w:trHeight w:val="142"/>
        </w:trPr>
        <w:tc>
          <w:tcPr>
            <w:tcW w:w="8040" w:type="dxa"/>
            <w:vAlign w:val="bottom"/>
            <w:tcBorders>
              <w:bottom w:val="single" w:sz="8" w:color="CCEEFF"/>
            </w:tcBorders>
            <w:gridSpan w:val="5"/>
          </w:tcPr>
          <w:p>
            <w:pPr>
              <w:ind w:left="14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11,382</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11,790</w:t>
            </w:r>
          </w:p>
        </w:tc>
      </w:tr>
      <w:tr>
        <w:trPr>
          <w:trHeight w:val="135"/>
        </w:trPr>
        <w:tc>
          <w:tcPr>
            <w:tcW w:w="80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current assets</w:t>
            </w: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599,715</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524,820</w:t>
            </w: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Property, plant and equipment—net</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195,758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142,149</w:t>
            </w:r>
          </w:p>
        </w:tc>
      </w:tr>
      <w:tr>
        <w:trPr>
          <w:trHeight w:val="146"/>
        </w:trPr>
        <w:tc>
          <w:tcPr>
            <w:tcW w:w="8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589,611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592,646</w:t>
            </w: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Other intangible assets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51,839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62,096</w:t>
            </w:r>
          </w:p>
        </w:tc>
      </w:tr>
      <w:tr>
        <w:trPr>
          <w:trHeight w:val="146"/>
        </w:trPr>
        <w:tc>
          <w:tcPr>
            <w:tcW w:w="8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15,596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15,716</w:t>
            </w: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Operating lease assets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38,504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29,688</w:t>
            </w:r>
          </w:p>
        </w:tc>
      </w:tr>
      <w:tr>
        <w:trPr>
          <w:trHeight w:val="144"/>
        </w:trPr>
        <w:tc>
          <w:tcPr>
            <w:tcW w:w="8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1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24,546</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22,142</w:t>
            </w:r>
          </w:p>
        </w:tc>
      </w:tr>
      <w:tr>
        <w:trPr>
          <w:trHeight w:val="151"/>
        </w:trPr>
        <w:tc>
          <w:tcPr>
            <w:tcW w:w="80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Total</w:t>
            </w:r>
          </w:p>
        </w:tc>
        <w:tc>
          <w:tcPr>
            <w:tcW w:w="110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5"/>
              </w:rPr>
              <w:t>1,515,569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1,389,257</w:t>
            </w:r>
          </w:p>
        </w:tc>
      </w:tr>
      <w:tr>
        <w:trPr>
          <w:trHeight w:val="106"/>
        </w:trPr>
        <w:tc>
          <w:tcPr>
            <w:tcW w:w="2840" w:type="dxa"/>
            <w:vAlign w:val="bottom"/>
            <w:shd w:val="clear" w:color="auto" w:fill="CCEEFF"/>
          </w:tcPr>
          <w:p>
            <w:pPr>
              <w:spacing w:after="0"/>
              <w:rPr>
                <w:sz w:val="9"/>
                <w:szCs w:val="9"/>
                <w:color w:val="auto"/>
              </w:rPr>
            </w:pPr>
          </w:p>
        </w:tc>
        <w:tc>
          <w:tcPr>
            <w:tcW w:w="5200" w:type="dxa"/>
            <w:vAlign w:val="bottom"/>
            <w:gridSpan w:val="4"/>
            <w:shd w:val="clear" w:color="auto" w:fill="CCEEFF"/>
          </w:tcPr>
          <w:p>
            <w:pPr>
              <w:jc w:val="center"/>
              <w:ind w:right="2860"/>
              <w:spacing w:after="0" w:line="99" w:lineRule="exact"/>
              <w:rPr>
                <w:sz w:val="20"/>
                <w:szCs w:val="20"/>
                <w:color w:val="auto"/>
              </w:rPr>
            </w:pPr>
            <w:r>
              <w:rPr>
                <w:rFonts w:ascii="Times New Roman" w:cs="Times New Roman" w:eastAsia="Times New Roman" w:hAnsi="Times New Roman"/>
                <w:sz w:val="11"/>
                <w:szCs w:val="11"/>
                <w:b w:val="1"/>
                <w:bCs w:val="1"/>
                <w:color w:val="auto"/>
                <w:w w:val="97"/>
              </w:rPr>
              <w:t>LIABILITIES AND STOCKHOLDERS’ EQUITY</w:t>
            </w:r>
          </w:p>
        </w:tc>
        <w:tc>
          <w:tcPr>
            <w:tcW w:w="1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r>
      <w:tr>
        <w:trPr>
          <w:trHeight w:val="142"/>
        </w:trPr>
        <w:tc>
          <w:tcPr>
            <w:tcW w:w="2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2340" w:type="dxa"/>
            <w:vAlign w:val="bottom"/>
            <w:tcBorders>
              <w:top w:val="single" w:sz="8" w:color="auto"/>
            </w:tcBorders>
            <w:gridSpan w:val="3"/>
          </w:tcPr>
          <w:p>
            <w:pPr>
              <w:spacing w:after="0"/>
              <w:rPr>
                <w:sz w:val="12"/>
                <w:szCs w:val="12"/>
                <w:color w:val="auto"/>
              </w:rPr>
            </w:pPr>
          </w:p>
        </w:tc>
        <w:tc>
          <w:tcPr>
            <w:tcW w:w="286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Accounts payable</w:t>
            </w:r>
          </w:p>
        </w:tc>
        <w:tc>
          <w:tcPr>
            <w:tcW w:w="110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84,691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79,855</w:t>
            </w:r>
          </w:p>
        </w:tc>
      </w:tr>
      <w:tr>
        <w:trPr>
          <w:trHeight w:val="142"/>
        </w:trPr>
        <w:tc>
          <w:tcPr>
            <w:tcW w:w="8040" w:type="dxa"/>
            <w:vAlign w:val="bottom"/>
            <w:gridSpan w:val="5"/>
          </w:tcPr>
          <w:p>
            <w:pPr>
              <w:ind w:left="140"/>
              <w:spacing w:after="0"/>
              <w:rPr>
                <w:sz w:val="20"/>
                <w:szCs w:val="20"/>
                <w:color w:val="auto"/>
              </w:rPr>
            </w:pPr>
            <w:r>
              <w:rPr>
                <w:rFonts w:ascii="Times New Roman" w:cs="Times New Roman" w:eastAsia="Times New Roman" w:hAnsi="Times New Roman"/>
                <w:sz w:val="11"/>
                <w:szCs w:val="11"/>
                <w:color w:val="auto"/>
              </w:rPr>
              <w:t>Accrued compensation and benefits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77,954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71,470</w:t>
            </w: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Taxes, other than income taxes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14,061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13,575</w:t>
            </w:r>
          </w:p>
        </w:tc>
      </w:tr>
      <w:tr>
        <w:trPr>
          <w:trHeight w:val="142"/>
        </w:trPr>
        <w:tc>
          <w:tcPr>
            <w:tcW w:w="8040" w:type="dxa"/>
            <w:vAlign w:val="bottom"/>
            <w:gridSpan w:val="5"/>
          </w:tcPr>
          <w:p>
            <w:pPr>
              <w:ind w:left="140"/>
              <w:spacing w:after="0"/>
              <w:rPr>
                <w:sz w:val="20"/>
                <w:szCs w:val="20"/>
                <w:color w:val="auto"/>
              </w:rPr>
            </w:pPr>
            <w:r>
              <w:rPr>
                <w:rFonts w:ascii="Times New Roman" w:cs="Times New Roman" w:eastAsia="Times New Roman" w:hAnsi="Times New Roman"/>
                <w:sz w:val="11"/>
                <w:szCs w:val="11"/>
                <w:color w:val="auto"/>
              </w:rPr>
              <w:t>Accrued income taxes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12,582</w:t>
            </w: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Current operating lease liabilities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13,382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14,726</w:t>
            </w:r>
          </w:p>
        </w:tc>
      </w:tr>
      <w:tr>
        <w:trPr>
          <w:trHeight w:val="142"/>
        </w:trPr>
        <w:tc>
          <w:tcPr>
            <w:tcW w:w="8040" w:type="dxa"/>
            <w:vAlign w:val="bottom"/>
            <w:tcBorders>
              <w:bottom w:val="single" w:sz="8" w:color="CCEEFF"/>
            </w:tcBorders>
            <w:gridSpan w:val="5"/>
          </w:tcPr>
          <w:p>
            <w:pPr>
              <w:ind w:left="14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67,170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65,828</w:t>
            </w:r>
          </w:p>
        </w:tc>
      </w:tr>
      <w:tr>
        <w:trPr>
          <w:trHeight w:val="135"/>
        </w:trPr>
        <w:tc>
          <w:tcPr>
            <w:tcW w:w="80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264,682</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258,036</w:t>
            </w: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90,935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49,716</w:t>
            </w:r>
          </w:p>
        </w:tc>
      </w:tr>
      <w:tr>
        <w:trPr>
          <w:trHeight w:val="146"/>
        </w:trPr>
        <w:tc>
          <w:tcPr>
            <w:tcW w:w="8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operating lease liabilities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25,342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16,217</w:t>
            </w:r>
          </w:p>
        </w:tc>
      </w:tr>
      <w:tr>
        <w:trPr>
          <w:trHeight w:val="142"/>
        </w:trPr>
        <w:tc>
          <w:tcPr>
            <w:tcW w:w="80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67,952</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74,369</w:t>
            </w:r>
          </w:p>
        </w:tc>
      </w:tr>
      <w:tr>
        <w:trPr>
          <w:trHeight w:val="135"/>
        </w:trPr>
        <w:tc>
          <w:tcPr>
            <w:tcW w:w="80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liabilities</w:t>
            </w: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448,911</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398,338</w:t>
            </w: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Common stock:</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2"/>
        </w:trPr>
        <w:tc>
          <w:tcPr>
            <w:tcW w:w="8040" w:type="dxa"/>
            <w:vAlign w:val="bottom"/>
            <w:gridSpan w:val="5"/>
          </w:tcPr>
          <w:p>
            <w:pPr>
              <w:ind w:left="300"/>
              <w:spacing w:after="0"/>
              <w:rPr>
                <w:sz w:val="20"/>
                <w:szCs w:val="20"/>
                <w:color w:val="auto"/>
              </w:rPr>
            </w:pPr>
            <w:r>
              <w:rPr>
                <w:rFonts w:ascii="Times New Roman" w:cs="Times New Roman" w:eastAsia="Times New Roman" w:hAnsi="Times New Roman"/>
                <w:sz w:val="11"/>
                <w:szCs w:val="11"/>
                <w:color w:val="auto"/>
              </w:rPr>
              <w:t>Class A nonvoting common stock—Issued 51,261,487 shares, and outstanding 44,042,462 and 45,008,724 shares, respectively (aggregate liquidation preference of $42,716)</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r>
      <w:tr>
        <w:trPr>
          <w:trHeight w:val="146"/>
        </w:trPr>
        <w:tc>
          <w:tcPr>
            <w:tcW w:w="80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Class B voting common stock—Issued and outstanding, 3,538,628 shares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42"/>
        </w:trPr>
        <w:tc>
          <w:tcPr>
            <w:tcW w:w="8040" w:type="dxa"/>
            <w:vAlign w:val="bottom"/>
            <w:gridSpan w:val="5"/>
          </w:tcPr>
          <w:p>
            <w:pPr>
              <w:ind w:left="14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353,654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351,771</w:t>
            </w: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Retained earnings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1,174,025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1,021,870</w:t>
            </w:r>
          </w:p>
        </w:tc>
      </w:tr>
      <w:tr>
        <w:trPr>
          <w:trHeight w:val="142"/>
        </w:trPr>
        <w:tc>
          <w:tcPr>
            <w:tcW w:w="8040" w:type="dxa"/>
            <w:vAlign w:val="bottom"/>
            <w:gridSpan w:val="5"/>
          </w:tcPr>
          <w:p>
            <w:pPr>
              <w:ind w:left="140"/>
              <w:spacing w:after="0"/>
              <w:rPr>
                <w:sz w:val="20"/>
                <w:szCs w:val="20"/>
                <w:color w:val="auto"/>
              </w:rPr>
            </w:pPr>
            <w:r>
              <w:rPr>
                <w:rFonts w:ascii="Times New Roman" w:cs="Times New Roman" w:eastAsia="Times New Roman" w:hAnsi="Times New Roman"/>
                <w:sz w:val="11"/>
                <w:szCs w:val="11"/>
                <w:color w:val="auto"/>
              </w:rPr>
              <w:t>Treasury stock—7,219,025 and 6,252,763 shares, respectively of Class A nonvoting common stock, at cost</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(351,947)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(290,209)</w:t>
            </w: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1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(109,622)</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(93,061)</w:t>
            </w:r>
          </w:p>
        </w:tc>
      </w:tr>
      <w:tr>
        <w:trPr>
          <w:trHeight w:val="131"/>
        </w:trPr>
        <w:tc>
          <w:tcPr>
            <w:tcW w:w="8040" w:type="dxa"/>
            <w:vAlign w:val="bottom"/>
            <w:tcBorders>
              <w:bottom w:val="single" w:sz="8" w:color="CCEEFF"/>
            </w:tcBorders>
            <w:gridSpan w:val="5"/>
          </w:tcPr>
          <w:p>
            <w:pPr>
              <w:ind w:left="3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5"/>
              </w:rPr>
              <w:t>1,066,658</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990,919</w:t>
            </w:r>
          </w:p>
        </w:tc>
      </w:tr>
      <w:tr>
        <w:trPr>
          <w:trHeight w:val="151"/>
        </w:trPr>
        <w:tc>
          <w:tcPr>
            <w:tcW w:w="80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1100" w:type="dxa"/>
            <w:vAlign w:val="bottom"/>
            <w:tcBorders>
              <w:bottom w:val="single" w:sz="8" w:color="auto"/>
            </w:tcBorders>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1,515,569</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1,389,257</w:t>
            </w:r>
          </w:p>
        </w:tc>
      </w:tr>
    </w:tbl>
    <w:p>
      <w:pPr>
        <w:sectPr>
          <w:pgSz w:w="11900" w:h="16838" w:orient="portrait"/>
          <w:cols w:equalWidth="0" w:num="1">
            <w:col w:w="11300"/>
          </w:cols>
          <w:pgMar w:left="300" w:top="56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Year ended July 31,</w:t>
            </w:r>
          </w:p>
        </w:tc>
        <w:tc>
          <w:tcPr>
            <w:tcW w:w="1060" w:type="dxa"/>
            <w:vAlign w:val="bottom"/>
            <w:tcBorders>
              <w:bottom w:val="single" w:sz="8" w:color="auto"/>
            </w:tcBorders>
          </w:tcPr>
          <w:p>
            <w:pPr>
              <w:spacing w:after="0"/>
              <w:rPr>
                <w:sz w:val="12"/>
                <w:szCs w:val="12"/>
                <w:color w:val="auto"/>
              </w:rPr>
            </w:pPr>
          </w:p>
        </w:tc>
      </w:tr>
      <w:tr>
        <w:trPr>
          <w:trHeight w:val="133"/>
        </w:trPr>
        <w:tc>
          <w:tcPr>
            <w:tcW w:w="806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color w:val="auto"/>
              </w:rPr>
              <w:t>2023</w:t>
            </w:r>
          </w:p>
        </w:tc>
      </w:tr>
      <w:tr>
        <w:trPr>
          <w:trHeight w:val="126"/>
        </w:trPr>
        <w:tc>
          <w:tcPr>
            <w:tcW w:w="8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Operating activities:</w:t>
            </w:r>
          </w:p>
        </w:tc>
        <w:tc>
          <w:tcPr>
            <w:tcW w:w="10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42"/>
        </w:trPr>
        <w:tc>
          <w:tcPr>
            <w:tcW w:w="80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income</w:t>
            </w:r>
          </w:p>
        </w:tc>
        <w:tc>
          <w:tcPr>
            <w:tcW w:w="1000" w:type="dxa"/>
            <w:vAlign w:val="bottom"/>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197,215</w:t>
            </w:r>
          </w:p>
        </w:tc>
        <w:tc>
          <w:tcPr>
            <w:tcW w:w="100" w:type="dxa"/>
            <w:vAlign w:val="bottom"/>
          </w:tcPr>
          <w:p>
            <w:pPr>
              <w:spacing w:after="0"/>
              <w:rPr>
                <w:sz w:val="12"/>
                <w:szCs w:val="12"/>
                <w:color w:val="auto"/>
              </w:rPr>
            </w:pPr>
          </w:p>
        </w:tc>
        <w:tc>
          <w:tcPr>
            <w:tcW w:w="52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174,857</w:t>
            </w:r>
          </w:p>
        </w:tc>
      </w:tr>
      <w:tr>
        <w:trPr>
          <w:trHeight w:val="146"/>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29,873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32,370</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7,361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7,508</w:t>
            </w: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Gain on sale of business</w:t>
            </w:r>
          </w:p>
        </w:tc>
        <w:tc>
          <w:tcPr>
            <w:tcW w:w="10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(3,770)</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Deferred income taxes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(9,399)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(12,472)</w:t>
            </w: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1,401</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Accounts receivable</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(6,581)</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2,380</w:t>
            </w:r>
          </w:p>
        </w:tc>
      </w:tr>
      <w:tr>
        <w:trPr>
          <w:trHeight w:val="146"/>
        </w:trPr>
        <w:tc>
          <w:tcPr>
            <w:tcW w:w="8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Inventories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21,697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14,972</w:t>
            </w:r>
          </w:p>
        </w:tc>
      </w:tr>
      <w:tr>
        <w:trPr>
          <w:trHeight w:val="142"/>
        </w:trPr>
        <w:tc>
          <w:tcPr>
            <w:tcW w:w="806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w:t>
            </w:r>
          </w:p>
        </w:tc>
      </w:tr>
      <w:tr>
        <w:trPr>
          <w:trHeight w:val="146"/>
        </w:trPr>
        <w:tc>
          <w:tcPr>
            <w:tcW w:w="8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19,198</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(9,459)</w:t>
            </w:r>
          </w:p>
        </w:tc>
      </w:tr>
      <w:tr>
        <w:trPr>
          <w:trHeight w:val="142"/>
        </w:trPr>
        <w:tc>
          <w:tcPr>
            <w:tcW w:w="806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1"/>
                <w:szCs w:val="11"/>
                <w:color w:val="auto"/>
              </w:rPr>
              <w:t>Income taxes</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(4,948)</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4,094</w:t>
            </w:r>
          </w:p>
        </w:tc>
      </w:tr>
      <w:tr>
        <w:trPr>
          <w:trHeight w:val="135"/>
        </w:trPr>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10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255,074</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209,149</w:t>
            </w:r>
          </w:p>
        </w:tc>
      </w:tr>
      <w:tr>
        <w:trPr>
          <w:trHeight w:val="144"/>
        </w:trPr>
        <w:tc>
          <w:tcPr>
            <w:tcW w:w="8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Investing activities: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(79,892)</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(19,226)</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Sale of business</w:t>
            </w:r>
          </w:p>
        </w:tc>
        <w:tc>
          <w:tcPr>
            <w:tcW w:w="10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8,000</w:t>
            </w:r>
          </w:p>
        </w:tc>
      </w:tr>
      <w:tr>
        <w:trPr>
          <w:trHeight w:val="142"/>
        </w:trPr>
        <w:tc>
          <w:tcPr>
            <w:tcW w:w="80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(1,155)</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35"/>
        </w:trPr>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10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(81,047)</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(11,214)</w:t>
            </w:r>
          </w:p>
        </w:tc>
      </w:tr>
      <w:tr>
        <w:trPr>
          <w:trHeight w:val="144"/>
        </w:trPr>
        <w:tc>
          <w:tcPr>
            <w:tcW w:w="8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Financing activities: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Payment of dividends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(45,060)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(45,404)</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8,186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4,091</w:t>
            </w: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Payments for employee taxes withheld from stock-based awards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(2,797)</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(2,041)</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(72,225)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(74,996)</w:t>
            </w: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Proceeds from borrowing on credit facilities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175,103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127,660</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Repayment of borrowing on credit facilities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(133,884)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(172,944)</w:t>
            </w:r>
          </w:p>
        </w:tc>
      </w:tr>
      <w:tr>
        <w:trPr>
          <w:trHeight w:val="142"/>
        </w:trPr>
        <w:tc>
          <w:tcPr>
            <w:tcW w:w="80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w:t>
            </w:r>
          </w:p>
        </w:tc>
      </w:tr>
      <w:tr>
        <w:trPr>
          <w:trHeight w:val="135"/>
        </w:trPr>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10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(70,528)</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(163,568)</w:t>
            </w:r>
          </w:p>
        </w:tc>
      </w:tr>
      <w:tr>
        <w:trPr>
          <w:trHeight w:val="144"/>
        </w:trPr>
        <w:tc>
          <w:tcPr>
            <w:tcW w:w="8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3,096</w:t>
            </w:r>
          </w:p>
        </w:tc>
      </w:tr>
      <w:tr>
        <w:trPr>
          <w:trHeight w:val="144"/>
        </w:trPr>
        <w:tc>
          <w:tcPr>
            <w:tcW w:w="8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increase in cash and cash equivalents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98,586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37,463</w:t>
            </w:r>
          </w:p>
        </w:tc>
      </w:tr>
      <w:tr>
        <w:trPr>
          <w:trHeight w:val="142"/>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151,532</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114,069</w:t>
            </w:r>
          </w:p>
        </w:tc>
      </w:tr>
      <w:tr>
        <w:trPr>
          <w:trHeight w:val="126"/>
        </w:trPr>
        <w:tc>
          <w:tcPr>
            <w:tcW w:w="80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60"/>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and cash equivalents, end of period</w:t>
            </w:r>
          </w:p>
        </w:tc>
        <w:tc>
          <w:tcPr>
            <w:tcW w:w="1000" w:type="dxa"/>
            <w:vAlign w:val="bottom"/>
            <w:tcBorders>
              <w:bottom w:val="single" w:sz="8" w:color="auto"/>
            </w:tcBorders>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250,118</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151,532</w:t>
            </w:r>
          </w:p>
        </w:tc>
      </w:tr>
      <w:tr>
        <w:trPr>
          <w:trHeight w:val="126"/>
        </w:trPr>
        <w:tc>
          <w:tcPr>
            <w:tcW w:w="80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42"/>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Supplemental disclosures: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paid during the period for:</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Interest</w:t>
            </w:r>
          </w:p>
        </w:tc>
        <w:tc>
          <w:tcPr>
            <w:tcW w:w="1000" w:type="dxa"/>
            <w:vAlign w:val="bottom"/>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2,930</w:t>
            </w:r>
          </w:p>
        </w:tc>
        <w:tc>
          <w:tcPr>
            <w:tcW w:w="100" w:type="dxa"/>
            <w:vAlign w:val="bottom"/>
          </w:tcPr>
          <w:p>
            <w:pPr>
              <w:spacing w:after="0"/>
              <w:rPr>
                <w:sz w:val="12"/>
                <w:szCs w:val="12"/>
                <w:color w:val="auto"/>
              </w:rPr>
            </w:pPr>
          </w:p>
        </w:tc>
        <w:tc>
          <w:tcPr>
            <w:tcW w:w="52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3,408</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Income taxes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62,073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58,829</w:t>
            </w:r>
          </w:p>
        </w:tc>
      </w:tr>
    </w:tbl>
    <w:p>
      <w:pPr>
        <w:sectPr>
          <w:pgSz w:w="11900" w:h="16838" w:orient="portrait"/>
          <w:cols w:equalWidth="0" w:num="1">
            <w:col w:w="11300"/>
          </w:cols>
          <w:pgMar w:left="300" w:top="560"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SEGMENT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w w:val="97"/>
              </w:rPr>
              <w:t>Three months ended July 31,</w:t>
            </w: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940" w:type="dxa"/>
            <w:vAlign w:val="bottom"/>
            <w:tcBorders>
              <w:bottom w:val="single" w:sz="8" w:color="auto"/>
            </w:tcBorders>
          </w:tcPr>
          <w:p>
            <w:pPr>
              <w:spacing w:after="0"/>
              <w:rPr>
                <w:sz w:val="12"/>
                <w:szCs w:val="12"/>
                <w:color w:val="auto"/>
              </w:rPr>
            </w:pPr>
          </w:p>
        </w:tc>
      </w:tr>
      <w:tr>
        <w:trPr>
          <w:trHeight w:val="133"/>
        </w:trPr>
        <w:tc>
          <w:tcPr>
            <w:tcW w:w="53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99"/>
              </w:rPr>
              <w:t>2023</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2023</w:t>
            </w:r>
          </w:p>
        </w:tc>
      </w:tr>
      <w:tr>
        <w:trPr>
          <w:trHeight w:val="126"/>
        </w:trPr>
        <w:tc>
          <w:tcPr>
            <w:tcW w:w="53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SALES</w:t>
            </w:r>
          </w:p>
        </w:tc>
        <w:tc>
          <w:tcPr>
            <w:tcW w:w="8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5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Americas &amp; Asia</w:t>
            </w:r>
          </w:p>
        </w:tc>
        <w:tc>
          <w:tcPr>
            <w:tcW w:w="82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228,493</w:t>
            </w:r>
          </w:p>
        </w:tc>
        <w:tc>
          <w:tcPr>
            <w:tcW w:w="100" w:type="dxa"/>
            <w:vAlign w:val="bottom"/>
          </w:tcPr>
          <w:p>
            <w:pPr>
              <w:spacing w:after="0"/>
              <w:rPr>
                <w:sz w:val="12"/>
                <w:szCs w:val="12"/>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227,482</w:t>
            </w:r>
          </w:p>
        </w:tc>
        <w:tc>
          <w:tcPr>
            <w:tcW w:w="8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886,528</w:t>
            </w:r>
          </w:p>
        </w:tc>
        <w:tc>
          <w:tcPr>
            <w:tcW w:w="100" w:type="dxa"/>
            <w:vAlign w:val="bottom"/>
          </w:tcPr>
          <w:p>
            <w:pPr>
              <w:spacing w:after="0"/>
              <w:rPr>
                <w:sz w:val="12"/>
                <w:szCs w:val="12"/>
                <w:color w:val="auto"/>
              </w:rPr>
            </w:pP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888,857</w:t>
            </w:r>
          </w:p>
        </w:tc>
      </w:tr>
      <w:tr>
        <w:trPr>
          <w:trHeight w:val="144"/>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Europe &amp; Australia</w:t>
            </w:r>
          </w:p>
        </w:tc>
        <w:tc>
          <w:tcPr>
            <w:tcW w:w="8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114,909</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118,447</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454,865</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443,006</w:t>
            </w:r>
          </w:p>
        </w:tc>
      </w:tr>
      <w:tr>
        <w:trPr>
          <w:trHeight w:val="151"/>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343,402</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345,929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1,341,393</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1,331,863</w:t>
            </w:r>
          </w:p>
        </w:tc>
      </w:tr>
      <w:tr>
        <w:trPr>
          <w:trHeight w:val="126"/>
        </w:trPr>
        <w:tc>
          <w:tcPr>
            <w:tcW w:w="53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INFORMATION</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5"/>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i w:val="1"/>
                <w:iCs w:val="1"/>
                <w:color w:val="auto"/>
              </w:rPr>
              <w:t>Americas &amp; Asia</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5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Organic</w:t>
            </w:r>
          </w:p>
        </w:tc>
        <w:tc>
          <w:tcPr>
            <w:tcW w:w="8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4.4 %</w:t>
            </w:r>
          </w:p>
        </w:tc>
      </w:tr>
      <w:tr>
        <w:trPr>
          <w:trHeight w:val="146"/>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Currency</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w:t>
            </w:r>
          </w:p>
        </w:tc>
      </w:tr>
      <w:tr>
        <w:trPr>
          <w:trHeight w:val="142"/>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Divestiture</w:t>
            </w: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5"/>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4.4 %</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3.2 %</w:t>
            </w:r>
          </w:p>
        </w:tc>
      </w:tr>
      <w:tr>
        <w:trPr>
          <w:trHeight w:val="121"/>
        </w:trPr>
        <w:tc>
          <w:tcPr>
            <w:tcW w:w="536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Europe &amp; Australia</w:t>
            </w: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Organic</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7.6 %</w:t>
            </w:r>
          </w:p>
        </w:tc>
      </w:tr>
      <w:tr>
        <w:trPr>
          <w:trHeight w:val="142"/>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Currency</w:t>
            </w: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2.0 %</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w:t>
            </w:r>
          </w:p>
        </w:tc>
      </w:tr>
      <w:tr>
        <w:trPr>
          <w:trHeight w:val="155"/>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11.5 %</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2.7 %</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0.5 %</w:t>
            </w:r>
          </w:p>
        </w:tc>
      </w:tr>
      <w:tr>
        <w:trPr>
          <w:trHeight w:val="121"/>
        </w:trPr>
        <w:tc>
          <w:tcPr>
            <w:tcW w:w="536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Total Company</w:t>
            </w: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Organic</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5.5 %</w:t>
            </w:r>
          </w:p>
        </w:tc>
      </w:tr>
      <w:tr>
        <w:trPr>
          <w:trHeight w:val="142"/>
        </w:trPr>
        <w:tc>
          <w:tcPr>
            <w:tcW w:w="5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Currency</w:t>
            </w:r>
          </w:p>
        </w:tc>
        <w:tc>
          <w:tcPr>
            <w:tcW w:w="8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0.2 %</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44"/>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Divestiture</w:t>
            </w:r>
          </w:p>
        </w:tc>
        <w:tc>
          <w:tcPr>
            <w:tcW w:w="8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1"/>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6.8 %</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0.7 %</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2.3 %</w:t>
            </w:r>
          </w:p>
        </w:tc>
      </w:tr>
      <w:tr>
        <w:trPr>
          <w:trHeight w:val="126"/>
        </w:trPr>
        <w:tc>
          <w:tcPr>
            <w:tcW w:w="53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3"/>
        </w:trPr>
        <w:tc>
          <w:tcPr>
            <w:tcW w:w="5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SEGMENT PROFIT</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Americas &amp; Asia</w:t>
            </w: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53,353</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49,992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196,842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180,503</w:t>
            </w:r>
          </w:p>
        </w:tc>
      </w:tr>
      <w:tr>
        <w:trPr>
          <w:trHeight w:val="142"/>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Europe &amp; Australia</w:t>
            </w: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19,277</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18,426</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70,612</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65,742</w:t>
            </w:r>
          </w:p>
        </w:tc>
      </w:tr>
      <w:tr>
        <w:trPr>
          <w:trHeight w:val="155"/>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72,630</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68,418</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267,454</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246,245</w:t>
            </w:r>
          </w:p>
        </w:tc>
      </w:tr>
      <w:tr>
        <w:trPr>
          <w:trHeight w:val="121"/>
        </w:trPr>
        <w:tc>
          <w:tcPr>
            <w:tcW w:w="536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SEGMENT PROFIT AS A PERCENT OF NET SALES</w:t>
            </w: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Americas &amp; Asia</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22.2 %</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20.3 %</w:t>
            </w:r>
          </w:p>
        </w:tc>
      </w:tr>
      <w:tr>
        <w:trPr>
          <w:trHeight w:val="142"/>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Europe &amp; Australia</w:t>
            </w: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16.8 %</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15.6 %</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15.5 %</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14.8 %</w:t>
            </w:r>
          </w:p>
        </w:tc>
      </w:tr>
      <w:tr>
        <w:trPr>
          <w:trHeight w:val="162"/>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21.2 %</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19.8 %</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19.9 %</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18.5 %</w:t>
            </w:r>
          </w:p>
        </w:tc>
      </w:tr>
      <w:tr>
        <w:trPr>
          <w:trHeight w:val="115"/>
        </w:trPr>
        <w:tc>
          <w:tcPr>
            <w:tcW w:w="53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r>
      <w:tr>
        <w:trPr>
          <w:trHeight w:val="144"/>
        </w:trPr>
        <w:tc>
          <w:tcPr>
            <w:tcW w:w="5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w w:val="97"/>
              </w:rPr>
              <w:t>Three months ended July 31,</w:t>
            </w: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940" w:type="dxa"/>
            <w:vAlign w:val="bottom"/>
            <w:tcBorders>
              <w:bottom w:val="single" w:sz="8" w:color="auto"/>
            </w:tcBorders>
          </w:tcPr>
          <w:p>
            <w:pPr>
              <w:spacing w:after="0"/>
              <w:rPr>
                <w:sz w:val="12"/>
                <w:szCs w:val="12"/>
                <w:color w:val="auto"/>
              </w:rPr>
            </w:pPr>
          </w:p>
        </w:tc>
      </w:tr>
      <w:tr>
        <w:trPr>
          <w:trHeight w:val="135"/>
        </w:trPr>
        <w:tc>
          <w:tcPr>
            <w:tcW w:w="536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5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99"/>
              </w:rPr>
              <w:t>2023</w:t>
            </w:r>
          </w:p>
        </w:tc>
        <w:tc>
          <w:tcPr>
            <w:tcW w:w="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rPr>
              <w:t>2023</w:t>
            </w:r>
          </w:p>
        </w:tc>
      </w:tr>
      <w:tr>
        <w:trPr>
          <w:trHeight w:val="131"/>
        </w:trPr>
        <w:tc>
          <w:tcPr>
            <w:tcW w:w="5360" w:type="dxa"/>
            <w:vAlign w:val="bottom"/>
          </w:tcPr>
          <w:p>
            <w:pPr>
              <w:spacing w:after="0"/>
              <w:rPr>
                <w:sz w:val="20"/>
                <w:szCs w:val="20"/>
                <w:color w:val="auto"/>
              </w:rPr>
            </w:pPr>
            <w:r>
              <w:rPr>
                <w:rFonts w:ascii="Times New Roman" w:cs="Times New Roman" w:eastAsia="Times New Roman" w:hAnsi="Times New Roman"/>
                <w:sz w:val="11"/>
                <w:szCs w:val="11"/>
                <w:color w:val="auto"/>
              </w:rPr>
              <w:t>Total segment profit</w:t>
            </w:r>
          </w:p>
        </w:tc>
        <w:tc>
          <w:tcPr>
            <w:tcW w:w="82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72,630</w:t>
            </w:r>
          </w:p>
        </w:tc>
        <w:tc>
          <w:tcPr>
            <w:tcW w:w="100" w:type="dxa"/>
            <w:vAlign w:val="bottom"/>
          </w:tcPr>
          <w:p>
            <w:pPr>
              <w:spacing w:after="0"/>
              <w:rPr>
                <w:sz w:val="11"/>
                <w:szCs w:val="11"/>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68,418</w:t>
            </w:r>
          </w:p>
        </w:tc>
        <w:tc>
          <w:tcPr>
            <w:tcW w:w="80" w:type="dxa"/>
            <w:vAlign w:val="bottom"/>
          </w:tcPr>
          <w:p>
            <w:pPr>
              <w:spacing w:after="0"/>
              <w:rPr>
                <w:sz w:val="11"/>
                <w:szCs w:val="11"/>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267,454</w:t>
            </w:r>
          </w:p>
        </w:tc>
        <w:tc>
          <w:tcPr>
            <w:tcW w:w="100" w:type="dxa"/>
            <w:vAlign w:val="bottom"/>
          </w:tcPr>
          <w:p>
            <w:pPr>
              <w:spacing w:after="0"/>
              <w:rPr>
                <w:sz w:val="11"/>
                <w:szCs w:val="11"/>
                <w:color w:val="auto"/>
              </w:rPr>
            </w:pP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246,245</w:t>
            </w:r>
          </w:p>
        </w:tc>
      </w:tr>
      <w:tr>
        <w:trPr>
          <w:trHeight w:val="14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Unallocated amounts:</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Administrative costs</w:t>
            </w:r>
          </w:p>
        </w:tc>
        <w:tc>
          <w:tcPr>
            <w:tcW w:w="82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(6,415)</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(6,373)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(24,040)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(24,802)</w:t>
            </w:r>
          </w:p>
        </w:tc>
      </w:tr>
      <w:tr>
        <w:trPr>
          <w:trHeight w:val="14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Gain on sale of business</w:t>
            </w:r>
          </w:p>
        </w:tc>
        <w:tc>
          <w:tcPr>
            <w:tcW w:w="8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3,770</w:t>
            </w: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820" w:type="dxa"/>
            <w:vAlign w:val="bottom"/>
          </w:tcPr>
          <w:p>
            <w:pPr>
              <w:spacing w:after="0"/>
              <w:rPr>
                <w:sz w:val="12"/>
                <w:szCs w:val="12"/>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2,835</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2,426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7,553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4,022</w:t>
            </w:r>
          </w:p>
        </w:tc>
      </w:tr>
      <w:tr>
        <w:trPr>
          <w:trHeight w:val="144"/>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Interest expense</w:t>
            </w:r>
          </w:p>
        </w:tc>
        <w:tc>
          <w:tcPr>
            <w:tcW w:w="8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(842)</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(653)</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(3,126)</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(3,539)</w:t>
            </w:r>
          </w:p>
        </w:tc>
      </w:tr>
      <w:tr>
        <w:trPr>
          <w:trHeight w:val="135"/>
        </w:trPr>
        <w:tc>
          <w:tcPr>
            <w:tcW w:w="5360" w:type="dxa"/>
            <w:vAlign w:val="bottom"/>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82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68,208</w:t>
            </w:r>
          </w:p>
        </w:tc>
        <w:tc>
          <w:tcPr>
            <w:tcW w:w="100" w:type="dxa"/>
            <w:vAlign w:val="bottom"/>
          </w:tcPr>
          <w:p>
            <w:pPr>
              <w:spacing w:after="0"/>
              <w:rPr>
                <w:sz w:val="11"/>
                <w:szCs w:val="11"/>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63,818</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247,841</w:t>
            </w:r>
          </w:p>
        </w:tc>
        <w:tc>
          <w:tcPr>
            <w:tcW w:w="100" w:type="dxa"/>
            <w:vAlign w:val="bottom"/>
          </w:tcPr>
          <w:p>
            <w:pPr>
              <w:spacing w:after="0"/>
              <w:rPr>
                <w:sz w:val="11"/>
                <w:szCs w:val="11"/>
                <w:color w:val="auto"/>
              </w:rPr>
            </w:pPr>
          </w:p>
        </w:tc>
        <w:tc>
          <w:tcPr>
            <w:tcW w:w="4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225,696</w:t>
            </w:r>
          </w:p>
        </w:tc>
      </w:tr>
      <w:tr>
        <w:trPr>
          <w:trHeight w:val="20"/>
        </w:trPr>
        <w:tc>
          <w:tcPr>
            <w:tcW w:w="5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0"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t>GAAP to NON-GAAP MEASURES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 Dollars in Thousands, Except Per Share Amounts)</w:t>
      </w:r>
    </w:p>
    <w:p>
      <w:pPr>
        <w:spacing w:after="0" w:line="1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 Excluding Certain Items: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Brady is presenting the non-GAAP measure, "Income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and losses of unconsolidated affiliate to the non-GAAP measure of Income Before Income Taxes Excluding Certain Items: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66"/>
              <w:spacing w:after="0"/>
              <w:rPr>
                <w:sz w:val="20"/>
                <w:szCs w:val="20"/>
                <w:color w:val="auto"/>
              </w:rPr>
            </w:pPr>
            <w:r>
              <w:rPr>
                <w:rFonts w:ascii="Times New Roman" w:cs="Times New Roman" w:eastAsia="Times New Roman" w:hAnsi="Times New Roman"/>
                <w:sz w:val="11"/>
                <w:szCs w:val="11"/>
                <w:color w:val="auto"/>
              </w:rPr>
              <w:t>Three months ended July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2023</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2024</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2023</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before income taxes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68,208</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63,818</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247,841</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225,696</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2,337</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2,389</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11,739</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Gain on sale of business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(3,770)</w:t>
            </w:r>
          </w:p>
        </w:tc>
      </w:tr>
      <w:tr>
        <w:trPr>
          <w:trHeight w:val="132"/>
        </w:trPr>
        <w:tc>
          <w:tcPr>
            <w:tcW w:w="55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Income Before Income Taxes Excluding Certain Items (non-GAAP measure)</w:t>
            </w:r>
          </w:p>
        </w:tc>
        <w:tc>
          <w:tcPr>
            <w:tcW w:w="92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70,545</w:t>
            </w:r>
          </w:p>
        </w:tc>
        <w:tc>
          <w:tcPr>
            <w:tcW w:w="10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66,207</w:t>
            </w:r>
          </w:p>
        </w:tc>
        <w:tc>
          <w:tcPr>
            <w:tcW w:w="8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257,262</w:t>
            </w: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233,665</w:t>
            </w:r>
          </w:p>
        </w:tc>
      </w:tr>
      <w:tr>
        <w:trPr>
          <w:trHeight w:val="20"/>
        </w:trPr>
        <w:tc>
          <w:tcPr>
            <w:tcW w:w="5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Tax Expense Excluding Certain Items: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"Income Tax Expense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Income Tax Expense Excluding Certain Items: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66"/>
              <w:spacing w:after="0"/>
              <w:rPr>
                <w:sz w:val="20"/>
                <w:szCs w:val="20"/>
                <w:color w:val="auto"/>
              </w:rPr>
            </w:pPr>
            <w:r>
              <w:rPr>
                <w:rFonts w:ascii="Times New Roman" w:cs="Times New Roman" w:eastAsia="Times New Roman" w:hAnsi="Times New Roman"/>
                <w:sz w:val="11"/>
                <w:szCs w:val="11"/>
                <w:color w:val="auto"/>
              </w:rPr>
              <w:t>Three months ended July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2023</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2024</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2023</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tax expense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12,752</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14,440</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50,626</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50,839</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2,756</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Gain on sale of business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(1,431)</w:t>
            </w:r>
          </w:p>
        </w:tc>
      </w:tr>
      <w:tr>
        <w:trPr>
          <w:trHeight w:val="132"/>
        </w:trPr>
        <w:tc>
          <w:tcPr>
            <w:tcW w:w="55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Income Tax Expense Excluding Certain Items (non-GAAP measure)</w:t>
            </w:r>
          </w:p>
        </w:tc>
        <w:tc>
          <w:tcPr>
            <w:tcW w:w="92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13,292</w:t>
            </w:r>
          </w:p>
        </w:tc>
        <w:tc>
          <w:tcPr>
            <w:tcW w:w="10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14,993</w:t>
            </w:r>
          </w:p>
        </w:tc>
        <w:tc>
          <w:tcPr>
            <w:tcW w:w="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52,808</w:t>
            </w: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52,164</w:t>
            </w:r>
          </w:p>
        </w:tc>
      </w:tr>
      <w:tr>
        <w:trPr>
          <w:trHeight w:val="20"/>
        </w:trPr>
        <w:tc>
          <w:tcPr>
            <w:tcW w:w="5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Income Excluding Certain Items: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"Net Income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Net Income Excluding Certain Items: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66"/>
              <w:spacing w:after="0"/>
              <w:rPr>
                <w:sz w:val="20"/>
                <w:szCs w:val="20"/>
                <w:color w:val="auto"/>
              </w:rPr>
            </w:pPr>
            <w:r>
              <w:rPr>
                <w:rFonts w:ascii="Times New Roman" w:cs="Times New Roman" w:eastAsia="Times New Roman" w:hAnsi="Times New Roman"/>
                <w:sz w:val="11"/>
                <w:szCs w:val="11"/>
                <w:color w:val="auto"/>
              </w:rPr>
              <w:t>Three months ended July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2023</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2024</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2023</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55,456</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49,378</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197,215</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174,857</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1,797</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1,836</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7,239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8,983</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Gain on sale of business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(2,339)</w:t>
            </w:r>
          </w:p>
        </w:tc>
      </w:tr>
      <w:tr>
        <w:trPr>
          <w:trHeight w:val="132"/>
        </w:trPr>
        <w:tc>
          <w:tcPr>
            <w:tcW w:w="55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Income Excluding Certain Items (non-GAAP measure)</w:t>
            </w:r>
          </w:p>
        </w:tc>
        <w:tc>
          <w:tcPr>
            <w:tcW w:w="92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57,253</w:t>
            </w:r>
          </w:p>
        </w:tc>
        <w:tc>
          <w:tcPr>
            <w:tcW w:w="10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51,214</w:t>
            </w:r>
          </w:p>
        </w:tc>
        <w:tc>
          <w:tcPr>
            <w:tcW w:w="8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204,454</w:t>
            </w: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181,501</w:t>
            </w:r>
          </w:p>
        </w:tc>
      </w:tr>
      <w:tr>
        <w:trPr>
          <w:trHeight w:val="20"/>
        </w:trPr>
        <w:tc>
          <w:tcPr>
            <w:tcW w:w="5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638"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color w:val="auto"/>
        </w:rPr>
        <w:t>Diluted EPS Excluding Certain Items: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"Diluted EPS Excluding Certain Items."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Diluted EPS Excluding Certain Items: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326"/>
              <w:spacing w:after="0"/>
              <w:rPr>
                <w:sz w:val="20"/>
                <w:szCs w:val="20"/>
                <w:color w:val="auto"/>
              </w:rPr>
            </w:pPr>
            <w:r>
              <w:rPr>
                <w:rFonts w:ascii="Times New Roman" w:cs="Times New Roman" w:eastAsia="Times New Roman" w:hAnsi="Times New Roman"/>
                <w:sz w:val="11"/>
                <w:szCs w:val="11"/>
                <w:color w:val="auto"/>
              </w:rPr>
              <w:t>Three months ended July 31,</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2024</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2023</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2024</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2023</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center"/>
              <w:ind w:left="546"/>
              <w:spacing w:after="0"/>
              <w:rPr>
                <w:sz w:val="20"/>
                <w:szCs w:val="20"/>
                <w:color w:val="auto"/>
              </w:rPr>
            </w:pPr>
            <w:r>
              <w:rPr>
                <w:rFonts w:ascii="Times New Roman" w:cs="Times New Roman" w:eastAsia="Times New Roman" w:hAnsi="Times New Roman"/>
                <w:sz w:val="11"/>
                <w:szCs w:val="11"/>
                <w:color w:val="auto"/>
              </w:rPr>
              <w:t>3.51</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center"/>
              <w:ind w:left="546"/>
              <w:spacing w:after="0"/>
              <w:rPr>
                <w:sz w:val="20"/>
                <w:szCs w:val="20"/>
                <w:color w:val="auto"/>
              </w:rPr>
            </w:pPr>
            <w:r>
              <w:rPr>
                <w:rFonts w:ascii="Times New Roman" w:cs="Times New Roman" w:eastAsia="Times New Roman" w:hAnsi="Times New Roman"/>
                <w:sz w:val="11"/>
                <w:szCs w:val="11"/>
                <w:color w:val="auto"/>
              </w:rPr>
              <w:t>0.18</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Gain on sale of business</w:t>
            </w:r>
          </w:p>
        </w:tc>
        <w:tc>
          <w:tcPr>
            <w:tcW w:w="9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left="526"/>
              <w:spacing w:after="0"/>
              <w:rPr>
                <w:sz w:val="20"/>
                <w:szCs w:val="20"/>
                <w:color w:val="auto"/>
              </w:rPr>
            </w:pPr>
            <w:r>
              <w:rPr>
                <w:rFonts w:ascii="Times New Roman" w:cs="Times New Roman" w:eastAsia="Times New Roman" w:hAnsi="Times New Roman"/>
                <w:sz w:val="11"/>
                <w:szCs w:val="11"/>
                <w:color w:val="auto"/>
                <w:w w:val="97"/>
              </w:rPr>
              <w:t>(0.05)</w:t>
            </w:r>
          </w:p>
        </w:tc>
      </w:tr>
      <w:tr>
        <w:trPr>
          <w:trHeight w:val="132"/>
        </w:trPr>
        <w:tc>
          <w:tcPr>
            <w:tcW w:w="55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Diluted EPS Excluding Certain Items (non-GAAP measure)</w:t>
            </w:r>
          </w:p>
        </w:tc>
        <w:tc>
          <w:tcPr>
            <w:tcW w:w="960" w:type="dxa"/>
            <w:vAlign w:val="bottom"/>
            <w:tcBorders>
              <w:top w:val="single" w:sz="8" w:color="auto"/>
              <w:bottom w:val="single" w:sz="8" w:color="auto"/>
            </w:tcBorders>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1.19</w:t>
            </w:r>
          </w:p>
        </w:tc>
        <w:tc>
          <w:tcPr>
            <w:tcW w:w="10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ind w:right="8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1.04</w:t>
            </w:r>
          </w:p>
        </w:tc>
        <w:tc>
          <w:tcPr>
            <w:tcW w:w="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4.22</w:t>
            </w: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center"/>
              <w:ind w:left="546"/>
              <w:spacing w:after="0"/>
              <w:rPr>
                <w:sz w:val="20"/>
                <w:szCs w:val="20"/>
                <w:color w:val="auto"/>
              </w:rPr>
            </w:pPr>
            <w:r>
              <w:rPr>
                <w:rFonts w:ascii="Times New Roman" w:cs="Times New Roman" w:eastAsia="Times New Roman" w:hAnsi="Times New Roman"/>
                <w:sz w:val="11"/>
                <w:szCs w:val="11"/>
                <w:b w:val="1"/>
                <w:bCs w:val="1"/>
                <w:color w:val="auto"/>
              </w:rPr>
              <w:t>3.64</w:t>
            </w:r>
          </w:p>
        </w:tc>
      </w:tr>
      <w:tr>
        <w:trPr>
          <w:trHeight w:val="20"/>
        </w:trPr>
        <w:tc>
          <w:tcPr>
            <w:tcW w:w="5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Diluted EPS Excluding Certain Items Guidance: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Fiscal 2025 Expectations</w:t>
            </w:r>
          </w:p>
        </w:tc>
        <w:tc>
          <w:tcPr>
            <w:tcW w:w="820" w:type="dxa"/>
            <w:vAlign w:val="bottom"/>
            <w:tcBorders>
              <w:bottom w:val="single" w:sz="8" w:color="auto"/>
            </w:tcBorders>
          </w:tcPr>
          <w:p>
            <w:pPr>
              <w:spacing w:after="0"/>
              <w:rPr>
                <w:sz w:val="12"/>
                <w:szCs w:val="12"/>
                <w:color w:val="auto"/>
              </w:rPr>
            </w:pPr>
          </w:p>
        </w:tc>
      </w:tr>
      <w:tr>
        <w:trPr>
          <w:trHeight w:val="133"/>
        </w:trPr>
        <w:tc>
          <w:tcPr>
            <w:tcW w:w="84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Low</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99"/>
              </w:rPr>
              <w:t>High</w:t>
            </w:r>
          </w:p>
        </w:tc>
      </w:tr>
      <w:tr>
        <w:trPr>
          <w:trHeight w:val="135"/>
        </w:trPr>
        <w:tc>
          <w:tcPr>
            <w:tcW w:w="84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Earnings per Class A Nonvoting Common Share (GAAP measure)</w:t>
            </w: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4.45</w:t>
            </w:r>
          </w:p>
        </w:tc>
      </w:tr>
      <w:tr>
        <w:trPr>
          <w:trHeight w:val="142"/>
        </w:trPr>
        <w:tc>
          <w:tcPr>
            <w:tcW w:w="8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0.25</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0.25</w:t>
            </w:r>
          </w:p>
        </w:tc>
      </w:tr>
      <w:tr>
        <w:trPr>
          <w:trHeight w:val="151"/>
        </w:trPr>
        <w:tc>
          <w:tcPr>
            <w:tcW w:w="846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Diluted EPS Excluding Certain Items (non-GAAP measure)</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4.40</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4.70</w:t>
            </w:r>
          </w:p>
        </w:tc>
      </w:tr>
    </w:tbl>
    <w:p>
      <w:pPr>
        <w:sectPr>
          <w:pgSz w:w="11900" w:h="16838" w:orient="portrait"/>
          <w:cols w:equalWidth="0" w:num="1">
            <w:col w:w="11300"/>
          </w:cols>
          <w:pgMar w:left="300" w:top="1070" w:right="29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 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increases its dividend to shareholders for the 39th consecutive year</w:t>
      </w:r>
    </w:p>
    <w:p>
      <w:pPr>
        <w:spacing w:after="0" w:line="213" w:lineRule="exact"/>
        <w:rPr>
          <w:sz w:val="20"/>
          <w:szCs w:val="20"/>
          <w:color w:val="auto"/>
        </w:rPr>
      </w:pPr>
    </w:p>
    <w:p>
      <w:pPr>
        <w:jc w:val="both"/>
        <w:spacing w:after="0" w:line="336" w:lineRule="auto"/>
        <w:rPr>
          <w:sz w:val="20"/>
          <w:szCs w:val="20"/>
          <w:color w:val="auto"/>
        </w:rPr>
      </w:pPr>
      <w:r>
        <w:rPr>
          <w:rFonts w:ascii="Times New Roman" w:cs="Times New Roman" w:eastAsia="Times New Roman" w:hAnsi="Times New Roman"/>
          <w:sz w:val="13"/>
          <w:szCs w:val="13"/>
          <w:color w:val="auto"/>
        </w:rPr>
        <w:t>MILWAUKEE (September 5, 2024) -- On September 4, 2024, Brady Corporation’s (NYSE: BRC) Board of Directors approved an increase in the annual dividend to shareholders of the Company’s Class A Common Stock from $0.94 per share to $0.96 per share. A quarterly dividend to shareholders of the Company’s Class A Common Stock of $0.24 per share will be paid on October 31, 2024, to shareholders of record at the close of business on October 10, 2024. This dividend represents the 39</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3"/>
          <w:szCs w:val="13"/>
          <w:color w:val="auto"/>
        </w:rPr>
        <w:t xml:space="preserve"> consecutive annual increase in dividends.</w:t>
      </w:r>
    </w:p>
    <w:p>
      <w:pPr>
        <w:spacing w:after="0" w:line="1" w:lineRule="exact"/>
        <w:rPr>
          <w:sz w:val="20"/>
          <w:szCs w:val="20"/>
          <w:color w:val="auto"/>
        </w:rPr>
      </w:pPr>
    </w:p>
    <w:p>
      <w:pPr>
        <w:jc w:val="both"/>
        <w:ind w:firstLine="432"/>
        <w:spacing w:after="0" w:line="377"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2023, employed approximately 5,600 people in its worldwide businesses. Brady’s fiscal 2023 sales were approximately $1.33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www.bradycorp.com</w:t>
      </w:r>
      <w:r>
        <w:rPr>
          <w:rFonts w:ascii="Times New Roman" w:cs="Times New Roman" w:eastAsia="Times New Roman" w:hAnsi="Times New Roman"/>
          <w:sz w:val="13"/>
          <w:szCs w:val="13"/>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ectPr>
          <w:pgSz w:w="11900" w:h="16838" w:orient="portrait"/>
          <w:cols w:equalWidth="0" w:num="1">
            <w:col w:w="11300"/>
          </w:cols>
          <w:pgMar w:left="300" w:top="636" w:right="29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4006215</wp:posOffset>
            </wp:positionV>
            <wp:extent cx="713041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2024-09-06T06:16:43Z</dcterms:created>
  <dcterms:modified xsi:type="dcterms:W3CDTF">2024-09-06T06:16:43Z</dcterms:modified>
</cp:coreProperties>
</file>