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2016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320" w:space="560"/>
            <w:col w:w="6120" w:space="720"/>
            <w:col w:w="1660" w:space="720"/>
            <w:col w:w="320"/>
          </w:cols>
          <w:pgMar w:left="240" w:top="229" w:right="23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260" w:space="620"/>
            <w:col w:w="6120" w:space="720"/>
            <w:col w:w="1660" w:space="720"/>
            <w:col w:w="32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6540" w:space="140"/>
            <w:col w:w="220" w:space="60"/>
            <w:col w:w="140" w:space="140"/>
            <w:col w:w="180" w:space="80"/>
            <w:col w:w="392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November 14, 2016, there were 47,347,251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240" w:type="dxa"/>
            <w:vAlign w:val="bottom"/>
          </w:tcPr>
          <w:p>
            <w:pPr>
              <w:jc w:val="center"/>
              <w:ind w:left="710"/>
              <w:spacing w:after="0"/>
              <w:rPr>
                <w:sz w:val="20"/>
                <w:szCs w:val="20"/>
                <w:color w:val="auto"/>
              </w:rPr>
            </w:pPr>
            <w:r>
              <w:rPr>
                <w:rFonts w:ascii="Arial" w:cs="Arial" w:eastAsia="Arial" w:hAnsi="Arial"/>
                <w:sz w:val="18"/>
                <w:szCs w:val="18"/>
                <w:color w:val="auto"/>
                <w:w w:val="93"/>
              </w:rPr>
              <w:t>FORM 10-Q</w:t>
            </w:r>
          </w:p>
        </w:tc>
        <w:tc>
          <w:tcPr>
            <w:tcW w:w="1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240" w:type="dxa"/>
            <w:vAlign w:val="bottom"/>
          </w:tcPr>
          <w:p>
            <w:pPr>
              <w:jc w:val="center"/>
              <w:ind w:left="690"/>
              <w:spacing w:after="0"/>
              <w:rPr>
                <w:sz w:val="20"/>
                <w:szCs w:val="20"/>
                <w:color w:val="auto"/>
              </w:rPr>
            </w:pPr>
            <w:r>
              <w:rPr>
                <w:rFonts w:ascii="Arial" w:cs="Arial" w:eastAsia="Arial" w:hAnsi="Arial"/>
                <w:sz w:val="18"/>
                <w:szCs w:val="18"/>
                <w:color w:val="auto"/>
                <w:w w:val="96"/>
              </w:rPr>
              <w:t>BRADY CORPORATION</w:t>
            </w:r>
          </w:p>
        </w:tc>
        <w:tc>
          <w:tcPr>
            <w:tcW w:w="14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9240" w:type="dxa"/>
            <w:vAlign w:val="bottom"/>
          </w:tcPr>
          <w:p>
            <w:pPr>
              <w:jc w:val="center"/>
              <w:ind w:left="710"/>
              <w:spacing w:after="0"/>
              <w:rPr>
                <w:sz w:val="20"/>
                <w:szCs w:val="20"/>
                <w:color w:val="auto"/>
              </w:rPr>
            </w:pPr>
            <w:r>
              <w:rPr>
                <w:rFonts w:ascii="Arial" w:cs="Arial" w:eastAsia="Arial" w:hAnsi="Arial"/>
                <w:sz w:val="18"/>
                <w:szCs w:val="18"/>
                <w:color w:val="auto"/>
              </w:rPr>
              <w:t>INDEX</w:t>
            </w:r>
          </w:p>
        </w:tc>
        <w:tc>
          <w:tcPr>
            <w:tcW w:w="1480" w:type="dxa"/>
            <w:vAlign w:val="bottom"/>
          </w:tcPr>
          <w:p>
            <w:pPr>
              <w:spacing w:after="0"/>
              <w:rPr>
                <w:sz w:val="20"/>
                <w:szCs w:val="20"/>
                <w:color w:val="auto"/>
              </w:rPr>
            </w:pPr>
          </w:p>
        </w:tc>
      </w:tr>
      <w:tr>
        <w:trPr>
          <w:trHeight w:val="844"/>
        </w:trPr>
        <w:tc>
          <w:tcPr>
            <w:tcW w:w="66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Page</w:t>
            </w:r>
          </w:p>
        </w:tc>
      </w:tr>
      <w:tr>
        <w:trPr>
          <w:trHeight w:val="243"/>
        </w:trPr>
        <w:tc>
          <w:tcPr>
            <w:tcW w:w="990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1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9900" w:type="dxa"/>
            <w:vAlign w:val="bottom"/>
            <w:gridSpan w:val="2"/>
          </w:tcPr>
          <w:p>
            <w:pPr>
              <w:ind w:left="140"/>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 (Unaudited)</w:t>
              </w:r>
            </w:hyperlink>
          </w:p>
        </w:tc>
        <w:tc>
          <w:tcPr>
            <w:tcW w:w="1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9900" w:type="dxa"/>
            <w:vAlign w:val="bottom"/>
            <w:gridSpan w:val="2"/>
          </w:tcPr>
          <w:p>
            <w:pPr>
              <w:ind w:left="34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w:t>
              </w:r>
            </w:hyperlink>
          </w:p>
        </w:tc>
        <w:tc>
          <w:tcPr>
            <w:tcW w:w="1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9900" w:type="dxa"/>
            <w:vAlign w:val="bottom"/>
            <w:gridSpan w:val="2"/>
          </w:tcPr>
          <w:p>
            <w:pPr>
              <w:ind w:left="34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Earnings</w:t>
              </w:r>
            </w:hyperlink>
          </w:p>
        </w:tc>
        <w:tc>
          <w:tcPr>
            <w:tcW w:w="1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0"/>
        </w:trPr>
        <w:tc>
          <w:tcPr>
            <w:tcW w:w="9900" w:type="dxa"/>
            <w:vAlign w:val="bottom"/>
            <w:gridSpan w:val="2"/>
          </w:tcPr>
          <w:p>
            <w:pPr>
              <w:ind w:left="34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Income</w:t>
              </w:r>
            </w:hyperlink>
          </w:p>
        </w:tc>
        <w:tc>
          <w:tcPr>
            <w:tcW w:w="1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0"/>
        </w:trPr>
        <w:tc>
          <w:tcPr>
            <w:tcW w:w="9900" w:type="dxa"/>
            <w:vAlign w:val="bottom"/>
            <w:gridSpan w:val="2"/>
          </w:tcPr>
          <w:p>
            <w:pPr>
              <w:ind w:left="34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w:t>
              </w:r>
            </w:hyperlink>
          </w:p>
        </w:tc>
        <w:tc>
          <w:tcPr>
            <w:tcW w:w="14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0"/>
        </w:trPr>
        <w:tc>
          <w:tcPr>
            <w:tcW w:w="9900" w:type="dxa"/>
            <w:vAlign w:val="bottom"/>
            <w:gridSpan w:val="2"/>
          </w:tcPr>
          <w:p>
            <w:pPr>
              <w:ind w:left="34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w:t>
              </w:r>
            </w:hyperlink>
          </w:p>
        </w:tc>
        <w:tc>
          <w:tcPr>
            <w:tcW w:w="14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70"/>
        </w:trPr>
        <w:tc>
          <w:tcPr>
            <w:tcW w:w="660" w:type="dxa"/>
            <w:vAlign w:val="bottom"/>
          </w:tcPr>
          <w:p>
            <w:pPr>
              <w:ind w:left="140"/>
              <w:spacing w:after="0"/>
              <w:rPr>
                <w:rFonts w:ascii="Arial" w:cs="Arial" w:eastAsia="Arial" w:hAnsi="Arial"/>
                <w:sz w:val="18"/>
                <w:szCs w:val="18"/>
                <w:color w:val="auto"/>
                <w:w w:val="90"/>
              </w:rPr>
            </w:pPr>
            <w:hyperlink w:anchor="page17">
              <w:r>
                <w:rPr>
                  <w:rFonts w:ascii="Arial" w:cs="Arial" w:eastAsia="Arial" w:hAnsi="Arial"/>
                  <w:sz w:val="18"/>
                  <w:szCs w:val="18"/>
                  <w:color w:val="auto"/>
                  <w:w w:val="90"/>
                </w:rPr>
                <w:t>Item 2.</w:t>
              </w:r>
            </w:hyperlink>
          </w:p>
        </w:tc>
        <w:tc>
          <w:tcPr>
            <w:tcW w:w="9240" w:type="dxa"/>
            <w:vAlign w:val="bottom"/>
          </w:tcPr>
          <w:p>
            <w:pPr>
              <w:ind w:left="20"/>
              <w:spacing w:after="0"/>
              <w:rPr>
                <w:rFonts w:ascii="Arial" w:cs="Arial" w:eastAsia="Arial" w:hAnsi="Arial"/>
                <w:sz w:val="18"/>
                <w:szCs w:val="18"/>
                <w:color w:val="auto"/>
              </w:rPr>
            </w:pPr>
            <w:hyperlink w:anchor="page17">
              <w:r>
                <w:rPr>
                  <w:rFonts w:ascii="Arial" w:cs="Arial" w:eastAsia="Arial" w:hAnsi="Arial"/>
                  <w:sz w:val="18"/>
                  <w:szCs w:val="18"/>
                  <w:color w:val="auto"/>
                </w:rPr>
                <w:t>Management’s Discussion and Analysis of Results of Operations and Financial Condition</w:t>
              </w:r>
            </w:hyperlink>
          </w:p>
        </w:tc>
        <w:tc>
          <w:tcPr>
            <w:tcW w:w="148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70"/>
        </w:trPr>
        <w:tc>
          <w:tcPr>
            <w:tcW w:w="660" w:type="dxa"/>
            <w:vAlign w:val="bottom"/>
          </w:tcPr>
          <w:p>
            <w:pPr>
              <w:ind w:left="140"/>
              <w:spacing w:after="0"/>
              <w:rPr>
                <w:rFonts w:ascii="Arial" w:cs="Arial" w:eastAsia="Arial" w:hAnsi="Arial"/>
                <w:sz w:val="18"/>
                <w:szCs w:val="18"/>
                <w:color w:val="auto"/>
                <w:w w:val="90"/>
              </w:rPr>
            </w:pPr>
            <w:hyperlink w:anchor="page24">
              <w:r>
                <w:rPr>
                  <w:rFonts w:ascii="Arial" w:cs="Arial" w:eastAsia="Arial" w:hAnsi="Arial"/>
                  <w:sz w:val="18"/>
                  <w:szCs w:val="18"/>
                  <w:color w:val="auto"/>
                  <w:w w:val="90"/>
                </w:rPr>
                <w:t>Item 3.</w:t>
              </w:r>
            </w:hyperlink>
          </w:p>
        </w:tc>
        <w:tc>
          <w:tcPr>
            <w:tcW w:w="9240" w:type="dxa"/>
            <w:vAlign w:val="bottom"/>
          </w:tcPr>
          <w:p>
            <w:pPr>
              <w:ind w:left="20"/>
              <w:spacing w:after="0"/>
              <w:rPr>
                <w:rFonts w:ascii="Arial" w:cs="Arial" w:eastAsia="Arial" w:hAnsi="Arial"/>
                <w:sz w:val="18"/>
                <w:szCs w:val="18"/>
                <w:color w:val="auto"/>
              </w:rPr>
            </w:pPr>
            <w:hyperlink w:anchor="page24">
              <w:r>
                <w:rPr>
                  <w:rFonts w:ascii="Arial" w:cs="Arial" w:eastAsia="Arial" w:hAnsi="Arial"/>
                  <w:sz w:val="18"/>
                  <w:szCs w:val="18"/>
                  <w:color w:val="auto"/>
                </w:rPr>
                <w:t>Quantitative and Qualitative Disclosures About Market Risk</w:t>
              </w:r>
            </w:hyperlink>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0"/>
        </w:trPr>
        <w:tc>
          <w:tcPr>
            <w:tcW w:w="660" w:type="dxa"/>
            <w:vAlign w:val="bottom"/>
          </w:tcPr>
          <w:p>
            <w:pPr>
              <w:ind w:left="140"/>
              <w:spacing w:after="0"/>
              <w:rPr>
                <w:rFonts w:ascii="Arial" w:cs="Arial" w:eastAsia="Arial" w:hAnsi="Arial"/>
                <w:sz w:val="18"/>
                <w:szCs w:val="18"/>
                <w:color w:val="auto"/>
                <w:w w:val="90"/>
              </w:rPr>
            </w:pPr>
            <w:hyperlink w:anchor="page24">
              <w:r>
                <w:rPr>
                  <w:rFonts w:ascii="Arial" w:cs="Arial" w:eastAsia="Arial" w:hAnsi="Arial"/>
                  <w:sz w:val="18"/>
                  <w:szCs w:val="18"/>
                  <w:color w:val="auto"/>
                  <w:w w:val="90"/>
                </w:rPr>
                <w:t>Item 4.</w:t>
              </w:r>
            </w:hyperlink>
          </w:p>
        </w:tc>
        <w:tc>
          <w:tcPr>
            <w:tcW w:w="9240" w:type="dxa"/>
            <w:vAlign w:val="bottom"/>
          </w:tcPr>
          <w:p>
            <w:pPr>
              <w:ind w:left="20"/>
              <w:spacing w:after="0"/>
              <w:rPr>
                <w:rFonts w:ascii="Arial" w:cs="Arial" w:eastAsia="Arial" w:hAnsi="Arial"/>
                <w:sz w:val="18"/>
                <w:szCs w:val="18"/>
                <w:color w:val="auto"/>
              </w:rPr>
            </w:pPr>
            <w:hyperlink w:anchor="page24">
              <w:r>
                <w:rPr>
                  <w:rFonts w:ascii="Arial" w:cs="Arial" w:eastAsia="Arial" w:hAnsi="Arial"/>
                  <w:sz w:val="18"/>
                  <w:szCs w:val="18"/>
                  <w:color w:val="auto"/>
                </w:rPr>
                <w:t>Controls and Procedures</w:t>
              </w:r>
            </w:hyperlink>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0"/>
        </w:trPr>
        <w:tc>
          <w:tcPr>
            <w:tcW w:w="9900" w:type="dxa"/>
            <w:vAlign w:val="bottom"/>
            <w:gridSpan w:val="2"/>
          </w:tcPr>
          <w:p>
            <w:pPr>
              <w:spacing w:after="0"/>
              <w:rPr>
                <w:rFonts w:ascii="Arial" w:cs="Arial" w:eastAsia="Arial" w:hAnsi="Arial"/>
                <w:sz w:val="18"/>
                <w:szCs w:val="18"/>
                <w:color w:val="auto"/>
              </w:rPr>
            </w:pPr>
            <w:hyperlink w:anchor="page25">
              <w:r>
                <w:rPr>
                  <w:rFonts w:ascii="Arial" w:cs="Arial" w:eastAsia="Arial" w:hAnsi="Arial"/>
                  <w:sz w:val="18"/>
                  <w:szCs w:val="18"/>
                  <w:color w:val="auto"/>
                </w:rPr>
                <w:t>PART II. Other Information</w:t>
              </w:r>
            </w:hyperlink>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70"/>
        </w:trPr>
        <w:tc>
          <w:tcPr>
            <w:tcW w:w="660" w:type="dxa"/>
            <w:vAlign w:val="bottom"/>
          </w:tcPr>
          <w:p>
            <w:pPr>
              <w:ind w:left="140"/>
              <w:spacing w:after="0"/>
              <w:rPr>
                <w:rFonts w:ascii="Arial" w:cs="Arial" w:eastAsia="Arial" w:hAnsi="Arial"/>
                <w:sz w:val="18"/>
                <w:szCs w:val="18"/>
                <w:color w:val="auto"/>
                <w:w w:val="90"/>
              </w:rPr>
            </w:pPr>
            <w:hyperlink w:anchor="page25">
              <w:r>
                <w:rPr>
                  <w:rFonts w:ascii="Arial" w:cs="Arial" w:eastAsia="Arial" w:hAnsi="Arial"/>
                  <w:sz w:val="18"/>
                  <w:szCs w:val="18"/>
                  <w:color w:val="auto"/>
                  <w:w w:val="90"/>
                </w:rPr>
                <w:t>Item 6.</w:t>
              </w:r>
            </w:hyperlink>
          </w:p>
        </w:tc>
        <w:tc>
          <w:tcPr>
            <w:tcW w:w="9240" w:type="dxa"/>
            <w:vAlign w:val="bottom"/>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Exhibits</w:t>
              </w:r>
            </w:hyperlink>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70"/>
        </w:trPr>
        <w:tc>
          <w:tcPr>
            <w:tcW w:w="9900" w:type="dxa"/>
            <w:vAlign w:val="bottom"/>
            <w:gridSpan w:val="2"/>
          </w:tcPr>
          <w:p>
            <w:pPr>
              <w:ind w:left="140"/>
              <w:spacing w:after="0"/>
              <w:rPr>
                <w:rFonts w:ascii="Arial" w:cs="Arial" w:eastAsia="Arial" w:hAnsi="Arial"/>
                <w:sz w:val="18"/>
                <w:szCs w:val="18"/>
                <w:color w:val="auto"/>
              </w:rPr>
            </w:pPr>
            <w:hyperlink w:anchor="page26">
              <w:r>
                <w:rPr>
                  <w:rFonts w:ascii="Arial" w:cs="Arial" w:eastAsia="Arial" w:hAnsi="Arial"/>
                  <w:sz w:val="18"/>
                  <w:szCs w:val="18"/>
                  <w:color w:val="auto"/>
                </w:rPr>
                <w:t>Signatures</w:t>
              </w:r>
            </w:hyperlink>
          </w:p>
        </w:tc>
        <w:tc>
          <w:tcPr>
            <w:tcW w:w="14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486"/>
        </w:trPr>
        <w:tc>
          <w:tcPr>
            <w:tcW w:w="660" w:type="dxa"/>
            <w:vAlign w:val="bottom"/>
          </w:tcPr>
          <w:p>
            <w:pPr>
              <w:spacing w:after="0"/>
              <w:rPr>
                <w:sz w:val="24"/>
                <w:szCs w:val="24"/>
                <w:color w:val="auto"/>
              </w:rPr>
            </w:pPr>
          </w:p>
        </w:tc>
        <w:tc>
          <w:tcPr>
            <w:tcW w:w="9240" w:type="dxa"/>
            <w:vAlign w:val="bottom"/>
          </w:tcPr>
          <w:p>
            <w:pPr>
              <w:jc w:val="center"/>
              <w:ind w:left="690"/>
              <w:spacing w:after="0"/>
              <w:rPr>
                <w:sz w:val="20"/>
                <w:szCs w:val="20"/>
                <w:color w:val="auto"/>
              </w:rPr>
            </w:pPr>
            <w:r>
              <w:rPr>
                <w:rFonts w:ascii="Arial" w:cs="Arial" w:eastAsia="Arial" w:hAnsi="Arial"/>
                <w:sz w:val="18"/>
                <w:szCs w:val="18"/>
                <w:color w:val="auto"/>
                <w:w w:val="99"/>
              </w:rPr>
              <w:t>2</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October 31, 2016</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141,228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145,831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147,333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61,616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64,313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16,678</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18,815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18,436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97,402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99,427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20,392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19,436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429,926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407,424</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429,871</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57,590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59,806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15,550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17,181</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5,809</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95,288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95,355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256,549</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2,842</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360,192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360,555</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260,368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258,111</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102,444</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1,050,267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1,043,964</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62,245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45,998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7,373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7,403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42,031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40,017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166,727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210,608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211,982</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61,657</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436,213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440,366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0"/>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47,334,496 and 46,920,974 shares, respectively</w:t>
            </w:r>
          </w:p>
        </w:tc>
        <w:tc>
          <w:tcPr>
            <w:tcW w:w="16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317,044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317,001</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Earnings retained in the business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453,371</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Treasury stock—3,926,991and 4,340,513 shares, respectively, of Class A nonvoting common stock, at cost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(97,840)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(108,714)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(54,745)</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(3,863)</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603,598</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1,050,267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1,043,964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4"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25"/>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3"/>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858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3"/>
              </w:rPr>
              <w:t>Three months ended October 31,</w:t>
            </w:r>
          </w:p>
        </w:tc>
      </w:tr>
      <w:tr>
        <w:trPr>
          <w:trHeight w:val="270"/>
        </w:trPr>
        <w:tc>
          <w:tcPr>
            <w:tcW w:w="1020" w:type="dxa"/>
            <w:vAlign w:val="bottom"/>
          </w:tcPr>
          <w:p>
            <w:pPr>
              <w:spacing w:after="0"/>
              <w:rPr>
                <w:sz w:val="23"/>
                <w:szCs w:val="23"/>
                <w:color w:val="auto"/>
              </w:rPr>
            </w:pPr>
          </w:p>
        </w:tc>
        <w:tc>
          <w:tcPr>
            <w:tcW w:w="7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280,176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283,073</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139,818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143,724</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140,358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139,349</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8,569</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98,004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100,678</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109,247</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33,208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30,102</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Investment and other (expense) income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Earnings before income taxes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30,987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27,192</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8,489</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22,553</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18,703</w:t>
            </w: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0.37</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0.20</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0.35</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0.19</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50,634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51,029</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51,455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51,089</w:t>
            </w:r>
          </w:p>
        </w:tc>
      </w:tr>
      <w:tr>
        <w:trPr>
          <w:trHeight w:val="33"/>
        </w:trPr>
        <w:tc>
          <w:tcPr>
            <w:tcW w:w="10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188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801370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investment hedge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intercompany loan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flow hedges:</w:t>
      </w:r>
    </w:p>
    <w:p>
      <w:pPr>
        <w:spacing w:after="0" w:line="86" w:lineRule="exact"/>
        <w:rPr>
          <w:sz w:val="20"/>
          <w:szCs w:val="20"/>
          <w:color w:val="auto"/>
        </w:rPr>
      </w:pPr>
    </w:p>
    <w:p>
      <w:pPr>
        <w:ind w:left="720" w:right="2620"/>
        <w:spacing w:after="0" w:line="470" w:lineRule="auto"/>
        <w:rPr>
          <w:sz w:val="20"/>
          <w:szCs w:val="20"/>
          <w:color w:val="auto"/>
        </w:rPr>
      </w:pPr>
      <w:r>
        <w:rPr>
          <w:rFonts w:ascii="Arial" w:cs="Arial" w:eastAsia="Arial" w:hAnsi="Arial"/>
          <w:sz w:val="14"/>
          <w:szCs w:val="14"/>
          <w:color w:val="auto"/>
        </w:rPr>
        <w:t>Net gain (loss) recognized in other comprehensive loss Reclassification adjustment for losses (gains)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Pension and other post-retirement benefits: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Actuarial gain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Prior service credit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benefit related to items of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 October 31,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520"/>
        <w:spacing w:after="0"/>
        <w:tabs>
          <w:tab w:leader="none" w:pos="198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90" w:lineRule="exact"/>
        <w:rPr>
          <w:sz w:val="20"/>
          <w:szCs w:val="20"/>
          <w:color w:val="auto"/>
        </w:rPr>
      </w:pPr>
    </w:p>
    <w:p>
      <w:pPr>
        <w:ind w:left="20"/>
        <w:spacing w:after="0"/>
        <w:tabs>
          <w:tab w:leader="none" w:pos="800" w:val="left"/>
          <w:tab w:leader="none" w:pos="1500" w:val="left"/>
          <w:tab w:leader="none" w:pos="2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22,553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18,703</w:t>
      </w:r>
    </w:p>
    <w:p>
      <w:pPr>
        <w:spacing w:after="0" w:line="356" w:lineRule="exact"/>
        <w:rPr>
          <w:sz w:val="20"/>
          <w:szCs w:val="20"/>
          <w:color w:val="auto"/>
        </w:rPr>
      </w:pPr>
    </w:p>
    <w:p>
      <w:pPr>
        <w:jc w:val="both"/>
        <w:ind w:left="760"/>
        <w:spacing w:after="0"/>
        <w:tabs>
          <w:tab w:leader="none" w:pos="2300" w:val="left"/>
        </w:tabs>
        <w:rPr>
          <w:sz w:val="20"/>
          <w:szCs w:val="20"/>
          <w:color w:val="auto"/>
        </w:rPr>
      </w:pPr>
      <w:r>
        <w:rPr>
          <w:rFonts w:ascii="Arial" w:cs="Arial" w:eastAsia="Arial" w:hAnsi="Arial"/>
          <w:sz w:val="16"/>
          <w:szCs w:val="16"/>
          <w:color w:val="auto"/>
        </w:rPr>
        <w:t>(14,254)</w:t>
      </w:r>
      <w:r>
        <w:rPr>
          <w:sz w:val="20"/>
          <w:szCs w:val="20"/>
          <w:color w:val="auto"/>
        </w:rPr>
        <w:tab/>
      </w:r>
      <w:r>
        <w:rPr>
          <w:rFonts w:ascii="Arial" w:cs="Arial" w:eastAsia="Arial" w:hAnsi="Arial"/>
          <w:sz w:val="16"/>
          <w:szCs w:val="16"/>
          <w:color w:val="auto"/>
        </w:rPr>
        <w:t>(6,483)</w:t>
      </w:r>
    </w:p>
    <w:p>
      <w:pPr>
        <w:spacing w:after="0" w:line="383" w:lineRule="exact"/>
        <w:rPr>
          <w:sz w:val="20"/>
          <w:szCs w:val="20"/>
          <w:color w:val="auto"/>
        </w:rPr>
      </w:pPr>
    </w:p>
    <w:p>
      <w:pPr>
        <w:ind w:left="900"/>
        <w:spacing w:after="0"/>
        <w:tabs>
          <w:tab w:leader="none" w:pos="2460" w:val="left"/>
        </w:tabs>
        <w:rPr>
          <w:sz w:val="20"/>
          <w:szCs w:val="20"/>
          <w:color w:val="auto"/>
        </w:rPr>
      </w:pPr>
      <w:r>
        <w:rPr>
          <w:rFonts w:ascii="Arial" w:cs="Arial" w:eastAsia="Arial" w:hAnsi="Arial"/>
          <w:sz w:val="16"/>
          <w:szCs w:val="16"/>
          <w:color w:val="auto"/>
        </w:rPr>
        <w:t>4,021</w:t>
      </w:r>
      <w:r>
        <w:rPr>
          <w:sz w:val="20"/>
          <w:szCs w:val="20"/>
          <w:color w:val="auto"/>
        </w:rPr>
        <w:tab/>
      </w:r>
      <w:r>
        <w:rPr>
          <w:rFonts w:ascii="Arial" w:cs="Arial" w:eastAsia="Arial" w:hAnsi="Arial"/>
          <w:sz w:val="16"/>
          <w:szCs w:val="16"/>
          <w:color w:val="auto"/>
        </w:rPr>
        <w:t>871</w:t>
      </w:r>
    </w:p>
    <w:p>
      <w:pPr>
        <w:spacing w:after="0" w:line="200" w:lineRule="exact"/>
        <w:rPr>
          <w:sz w:val="20"/>
          <w:szCs w:val="20"/>
          <w:color w:val="auto"/>
        </w:rPr>
      </w:pPr>
    </w:p>
    <w:p>
      <w:pPr>
        <w:spacing w:after="0" w:line="372" w:lineRule="exact"/>
        <w:rPr>
          <w:sz w:val="20"/>
          <w:szCs w:val="20"/>
          <w:color w:val="auto"/>
        </w:rPr>
      </w:pPr>
    </w:p>
    <w:p>
      <w:pPr>
        <w:ind w:left="2320" w:hanging="1357"/>
        <w:spacing w:after="0"/>
        <w:tabs>
          <w:tab w:leader="none" w:pos="2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(1,424)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7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33"/>
        </w:trPr>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(717)</w:t>
            </w:r>
          </w:p>
        </w:tc>
      </w:tr>
    </w:tbl>
    <w:p>
      <w:pPr>
        <w:spacing w:after="0" w:line="334" w:lineRule="exact"/>
        <w:rPr>
          <w:sz w:val="20"/>
          <w:szCs w:val="20"/>
          <w:color w:val="auto"/>
        </w:rPr>
      </w:pPr>
    </w:p>
    <w:p>
      <w:pPr>
        <w:ind w:left="2440" w:hanging="1477"/>
        <w:spacing w:after="0"/>
        <w:tabs>
          <w:tab w:leader="none" w:pos="2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(161)</w:t>
      </w:r>
    </w:p>
    <w:p>
      <w:pPr>
        <w:spacing w:after="0" w:line="8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2440" w:hanging="1477"/>
        <w:spacing w:after="0"/>
        <w:tabs>
          <w:tab w:leader="none" w:pos="2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(783)</w:t>
      </w:r>
    </w:p>
    <w:p>
      <w:pPr>
        <w:spacing w:after="0" w:line="383" w:lineRule="exact"/>
        <w:rPr>
          <w:sz w:val="20"/>
          <w:szCs w:val="20"/>
          <w:color w:val="auto"/>
        </w:rPr>
      </w:pPr>
    </w:p>
    <w:p>
      <w:pPr>
        <w:jc w:val="both"/>
        <w:ind w:left="760"/>
        <w:spacing w:after="0"/>
        <w:tabs>
          <w:tab w:leader="none" w:pos="2300" w:val="left"/>
        </w:tabs>
        <w:rPr>
          <w:sz w:val="20"/>
          <w:szCs w:val="20"/>
          <w:color w:val="auto"/>
        </w:rPr>
      </w:pPr>
      <w:r>
        <w:rPr>
          <w:rFonts w:ascii="Arial" w:cs="Arial" w:eastAsia="Arial" w:hAnsi="Arial"/>
          <w:sz w:val="16"/>
          <w:szCs w:val="16"/>
          <w:color w:val="auto"/>
        </w:rPr>
        <w:t>(10,503)</w:t>
      </w:r>
      <w:r>
        <w:rPr>
          <w:sz w:val="20"/>
          <w:szCs w:val="20"/>
          <w:color w:val="auto"/>
        </w:rPr>
        <w:tab/>
      </w:r>
      <w:r>
        <w:rPr>
          <w:rFonts w:ascii="Arial" w:cs="Arial" w:eastAsia="Arial" w:hAnsi="Arial"/>
          <w:sz w:val="16"/>
          <w:szCs w:val="16"/>
          <w:color w:val="auto"/>
        </w:rPr>
        <w:t>(8,536)</w:t>
      </w:r>
    </w:p>
    <w:p>
      <w:pPr>
        <w:spacing w:after="0" w:line="86" w:lineRule="exact"/>
        <w:rPr>
          <w:sz w:val="20"/>
          <w:szCs w:val="20"/>
          <w:color w:val="auto"/>
        </w:rPr>
      </w:pPr>
    </w:p>
    <w:p>
      <w:pPr>
        <w:ind w:left="840"/>
        <w:spacing w:after="0"/>
        <w:tabs>
          <w:tab w:leader="none" w:pos="2460" w:val="left"/>
        </w:tabs>
        <w:rPr>
          <w:sz w:val="20"/>
          <w:szCs w:val="20"/>
          <w:color w:val="auto"/>
        </w:rPr>
      </w:pPr>
      <w:r>
        <w:rPr>
          <w:rFonts w:ascii="Arial" w:cs="Arial" w:eastAsia="Arial" w:hAnsi="Arial"/>
          <w:sz w:val="16"/>
          <w:szCs w:val="16"/>
          <w:color w:val="auto"/>
        </w:rPr>
        <w:t>(1,666)</w:t>
      </w:r>
      <w:r>
        <w:rPr>
          <w:sz w:val="20"/>
          <w:szCs w:val="20"/>
          <w:color w:val="auto"/>
        </w:rPr>
        <w:tab/>
      </w:r>
      <w:r>
        <w:rPr>
          <w:rFonts w:ascii="Arial" w:cs="Arial" w:eastAsia="Arial" w:hAnsi="Arial"/>
          <w:sz w:val="16"/>
          <w:szCs w:val="16"/>
          <w:color w:val="auto"/>
        </w:rPr>
        <w:t>144</w:t>
      </w:r>
    </w:p>
    <w:p>
      <w:pPr>
        <w:spacing w:after="0" w:line="35" w:lineRule="exact"/>
        <w:rPr>
          <w:sz w:val="20"/>
          <w:szCs w:val="20"/>
          <w:color w:val="auto"/>
        </w:rPr>
      </w:pPr>
    </w:p>
    <w:p>
      <w:pPr>
        <w:sectPr>
          <w:pgSz w:w="11900" w:h="16838" w:orient="portrait"/>
          <w:cols w:equalWidth="0" w:num="2">
            <w:col w:w="7860" w:space="720"/>
            <w:col w:w="284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(8,392)</w:t>
            </w: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 of treasury stock</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(repayments) from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Debt issuance costs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on equity-based compensation,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 October 31,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22,553</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18,703</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7,234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8,889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2,596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726</w:t>
            </w:r>
          </w:p>
        </w:tc>
      </w:tr>
    </w:tbl>
    <w:p>
      <w:pPr>
        <w:spacing w:after="0" w:line="334" w:lineRule="exact"/>
        <w:rPr>
          <w:sz w:val="20"/>
          <w:szCs w:val="20"/>
          <w:color w:val="auto"/>
        </w:rPr>
      </w:pPr>
    </w:p>
    <w:p>
      <w:pPr>
        <w:ind w:left="2560" w:hanging="1479"/>
        <w:spacing w:after="0"/>
        <w:tabs>
          <w:tab w:leader="none" w:pos="2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(3,342)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1,197</w:t>
            </w:r>
          </w:p>
        </w:tc>
        <w:tc>
          <w:tcPr>
            <w:tcW w:w="12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1,368</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(3,081)</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2,546</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2,402</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(2,869)</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2,109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33,993</w:t>
            </w:r>
          </w:p>
        </w:tc>
        <w:tc>
          <w:tcPr>
            <w:tcW w:w="12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30,370</w:t>
            </w:r>
          </w:p>
        </w:tc>
      </w:tr>
      <w:tr>
        <w:trPr>
          <w:trHeight w:val="824"/>
        </w:trPr>
        <w:tc>
          <w:tcPr>
            <w:tcW w:w="1500" w:type="dxa"/>
            <w:vAlign w:val="bottom"/>
          </w:tcPr>
          <w:p>
            <w:pPr>
              <w:jc w:val="right"/>
              <w:spacing w:after="0"/>
              <w:rPr>
                <w:sz w:val="20"/>
                <w:szCs w:val="20"/>
                <w:color w:val="auto"/>
              </w:rPr>
            </w:pPr>
            <w:r>
              <w:rPr>
                <w:rFonts w:ascii="Arial" w:cs="Arial" w:eastAsia="Arial" w:hAnsi="Arial"/>
                <w:sz w:val="16"/>
                <w:szCs w:val="16"/>
                <w:color w:val="auto"/>
              </w:rPr>
              <w:t>(3,959)</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(2,334)</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1,539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824"/>
        </w:trPr>
        <w:tc>
          <w:tcPr>
            <w:tcW w:w="1500" w:type="dxa"/>
            <w:vAlign w:val="bottom"/>
          </w:tcPr>
          <w:p>
            <w:pPr>
              <w:jc w:val="right"/>
              <w:spacing w:after="0"/>
              <w:rPr>
                <w:sz w:val="20"/>
                <w:szCs w:val="20"/>
                <w:color w:val="auto"/>
              </w:rPr>
            </w:pPr>
            <w:r>
              <w:rPr>
                <w:rFonts w:ascii="Arial" w:cs="Arial" w:eastAsia="Arial" w:hAnsi="Arial"/>
                <w:sz w:val="16"/>
                <w:szCs w:val="16"/>
                <w:color w:val="auto"/>
              </w:rPr>
              <w:t>(10,370)</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(10,183)</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8,813</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(16,160)</w:t>
            </w:r>
          </w:p>
        </w:tc>
      </w:tr>
    </w:tbl>
    <w:p>
      <w:pPr>
        <w:spacing w:after="0" w:line="64" w:lineRule="exact"/>
        <w:rPr>
          <w:sz w:val="20"/>
          <w:szCs w:val="20"/>
          <w:color w:val="auto"/>
        </w:rPr>
      </w:pPr>
    </w:p>
    <w:p>
      <w:pPr>
        <w:ind w:left="2560" w:hanging="1425"/>
        <w:spacing w:after="0"/>
        <w:tabs>
          <w:tab w:leader="none" w:pos="2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(2,738)</w:t>
      </w:r>
    </w:p>
    <w:p>
      <w:pPr>
        <w:spacing w:after="0" w:line="86"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(803)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(1,007)</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(2,363)</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(30,891)</w:t>
            </w:r>
          </w:p>
        </w:tc>
      </w:tr>
      <w:tr>
        <w:trPr>
          <w:trHeight w:val="554"/>
        </w:trPr>
        <w:tc>
          <w:tcPr>
            <w:tcW w:w="1500" w:type="dxa"/>
            <w:vAlign w:val="bottom"/>
          </w:tcPr>
          <w:p>
            <w:pPr>
              <w:jc w:val="right"/>
              <w:spacing w:after="0"/>
              <w:rPr>
                <w:sz w:val="20"/>
                <w:szCs w:val="20"/>
                <w:color w:val="auto"/>
              </w:rPr>
            </w:pPr>
            <w:r>
              <w:rPr>
                <w:rFonts w:ascii="Arial" w:cs="Arial" w:eastAsia="Arial" w:hAnsi="Arial"/>
                <w:sz w:val="16"/>
                <w:szCs w:val="16"/>
                <w:color w:val="auto"/>
              </w:rPr>
              <w:t>(4,109)</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(2,566)</w:t>
            </w:r>
          </w:p>
        </w:tc>
      </w:tr>
      <w:tr>
        <w:trPr>
          <w:trHeight w:val="554"/>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25,073</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(3,882)</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141,228</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114,492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p>
      <w:pPr>
        <w:spacing w:after="0" w:line="101" w:lineRule="exact"/>
        <w:rPr>
          <w:sz w:val="20"/>
          <w:szCs w:val="20"/>
          <w:color w:val="auto"/>
        </w:rPr>
      </w:pPr>
    </w:p>
    <w:p>
      <w:pPr>
        <w:ind w:left="40"/>
        <w:spacing w:after="0"/>
        <w:tabs>
          <w:tab w:leader="none" w:pos="8340" w:val="left"/>
          <w:tab w:leader="none" w:pos="9180" w:val="left"/>
          <w:tab w:leader="none" w:pos="9960" w:val="left"/>
          <w:tab w:leader="none" w:pos="1078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166,301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110,610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34925</wp:posOffset>
            </wp:positionV>
            <wp:extent cx="19551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2016 and July 31, 2016, its results of operations and comprehensive income for the three months ended October 31, 2016 and 2015, and cash flows for the three months ended October 31, 2016 and 2015. The consolidated balance sheet as of July 31, 2016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three months ended October 31, 2016,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July 31, 2016</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384,529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45,342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429,871</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Translation adjustments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40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(4,805)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(5,526)</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Realignment of businesses between segments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380" w:type="dxa"/>
            <w:vAlign w:val="bottom"/>
            <w:gridSpan w:val="2"/>
          </w:tcPr>
          <w:p>
            <w:pPr>
              <w:ind w:left="40"/>
              <w:spacing w:after="0"/>
              <w:rPr>
                <w:sz w:val="20"/>
                <w:szCs w:val="20"/>
                <w:color w:val="auto"/>
              </w:rPr>
            </w:pPr>
            <w:r>
              <w:rPr>
                <w:rFonts w:ascii="Arial" w:cs="Arial" w:eastAsia="Arial" w:hAnsi="Arial"/>
                <w:sz w:val="16"/>
                <w:szCs w:val="16"/>
                <w:color w:val="auto"/>
              </w:rPr>
              <w:t>Balance as of October 31, 2016</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382,214</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42,131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424,345</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Goodwill at October 31, 2016 and July 31, 2016 included $118,637 and $209,392 of accumulated impairment losses within the ID Solutions ("IDS") and Workplace Safety ("WPS") segments, respectively, for a total of $328,029. There were no impairment charges recorded during the three months ended October 31, 2016.</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further discussed in Note E - Segment Information, the Company realigned certain businesses between the WPS and IDS reportable segments effective August 1, 2016. In accordance with ASC 350, "Intangibles - Goodwill and Other," the Company completed a relative fair value calculation of the businesses that were realigned and moved the corresponding balance of $2,490 goodwill between the two reportable segments.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October 31, 2016</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2016</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12,245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(11,146)</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1,099</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12,252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(11,063)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14,019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134,472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(101,295)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33,177</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135,795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(100,830)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34,965</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22,991</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22,991</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192,856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(135,266)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57,590</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194,550</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(134,744)</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59,806</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decrease in the gross carrying amount of other intangible assets as of October 31, 2016 compared to July 31, 2016 was due to the effects of currency fluctuations during the three-month period.</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carrying amount of goodwill and other intangible assets in the Condensed Consolidated Balance Sheets at October 31, 2016 differs from the value assigned to them in the original allocation of purchase price due to impairments and the effect of currency fluctuations between the date of acquisition and October 31, 2016.</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was $1,895 and $2,633 for the three months ended October 31, 2016 and 2015, respectively. The amortization over each of the next five fiscal years is projected to be $7,238, $6,551, $6,283, $5,789 and $5,743 for the fiscal years ending July 31, 2017, 2018, 2019, 2020 and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Loss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three months ended October 31, 2016: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 on cash</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Accumulated other</w:t>
            </w: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flow hedges</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(54,745)</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(12,280)</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October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(68,732)</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(66,914)</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the accumulated other comprehensive loss as of October 31, 2016 compared to July 31, 2016 was primarily due to the appreciation of the U.S. dollar against certain other currencies. The foreign currency translation adjustments column in the table above includes the impact of foreign currency translation, foreign currency translation on intercompany notes, and the settlements of net investment hedges, net of tax. Of the total $111 in amounts reclassified from accumulated other comprehensive loss, the $247 loss on cash flow hedges was reclassified into cost of goods sold and the $136 gain on post-retirement plans was reclassified into selling, general and administrative expenses ("SG&amp;A") on the Condensed Consolidated Statements of Earnings for the three months ended October 31, 2016.</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changes in accumulated other comprehensive loss by component, net of tax, for the three months ended October 31, 2015 were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 July 31, 2015</w:t>
      </w:r>
    </w:p>
    <w:p>
      <w:pPr>
        <w:spacing w:after="0" w:line="100" w:lineRule="exact"/>
        <w:rPr>
          <w:sz w:val="20"/>
          <w:szCs w:val="20"/>
          <w:color w:val="auto"/>
        </w:rPr>
      </w:pPr>
    </w:p>
    <w:p>
      <w:pPr>
        <w:ind w:left="40" w:right="460"/>
        <w:spacing w:after="0" w:line="412" w:lineRule="auto"/>
        <w:rPr>
          <w:sz w:val="20"/>
          <w:szCs w:val="20"/>
          <w:color w:val="auto"/>
        </w:rPr>
      </w:pPr>
      <w:r>
        <w:rPr>
          <w:rFonts w:ascii="Arial" w:cs="Arial" w:eastAsia="Arial" w:hAnsi="Arial"/>
          <w:sz w:val="14"/>
          <w:szCs w:val="14"/>
          <w:color w:val="auto"/>
        </w:rPr>
        <w:t>Other comprehensive income (loss) before reclassification Amounts reclassified from accumulated other comprehensive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October 31, 2015</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(Loss) gain on cash</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Accumulated other</w:t>
            </w:r>
          </w:p>
        </w:tc>
      </w:tr>
      <w:tr>
        <w:trPr>
          <w:trHeight w:val="210"/>
        </w:trPr>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flow hedges</w:t>
            </w:r>
          </w:p>
        </w:tc>
        <w:tc>
          <w:tcPr>
            <w:tcW w:w="3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comprehensive loss</w:t>
            </w:r>
          </w:p>
        </w:tc>
      </w:tr>
      <w:tr>
        <w:trPr>
          <w:trHeight w:val="33"/>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(48,481)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(45,034)</w:t>
            </w:r>
          </w:p>
        </w:tc>
      </w:tr>
      <w:tr>
        <w:trPr>
          <w:trHeight w:val="33"/>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4"/>
        </w:trPr>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(7,390)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(7,330)</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(1,062)</w:t>
            </w:r>
          </w:p>
        </w:tc>
      </w:tr>
      <w:tr>
        <w:trPr>
          <w:trHeight w:val="33"/>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2,655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(55,871)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(53,426)</w:t>
            </w:r>
          </w:p>
        </w:tc>
      </w:tr>
      <w:tr>
        <w:trPr>
          <w:trHeight w:val="33"/>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-728345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-368300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780" w:space="720"/>
            <w:col w:w="5920"/>
          </w:cols>
          <w:pgMar w:left="240" w:top="121" w:right="239" w:bottom="1440" w:gutter="0" w:footer="0" w:header="0"/>
          <w:type w:val="continuous"/>
        </w:sectPr>
      </w:pPr>
    </w:p>
    <w:p>
      <w:pPr>
        <w:jc w:val="both"/>
        <w:ind w:firstLine="432"/>
        <w:spacing w:after="0" w:line="297" w:lineRule="auto"/>
        <w:rPr>
          <w:sz w:val="20"/>
          <w:szCs w:val="20"/>
          <w:color w:val="auto"/>
        </w:rPr>
      </w:pPr>
      <w:r>
        <w:rPr>
          <w:rFonts w:ascii="Arial" w:cs="Arial" w:eastAsia="Arial" w:hAnsi="Arial"/>
          <w:sz w:val="16"/>
          <w:szCs w:val="16"/>
          <w:color w:val="auto"/>
        </w:rPr>
        <w:t>The increase in accumulated other comprehensive loss as of October 31, 2015 compared to July 31, 2015 was primarily due to the appreciation of the U.S. dollar against certain other currencies. The foreign currency translation adjustments column in the table above includes the impact of foreign currency translation, foreign currency translation on intercompany notes, and the settlements of net investment hedges, net of tax. Of the total $1,062 in amounts reclassified from accumulated other comprehensive loss, the $279 gain on cash flow hedges was reclassified into cost of goods sold and the $783 gain on post-retirement plans was reclassified into SG&amp;A on the Condensed Consolidated Statements of Earnings for the three months ended October 31, 2015.</w:t>
      </w:r>
    </w:p>
    <w:p>
      <w:pPr>
        <w:spacing w:after="0" w:line="10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illustrates the income tax (expense) benefit on the components of other comprehensive loss for the three months ended October 31, 2016 and 2015: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0"/>
              </w:rPr>
              <w:t>Three months ended October 31,</w:t>
            </w:r>
          </w:p>
        </w:tc>
      </w:tr>
      <w:tr>
        <w:trPr>
          <w:trHeight w:val="33"/>
        </w:trPr>
        <w:tc>
          <w:tcPr>
            <w:tcW w:w="6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33"/>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(1,568)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33"/>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Three months ended October 31,</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Earnings (Numerator for basic and diluted Class A Nonvoting Common Share)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22,553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18,703</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Numerator for basic and diluted earnings per Class B Voting Common Share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21,751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17,919</w:t>
            </w: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Denominator for basic earnings for both Class A and Class B</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50,634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51,029</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Denominator for diluted earnings per share for both Class A and Class B</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51,455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51,089</w:t>
            </w: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0.37</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0.35</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Options to purchase approximately 772,334 and 4,172,000 shares of Class A Nonvoting Common Stock for the three months ended October 31, 2016 and 2015, respectively, were not included in the computation of diluted net earnings per share because the option exercise price was greater than the average market price of the common shares and, therefore, the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("PeopleID"), which aggregate into two reportable segments that are organized around businesses with consistent products and services: IDS and WPS. The Identification Solutions and PeopleID operating segments aggregate into the IDS reporting segment, while the WPS reporting segment is comprised solely of the Workplace Safety operating segment.</w:t>
      </w:r>
    </w:p>
    <w:p>
      <w:pPr>
        <w:spacing w:after="0" w:line="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Effective August 1, 2016, the Company changed its internal measure of segment profit and loss that is reported to the chief operating decision maker for purposes of making decisions about allocating resources to the segment and assessing its performance. Prior to August 1, 2016, certain administrative costs were excluded from the measure of segment profit and loss. Effective August 1, 2016, a portion of these administrative costs have been included within the IDS and WPS segments, which includes the cost of finance, information technology, human resources, and certain other administrative costs. Interest Expense, investment and other income (expense), income taxes, and certain corporate administrative expenses continue to be excluded when evaluating segment performance.</w:t>
      </w:r>
    </w:p>
    <w:p>
      <w:pPr>
        <w:spacing w:after="0" w:line="5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Also effective August 1, 2016, the Company realigned certain businesses between the WPS and IDS reportable segments, resulting in increased revenues and segment profit in the IDS segment and equal and offsetting declines in revenues and segment profit in the WPS segment. The Company's accompanying segment information has been restated to reflect the change in measurement of segment profit and loss and the realignment of businesses.</w:t>
      </w:r>
    </w:p>
    <w:p>
      <w:pPr>
        <w:spacing w:after="0" w:line="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segment information for the three months ended October 31,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Arial" w:cs="Arial" w:eastAsia="Arial" w:hAnsi="Arial"/>
                <w:sz w:val="16"/>
                <w:szCs w:val="16"/>
                <w:b w:val="1"/>
                <w:bCs w:val="1"/>
                <w:color w:val="auto"/>
                <w:w w:val="90"/>
              </w:rPr>
              <w:t>Three months ended October 31,</w:t>
            </w:r>
          </w:p>
        </w:tc>
      </w:tr>
      <w:tr>
        <w:trPr>
          <w:trHeight w:val="33"/>
        </w:trPr>
        <w:tc>
          <w:tcPr>
            <w:tcW w:w="6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33"/>
        </w:trPr>
        <w:tc>
          <w:tcPr>
            <w:tcW w:w="6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6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201,264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201,020</w:t>
            </w: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82,053</w:t>
            </w:r>
          </w:p>
        </w:tc>
      </w:tr>
      <w:tr>
        <w:trPr>
          <w:trHeight w:val="217"/>
        </w:trPr>
        <w:tc>
          <w:tcPr>
            <w:tcW w:w="678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280,176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283,073</w:t>
            </w:r>
          </w:p>
        </w:tc>
      </w:tr>
      <w:tr>
        <w:trPr>
          <w:trHeight w:val="73"/>
        </w:trPr>
        <w:tc>
          <w:tcPr>
            <w:tcW w:w="67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7"/>
        </w:trPr>
        <w:tc>
          <w:tcPr>
            <w:tcW w:w="67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6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33,068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25,431</w:t>
            </w: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9,382</w:t>
            </w:r>
          </w:p>
        </w:tc>
      </w:tr>
      <w:tr>
        <w:trPr>
          <w:trHeight w:val="217"/>
        </w:trPr>
        <w:tc>
          <w:tcPr>
            <w:tcW w:w="678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39,518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34,813</w:t>
            </w:r>
          </w:p>
        </w:tc>
      </w:tr>
      <w:tr>
        <w:trPr>
          <w:trHeight w:val="33"/>
        </w:trPr>
        <w:tc>
          <w:tcPr>
            <w:tcW w:w="6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segment profit to earnings before income taxes for the three months ended October 31, 2016 and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0"/>
              </w:rPr>
              <w:t>Three months ended October 31,</w:t>
            </w:r>
          </w:p>
        </w:tc>
      </w:tr>
      <w:tr>
        <w:trPr>
          <w:trHeight w:val="33"/>
        </w:trPr>
        <w:tc>
          <w:tcPr>
            <w:tcW w:w="6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33"/>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34,813</w:t>
            </w:r>
          </w:p>
        </w:tc>
      </w:tr>
      <w:tr>
        <w:trPr>
          <w:trHeight w:val="224"/>
        </w:trPr>
        <w:tc>
          <w:tcPr>
            <w:tcW w:w="672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(4,711)</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Investment and other (expense) income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33"/>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r>
      <w:tr>
        <w:trPr>
          <w:trHeight w:val="217"/>
        </w:trPr>
        <w:tc>
          <w:tcPr>
            <w:tcW w:w="672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30,987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27,192</w:t>
            </w:r>
          </w:p>
        </w:tc>
      </w:tr>
      <w:tr>
        <w:trPr>
          <w:trHeight w:val="33"/>
        </w:trPr>
        <w:tc>
          <w:tcPr>
            <w:tcW w:w="6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Restricted shares and RSUs issued under the plan have an issuance price equal to the fair market value of the underlying stock at the date of grant. Shares issued under the plan are referred to herein as either "service-based" or "performance-based" restricted shares and RSUs. The service-based RSUs granted under the plan generally vest over a three-year service period, with one-third becoming exercisable one year after the grant date and one-third additional in each of the succeeding two years. The performance-based RSUs granted under the plan generally vest at the end of a three-year service period provided certain company financial performance metrics are met.</w:t>
      </w:r>
    </w:p>
    <w:p>
      <w:pPr>
        <w:spacing w:after="0" w:line="13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October 31, 2016, the Company has reserved 4,384,814 shares of Class A Nonvoting Common Stock for outstanding stock options, RSUs, and restricted shares and 4,466,805 shares of Class A Nonvoting Common Stock remain for future issuance of stock options, RSUs, and restricted and unrestricted shares under the active plan. The Company uses treasury stock or will issue new Class A Nonvoting Common Stock to deliver shares under the plan.</w:t>
      </w:r>
    </w:p>
    <w:p>
      <w:pPr>
        <w:spacing w:after="0" w:line="93"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October 31, 2016 and 2015, was $3,155 ($1,957 net of taxes) and $2,596 ($1,609 net of taxes), respectively.</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October 31, 2016, total unrecognized compensation cost related to stock-based compensation awards was $19,450 pre-tax, net of estimated forfeitures, which the Company expects to recognize over a weighted-average period of 2.5 years.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fair value of its service-based stock option awards granted during the three months ended October 31, 2016 and 2015,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8"/>
              </w:rPr>
              <w:t>Three months ended October 31,</w:t>
            </w:r>
          </w:p>
        </w:tc>
      </w:tr>
      <w:tr>
        <w:trPr>
          <w:trHeight w:val="33"/>
        </w:trPr>
        <w:tc>
          <w:tcPr>
            <w:tcW w:w="59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340" w:type="dxa"/>
            <w:vAlign w:val="bottom"/>
          </w:tcPr>
          <w:p>
            <w:pPr>
              <w:spacing w:after="0"/>
              <w:rPr>
                <w:sz w:val="20"/>
                <w:szCs w:val="20"/>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r>
      <w:tr>
        <w:trPr>
          <w:trHeight w:val="33"/>
        </w:trPr>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28.59%</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19.97</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35.14</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19.97</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4.58</w:t>
            </w:r>
          </w:p>
        </w:tc>
      </w:tr>
      <w:tr>
        <w:trPr>
          <w:trHeight w:val="33"/>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three months ended October 31, 2016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452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Options</w:t>
            </w: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Term</w:t>
            </w:r>
          </w:p>
        </w:tc>
        <w:tc>
          <w:tcPr>
            <w:tcW w:w="16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3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3,708,706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080" w:type="dxa"/>
            <w:vAlign w:val="bottom"/>
          </w:tcPr>
          <w:p>
            <w:pPr>
              <w:jc w:val="right"/>
              <w:spacing w:after="0"/>
              <w:rPr>
                <w:sz w:val="20"/>
                <w:szCs w:val="20"/>
                <w:color w:val="auto"/>
              </w:rPr>
            </w:pPr>
            <w:r>
              <w:rPr>
                <w:rFonts w:ascii="Arial" w:cs="Arial" w:eastAsia="Arial" w:hAnsi="Arial"/>
                <w:sz w:val="16"/>
                <w:szCs w:val="16"/>
                <w:color w:val="auto"/>
              </w:rPr>
              <w:t>376,924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080" w:type="dxa"/>
            <w:vAlign w:val="bottom"/>
          </w:tcPr>
          <w:p>
            <w:pPr>
              <w:jc w:val="right"/>
              <w:spacing w:after="0"/>
              <w:rPr>
                <w:sz w:val="20"/>
                <w:szCs w:val="20"/>
                <w:color w:val="auto"/>
              </w:rPr>
            </w:pPr>
            <w:r>
              <w:rPr>
                <w:rFonts w:ascii="Arial" w:cs="Arial" w:eastAsia="Arial" w:hAnsi="Arial"/>
                <w:sz w:val="16"/>
                <w:szCs w:val="16"/>
                <w:color w:val="auto"/>
              </w:rPr>
              <w:t>(51,548)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3,696,782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20,600</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October 31, 2016</w:t>
            </w: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gridSpan w:val="2"/>
            <w:vMerge w:val="continue"/>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2,616,609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29.31</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There were 2,616,609 and 2,923,276 options exercisable with a weighted average exercise price of $29.31 and $30.32 at October 31, 2016 and 2015, respectively. The total fair value of stock options vested during the three months ended October 31, 2016 and 2015, was $2,794 and $2,964, respectively.</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cash received from the exercise of options and the tax benefit on these options during the three months ended October 31, 2016 was $8,813 and $1,100, respectively. The total intrinsic value of options exercised during the three months ended October 31, 2016, based upon the average market price at the time of exercise during the period, was $2,894. No options were exercised during the three months ended October 31, 2015.</w:t>
      </w: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summarize the RSU activity under the Company's share-based compensation plans for the three months ended October 31, 2016:</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678,381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23.57</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91,486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35.14</w:t>
            </w: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(33,661)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24.46</w:t>
            </w: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629,826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25.39</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service-based RSUs granted during the three months ended October 31, 2015 had a weighted-average grant date fair value of $19.98. The total fair value of service-based RSUs vested during the three months ended October 31, 2016 and 2015, was $5,079 and $1,419, respectively.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8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 RSUs</w:t>
            </w: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60" w:type="dxa"/>
            <w:vAlign w:val="bottom"/>
          </w:tcPr>
          <w:p>
            <w:pPr>
              <w:jc w:val="right"/>
              <w:spacing w:after="0"/>
              <w:rPr>
                <w:sz w:val="20"/>
                <w:szCs w:val="20"/>
                <w:color w:val="auto"/>
              </w:rPr>
            </w:pPr>
            <w:r>
              <w:rPr>
                <w:rFonts w:ascii="Arial" w:cs="Arial" w:eastAsia="Arial" w:hAnsi="Arial"/>
                <w:sz w:val="16"/>
                <w:szCs w:val="16"/>
                <w:color w:val="auto"/>
              </w:rPr>
              <w:t>58,206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32.03</w:t>
            </w:r>
          </w:p>
        </w:tc>
      </w:tr>
      <w:tr>
        <w:trPr>
          <w:trHeight w:val="33"/>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32.03</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No performance-based RSUs were granted during the three months ended October 31, 2015. The aggregate intrinsic value of unvested service-based and performance-based RSUs outstanding at October 31, 2016 and expected to vest was $22,774.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October 31, 2016 and July 31, 2016,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October 31, 2016</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13,945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13,945</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13,945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15,077</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2016</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2,138</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15,972</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H,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months ended October 31, 2016 and July 31, 2016. In addition, the Company had no significant measurements of assets or liabilities at fair value on a nonrecurring basis subsequent to their initial recognition during the three months ended October 31, 2016 or July 31, 2016.</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estimated fair value of the Company’s short-term and long-term debt obligations, excluding notes payable, based on the quoted market prices for similar issues and on the current rates offered for debt of similar maturities was $217,842 and $218,977 at October 31, 2016 and July 31, 2016, respectively, as compared to the carrying value of $210,608 and $211,982 at October 31, 2016 and July 31, 2016,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October 31, 2016 and July 31, 2016, the notional amount of outstanding forward exchange contracts was $148,769 and $186,093, respectively.</w:t>
      </w:r>
    </w:p>
    <w:p>
      <w:pPr>
        <w:spacing w:after="0" w:line="13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hedges a portion of known exposures using forward exchange contracts. Main exposures are related to transactions denominated in the British Pound, the Euro, Canadian dollar, Mexican Peso, Australian dollar, Malaysian Ringgit and Singapore dollar. Generally, these risk management transactions will involve the use of foreign currency derivatives to minimize the impact of currency movements on non-functional currency transactions.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As of October 31, 2016 and 2015, unrealized losses of $58 and $420 were included in OCI, respectively. These balances are expected to be reclassified from OCI to earnings during the next twelve months when the hedged transactions impact earnings. For the three months ended October 31, 2016 and 2015, the Company reclassified losses of $405 and gains of $457 from OCI into earnings, respectively. At October 31, 2016, the U.S. dollar equivalent of these outstanding forward foreign exchange contracts totaled $25,915, including contracts to sell Euros, Canadian dollars, Australian dollars, British Pounds and U.S. dollars.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also designated intercompany and third party foreign currency denominated debt instruments as net investment hedges. At October 31, 2016, the Company designated £25,036 of intercompany loans as net investment hedges to hedge portions of its net investment in British foreign operations. On May 13, 2010, the Company completed the private placement of €75 million aggregate principal amount of senior unsecured notes to accredited institutional investors. This Euro-denominated debt obligation was designated as a net investment hedge to selectively hedge portions of its net investment in European foreign operations. The Company’s foreign denominated debt obligations are valued under a market approach using publicized spot prices.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October 31, 2016 and 2015, the Company recognized losses of $1,733 and $413, respectively, in “Investment and other (expense) income” on the Condensed Consolidated Statements of Earnings related to non-designated hedges.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2"/>
                <w:szCs w:val="22"/>
                <w:color w:val="auto"/>
              </w:rPr>
            </w:pPr>
          </w:p>
        </w:tc>
        <w:tc>
          <w:tcPr>
            <w:tcW w:w="2300" w:type="dxa"/>
            <w:vAlign w:val="bottom"/>
            <w:tcBorders>
              <w:bottom w:val="single" w:sz="8" w:color="auto"/>
            </w:tcBorders>
            <w:gridSpan w:val="4"/>
            <w:shd w:val="clear" w:color="auto" w:fill="CCEEFF"/>
          </w:tcPr>
          <w:p>
            <w:pPr>
              <w:ind w:left="620"/>
              <w:spacing w:after="0"/>
              <w:rPr>
                <w:sz w:val="20"/>
                <w:szCs w:val="20"/>
                <w:color w:val="auto"/>
              </w:rPr>
            </w:pPr>
            <w:r>
              <w:rPr>
                <w:rFonts w:ascii="Arial" w:cs="Arial" w:eastAsia="Arial" w:hAnsi="Arial"/>
                <w:sz w:val="14"/>
                <w:szCs w:val="14"/>
                <w:b w:val="1"/>
                <w:bCs w:val="1"/>
                <w:color w:val="auto"/>
              </w:rPr>
              <w:t>October 31, 2016</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w w:val="97"/>
              </w:rPr>
              <w:t>July 31, 2016</w:t>
            </w: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ind w:left="600"/>
              <w:spacing w:after="0"/>
              <w:rPr>
                <w:sz w:val="20"/>
                <w:szCs w:val="20"/>
                <w:color w:val="auto"/>
              </w:rPr>
            </w:pPr>
            <w:r>
              <w:rPr>
                <w:rFonts w:ascii="Arial" w:cs="Arial" w:eastAsia="Arial" w:hAnsi="Arial"/>
                <w:sz w:val="14"/>
                <w:szCs w:val="14"/>
                <w:b w:val="1"/>
                <w:bCs w:val="1"/>
                <w:color w:val="auto"/>
              </w:rPr>
              <w:t>October 31, 2016</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July 31, 2016</w:t>
            </w: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112,866</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116,888</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113,385</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117,558</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1,132</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1,873</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1,873</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I — New Accounting Pronouncements</w:t>
      </w:r>
    </w:p>
    <w:p>
      <w:pPr>
        <w:spacing w:after="0" w:line="3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February 2016, the FASB issued ASU 2016-02, "Leases," which replaces the current lease accounting standard. The update will require, among other items, lessees to recognize the assets and liabilities that arise from most leases on the balance sheet. This guidance is effective for annual periods beginning after December 15, 2018, and interim periods within those annual periods. The ASU must be adopted using a modified retrospective approach and early adoption is permitted. The Company is currently evaluating the impact of this update on its consolidated financial statements.</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which eliminates the transaction-and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w:t>
      </w:r>
    </w:p>
    <w:p>
      <w:pPr>
        <w:spacing w:after="0" w:line="2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March 2016, the FASB issued ASU 2016-08, "Revenue from Contracts with Customers - Principal versus Agent Considerations (Reporting Revenue Gross versus Net)", which amends the principal-versus-agent implementation guidance in ASU 2014-09. ASU 2016-08 clarifies the principal-versus-agent guidance in ASU 2014-09 and requires an entity to determine whether the nature of its promise to provide goods or services to a customer is performed in a principal or agent capacity and to recognize revenue in a gross or net manner based on that designation.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May 2016, the FASB issued ASU 2016-12, "Revenue from Contracts with Customers - Narrow-Scope Improvements and Practical Expedients", which amends the transition, collectability, and non-cash consideration guidance in ASU 2014-09. ASU 2016-12 clarifies that, for a contract to be considered completed at transition, substantially all of the revenue must have been recognized under legacy GAAP. The amendments also clarify how an entity should evaluate the collectability threshold and when an entity can recognize nonrefundable consideration received as revenue if an arrangement does not meet the standard’s contract criteria.</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ASU 2014-09 (and related updates) is effective for the Company beginning in fiscal 2019. Entities have the option of using either a full retrospective or a modified retrospective approach for the adoption of the standard. The Company is currently evaluating the impact of this update on its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J — Subsequent Events</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November 9, 2016, the Board of Directors declared a quarterly cash dividend to shareholders of the Company’s Class A and Class B Common Stock of $0.2050 per share payable on January 31, 2017, to shareholders of record at the close of business on January 10,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are externally sourced. Approximately 45% of our total sales are derived outside of the United States. Foreign sales within the IDS and WPS segments are approximately 35% and 65%, respectively.</w:t>
      </w:r>
    </w:p>
    <w:p>
      <w:pPr>
        <w:spacing w:after="0" w:line="26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vast array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and increased investment in digital capabilities.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targeting the following key initiatives in fiscal 2017:</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Enhancing our innovation development process and the speed to deliver high-value, innovative products that align with our target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Driving operational excellence and 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Performing comprehensive product reviews to optimize our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our digital presence with a heightened focus on mobile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through focused sales and marketing efforts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months ended October 31, 2016 and 2015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gridSpan w:val="7"/>
          </w:tcPr>
          <w:p>
            <w:pPr>
              <w:spacing w:after="0"/>
              <w:rPr>
                <w:sz w:val="20"/>
                <w:szCs w:val="20"/>
                <w:color w:val="auto"/>
              </w:rPr>
            </w:pPr>
            <w:r>
              <w:rPr>
                <w:rFonts w:ascii="Arial" w:cs="Arial" w:eastAsia="Arial" w:hAnsi="Arial"/>
                <w:sz w:val="16"/>
                <w:szCs w:val="16"/>
                <w:b w:val="1"/>
                <w:bCs w:val="1"/>
                <w:color w:val="auto"/>
                <w:w w:val="94"/>
              </w:rPr>
              <w:t>Three months ended October 31,</w:t>
            </w:r>
          </w:p>
        </w:tc>
        <w:tc>
          <w:tcPr>
            <w:tcW w:w="9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280,176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283,073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140,358</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139,349</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9,146</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8,569</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98,004</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100,678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17"/>
        </w:trPr>
        <w:tc>
          <w:tcPr>
            <w:tcW w:w="4920" w:type="dxa"/>
            <w:vAlign w:val="bottom"/>
          </w:tcPr>
          <w:p>
            <w:pPr>
              <w:ind w:left="8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107,150</w:t>
            </w:r>
          </w:p>
        </w:tc>
        <w:tc>
          <w:tcPr>
            <w:tcW w:w="60" w:type="dxa"/>
            <w:vAlign w:val="bottom"/>
            <w:tcBorders>
              <w:top w:val="single" w:sz="8" w:color="auto"/>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109,247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33,208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Sales for the three months ended October 31, 2016 decreased 1.0% to $280.2 million, compared to $283.1 million in the same period of the prior year. The decrease in sales consisted of an organic sales decline of 0.2% and a negative foreign currency impact of 0.8%, due to the strengthening of the U.S. dollar against certain other major currencies as compared to the same period in the prior year. Organic sales grew by 0.7% in the IDS segment and declined 2.5% in the WPS segment during three months ended October 31, 2016, compared to the same period in the prior year. The IDS segment realized sales growth in the Product ID, People ID, and Healthcare ID product lines, partially offset by sales declines in the Safety and Facility ID product line. Traditional catalog sales in the WPS segment declined, but were partially offset by sales growth in the digital channel.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References in this Form 10-Q to “organic sales” refer to sales calculated in accordance with U.S.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Gross margin for the three months ended October 31, 2016 increased 0.7% to $140.4 million, compared to $139.3 million in the same period of the prior year. As a percentage of sales, gross margin increased to 50.1% for the three months ended October 31, 2016, from 49.2% in the same period of the prior year. The increase in gross margin was primarily due to our on-going efforts to streamline manufacturing processes and drive operational efficiencies in production facilities. These efforts resulted in reduced freight, supplies and labor costs as well as improvements in excess inventory and scrap charges compared to the same period in the prior year.</w:t>
      </w:r>
    </w:p>
    <w:p>
      <w:pPr>
        <w:spacing w:after="0" w:line="18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Research and development (“R&amp;D”) for the three months ended October 31, 2016 increased 6.7% to $9.1 million, compared to $8.6 million in the same period of the prior year. As a percentage of sales, R&amp;D expenses were 3.3% for the three months ended October 31, 2016, compared to 3.0% in the same period of the prior year. The increase in R&amp;D expenses was primarily due to enhanced investments in new product development within the IDS segment.</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Selling, general and administrative expenses ("SG&amp;A") include selling costs directly attributed to the IDS and WPS segments, as well as administrative expenses including finance, informational technology, human resources, and other administrative expenses. SG&amp;A decreased 2.7% to $98.0 million for the three months ended October 31, 2016, compared to $100.7 million in the same period of the prior year. As a percentage of sales, SG&amp;A was 35.0% for the three months ended October 31, 2016, compared to 35.6% in the same period of the prior year. The decline was primarily due to reduced selling expenses, reflecting efficiency gains, and continued efforts to control general and administrative costs, which were partially offset by an increase in incentive-based compensation.</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was $33.2 million and $30.1 million for three months ended October 31, 2016 and 2015, respectively. The increase was primarily due to increased gross margins and reduced selling expense primarily in the IDS segment, as well as reduced general and administrative expense in the WPS segment. The increase to operating income compared to the same period in the prior year was partially offset by the negative impact of foreign currency fluctuations and higher R&amp;D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ind w:left="800"/>
              <w:spacing w:after="0"/>
              <w:rPr>
                <w:sz w:val="20"/>
                <w:szCs w:val="20"/>
                <w:color w:val="auto"/>
              </w:rPr>
            </w:pPr>
            <w:r>
              <w:rPr>
                <w:rFonts w:ascii="Arial" w:cs="Arial" w:eastAsia="Arial" w:hAnsi="Arial"/>
                <w:sz w:val="16"/>
                <w:szCs w:val="16"/>
                <w:b w:val="1"/>
                <w:bCs w:val="1"/>
                <w:color w:val="auto"/>
                <w:w w:val="95"/>
              </w:rPr>
              <w:t>Three months ended October 31,</w:t>
            </w:r>
          </w:p>
        </w:tc>
        <w:tc>
          <w:tcPr>
            <w:tcW w:w="90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33,208</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(expense)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486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(2,151)</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30,987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27,192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8,434</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8,489</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 and other (expense) income was $0.5 million for the three months ended October 31, 2016, compared to an expense of $0.8 million for the same period in the prior year. For the three month period, the decrease was primarily due to the decline in market value of securities held in executive deferred compensation plans.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$1.7 million for the three months ended October 31, 2016, from $2.2 million for the same period in the prior year. This decrease was due to a reduction in the weighted average interest rate on the Company's debt along with a reduction in the Company's outstanding debt balances.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income tax rate was 27.2% for the three months ended October 31, 2016, compared to 31.2% for the three months ended October 31, 2015. The decrease in the income tax rate from the first quarter of fiscal 2016 to the first quarter of fiscal 2017 was primarily due to a higher than normal tax rate in the prior year as the R&amp;D tax credit had not yet been extended which increased the tax rate. The tax rate of 27.2% during the three months ended October 31, 2016 is consistent with our anticipated annual tax rate ranging from 27% to 29%.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30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("PeopleID"), which aggregate into two reportable segments that are organized around businesses with consistent products and services: IDS and WPS. The Identification Solutions and PeopleID operating segments aggregate into the IDS reporting segment, while the WPS reporting segment is comprised solely of the Workplace Safety operating segment.</w:t>
      </w:r>
    </w:p>
    <w:p>
      <w:pPr>
        <w:spacing w:after="0" w:line="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Effective August 1, 2016, the Company changed its internal measure of segment profit and loss that is reported to the chief operating decision maker for purposes of making decisions about allocating resources to the segment and assessing its performance. Prior to August 1, 2016, certain administrative costs were excluded from the measure of segment profit and loss. Effective August 1, 2016, a portion of these administrative costs have been included within the IDS and WPS segments, which includes the cost of finance, information technology, human resources, and certain other administrative costs. Interest Expense, investment and other income (expense), income taxes, and certain corporate administrative expenses continue to be excluded when evaluating segment performance.</w:t>
      </w:r>
    </w:p>
    <w:p>
      <w:pPr>
        <w:spacing w:after="0" w:line="5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Also effective August 1, 2016, the Company realigned certain businesses between the WPS and IDS reportable segments, resulting in increased revenues and segment profit in the IDS segment and equal and offsetting declines in revenues and segment profit in the WPS segment. The Company's accompanying segment information has been restated to reflect the change in measurement of segment profit and loss and the realignment of businesses.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months ended October 31,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201,264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201,020</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78,912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82,053</w:t>
            </w:r>
          </w:p>
        </w:tc>
      </w:tr>
      <w:tr>
        <w:trPr>
          <w:trHeight w:val="217"/>
        </w:trPr>
        <w:tc>
          <w:tcPr>
            <w:tcW w:w="65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280,176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283,073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6613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6130"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Workplace Safety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33,068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25,431</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6,450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9,382</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39,518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34,813</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SALES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segment profit to earnings before income taxes for the three months ended October 31, 2016 and 2015:</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34,813</w:t>
            </w:r>
          </w:p>
        </w:tc>
      </w:tr>
      <w:tr>
        <w:trPr>
          <w:trHeight w:val="224"/>
        </w:trPr>
        <w:tc>
          <w:tcPr>
            <w:tcW w:w="65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6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(4,711)</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Investment and other expense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30,987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27,192</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Approximately 70% of net sales in the IDS segment were generated in the Americas region, 20% in Europe and 10% in Asia. IDS sales increased 0.1% to $201.3 million for the three months ended October 31, 2016, compared to $201.0 million in the same period in the prior year. Organic sales increased 0.7% and foreign currency fluctuations decreased sales by 0.6% for the three months ended October 31, 2016, compared to the same period in the prior year.</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Americas grew in the low-single digits for the three months ended October 31, 2016, as compared to the same period in the prior year. The IDS Americas region realized organic sales growth in the People ID and Healthcare ID product lines, which were partially offset by organic sales declines in the Safety and Facility ID and Product ID product lines. In addition, we realized mid-single digit sales growth in Brazil following an extended period of sales declines within the country.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Europe declined in the low-single digits for the three months ended October 31, 2016, as compared to the same period in the prior year. The region experienced an organic sales decline in the Safety and Facility ID product line, which was partially offset by organic sales growth in the Product ID and Wire ID product lines. Organic sales growth in western Europe was partially offset by organic sales declines in emerging markets due to weak demand in the oil and gas industries.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Organic sales in Asia grew in the mid-single digits for the three months ended October 31, 2016, as compared to the same period in the prior year. The IDS Asia region had organic sales growth in the Product ID and Wire ID product lines, which was partially offset by an organic sales decline in the Safety and Facility ID product line. The Japan and India businesses within the region experienced double digit organic sales growth due to positive sales trends from new product launches and strong demand for products within targeted markets. Sales growth in the region was partially offset by organic sales declines in China due to continued weak demand in the consumer electronics and manufacturing sectors.</w:t>
      </w:r>
    </w:p>
    <w:p>
      <w:pPr>
        <w:spacing w:after="0" w:line="1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Segment profit increased 30.0% to $33.1 million for the three months ended October 31, 2016, compared to $25.4 million in the same period of the prior year. As a percentage of sales, segment profit was 16.4% for the three months ended October 31, 2016, compared to 12.7% in the same period of the prior year. The increase in segment profit was primarily driven by operational efficiencies in our manufacturing processes in the Americas and Europe.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decreased 3.8% to $78.9 million from $82.1 million for the three months ended October 31, 2016 and 2015, respectively. Organic sales decreased 2.5% and foreign currency fluctuations decreased sales by 1.3% due to the strengthening of the U.S. dollar against certain other major currencies as compared to the same period in the prior year.</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Europe realized mid-single digit organic sales growth for the three months ended October 31, 2016, compared to the same period in the prior year. This growth was driven primarily by Germany, France, and Belgium due to improvements in website functionality and key account management. We experienced double-digit growth in digital sales and essentially flat sales through the traditional catalog channel during the three months ended October 31, 2016, compared to the same period in the prior year.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the Americas declined in the high-single digits for the three months ended October 31, 2016, compared to the same period in the prior year. This decrease was primarily due to reduced demand in industrial end markets and a decrease in sales through both digital and traditional catalog channels.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declined in the high-single digits for the three months ended October 31, 2016, as compared to the same period of the prior year. The decrease in the Australian business was due to its higher concentration in industries that are experiencing economic challenges, which include manufacturing and mining production. We continue to focus on enhancing our expertise in these industries to drive sales growth as well as addressing our cost structure to improve profitability.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decreased to $6.5 million for the three months ended October 31, 2016, compared to $9.4 million in the same period of the prior year. As a percentage of sales, segment profit decreased to 8.2% for the three months ended October 31, 2016, compared to 11.4% in the same period of the prior year. The decrease in segment profit was primarily due to the decline in sales and digital price transparency, which were partially offset by reduced general and administrative expenses.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were $166.3 million at October 31, 2016, an increase of $25.1 million from July 31, 2016.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33,993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30,370</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(30,891)</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25,073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(3,882)</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provided by operating activities was $34.0 million for the three months ended October 31, 2016, compared to $30.4 million in the same period of the prior year. The increase in cash provided by operating activities of $3.6 million was due primarily to an increase in net earnings.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$2.4 million for the three months ended October 31, 2016, compared to $0.8 million used in the same period of the prior year. The increase in cash used in investing activities was due primarily to an increase in capital expenditures of $1.6 million due to the purchase of manufacturing equipment and facility upgrades in the United States and Europe.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$2.4 million during the three months ended October 31, 2016, compared to $30.9 million in the same period of the prior year. The decrease in cash used in financing activities was primarily due to $16.2 million of cash used in share repurchases in the prior year, and $8.8 million in proceeds from the issuance of common stock from stock option exercises in the current year.</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effect of fluctuations in exchange rates decreased cash balances by $4.1 million primarily due to cash balances held in currencies that depreciated against the U.S. dollar during three months ended October 31, 2016.</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fiscal 2007, the Company completed a private placement note issuance totaling $150 million in ten-year fixed rate notes to institutional investors at a interest rate of 5.33%. The notes must be repaid equally over seven years, with the final payment due in fiscal 2017, with interest payable on the notes due semiannually. The notes have certain prepayment penalties for repaying them prior to the maturity date.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13, 2010, the Company completed a private placement of €75 million aggregate principal amount of senior unsecured notes to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The notes have certain prepayment penalties for repaying them prior to maturity. The Company intends to utilize our revolving credit facility to fund private placement principal payments due during the fiscal year ended July 31, 2017, and therefore the maturities are included in "Long-term obligations, less current maturities" on the Consolidated Balance Sheets as of October 31, 2016.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25, 2015, the Company and certain of its subsidiaries entered into an unsecured $300 million multi-currency revolving loan agreement with a group of six banks that replaced and terminated the Company’s previous loan agreement that had been entered into on February 1, 2012. Under the new revolving loan agreement, which has a final maturity date of September 25, 2020, the Company has the option to select either a base interest rate (based upon the higher of the federal funds rate plus one-half of 1%, the prime rate of Bank of America plus a margin based on the Company’s consolidated leverage ratio, or the one-month LIBOR rate plus 1%) or a Eurocurrency interest rate (at the LIBOR rate plus a margin based on the Company’s consolidated leverage ratio). At the Company's option, and subject to certain conditions, the available amount under the revolving loan agreement may be increased from $300 million to $450 million. The outstanding balance on the revolving loan agreement was $112 million at both October 31, 2016 and July 31, 2016. The Company also had letters of credit outstanding under the loan agreement of $4.1 million as of October 31, 2016 and there was $183.9 million available for future borrowing, which can be increased to $333.9 million at the Company's option, subject to certain conditions. The revolving loan agreement has a final maturity date of September 25, 2020. As such, the borrowing is included in "Long-term obligations, less current maturities" on the Consolidated Balance Sheets.</w:t>
      </w:r>
    </w:p>
    <w:p>
      <w:pPr>
        <w:spacing w:after="0" w:line="1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has two multi-currency lines of credit in China with capacity of $10,000 each. These lines of credit support USD-denominated or CNY-denominated borrowing to fund working capital and operations for the Company's Chinese entities and are due on demand. The borrowings under these facilities may be made for a period up to one year from the date of borrowing with interest on the USD-denominated borrowings incurred equal to U.S. dollar LIBOR on the date of borrowing plus a margin based upon duration and on the CNY-denominated borrowings incurred equal to the local China rate based upon duration. There is no ultimate maturity on the facilities and they are subject to periodic review and repricing. The Company is not required to comply with any financial covenants as part of the agreements. During the three months ended October 31, 2016, the Company borrowed an additional $0.4 million on this multi-currency line of credit. As of October 31, 2016, the aggregate outstanding balance of these lines was $5.3 million and there was $14.7 million available for future borrowing under these facilities. Due to the short-term nature of these credit facilities, the borrowings are classified as "Notes payable" within current liabilities on the Consolidated Balance Sheets.</w:t>
      </w:r>
    </w:p>
    <w:p>
      <w:pPr>
        <w:spacing w:after="0" w:line="12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October 31, 2016, the Company was in compliance with these financial covenants, with the ratio of debt to EBITDA, as defined by the agreements, equal to 1.4 to 1.0 and the interest expense coverage ratio equal to 21.5 to 1.0.</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cash balances are generated and held in numerous locations throughout the world. At October 31, 2016, approximately 98%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common stock repurchases, scheduled debt repayments, and dividend payments for the next twelve months. Although we believe these sources of cash are currently sufficient to fund our domestic operations, our annual cash needs could require us to repatriate cash to the U.S. from foreign jurisdictions, which may result in tax charges.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November 9, 2016, the Board of Directors declared a quarterly cash dividend to shareholders of the Company’s Class A and Class B Common Stock of $0.2050 per share payable on January 31, 2017, to shareholders of record at the close of business on January 10,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7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protecting our websites,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Deterioration or instability in the global economy and financial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Divestitures and contingent liabilities from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properly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15, 2016.</w:t>
      </w:r>
    </w:p>
    <w:p>
      <w:pPr>
        <w:spacing w:after="0" w:line="1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2016. There has been no material change in this information since July 31,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121" w:right="1440"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880" w:type="dxa"/>
            <w:vAlign w:val="bottom"/>
            <w:gridSpan w:val="2"/>
          </w:tcPr>
          <w:p>
            <w:pPr>
              <w:jc w:val="center"/>
              <w:ind w:right="3450"/>
              <w:spacing w:after="0"/>
              <w:rPr>
                <w:sz w:val="20"/>
                <w:szCs w:val="20"/>
                <w:color w:val="auto"/>
              </w:rPr>
            </w:pPr>
            <w:r>
              <w:rPr>
                <w:rFonts w:ascii="Arial" w:cs="Arial" w:eastAsia="Arial" w:hAnsi="Arial"/>
                <w:sz w:val="18"/>
                <w:szCs w:val="18"/>
                <w:color w:val="auto"/>
                <w:w w:val="93"/>
              </w:rPr>
              <w:t>SIGNATURES</w:t>
            </w:r>
          </w:p>
        </w:tc>
      </w:tr>
      <w:tr>
        <w:trPr>
          <w:trHeight w:val="378"/>
        </w:trPr>
        <w:tc>
          <w:tcPr>
            <w:tcW w:w="3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500" w:type="dxa"/>
            <w:vAlign w:val="bottom"/>
          </w:tcPr>
          <w:p>
            <w:pPr>
              <w:spacing w:after="0"/>
              <w:rPr>
                <w:sz w:val="20"/>
                <w:szCs w:val="20"/>
                <w:color w:val="auto"/>
              </w:rPr>
            </w:pPr>
            <w:r>
              <w:rPr>
                <w:rFonts w:ascii="Arial" w:cs="Arial" w:eastAsia="Arial" w:hAnsi="Arial"/>
                <w:sz w:val="18"/>
                <w:szCs w:val="18"/>
                <w:color w:val="auto"/>
              </w:rPr>
              <w:t>Date: November 16, 2016</w:t>
            </w: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500" w:type="dxa"/>
            <w:vAlign w:val="bottom"/>
          </w:tcPr>
          <w:p>
            <w:pPr>
              <w:spacing w:after="0"/>
              <w:rPr>
                <w:sz w:val="20"/>
                <w:szCs w:val="20"/>
                <w:color w:val="auto"/>
              </w:rPr>
            </w:pPr>
            <w:r>
              <w:rPr>
                <w:rFonts w:ascii="Arial" w:cs="Arial" w:eastAsia="Arial" w:hAnsi="Arial"/>
                <w:sz w:val="18"/>
                <w:szCs w:val="18"/>
                <w:color w:val="auto"/>
              </w:rPr>
              <w:t>Date: November 16, 2016</w:t>
            </w: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500" w:type="dxa"/>
            <w:vAlign w:val="bottom"/>
          </w:tcPr>
          <w:p>
            <w:pPr>
              <w:spacing w:after="0"/>
              <w:rPr>
                <w:sz w:val="24"/>
                <w:szCs w:val="24"/>
                <w:color w:val="auto"/>
              </w:rPr>
            </w:pPr>
          </w:p>
        </w:tc>
        <w:tc>
          <w:tcPr>
            <w:tcW w:w="3780" w:type="dxa"/>
            <w:vAlign w:val="bottom"/>
          </w:tcPr>
          <w:p>
            <w:pPr>
              <w:jc w:val="right"/>
              <w:ind w:right="1430"/>
              <w:spacing w:after="0"/>
              <w:rPr>
                <w:sz w:val="20"/>
                <w:szCs w:val="20"/>
                <w:color w:val="auto"/>
              </w:rPr>
            </w:pPr>
            <w:r>
              <w:rPr>
                <w:rFonts w:ascii="Arial" w:cs="Arial" w:eastAsia="Arial" w:hAnsi="Arial"/>
                <w:sz w:val="18"/>
                <w:szCs w:val="18"/>
                <w:color w:val="auto"/>
              </w:rPr>
              <w:t>26</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2016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2016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837"/>
    </w:lvl>
  </w:abstractNum>
  <w:abstractNum w:abstractNumId="3">
    <w:nsid w:val="1190CDE7"/>
    <w:multiLevelType w:val="hybridMultilevel"/>
    <w:lvl w:ilvl="0">
      <w:lvlJc w:val="left"/>
      <w:lvlText w:val="(%1)"/>
      <w:numFmt w:val="decimal"/>
      <w:start w:val="136"/>
    </w:lvl>
  </w:abstractNum>
  <w:abstractNum w:abstractNumId="4">
    <w:nsid w:val="66EF438D"/>
    <w:multiLevelType w:val="hybridMultilevel"/>
    <w:lvl w:ilvl="0">
      <w:lvlJc w:val="left"/>
      <w:lvlText w:val="(%1)"/>
      <w:numFmt w:val="decimal"/>
      <w:start w:val="136"/>
    </w:lvl>
  </w:abstractNum>
  <w:abstractNum w:abstractNumId="5">
    <w:nsid w:val="140E0F76"/>
    <w:multiLevelType w:val="hybridMultilevel"/>
    <w:lvl w:ilvl="0">
      <w:lvlJc w:val="left"/>
      <w:lvlText w:val="(%1)"/>
      <w:numFmt w:val="decimal"/>
      <w:start w:val="680"/>
    </w:lvl>
  </w:abstractNum>
  <w:abstractNum w:abstractNumId="6">
    <w:nsid w:val="3352255A"/>
    <w:multiLevelType w:val="hybridMultilevel"/>
    <w:lvl w:ilvl="0">
      <w:lvlJc w:val="left"/>
      <w:lvlText w:val="%1"/>
      <w:numFmt w:val="decimal"/>
      <w:start w:val="426"/>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2019-12-29T08:42:15Z</dcterms:created>
  <dcterms:modified xsi:type="dcterms:W3CDTF">2019-12-29T08:42:15Z</dcterms:modified>
</cp:coreProperties>
</file>