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8"/>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192405</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43"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163830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1" w:lineRule="exact"/>
        <w:rPr>
          <w:sz w:val="24"/>
          <w:szCs w:val="24"/>
          <w:color w:val="auto"/>
        </w:rPr>
      </w:pPr>
    </w:p>
    <w:p>
      <w:pPr>
        <w:jc w:val="center"/>
        <w:ind w:right="-58"/>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Date of Report (Date of earliest event reported): November 18,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198755</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52" w:lineRule="exact"/>
        <w:rPr>
          <w:sz w:val="24"/>
          <w:szCs w:val="24"/>
          <w:color w:val="auto"/>
        </w:rPr>
      </w:pPr>
    </w:p>
    <w:tbl>
      <w:tblPr>
        <w:tblLayout w:type="fixed"/>
        <w:tblInd w:w="2379" w:type="dxa"/>
        <w:tblCellMar>
          <w:top w:w="0" w:type="dxa"/>
          <w:left w:w="0" w:type="dxa"/>
          <w:bottom w:w="0" w:type="dxa"/>
          <w:right w:w="0" w:type="dxa"/>
        </w:tblCellMar>
      </w:tblPr>
      <w:tr>
        <w:trPr>
          <w:trHeight w:val="468"/>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39"/>
                <w:szCs w:val="39"/>
                <w:b w:val="1"/>
                <w:bCs w:val="1"/>
                <w:color w:val="auto"/>
                <w:w w:val="99"/>
              </w:rPr>
              <w:t>BRADY CORPORATION</w:t>
            </w:r>
          </w:p>
        </w:tc>
      </w:tr>
      <w:tr>
        <w:trPr>
          <w:trHeight w:val="209"/>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9"/>
        </w:trPr>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1"/>
              </w:rPr>
              <w:t>Commission File Number 1-14959</w:t>
            </w:r>
          </w:p>
        </w:tc>
      </w:tr>
      <w:tr>
        <w:trPr>
          <w:trHeight w:val="627"/>
        </w:trPr>
        <w:tc>
          <w:tcPr>
            <w:tcW w:w="96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Wisconsin</w:t>
            </w:r>
          </w:p>
        </w:tc>
        <w:tc>
          <w:tcPr>
            <w:tcW w:w="5840" w:type="dxa"/>
            <w:vAlign w:val="bottom"/>
            <w:gridSpan w:val="3"/>
          </w:tcPr>
          <w:p>
            <w:pPr>
              <w:jc w:val="center"/>
              <w:ind w:left="4720"/>
              <w:spacing w:after="0"/>
              <w:rPr>
                <w:sz w:val="20"/>
                <w:szCs w:val="20"/>
                <w:color w:val="auto"/>
              </w:rPr>
            </w:pPr>
            <w:r>
              <w:rPr>
                <w:rFonts w:ascii="Arial" w:cs="Arial" w:eastAsia="Arial" w:hAnsi="Arial"/>
                <w:sz w:val="16"/>
                <w:szCs w:val="16"/>
                <w:b w:val="1"/>
                <w:bCs w:val="1"/>
                <w:color w:val="auto"/>
                <w:w w:val="91"/>
              </w:rPr>
              <w:t>39-0971239</w:t>
            </w:r>
          </w:p>
        </w:tc>
      </w:tr>
      <w:tr>
        <w:trPr>
          <w:trHeight w:val="161"/>
        </w:trPr>
        <w:tc>
          <w:tcPr>
            <w:tcW w:w="9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(State of</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90"/>
              </w:rPr>
              <w:t>Incorporation)</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Identification No.)</w:t>
            </w:r>
          </w:p>
        </w:tc>
      </w:tr>
      <w:tr>
        <w:trPr>
          <w:trHeight w:val="193"/>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7"/>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3"/>
                <w:szCs w:val="13"/>
                <w:b w:val="1"/>
                <w:bCs w:val="1"/>
                <w:color w:val="auto"/>
                <w:w w:val="89"/>
              </w:rPr>
              <w:t>(Address of Principal Executive Offices and Zip Code)</w:t>
            </w:r>
          </w:p>
        </w:tc>
      </w:tr>
      <w:tr>
        <w:trPr>
          <w:trHeight w:val="33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Arial" w:cs="Arial" w:eastAsia="Arial" w:hAnsi="Arial"/>
                <w:sz w:val="16"/>
                <w:szCs w:val="16"/>
                <w:b w:val="1"/>
                <w:bCs w:val="1"/>
                <w:color w:val="auto"/>
                <w:w w:val="91"/>
              </w:rPr>
              <w:t>(414) 358-6600</w:t>
            </w:r>
          </w:p>
        </w:tc>
        <w:tc>
          <w:tcPr>
            <w:tcW w:w="222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159385</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3" w:lineRule="exact"/>
        <w:rPr>
          <w:sz w:val="24"/>
          <w:szCs w:val="24"/>
          <w:color w:val="auto"/>
        </w:rPr>
      </w:pPr>
    </w:p>
    <w:p>
      <w:pPr>
        <w:ind w:left="479"/>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319"/>
          </w:cols>
          <w:pgMar w:left="261" w:top="670" w:right="319" w:bottom="1440" w:gutter="0" w:footer="0" w:header="0"/>
        </w:sectPr>
      </w:pPr>
    </w:p>
    <w:bookmarkStart w:id="1" w:name="page2"/>
    <w:bookmarkEnd w:id="1"/>
    <w:p>
      <w:pPr>
        <w:ind w:left="20"/>
        <w:spacing w:after="0"/>
        <w:tabs>
          <w:tab w:leader="none" w:pos="940"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jc w:val="both"/>
        <w:ind w:firstLine="290"/>
        <w:spacing w:after="0" w:line="279" w:lineRule="auto"/>
        <w:rPr>
          <w:sz w:val="20"/>
          <w:szCs w:val="20"/>
          <w:color w:val="auto"/>
        </w:rPr>
      </w:pPr>
      <w:r>
        <w:rPr>
          <w:rFonts w:ascii="Arial" w:cs="Arial" w:eastAsia="Arial" w:hAnsi="Arial"/>
          <w:sz w:val="16"/>
          <w:szCs w:val="16"/>
          <w:color w:val="auto"/>
        </w:rPr>
        <w:t>On November 20, 2014, Brady Corporation (the “Company”) issued a press release announcing its fiscal 2015 first quarter financial results. A copy of the press release is being furnished to the Securities and Exchange Commission as Exhibit 99.1 attached hereto and is incorporated herein by reference.</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5.02</w:t>
      </w:r>
      <w:r>
        <w:rPr>
          <w:sz w:val="20"/>
          <w:szCs w:val="20"/>
          <w:color w:val="auto"/>
        </w:rPr>
        <w:tab/>
      </w:r>
      <w:r>
        <w:rPr>
          <w:rFonts w:ascii="Arial" w:cs="Arial" w:eastAsia="Arial" w:hAnsi="Arial"/>
          <w:sz w:val="15"/>
          <w:szCs w:val="15"/>
          <w:color w:val="auto"/>
        </w:rPr>
        <w:t>DEPARTURE OF DIRECTORS OR CERTAIN OFFICERS; ELECTION OF DIRECTORS; APPOINTMENT</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OF CERTAIN OFFICERS; COMPENSATORY ARRANGEMENTS OF CERTAIN OFFICERS</w:t>
      </w:r>
    </w:p>
    <w:p>
      <w:pPr>
        <w:spacing w:after="0" w:line="214" w:lineRule="exact"/>
        <w:rPr>
          <w:sz w:val="20"/>
          <w:szCs w:val="20"/>
          <w:color w:val="auto"/>
        </w:rPr>
      </w:pPr>
    </w:p>
    <w:p>
      <w:pPr>
        <w:jc w:val="both"/>
        <w:ind w:firstLine="290"/>
        <w:spacing w:after="0" w:line="261" w:lineRule="auto"/>
        <w:rPr>
          <w:sz w:val="20"/>
          <w:szCs w:val="20"/>
          <w:color w:val="auto"/>
        </w:rPr>
      </w:pPr>
      <w:r>
        <w:rPr>
          <w:rFonts w:ascii="Arial" w:cs="Arial" w:eastAsia="Arial" w:hAnsi="Arial"/>
          <w:sz w:val="16"/>
          <w:szCs w:val="16"/>
          <w:color w:val="auto"/>
        </w:rPr>
        <w:t>On November 18, 2014, the Management Development and Compensation Committee of the Board of Directors of the Company approved an award of $250,000 of restricted stock units to Thomas J. Felmer, the Company’s Senior Vice President and President - Workplace Safety, for retention purposes, with an effective grant date of November 28, 2014. The award will vest in equal increments upon the third, fourth and fifth anniversaries of the grant date, with vesting accelerated in the event of death, disability or termination following a change of control.</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5.07</w:t>
      </w:r>
      <w:r>
        <w:rPr>
          <w:sz w:val="20"/>
          <w:szCs w:val="20"/>
          <w:color w:val="auto"/>
        </w:rPr>
        <w:tab/>
      </w:r>
      <w:r>
        <w:rPr>
          <w:rFonts w:ascii="Arial" w:cs="Arial" w:eastAsia="Arial" w:hAnsi="Arial"/>
          <w:sz w:val="15"/>
          <w:szCs w:val="15"/>
          <w:color w:val="auto"/>
        </w:rPr>
        <w:t>SUBMISSIONS OF MATTERS TO A VOTE OF SECURITY HOLDERS</w:t>
      </w:r>
    </w:p>
    <w:p>
      <w:pPr>
        <w:spacing w:after="0" w:line="200" w:lineRule="exact"/>
        <w:rPr>
          <w:sz w:val="20"/>
          <w:szCs w:val="20"/>
          <w:color w:val="auto"/>
        </w:rPr>
      </w:pPr>
    </w:p>
    <w:p>
      <w:pPr>
        <w:spacing w:after="0" w:line="231"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6"/>
          <w:szCs w:val="16"/>
          <w:color w:val="auto"/>
        </w:rPr>
        <w:t>On November 19, 2014, at the Company’s Annual Shareholders’ Meeting, the holders of all of the 3,538,628 shares of the Company’s Class B Common Stock voted unanimously in favor of electing the following persons to serve as the Company’s directors until the next annual meeting of shareholders and until their successors have been elected: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Patrick W. Allender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Gary S. Balkema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Nancy L. Gioia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Conrad G. Goodkind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Frank W. Harris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 Michael Nauman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Elizabeth P. Pungello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Bradley C. Richardson</w:t>
      </w:r>
    </w:p>
    <w:p>
      <w:pPr>
        <w:spacing w:after="0" w:line="200" w:lineRule="exact"/>
        <w:rPr>
          <w:sz w:val="20"/>
          <w:szCs w:val="20"/>
          <w:color w:val="auto"/>
        </w:rPr>
      </w:pPr>
    </w:p>
    <w:p>
      <w:pPr>
        <w:spacing w:after="0" w:line="327"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filed as Exhibits to this Report.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80" w:type="dxa"/>
            <w:vAlign w:val="bottom"/>
            <w:gridSpan w:val="2"/>
          </w:tcPr>
          <w:p>
            <w:pPr>
              <w:ind w:left="20"/>
              <w:spacing w:after="0"/>
              <w:rPr>
                <w:sz w:val="20"/>
                <w:szCs w:val="20"/>
                <w:color w:val="auto"/>
              </w:rPr>
            </w:pPr>
            <w:r>
              <w:rPr>
                <w:rFonts w:ascii="Arial" w:cs="Arial" w:eastAsia="Arial" w:hAnsi="Arial"/>
                <w:sz w:val="16"/>
                <w:szCs w:val="16"/>
                <w:color w:val="auto"/>
              </w:rPr>
              <w:t>Exhibit No. Description of Exhibit</w:t>
            </w:r>
          </w:p>
        </w:tc>
        <w:tc>
          <w:tcPr>
            <w:tcW w:w="0" w:type="dxa"/>
            <w:vAlign w:val="bottom"/>
          </w:tcPr>
          <w:p>
            <w:pPr>
              <w:spacing w:after="0"/>
              <w:rPr>
                <w:sz w:val="1"/>
                <w:szCs w:val="1"/>
                <w:color w:val="auto"/>
              </w:rPr>
            </w:pPr>
          </w:p>
        </w:tc>
      </w:tr>
      <w:tr>
        <w:trPr>
          <w:trHeight w:val="24"/>
        </w:trPr>
        <w:tc>
          <w:tcPr>
            <w:tcW w:w="58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0" w:type="dxa"/>
            <w:vAlign w:val="bottom"/>
          </w:tcPr>
          <w:p>
            <w:pPr>
              <w:ind w:left="20"/>
              <w:spacing w:after="0"/>
              <w:rPr>
                <w:sz w:val="20"/>
                <w:szCs w:val="20"/>
                <w:color w:val="auto"/>
              </w:rPr>
            </w:pPr>
            <w:r>
              <w:rPr>
                <w:rFonts w:ascii="Arial" w:cs="Arial" w:eastAsia="Arial" w:hAnsi="Arial"/>
                <w:sz w:val="16"/>
                <w:szCs w:val="16"/>
                <w:color w:val="auto"/>
              </w:rPr>
              <w:t>99.1</w:t>
            </w:r>
          </w:p>
        </w:tc>
        <w:tc>
          <w:tcPr>
            <w:tcW w:w="8100" w:type="dxa"/>
            <w:vAlign w:val="bottom"/>
            <w:vMerge w:val="restart"/>
          </w:tcPr>
          <w:p>
            <w:pPr>
              <w:ind w:left="280"/>
              <w:spacing w:after="0"/>
              <w:rPr>
                <w:sz w:val="20"/>
                <w:szCs w:val="20"/>
                <w:color w:val="auto"/>
              </w:rPr>
            </w:pPr>
            <w:r>
              <w:rPr>
                <w:rFonts w:ascii="Arial" w:cs="Arial" w:eastAsia="Arial" w:hAnsi="Arial"/>
                <w:sz w:val="16"/>
                <w:szCs w:val="16"/>
                <w:color w:val="auto"/>
                <w:w w:val="95"/>
              </w:rPr>
              <w:t>Press Release of Brady Corporation, dated November 20, 2014, relating to first quarter fiscal 2015 financial results.</w:t>
            </w:r>
          </w:p>
        </w:tc>
        <w:tc>
          <w:tcPr>
            <w:tcW w:w="0" w:type="dxa"/>
            <w:vAlign w:val="bottom"/>
          </w:tcPr>
          <w:p>
            <w:pPr>
              <w:spacing w:after="0"/>
              <w:rPr>
                <w:sz w:val="1"/>
                <w:szCs w:val="1"/>
                <w:color w:val="auto"/>
              </w:rPr>
            </w:pPr>
          </w:p>
        </w:tc>
      </w:tr>
      <w:tr>
        <w:trPr>
          <w:trHeight w:val="72"/>
        </w:trPr>
        <w:tc>
          <w:tcPr>
            <w:tcW w:w="580" w:type="dxa"/>
            <w:vAlign w:val="bottom"/>
          </w:tcPr>
          <w:p>
            <w:pPr>
              <w:spacing w:after="0"/>
              <w:rPr>
                <w:sz w:val="6"/>
                <w:szCs w:val="6"/>
                <w:color w:val="auto"/>
              </w:rPr>
            </w:pPr>
          </w:p>
        </w:tc>
        <w:tc>
          <w:tcPr>
            <w:tcW w:w="8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9"/>
        </w:trPr>
        <w:tc>
          <w:tcPr>
            <w:tcW w:w="580" w:type="dxa"/>
            <w:vAlign w:val="bottom"/>
          </w:tcPr>
          <w:p>
            <w:pPr>
              <w:ind w:left="20"/>
              <w:spacing w:after="0"/>
              <w:rPr>
                <w:sz w:val="20"/>
                <w:szCs w:val="20"/>
                <w:color w:val="auto"/>
              </w:rPr>
            </w:pPr>
            <w:r>
              <w:rPr>
                <w:rFonts w:ascii="Arial" w:cs="Arial" w:eastAsia="Arial" w:hAnsi="Arial"/>
                <w:sz w:val="16"/>
                <w:szCs w:val="16"/>
                <w:color w:val="auto"/>
              </w:rPr>
              <w:t>99.2</w:t>
            </w:r>
          </w:p>
        </w:tc>
        <w:tc>
          <w:tcPr>
            <w:tcW w:w="8100" w:type="dxa"/>
            <w:vAlign w:val="bottom"/>
          </w:tcPr>
          <w:p>
            <w:pPr>
              <w:ind w:left="280"/>
              <w:spacing w:after="0"/>
              <w:rPr>
                <w:sz w:val="20"/>
                <w:szCs w:val="20"/>
                <w:color w:val="auto"/>
              </w:rPr>
            </w:pPr>
            <w:r>
              <w:rPr>
                <w:rFonts w:ascii="Arial" w:cs="Arial" w:eastAsia="Arial" w:hAnsi="Arial"/>
                <w:sz w:val="16"/>
                <w:szCs w:val="16"/>
                <w:color w:val="auto"/>
                <w:w w:val="97"/>
              </w:rPr>
              <w:t>Informational slides provided by Brady Corporation, dated November 20, 2014, relating to first quarter fiscal 2015</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8100" w:type="dxa"/>
            <w:vAlign w:val="bottom"/>
          </w:tcPr>
          <w:p>
            <w:pPr>
              <w:ind w:left="28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bl>
    <w:p>
      <w:pPr>
        <w:sectPr>
          <w:pgSz w:w="11900" w:h="16838" w:orient="portrait"/>
          <w:cols w:equalWidth="0" w:num="1">
            <w:col w:w="11420"/>
          </w:cols>
          <w:pgMar w:left="240" w:top="68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BRADY CORPORATION</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20, 2014</w:t>
      </w:r>
    </w:p>
    <w:p>
      <w:pPr>
        <w:spacing w:after="0" w:line="34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29210</wp:posOffset>
            </wp:positionV>
            <wp:extent cx="3484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Aaron J. Pearce</w:t>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440"/>
          </w:cols>
          <w:pgMar w:left="240" w:top="537"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900" w:type="dxa"/>
            <w:vAlign w:val="bottom"/>
          </w:tcPr>
          <w:p>
            <w:pPr>
              <w:spacing w:after="0"/>
              <w:rPr>
                <w:sz w:val="17"/>
                <w:szCs w:val="17"/>
                <w:color w:val="auto"/>
              </w:rPr>
            </w:pPr>
          </w:p>
        </w:tc>
        <w:tc>
          <w:tcPr>
            <w:tcW w:w="7780" w:type="dxa"/>
            <w:vAlign w:val="bottom"/>
          </w:tcPr>
          <w:p>
            <w:pPr>
              <w:ind w:left="4220"/>
              <w:spacing w:after="0"/>
              <w:rPr>
                <w:sz w:val="20"/>
                <w:szCs w:val="20"/>
                <w:color w:val="auto"/>
              </w:rPr>
            </w:pPr>
            <w:r>
              <w:rPr>
                <w:rFonts w:ascii="Arial" w:cs="Arial" w:eastAsia="Arial" w:hAnsi="Arial"/>
                <w:sz w:val="16"/>
                <w:szCs w:val="16"/>
                <w:color w:val="auto"/>
              </w:rPr>
              <w:t>EXHIBIT INDEX</w:t>
            </w:r>
          </w:p>
        </w:tc>
        <w:tc>
          <w:tcPr>
            <w:tcW w:w="0" w:type="dxa"/>
            <w:vAlign w:val="bottom"/>
          </w:tcPr>
          <w:p>
            <w:pPr>
              <w:spacing w:after="0"/>
              <w:rPr>
                <w:sz w:val="1"/>
                <w:szCs w:val="1"/>
                <w:color w:val="auto"/>
              </w:rPr>
            </w:pPr>
          </w:p>
        </w:tc>
      </w:tr>
      <w:tr>
        <w:trPr>
          <w:trHeight w:val="511"/>
        </w:trPr>
        <w:tc>
          <w:tcPr>
            <w:tcW w:w="900" w:type="dxa"/>
            <w:vAlign w:val="bottom"/>
          </w:tcPr>
          <w:p>
            <w:pPr>
              <w:ind w:left="20"/>
              <w:spacing w:after="0"/>
              <w:rPr>
                <w:sz w:val="20"/>
                <w:szCs w:val="20"/>
                <w:color w:val="auto"/>
              </w:rPr>
            </w:pPr>
            <w:r>
              <w:rPr>
                <w:rFonts w:ascii="Arial" w:cs="Arial" w:eastAsia="Arial" w:hAnsi="Arial"/>
                <w:sz w:val="14"/>
                <w:szCs w:val="14"/>
                <w:color w:val="auto"/>
              </w:rPr>
              <w:t>EXHIBIT</w:t>
            </w:r>
          </w:p>
        </w:tc>
        <w:tc>
          <w:tcPr>
            <w:tcW w:w="7780" w:type="dxa"/>
            <w:vAlign w:val="bottom"/>
            <w:vMerge w:val="restart"/>
          </w:tcPr>
          <w:p>
            <w:pPr>
              <w:ind w:left="26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900" w:type="dxa"/>
            <w:vAlign w:val="bottom"/>
          </w:tcPr>
          <w:p>
            <w:pPr>
              <w:ind w:left="20"/>
              <w:spacing w:after="0"/>
              <w:rPr>
                <w:sz w:val="20"/>
                <w:szCs w:val="20"/>
                <w:color w:val="auto"/>
              </w:rPr>
            </w:pPr>
            <w:r>
              <w:rPr>
                <w:rFonts w:ascii="Arial" w:cs="Arial" w:eastAsia="Arial" w:hAnsi="Arial"/>
                <w:sz w:val="14"/>
                <w:szCs w:val="14"/>
                <w:color w:val="auto"/>
              </w:rPr>
              <w:t>NUMBER</w:t>
            </w:r>
          </w:p>
        </w:tc>
        <w:tc>
          <w:tcPr>
            <w:tcW w:w="7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0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6"/>
                <w:szCs w:val="16"/>
                <w:color w:val="auto"/>
              </w:rPr>
              <w:t>99.1</w:t>
            </w:r>
          </w:p>
        </w:tc>
        <w:tc>
          <w:tcPr>
            <w:tcW w:w="7780" w:type="dxa"/>
            <w:vAlign w:val="bottom"/>
            <w:vMerge w:val="restart"/>
          </w:tcPr>
          <w:p>
            <w:pPr>
              <w:ind w:left="260"/>
              <w:spacing w:after="0"/>
              <w:rPr>
                <w:sz w:val="20"/>
                <w:szCs w:val="20"/>
                <w:color w:val="auto"/>
              </w:rPr>
            </w:pPr>
            <w:r>
              <w:rPr>
                <w:rFonts w:ascii="Arial" w:cs="Arial" w:eastAsia="Arial" w:hAnsi="Arial"/>
                <w:sz w:val="16"/>
                <w:szCs w:val="16"/>
                <w:color w:val="auto"/>
                <w:w w:val="92"/>
              </w:rPr>
              <w:t>Press Release of Brady Corporation, dated November 20, 2014, relating to first quarter fiscal 2015 financial results.</w:t>
            </w:r>
          </w:p>
        </w:tc>
        <w:tc>
          <w:tcPr>
            <w:tcW w:w="0" w:type="dxa"/>
            <w:vAlign w:val="bottom"/>
          </w:tcPr>
          <w:p>
            <w:pPr>
              <w:spacing w:after="0"/>
              <w:rPr>
                <w:sz w:val="1"/>
                <w:szCs w:val="1"/>
                <w:color w:val="auto"/>
              </w:rPr>
            </w:pPr>
          </w:p>
        </w:tc>
      </w:tr>
      <w:tr>
        <w:trPr>
          <w:trHeight w:val="72"/>
        </w:trPr>
        <w:tc>
          <w:tcPr>
            <w:tcW w:w="90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900" w:type="dxa"/>
            <w:vAlign w:val="bottom"/>
          </w:tcPr>
          <w:p>
            <w:pPr>
              <w:ind w:left="20"/>
              <w:spacing w:after="0"/>
              <w:rPr>
                <w:sz w:val="20"/>
                <w:szCs w:val="20"/>
                <w:color w:val="auto"/>
              </w:rPr>
            </w:pPr>
            <w:r>
              <w:rPr>
                <w:rFonts w:ascii="Arial" w:cs="Arial" w:eastAsia="Arial" w:hAnsi="Arial"/>
                <w:sz w:val="16"/>
                <w:szCs w:val="16"/>
                <w:color w:val="auto"/>
              </w:rPr>
              <w:t>99.2</w:t>
            </w:r>
          </w:p>
        </w:tc>
        <w:tc>
          <w:tcPr>
            <w:tcW w:w="7780" w:type="dxa"/>
            <w:vAlign w:val="bottom"/>
          </w:tcPr>
          <w:p>
            <w:pPr>
              <w:ind w:left="260"/>
              <w:spacing w:after="0"/>
              <w:rPr>
                <w:sz w:val="20"/>
                <w:szCs w:val="20"/>
                <w:color w:val="auto"/>
              </w:rPr>
            </w:pPr>
            <w:r>
              <w:rPr>
                <w:rFonts w:ascii="Arial" w:cs="Arial" w:eastAsia="Arial" w:hAnsi="Arial"/>
                <w:sz w:val="16"/>
                <w:szCs w:val="16"/>
                <w:color w:val="auto"/>
                <w:w w:val="93"/>
              </w:rPr>
              <w:t>Informational slides provided by Brady Corporation, dated November 20, 2014, relating to first quarter fiscal 2015</w:t>
            </w: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7780" w:type="dxa"/>
            <w:vAlign w:val="bottom"/>
          </w:tcPr>
          <w:p>
            <w:pPr>
              <w:ind w:left="26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bl>
    <w:p>
      <w:pPr>
        <w:sectPr>
          <w:pgSz w:w="11900" w:h="16838" w:orient="portrait"/>
          <w:cols w:equalWidth="0" w:num="1">
            <w:col w:w="10219"/>
          </w:cols>
          <w:pgMar w:left="240" w:top="73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Aaron Pearce 414-438-6895</w:t>
      </w:r>
    </w:p>
    <w:p>
      <w:pPr>
        <w:spacing w:after="0"/>
        <w:rPr>
          <w:sz w:val="20"/>
          <w:szCs w:val="20"/>
          <w:color w:val="auto"/>
        </w:rPr>
      </w:pPr>
      <w:r>
        <w:rPr>
          <w:rFonts w:ascii="Arial" w:cs="Arial" w:eastAsia="Arial" w:hAnsi="Arial"/>
          <w:sz w:val="18"/>
          <w:szCs w:val="18"/>
          <w:color w:val="auto"/>
        </w:rPr>
        <w:t>Media contact: Carole Herbstreit 414-438-6882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2015 First Quarter Results</w:t>
      </w:r>
    </w:p>
    <w:p>
      <w:pPr>
        <w:spacing w:after="0" w:line="245" w:lineRule="exact"/>
        <w:rPr>
          <w:sz w:val="20"/>
          <w:szCs w:val="20"/>
          <w:color w:val="auto"/>
        </w:rPr>
      </w:pPr>
    </w:p>
    <w:p>
      <w:pPr>
        <w:ind w:left="580" w:hanging="294"/>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7"/>
          <w:szCs w:val="17"/>
          <w:color w:val="auto"/>
        </w:rPr>
        <w:t>First quarter organic revenue growth of 2.4 percent, with consistent organic growth in both Workplace Safety and Identification Solutions.</w:t>
      </w:r>
    </w:p>
    <w:p>
      <w:pPr>
        <w:spacing w:after="0" w:line="106" w:lineRule="exact"/>
        <w:rPr>
          <w:rFonts w:ascii="Arial" w:cs="Arial" w:eastAsia="Arial" w:hAnsi="Arial"/>
          <w:sz w:val="15"/>
          <w:szCs w:val="15"/>
          <w:color w:val="auto"/>
        </w:rPr>
      </w:pPr>
    </w:p>
    <w:p>
      <w:pPr>
        <w:jc w:val="both"/>
        <w:ind w:left="580" w:right="2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Non-GAAP earnings from continuing operations per diluted Class A Nonvoting Common Share* of $0.36 during the quarter ended October 31, 2014 compared to $0.43 in the same quarter of the prior year. Non-GAAP earnings from continuing operations per diluted Class A Nonvoting Common Share* in the first quarter of fiscal 2015 was impacted by a tax rate of approximately 36%.</w:t>
      </w:r>
    </w:p>
    <w:p>
      <w:pPr>
        <w:spacing w:after="0" w:line="1" w:lineRule="exact"/>
        <w:rPr>
          <w:rFonts w:ascii="Arial" w:cs="Arial" w:eastAsia="Arial" w:hAnsi="Arial"/>
          <w:sz w:val="16"/>
          <w:szCs w:val="16"/>
          <w:color w:val="auto"/>
        </w:rPr>
      </w:pPr>
    </w:p>
    <w:p>
      <w:pPr>
        <w:ind w:left="580" w:right="20" w:hanging="294"/>
        <w:spacing w:after="0" w:line="368"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Fiscal 2015 Non-GAAP earnings from continuing operations per diluted Class A Nonvoting Common Share* guidance is reconfirmed at a range from $1.50 to $1.70.</w:t>
      </w:r>
    </w:p>
    <w:p>
      <w:pPr>
        <w:spacing w:after="0" w:line="246" w:lineRule="exact"/>
        <w:rPr>
          <w:sz w:val="20"/>
          <w:szCs w:val="20"/>
          <w:color w:val="auto"/>
        </w:rPr>
      </w:pPr>
    </w:p>
    <w:p>
      <w:pPr>
        <w:jc w:val="both"/>
        <w:ind w:right="20"/>
        <w:spacing w:after="0" w:line="368" w:lineRule="auto"/>
        <w:rPr>
          <w:sz w:val="20"/>
          <w:szCs w:val="20"/>
          <w:color w:val="auto"/>
        </w:rPr>
      </w:pPr>
      <w:r>
        <w:rPr>
          <w:rFonts w:ascii="Arial" w:cs="Arial" w:eastAsia="Arial" w:hAnsi="Arial"/>
          <w:sz w:val="18"/>
          <w:szCs w:val="18"/>
          <w:color w:val="auto"/>
        </w:rPr>
        <w:t>MILWAUKEE (November 20, 2014)--Brady Corporation (NYSE: BRC) (“Brady” or “Company”), a world leader in identification solutions, today reported its financial results for its fiscal 2015 first quarter ended October 31, 2014.</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October 31, 2014 Financial Results:</w:t>
      </w:r>
    </w:p>
    <w:p>
      <w:pPr>
        <w:spacing w:after="0" w:line="101" w:lineRule="exact"/>
        <w:rPr>
          <w:sz w:val="20"/>
          <w:szCs w:val="20"/>
          <w:color w:val="auto"/>
        </w:rPr>
      </w:pPr>
    </w:p>
    <w:p>
      <w:pPr>
        <w:jc w:val="both"/>
        <w:ind w:right="20" w:firstLine="579"/>
        <w:spacing w:after="0" w:line="349" w:lineRule="auto"/>
        <w:rPr>
          <w:sz w:val="20"/>
          <w:szCs w:val="20"/>
          <w:color w:val="auto"/>
        </w:rPr>
      </w:pPr>
      <w:r>
        <w:rPr>
          <w:rFonts w:ascii="Arial" w:cs="Arial" w:eastAsia="Arial" w:hAnsi="Arial"/>
          <w:sz w:val="18"/>
          <w:szCs w:val="18"/>
          <w:color w:val="auto"/>
        </w:rPr>
        <w:t>Sales for the quarter ended October 31, 2014 increased 0.9 percent to $310.2 million compared to the first quarter of fiscal 2014. Total organic sales increased 2.4 percent and foreign currency translation decreased sales by 1.5 percent.</w:t>
      </w:r>
    </w:p>
    <w:p>
      <w:pPr>
        <w:spacing w:after="0" w:line="1" w:lineRule="exact"/>
        <w:rPr>
          <w:sz w:val="20"/>
          <w:szCs w:val="20"/>
          <w:color w:val="auto"/>
        </w:rPr>
      </w:pPr>
    </w:p>
    <w:p>
      <w:pPr>
        <w:jc w:val="both"/>
        <w:ind w:right="20" w:firstLine="579"/>
        <w:spacing w:after="0" w:line="349" w:lineRule="auto"/>
        <w:rPr>
          <w:sz w:val="20"/>
          <w:szCs w:val="20"/>
          <w:color w:val="auto"/>
        </w:rPr>
      </w:pPr>
      <w:r>
        <w:rPr>
          <w:rFonts w:ascii="Arial" w:cs="Arial" w:eastAsia="Arial" w:hAnsi="Arial"/>
          <w:sz w:val="18"/>
          <w:szCs w:val="18"/>
          <w:color w:val="auto"/>
        </w:rPr>
        <w:t>Earnings from continuing operations for the quarter ended October 31, 2014 were $15.5 million compared to $18.1 million in the same quarter last year. Non-GAAP net earnings from continuing operations* for the quarter ended October 31, 2014, were $18.4 million compared to $22.8 million in the same quarter last year.</w:t>
      </w:r>
    </w:p>
    <w:p>
      <w:pPr>
        <w:spacing w:after="0" w:line="2" w:lineRule="exact"/>
        <w:rPr>
          <w:sz w:val="20"/>
          <w:szCs w:val="20"/>
          <w:color w:val="auto"/>
        </w:rPr>
      </w:pPr>
    </w:p>
    <w:p>
      <w:pPr>
        <w:jc w:val="both"/>
        <w:ind w:firstLine="579"/>
        <w:spacing w:after="0" w:line="359" w:lineRule="auto"/>
        <w:rPr>
          <w:sz w:val="20"/>
          <w:szCs w:val="20"/>
          <w:color w:val="auto"/>
        </w:rPr>
      </w:pPr>
      <w:r>
        <w:rPr>
          <w:rFonts w:ascii="Arial" w:cs="Arial" w:eastAsia="Arial" w:hAnsi="Arial"/>
          <w:sz w:val="18"/>
          <w:szCs w:val="18"/>
          <w:color w:val="auto"/>
        </w:rPr>
        <w:t>Net earnings from continuing operations per Class A Nonvoting Common Share were $0.30 for the first quarter ended October 31, 2014 compared to $0.35 in the same quarter last year. Non-GAAP earnings from continuing operations per diluted Class A Nonvoting Common Share* were $0.36 in the first quarter of fiscal 2015 and $0.43 per share in the first quarter of fiscal 2014.</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w:t>
      </w:r>
    </w:p>
    <w:p>
      <w:pPr>
        <w:spacing w:after="0" w:line="101" w:lineRule="exact"/>
        <w:rPr>
          <w:sz w:val="20"/>
          <w:szCs w:val="20"/>
          <w:color w:val="auto"/>
        </w:rPr>
      </w:pPr>
    </w:p>
    <w:p>
      <w:pPr>
        <w:jc w:val="both"/>
        <w:ind w:right="20" w:firstLine="579"/>
        <w:spacing w:after="0" w:line="354" w:lineRule="auto"/>
        <w:rPr>
          <w:sz w:val="20"/>
          <w:szCs w:val="20"/>
          <w:color w:val="auto"/>
        </w:rPr>
      </w:pPr>
      <w:r>
        <w:rPr>
          <w:rFonts w:ascii="Arial" w:cs="Arial" w:eastAsia="Arial" w:hAnsi="Arial"/>
          <w:sz w:val="18"/>
          <w:szCs w:val="18"/>
          <w:color w:val="auto"/>
        </w:rPr>
        <w:t>“We were encouraged by our revenue growth in the first quarter, which marks the third consecutive quarter of organic sales growth,” said Brady President and Chief Executive Officer, J. Michael Nauman. “Although we had organic sales growth, we continued to incur costs related to the consolidation of our manufacturing facilities and have been experiencing challenges in terms of sales mix. We have scaled back our facility consolidation efforts and our remaining facility consolidation activities will be executed in a manner that will allow us to maintain the highest service levels and least disruptions to our customers while still achieving efficiency gains over the long run. We expect to</w:t>
      </w:r>
    </w:p>
    <w:p>
      <w:pPr>
        <w:sectPr>
          <w:pgSz w:w="11900" w:h="16838" w:orient="portrait"/>
          <w:cols w:equalWidth="0" w:num="1">
            <w:col w:w="11440"/>
          </w:cols>
          <w:pgMar w:left="240" w:top="734" w:right="219" w:bottom="1440" w:gutter="0" w:footer="0" w:header="0"/>
        </w:sectPr>
      </w:pPr>
    </w:p>
    <w:bookmarkStart w:id="5" w:name="page6"/>
    <w:bookmarkEnd w:id="5"/>
    <w:p>
      <w:pPr>
        <w:jc w:val="both"/>
        <w:ind w:right="20"/>
        <w:spacing w:after="0" w:line="349" w:lineRule="auto"/>
        <w:rPr>
          <w:sz w:val="20"/>
          <w:szCs w:val="20"/>
          <w:color w:val="auto"/>
        </w:rPr>
      </w:pPr>
      <w:r>
        <w:rPr>
          <w:rFonts w:ascii="Arial" w:cs="Arial" w:eastAsia="Arial" w:hAnsi="Arial"/>
          <w:sz w:val="18"/>
          <w:szCs w:val="18"/>
          <w:color w:val="auto"/>
        </w:rPr>
        <w:t>incur additional incremental costs from these facility consolidation activities in the near-term and expect to complete our facility consolidation activities by July 31, 2015. We are focused on executing business fundamentals to drive organic sales growth and improve profitability while investing in research and development, focusing on selected markets to drive organic growth, and building an improved, scalable digital platform that will generate value for Brady and its customers.”</w:t>
      </w:r>
    </w:p>
    <w:p>
      <w:pPr>
        <w:spacing w:after="0" w:line="2" w:lineRule="exact"/>
        <w:rPr>
          <w:sz w:val="20"/>
          <w:szCs w:val="20"/>
          <w:color w:val="auto"/>
        </w:rPr>
      </w:pPr>
    </w:p>
    <w:p>
      <w:pPr>
        <w:jc w:val="both"/>
        <w:ind w:firstLine="579"/>
        <w:spacing w:after="0" w:line="437" w:lineRule="auto"/>
        <w:rPr>
          <w:sz w:val="20"/>
          <w:szCs w:val="20"/>
          <w:color w:val="auto"/>
        </w:rPr>
      </w:pPr>
      <w:r>
        <w:rPr>
          <w:rFonts w:ascii="Arial" w:cs="Arial" w:eastAsia="Arial" w:hAnsi="Arial"/>
          <w:sz w:val="15"/>
          <w:szCs w:val="15"/>
          <w:color w:val="auto"/>
        </w:rPr>
        <w:t>“During the quarter ended October 31, 2014, we generated cash flow from operating activities of $18.6 million, returned $10.2 million to our shareholders in the form of dividends and we reduced our net debt position by $7.2 million, further strengthening our balance sheet. Looking forward, we expect to deploy a prioritized capital allocation approach, whereby our first priority will be to invest in organic growth initiatives followed by returning funds to our shareholders through dividends. Share buybacks are expected to be our third priority for cash deployment and will be conducted in an opportunistic manner. We do not anticipate acquisitions to be a significant use of cash in the near-term,” said Brady’s Chief Financial Officer, Aaron J. Pearce.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 Guidance:</w:t>
      </w:r>
    </w:p>
    <w:p>
      <w:pPr>
        <w:spacing w:after="0" w:line="101" w:lineRule="exact"/>
        <w:rPr>
          <w:sz w:val="20"/>
          <w:szCs w:val="20"/>
          <w:color w:val="auto"/>
        </w:rPr>
      </w:pPr>
    </w:p>
    <w:p>
      <w:pPr>
        <w:jc w:val="both"/>
        <w:ind w:firstLine="579"/>
        <w:spacing w:after="0" w:line="354" w:lineRule="auto"/>
        <w:rPr>
          <w:sz w:val="20"/>
          <w:szCs w:val="20"/>
          <w:color w:val="auto"/>
        </w:rPr>
      </w:pPr>
      <w:r>
        <w:rPr>
          <w:rFonts w:ascii="Arial" w:cs="Arial" w:eastAsia="Arial" w:hAnsi="Arial"/>
          <w:sz w:val="18"/>
          <w:szCs w:val="18"/>
          <w:color w:val="auto"/>
        </w:rPr>
        <w:t>The Company anticipates low single-digit organic sales growth in fiscal 2015, with organic sales growth in both the Identification Solutions and Workplace Safety platforms. Brady also expects earnings from continuing operations per diluted Class A Nonvoting Common Share of between $1.50 and $1.70, exclusive of restructuring charges and other non-routine charges. This guidance is based on current exchange rates and a full-year income tax rate in the mid-to-upper 20 percent range. The Company also anticipates approximately $15 million of restructuring charges and capital expenditures of approximately $30 million in fiscal 2015.</w:t>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2015 first quarter financial results will be available at </w:t>
      </w:r>
      <w:r>
        <w:rPr>
          <w:rFonts w:ascii="Arial" w:cs="Arial" w:eastAsia="Arial" w:hAnsi="Arial"/>
          <w:sz w:val="15"/>
          <w:szCs w:val="15"/>
          <w:u w:val="single" w:color="auto"/>
          <w:color w:val="0000FF"/>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pacing w:after="0" w:line="396" w:lineRule="exact"/>
        <w:rPr>
          <w:sz w:val="20"/>
          <w:szCs w:val="20"/>
          <w:color w:val="auto"/>
        </w:rPr>
      </w:pPr>
    </w:p>
    <w:p>
      <w:pPr>
        <w:jc w:val="both"/>
        <w:ind w:right="20" w:firstLine="579"/>
        <w:spacing w:after="0" w:line="377"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education, medical and a variety of other industries. Brady is headquartered in Milwaukee, Wisconsin and as of August 1, 2014, employed approximately 6,400 people in its worldwide businesses. Brady’s fiscal 2014 sales were approximately $1.23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See accompanying notes for Non-GAAP measures.</w:t>
      </w:r>
    </w:p>
    <w:p>
      <w:pPr>
        <w:sectPr>
          <w:pgSz w:w="11900" w:h="16838" w:orient="portrait"/>
          <w:cols w:equalWidth="0" w:num="1">
            <w:col w:w="11440"/>
          </w:cols>
          <w:pgMar w:left="240" w:top="583" w:right="2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3"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implementation of the healthcare strategy; implementation of the Workplace Safety strategy; future competition; risks associated with restructuring plans; future financial performance of major markets Brady serves, which include, without limitation, telecommunications, hard disk drive, manufacturing, electrical, construction, laboratory, education, governmental, public utility, computer, healthcare and transportation; technology changes and potential security violations to the Company's information technology system; fluctuations in currency rates versus the U.S. dollar; risks associated with international operations; difficulties associated with exports; Brady's ability to develop and successfully market new products; risks associated with identifying, completing, and integrating acquisitions; changes in the supply of, or price for, parts and components; increased price pressure from suppliers and customers; Brady's ability to retain significant contracts and customers; risk associated with loss of key talent; risks associated with divestitures and businesses held for sale; risks associated with obtaining governmental approvals and maintaining regulatory compliance; risk associated with product liability claims; environmental, health and safety compliance costs and liabilities; potential write-offs of Brady's substantial intangible assets; risks associated with our ownership structure; unforeseen tax consequences; Brady's ability to maintain compliance with its debt covenants; increase in our level of debt;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2014.</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20"/>
          </w:cols>
          <w:pgMar w:left="240" w:top="861" w:right="2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EARNINGS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4"/>
          </w:tcPr>
          <w:p>
            <w:pPr>
              <w:jc w:val="right"/>
              <w:ind w:right="188"/>
              <w:spacing w:after="0"/>
              <w:rPr>
                <w:sz w:val="20"/>
                <w:szCs w:val="20"/>
                <w:color w:val="auto"/>
              </w:rPr>
            </w:pPr>
            <w:r>
              <w:rPr>
                <w:rFonts w:ascii="Arial" w:cs="Arial" w:eastAsia="Arial" w:hAnsi="Arial"/>
                <w:sz w:val="14"/>
                <w:szCs w:val="14"/>
                <w:color w:val="auto"/>
                <w:w w:val="95"/>
              </w:rPr>
              <w:t>Three months ended October 31,</w:t>
            </w:r>
          </w:p>
        </w:tc>
      </w:tr>
      <w:tr>
        <w:trPr>
          <w:trHeight w:val="241"/>
        </w:trPr>
        <w:tc>
          <w:tcPr>
            <w:tcW w:w="6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2013</w:t>
            </w:r>
          </w:p>
        </w:tc>
      </w:tr>
      <w:tr>
        <w:trPr>
          <w:trHeight w:val="30"/>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310,240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307,530</w:t>
            </w: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160,079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149,683</w:t>
            </w:r>
          </w:p>
        </w:tc>
      </w:tr>
      <w:tr>
        <w:trPr>
          <w:trHeight w:val="30"/>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Gross margin</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150,161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157,847</w:t>
            </w: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Research and development</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9,631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8,587</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109,279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112,733</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Restructuring charges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6,840</w:t>
            </w:r>
          </w:p>
        </w:tc>
      </w:tr>
      <w:tr>
        <w:trPr>
          <w:trHeight w:val="191"/>
        </w:trPr>
        <w:tc>
          <w:tcPr>
            <w:tcW w:w="62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123,188</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128,160</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26,973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29,687</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Other income and (expense):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Investment and other income</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762</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(3,720)</w:t>
            </w:r>
          </w:p>
        </w:tc>
      </w:tr>
      <w:tr>
        <w:trPr>
          <w:trHeight w:val="30"/>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3"/>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24,405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26,729</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8,906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8,595</w:t>
            </w:r>
          </w:p>
        </w:tc>
      </w:tr>
      <w:tr>
        <w:trPr>
          <w:trHeight w:val="30"/>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3"/>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Earnings from continuing operations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15,499</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18,134</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(Loss) earnings from discontinued operations, net of income taxes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5,794</w:t>
            </w:r>
          </w:p>
        </w:tc>
      </w:tr>
      <w:tr>
        <w:trPr>
          <w:trHeight w:val="30"/>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3"/>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61"/>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13,584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23,928</w:t>
            </w:r>
          </w:p>
        </w:tc>
      </w:tr>
      <w:tr>
        <w:trPr>
          <w:trHeight w:val="225"/>
        </w:trPr>
        <w:tc>
          <w:tcPr>
            <w:tcW w:w="6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Earnings from continuing operations per Class A Nonvoting Commons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0.35</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0.35</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Earnings from continuing operations per Class B Voting Common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0.33</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0.29</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0.33</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(Loss) earnings from discontinued operations per Class A Nonvoting Common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0.11</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0.11</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(Loss) earnings from discontinued operations per Class B Voting Common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0.11</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0.11</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3"/>
        </w:trPr>
        <w:tc>
          <w:tcPr>
            <w:tcW w:w="6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Net Earnings per Class A Nonvoting Common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0.46</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0.46</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Dividends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0.195</w:t>
            </w:r>
          </w:p>
        </w:tc>
      </w:tr>
      <w:tr>
        <w:trPr>
          <w:trHeight w:val="193"/>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per Class B Voting Common Share:</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0.44</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0.44</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Dividends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0.183</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0.178</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3"/>
        </w:trPr>
        <w:tc>
          <w:tcPr>
            <w:tcW w:w="6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51,251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52,071</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51,313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52,419</w:t>
            </w:r>
          </w:p>
        </w:tc>
      </w:tr>
    </w:tbl>
    <w:p>
      <w:pPr>
        <w:sectPr>
          <w:pgSz w:w="11900" w:h="16838" w:orient="portrait"/>
          <w:cols w:equalWidth="0" w:num="1">
            <w:col w:w="10219"/>
          </w:cols>
          <w:pgMar w:left="240" w:top="537"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color w:val="auto"/>
              </w:rPr>
              <w:t>October 31, 2014</w:t>
            </w:r>
          </w:p>
        </w:tc>
        <w:tc>
          <w:tcPr>
            <w:tcW w:w="14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w w:val="96"/>
              </w:rPr>
              <w:t>July 31, 2014</w:t>
            </w:r>
          </w:p>
        </w:tc>
        <w:tc>
          <w:tcPr>
            <w:tcW w:w="0" w:type="dxa"/>
            <w:vAlign w:val="bottom"/>
          </w:tcPr>
          <w:p>
            <w:pPr>
              <w:spacing w:after="0"/>
              <w:rPr>
                <w:sz w:val="1"/>
                <w:szCs w:val="1"/>
                <w:color w:val="auto"/>
              </w:rPr>
            </w:pP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3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ASSETS</w:t>
            </w:r>
          </w:p>
        </w:tc>
        <w:tc>
          <w:tcPr>
            <w:tcW w:w="284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Current assets: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116,474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81,834</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Accounts receivable—net</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174,926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177,648</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Inventories: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40" w:type="dxa"/>
            <w:vAlign w:val="bottom"/>
            <w:gridSpan w:val="5"/>
          </w:tcPr>
          <w:p>
            <w:pPr>
              <w:ind w:left="440"/>
              <w:spacing w:after="0"/>
              <w:rPr>
                <w:sz w:val="20"/>
                <w:szCs w:val="20"/>
                <w:color w:val="auto"/>
              </w:rPr>
            </w:pPr>
            <w:r>
              <w:rPr>
                <w:rFonts w:ascii="Arial" w:cs="Arial" w:eastAsia="Arial" w:hAnsi="Arial"/>
                <w:sz w:val="14"/>
                <w:szCs w:val="14"/>
                <w:color w:val="auto"/>
              </w:rPr>
              <w:t>Finished products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74,428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73,096</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4"/>
                <w:szCs w:val="14"/>
                <w:color w:val="auto"/>
              </w:rPr>
              <w:t>Work-in-process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19,271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17,689</w:t>
            </w:r>
          </w:p>
        </w:tc>
        <w:tc>
          <w:tcPr>
            <w:tcW w:w="0" w:type="dxa"/>
            <w:vAlign w:val="bottom"/>
          </w:tcPr>
          <w:p>
            <w:pPr>
              <w:spacing w:after="0"/>
              <w:rPr>
                <w:sz w:val="1"/>
                <w:szCs w:val="1"/>
                <w:color w:val="auto"/>
              </w:rPr>
            </w:pPr>
          </w:p>
        </w:tc>
      </w:tr>
      <w:tr>
        <w:trPr>
          <w:trHeight w:val="211"/>
        </w:trPr>
        <w:tc>
          <w:tcPr>
            <w:tcW w:w="6240" w:type="dxa"/>
            <w:vAlign w:val="bottom"/>
            <w:gridSpan w:val="5"/>
          </w:tcPr>
          <w:p>
            <w:pPr>
              <w:ind w:left="440"/>
              <w:spacing w:after="0"/>
              <w:rPr>
                <w:sz w:val="20"/>
                <w:szCs w:val="20"/>
                <w:color w:val="auto"/>
              </w:rPr>
            </w:pPr>
            <w:r>
              <w:rPr>
                <w:rFonts w:ascii="Arial" w:cs="Arial" w:eastAsia="Arial" w:hAnsi="Arial"/>
                <w:sz w:val="14"/>
                <w:szCs w:val="14"/>
                <w:color w:val="auto"/>
              </w:rPr>
              <w:t>Raw materials and supplies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22,490</w:t>
            </w:r>
          </w:p>
        </w:tc>
        <w:tc>
          <w:tcPr>
            <w:tcW w:w="0" w:type="dxa"/>
            <w:vAlign w:val="bottom"/>
          </w:tcPr>
          <w:p>
            <w:pPr>
              <w:spacing w:after="0"/>
              <w:rPr>
                <w:sz w:val="1"/>
                <w:szCs w:val="1"/>
                <w:color w:val="auto"/>
              </w:rPr>
            </w:pP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2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4"/>
                <w:szCs w:val="14"/>
                <w:color w:val="auto"/>
              </w:rPr>
              <w:t>Total inventories</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117,808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113,275</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Assets held for sale</w:t>
            </w:r>
          </w:p>
        </w:tc>
        <w:tc>
          <w:tcPr>
            <w:tcW w:w="3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49,542</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43,475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41,543</w:t>
            </w:r>
          </w:p>
        </w:tc>
        <w:tc>
          <w:tcPr>
            <w:tcW w:w="0" w:type="dxa"/>
            <w:vAlign w:val="bottom"/>
          </w:tcPr>
          <w:p>
            <w:pPr>
              <w:spacing w:after="0"/>
              <w:rPr>
                <w:sz w:val="1"/>
                <w:szCs w:val="1"/>
                <w:color w:val="auto"/>
              </w:rPr>
            </w:pPr>
          </w:p>
        </w:tc>
      </w:tr>
      <w:tr>
        <w:trPr>
          <w:trHeight w:val="191"/>
        </w:trPr>
        <w:tc>
          <w:tcPr>
            <w:tcW w:w="6240" w:type="dxa"/>
            <w:vAlign w:val="bottom"/>
            <w:gridSpan w:val="5"/>
          </w:tcPr>
          <w:p>
            <w:pPr>
              <w:ind w:left="440"/>
              <w:spacing w:after="0"/>
              <w:rPr>
                <w:sz w:val="20"/>
                <w:szCs w:val="20"/>
                <w:color w:val="auto"/>
              </w:rPr>
            </w:pPr>
            <w:r>
              <w:rPr>
                <w:rFonts w:ascii="Arial" w:cs="Arial" w:eastAsia="Arial" w:hAnsi="Arial"/>
                <w:sz w:val="14"/>
                <w:szCs w:val="14"/>
                <w:b w:val="1"/>
                <w:bCs w:val="1"/>
                <w:color w:val="auto"/>
              </w:rPr>
              <w:t>Total current assets</w:t>
            </w: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452,683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463,842</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Other assets: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501,794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515,004</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Other intangible assets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86,651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91,014</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23,094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27,320</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21,633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22,314</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Cost: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40" w:type="dxa"/>
            <w:vAlign w:val="bottom"/>
            <w:gridSpan w:val="5"/>
          </w:tcPr>
          <w:p>
            <w:pPr>
              <w:ind w:left="440"/>
              <w:spacing w:after="0"/>
              <w:rPr>
                <w:sz w:val="20"/>
                <w:szCs w:val="20"/>
                <w:color w:val="auto"/>
              </w:rPr>
            </w:pPr>
            <w:r>
              <w:rPr>
                <w:rFonts w:ascii="Arial" w:cs="Arial" w:eastAsia="Arial" w:hAnsi="Arial"/>
                <w:sz w:val="14"/>
                <w:szCs w:val="14"/>
                <w:color w:val="auto"/>
              </w:rPr>
              <w:t>Land</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7,710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7,875</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4"/>
                <w:szCs w:val="14"/>
                <w:color w:val="auto"/>
              </w:rPr>
              <w:t>Buildings and improvements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106,636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101,866</w:t>
            </w:r>
          </w:p>
        </w:tc>
        <w:tc>
          <w:tcPr>
            <w:tcW w:w="0" w:type="dxa"/>
            <w:vAlign w:val="bottom"/>
          </w:tcPr>
          <w:p>
            <w:pPr>
              <w:spacing w:after="0"/>
              <w:rPr>
                <w:sz w:val="1"/>
                <w:szCs w:val="1"/>
                <w:color w:val="auto"/>
              </w:rPr>
            </w:pPr>
          </w:p>
        </w:tc>
      </w:tr>
      <w:tr>
        <w:trPr>
          <w:trHeight w:val="211"/>
        </w:trPr>
        <w:tc>
          <w:tcPr>
            <w:tcW w:w="6240" w:type="dxa"/>
            <w:vAlign w:val="bottom"/>
            <w:gridSpan w:val="5"/>
          </w:tcPr>
          <w:p>
            <w:pPr>
              <w:ind w:left="440"/>
              <w:spacing w:after="0"/>
              <w:rPr>
                <w:sz w:val="20"/>
                <w:szCs w:val="20"/>
                <w:color w:val="auto"/>
              </w:rPr>
            </w:pPr>
            <w:r>
              <w:rPr>
                <w:rFonts w:ascii="Arial" w:cs="Arial" w:eastAsia="Arial" w:hAnsi="Arial"/>
                <w:sz w:val="14"/>
                <w:szCs w:val="14"/>
                <w:color w:val="auto"/>
              </w:rPr>
              <w:t>Machinery and equipment</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292,183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288,409</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4"/>
                <w:szCs w:val="14"/>
                <w:color w:val="auto"/>
              </w:rPr>
              <w:t>Construction in progress</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10,331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191"/>
        </w:trPr>
        <w:tc>
          <w:tcPr>
            <w:tcW w:w="1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416,860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410,650</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Less accumulated depreciation</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280,277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276,479</w:t>
            </w:r>
          </w:p>
        </w:tc>
        <w:tc>
          <w:tcPr>
            <w:tcW w:w="0" w:type="dxa"/>
            <w:vAlign w:val="bottom"/>
          </w:tcPr>
          <w:p>
            <w:pPr>
              <w:spacing w:after="0"/>
              <w:rPr>
                <w:sz w:val="1"/>
                <w:szCs w:val="1"/>
                <w:color w:val="auto"/>
              </w:rPr>
            </w:pPr>
          </w:p>
        </w:tc>
      </w:tr>
      <w:tr>
        <w:trPr>
          <w:trHeight w:val="19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Property, plant and equipment—net</w:t>
            </w: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136,583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134,171</w:t>
            </w:r>
          </w:p>
        </w:tc>
        <w:tc>
          <w:tcPr>
            <w:tcW w:w="0" w:type="dxa"/>
            <w:vAlign w:val="bottom"/>
          </w:tcPr>
          <w:p>
            <w:pPr>
              <w:spacing w:after="0"/>
              <w:rPr>
                <w:sz w:val="1"/>
                <w:szCs w:val="1"/>
                <w:color w:val="auto"/>
              </w:rPr>
            </w:pP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1,222,438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1,253,665</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900" w:type="dxa"/>
            <w:vAlign w:val="bottom"/>
            <w:gridSpan w:val="4"/>
            <w:vMerge w:val="restart"/>
          </w:tcPr>
          <w:p>
            <w:pPr>
              <w:jc w:val="center"/>
              <w:ind w:right="1340"/>
              <w:spacing w:after="0"/>
              <w:rPr>
                <w:sz w:val="20"/>
                <w:szCs w:val="20"/>
                <w:color w:val="auto"/>
              </w:rPr>
            </w:pPr>
            <w:r>
              <w:rPr>
                <w:rFonts w:ascii="Arial" w:cs="Arial" w:eastAsia="Arial" w:hAnsi="Arial"/>
                <w:sz w:val="14"/>
                <w:szCs w:val="14"/>
                <w:b w:val="1"/>
                <w:bCs w:val="1"/>
                <w:color w:val="auto"/>
              </w:rPr>
              <w:t>LIABILITIES AND STOCKHOLDERS’ INVESTMENT</w:t>
            </w: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340" w:type="dxa"/>
            <w:vAlign w:val="bottom"/>
          </w:tcPr>
          <w:p>
            <w:pPr>
              <w:spacing w:after="0"/>
              <w:rPr>
                <w:sz w:val="14"/>
                <w:szCs w:val="14"/>
                <w:color w:val="auto"/>
              </w:rPr>
            </w:pPr>
          </w:p>
        </w:tc>
        <w:tc>
          <w:tcPr>
            <w:tcW w:w="490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340" w:type="dxa"/>
            <w:vAlign w:val="bottom"/>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1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Notes payable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94,708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61,422</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84,199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88,099</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Wages and amounts withheld from employees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33,596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38,064</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Liabilities held for sale</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10,640</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Taxes, other than income taxes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7,890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7,994</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Accrued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9,227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7,893</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Other current liabilities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46,362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35,319</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Current maturities on long-term debt</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42,514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42,514</w:t>
            </w:r>
          </w:p>
        </w:tc>
        <w:tc>
          <w:tcPr>
            <w:tcW w:w="0" w:type="dxa"/>
            <w:vAlign w:val="bottom"/>
          </w:tcPr>
          <w:p>
            <w:pPr>
              <w:spacing w:after="0"/>
              <w:rPr>
                <w:sz w:val="1"/>
                <w:szCs w:val="1"/>
                <w:color w:val="auto"/>
              </w:rPr>
            </w:pPr>
          </w:p>
        </w:tc>
      </w:tr>
      <w:tr>
        <w:trPr>
          <w:trHeight w:val="191"/>
        </w:trPr>
        <w:tc>
          <w:tcPr>
            <w:tcW w:w="6240" w:type="dxa"/>
            <w:vAlign w:val="bottom"/>
            <w:gridSpan w:val="5"/>
          </w:tcPr>
          <w:p>
            <w:pPr>
              <w:ind w:left="440"/>
              <w:spacing w:after="0"/>
              <w:rPr>
                <w:sz w:val="20"/>
                <w:szCs w:val="20"/>
                <w:color w:val="auto"/>
              </w:rPr>
            </w:pPr>
            <w:r>
              <w:rPr>
                <w:rFonts w:ascii="Arial" w:cs="Arial" w:eastAsia="Arial" w:hAnsi="Arial"/>
                <w:sz w:val="14"/>
                <w:szCs w:val="14"/>
                <w:b w:val="1"/>
                <w:bCs w:val="1"/>
                <w:color w:val="auto"/>
              </w:rPr>
              <w:t>Total current liabilities</w:t>
            </w: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318,496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291,945</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Long-term obligations, less current maturities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153,476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159,296</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 liabilities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69,472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69,348</w:t>
            </w:r>
          </w:p>
        </w:tc>
        <w:tc>
          <w:tcPr>
            <w:tcW w:w="0" w:type="dxa"/>
            <w:vAlign w:val="bottom"/>
          </w:tcPr>
          <w:p>
            <w:pPr>
              <w:spacing w:after="0"/>
              <w:rPr>
                <w:sz w:val="1"/>
                <w:szCs w:val="1"/>
                <w:color w:val="auto"/>
              </w:rPr>
            </w:pP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2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Total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541,444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520,589</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Stockholders’ investment:</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Common stock:</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40" w:type="dxa"/>
            <w:vAlign w:val="bottom"/>
            <w:gridSpan w:val="5"/>
          </w:tcPr>
          <w:p>
            <w:pPr>
              <w:ind w:left="440"/>
              <w:spacing w:after="0"/>
              <w:rPr>
                <w:sz w:val="20"/>
                <w:szCs w:val="20"/>
                <w:color w:val="auto"/>
              </w:rPr>
            </w:pPr>
            <w:r>
              <w:rPr>
                <w:rFonts w:ascii="Arial" w:cs="Arial" w:eastAsia="Arial" w:hAnsi="Arial"/>
                <w:sz w:val="14"/>
                <w:szCs w:val="14"/>
                <w:color w:val="auto"/>
                <w:w w:val="97"/>
              </w:rPr>
              <w:t>Class A nonvoting common stock—Issued 51,261,487 and 51,261,487 shares, respectively and</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40" w:type="dxa"/>
            <w:vAlign w:val="bottom"/>
            <w:gridSpan w:val="5"/>
          </w:tcPr>
          <w:p>
            <w:pPr>
              <w:ind w:left="440"/>
              <w:spacing w:after="0"/>
              <w:rPr>
                <w:sz w:val="20"/>
                <w:szCs w:val="20"/>
                <w:color w:val="auto"/>
              </w:rPr>
            </w:pPr>
            <w:r>
              <w:rPr>
                <w:rFonts w:ascii="Arial" w:cs="Arial" w:eastAsia="Arial" w:hAnsi="Arial"/>
                <w:sz w:val="14"/>
                <w:szCs w:val="14"/>
                <w:color w:val="auto"/>
              </w:rPr>
              <w:t>outstanding 47,714,986 and 47,704,196 shares, respectively</w:t>
            </w:r>
          </w:p>
        </w:tc>
        <w:tc>
          <w:tcPr>
            <w:tcW w:w="3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4"/>
                <w:szCs w:val="14"/>
                <w:color w:val="auto"/>
              </w:rPr>
              <w:t>Class B voting common stock—Issued and outstanding, 3,538,628 shares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314,128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311,811</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Earnings retained in the business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455,450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452,057</w:t>
            </w:r>
          </w:p>
        </w:tc>
        <w:tc>
          <w:tcPr>
            <w:tcW w:w="0" w:type="dxa"/>
            <w:vAlign w:val="bottom"/>
          </w:tcPr>
          <w:p>
            <w:pPr>
              <w:spacing w:after="0"/>
              <w:rPr>
                <w:sz w:val="1"/>
                <w:szCs w:val="1"/>
                <w:color w:val="auto"/>
              </w:rPr>
            </w:pPr>
          </w:p>
        </w:tc>
      </w:tr>
      <w:tr>
        <w:trPr>
          <w:trHeight w:val="197"/>
        </w:trPr>
        <w:tc>
          <w:tcPr>
            <w:tcW w:w="6240" w:type="dxa"/>
            <w:vAlign w:val="bottom"/>
            <w:gridSpan w:val="5"/>
          </w:tcPr>
          <w:p>
            <w:pPr>
              <w:ind w:left="240"/>
              <w:spacing w:after="0"/>
              <w:rPr>
                <w:sz w:val="20"/>
                <w:szCs w:val="20"/>
                <w:color w:val="auto"/>
              </w:rPr>
            </w:pPr>
            <w:r>
              <w:rPr>
                <w:rFonts w:ascii="Arial" w:cs="Arial" w:eastAsia="Arial" w:hAnsi="Arial"/>
                <w:sz w:val="14"/>
                <w:szCs w:val="14"/>
                <w:color w:val="auto"/>
                <w:w w:val="94"/>
              </w:rPr>
              <w:t>Treasury stock—3,546,501 and 3,477,291 shares, respectively of Class A nonvoting common stock, at</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cost</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(95,011)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(93,337)</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income</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8,565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64,156</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(2,159)</w:t>
            </w:r>
          </w:p>
        </w:tc>
        <w:tc>
          <w:tcPr>
            <w:tcW w:w="0" w:type="dxa"/>
            <w:vAlign w:val="bottom"/>
          </w:tcPr>
          <w:p>
            <w:pPr>
              <w:spacing w:after="0"/>
              <w:rPr>
                <w:sz w:val="1"/>
                <w:szCs w:val="1"/>
                <w:color w:val="auto"/>
              </w:rPr>
            </w:pP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Total stockholders’ investment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680,994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733,076</w:t>
            </w:r>
          </w:p>
        </w:tc>
        <w:tc>
          <w:tcPr>
            <w:tcW w:w="0" w:type="dxa"/>
            <w:vAlign w:val="bottom"/>
          </w:tcPr>
          <w:p>
            <w:pPr>
              <w:spacing w:after="0"/>
              <w:rPr>
                <w:sz w:val="1"/>
                <w:szCs w:val="1"/>
                <w:color w:val="auto"/>
              </w:rPr>
            </w:pPr>
          </w:p>
        </w:tc>
      </w:tr>
      <w:tr>
        <w:trPr>
          <w:trHeight w:val="213"/>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1,222,438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1,253,665</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4"/>
          </w:tcPr>
          <w:p>
            <w:pPr>
              <w:jc w:val="right"/>
              <w:ind w:right="88"/>
              <w:spacing w:after="0"/>
              <w:rPr>
                <w:sz w:val="20"/>
                <w:szCs w:val="20"/>
                <w:color w:val="auto"/>
              </w:rPr>
            </w:pPr>
            <w:r>
              <w:rPr>
                <w:rFonts w:ascii="Arial" w:cs="Arial" w:eastAsia="Arial" w:hAnsi="Arial"/>
                <w:sz w:val="14"/>
                <w:szCs w:val="14"/>
                <w:color w:val="auto"/>
                <w:w w:val="93"/>
              </w:rPr>
              <w:t>Three months ended October 31,</w:t>
            </w:r>
          </w:p>
        </w:tc>
      </w:tr>
      <w:tr>
        <w:trPr>
          <w:trHeight w:val="241"/>
        </w:trPr>
        <w:tc>
          <w:tcPr>
            <w:tcW w:w="6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2013</w:t>
            </w:r>
          </w:p>
        </w:tc>
      </w:tr>
      <w:tr>
        <w:trPr>
          <w:trHeight w:val="30"/>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13,584</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23,928</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10,123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10,878</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Non-cash portion of stock-based compensation expense</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1,319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2,600</w:t>
            </w: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Non-cash portion of restructuring charges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Loss on sale of business, net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(2,421)</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 (net of effects of business acquisitions/divestitures):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(18,551)</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Inventories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(7,077)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(12,461)</w:t>
            </w: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(5,372)</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payable and accrued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2,897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25,903</w:t>
            </w: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Income taxes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1,089</w:t>
            </w:r>
          </w:p>
        </w:tc>
      </w:tr>
      <w:tr>
        <w:trPr>
          <w:trHeight w:val="30"/>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18,604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25,593</w:t>
            </w:r>
          </w:p>
        </w:tc>
      </w:tr>
      <w:tr>
        <w:trPr>
          <w:trHeight w:val="253"/>
        </w:trPr>
        <w:tc>
          <w:tcPr>
            <w:tcW w:w="6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Purchases of property, plant and equipment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(11,451)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(9,086)</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Sales of business, net of cash retained</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8,771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30"/>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(9,156)</w:t>
            </w:r>
          </w:p>
        </w:tc>
      </w:tr>
      <w:tr>
        <w:trPr>
          <w:trHeight w:val="253"/>
        </w:trPr>
        <w:tc>
          <w:tcPr>
            <w:tcW w:w="6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Payment of dividends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(10,149)</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issuance of common stock</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5,209</w:t>
            </w: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Proceeds from borrowings on notes payable</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41,000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Repayment of borrowings on notes payable</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(7,714)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(24,000)</w:t>
            </w: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Income tax on the exercise of stock options and deferred comp distributions, and other</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(719)</w:t>
            </w:r>
          </w:p>
        </w:tc>
      </w:tr>
      <w:tr>
        <w:trPr>
          <w:trHeight w:val="30"/>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21,890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(29,659)</w:t>
            </w:r>
          </w:p>
        </w:tc>
      </w:tr>
      <w:tr>
        <w:trPr>
          <w:trHeight w:val="253"/>
        </w:trPr>
        <w:tc>
          <w:tcPr>
            <w:tcW w:w="6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4,033</w:t>
            </w:r>
          </w:p>
        </w:tc>
      </w:tr>
      <w:tr>
        <w:trPr>
          <w:trHeight w:val="253"/>
        </w:trPr>
        <w:tc>
          <w:tcPr>
            <w:tcW w:w="6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34,640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(9,189)</w:t>
            </w: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81,834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91,058</w:t>
            </w:r>
          </w:p>
        </w:tc>
      </w:tr>
      <w:tr>
        <w:trPr>
          <w:trHeight w:val="30"/>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5"/>
        </w:trPr>
        <w:tc>
          <w:tcPr>
            <w:tcW w:w="6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61"/>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116,474</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81,869</w:t>
            </w:r>
          </w:p>
        </w:tc>
      </w:tr>
      <w:tr>
        <w:trPr>
          <w:trHeight w:val="237"/>
        </w:trPr>
        <w:tc>
          <w:tcPr>
            <w:tcW w:w="6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11"/>
        </w:trPr>
        <w:tc>
          <w:tcPr>
            <w:tcW w:w="6440" w:type="dxa"/>
            <w:vAlign w:val="bottom"/>
          </w:tcPr>
          <w:p>
            <w:pPr>
              <w:spacing w:after="0"/>
              <w:rPr>
                <w:sz w:val="20"/>
                <w:szCs w:val="20"/>
                <w:color w:val="auto"/>
              </w:rPr>
            </w:pPr>
            <w:r>
              <w:rPr>
                <w:rFonts w:ascii="Arial" w:cs="Arial" w:eastAsia="Arial" w:hAnsi="Arial"/>
                <w:sz w:val="14"/>
                <w:szCs w:val="14"/>
                <w:color w:val="auto"/>
              </w:rPr>
              <w:t>Supplemental disclosures: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during the period for:</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Interest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3,032</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4,151</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1"/>
        </w:trPr>
        <w:tc>
          <w:tcPr>
            <w:tcW w:w="6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taxes, net of refunds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10,006</w:t>
            </w:r>
          </w:p>
        </w:tc>
      </w:tr>
      <w:tr>
        <w:trPr>
          <w:trHeight w:val="30"/>
        </w:trPr>
        <w:tc>
          <w:tcPr>
            <w:tcW w:w="6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ectPr>
          <w:pgSz w:w="11900" w:h="16838" w:orient="portrait"/>
          <w:cols w:equalWidth="0" w:num="1">
            <w:col w:w="10219"/>
          </w:cols>
          <w:pgMar w:left="240" w:top="537"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4"/>
          </w:tcPr>
          <w:p>
            <w:pPr>
              <w:jc w:val="right"/>
              <w:ind w:right="68"/>
              <w:spacing w:after="0"/>
              <w:rPr>
                <w:sz w:val="20"/>
                <w:szCs w:val="20"/>
                <w:color w:val="auto"/>
              </w:rPr>
            </w:pPr>
            <w:r>
              <w:rPr>
                <w:rFonts w:ascii="Arial" w:cs="Arial" w:eastAsia="Arial" w:hAnsi="Arial"/>
                <w:sz w:val="14"/>
                <w:szCs w:val="14"/>
                <w:color w:val="auto"/>
                <w:w w:val="92"/>
              </w:rPr>
              <w:t>Three months ended October 31,</w:t>
            </w:r>
          </w:p>
        </w:tc>
      </w:tr>
      <w:tr>
        <w:trPr>
          <w:trHeight w:val="30"/>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2013</w:t>
            </w:r>
          </w:p>
        </w:tc>
      </w:tr>
      <w:tr>
        <w:trPr>
          <w:trHeight w:val="30"/>
        </w:trPr>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SALES TO EXTERNAL CUSTOMERS</w:t>
            </w:r>
          </w:p>
        </w:tc>
        <w:tc>
          <w:tcPr>
            <w:tcW w:w="3960" w:type="dxa"/>
            <w:vAlign w:val="bottom"/>
            <w:tcBorders>
              <w:bottom w:val="single" w:sz="8" w:color="CCEEFF"/>
            </w:tcBorders>
            <w:gridSpan w:val="2"/>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460" w:type="dxa"/>
            <w:vAlign w:val="bottom"/>
            <w:gridSpan w:val="5"/>
          </w:tcPr>
          <w:p>
            <w:pPr>
              <w:ind w:left="140"/>
              <w:spacing w:after="0"/>
              <w:rPr>
                <w:sz w:val="20"/>
                <w:szCs w:val="20"/>
                <w:color w:val="auto"/>
              </w:rPr>
            </w:pPr>
            <w:r>
              <w:rPr>
                <w:rFonts w:ascii="Arial" w:cs="Arial" w:eastAsia="Arial" w:hAnsi="Arial"/>
                <w:sz w:val="14"/>
                <w:szCs w:val="14"/>
                <w:color w:val="auto"/>
              </w:rPr>
              <w:t>ID Solutions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212,097</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209,546</w:t>
            </w:r>
          </w:p>
        </w:tc>
      </w:tr>
      <w:tr>
        <w:trPr>
          <w:trHeight w:val="30"/>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4"/>
                <w:szCs w:val="14"/>
                <w:color w:val="auto"/>
              </w:rPr>
              <w:t>Workplace Safety</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98,143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97,984</w:t>
            </w:r>
          </w:p>
        </w:tc>
      </w:tr>
      <w:tr>
        <w:trPr>
          <w:trHeight w:val="253"/>
        </w:trPr>
        <w:tc>
          <w:tcPr>
            <w:tcW w:w="20" w:type="dxa"/>
            <w:vAlign w:val="bottom"/>
            <w:tcBorders>
              <w:bottom w:val="single" w:sz="8" w:color="CCEEFF"/>
            </w:tcBorders>
          </w:tcPr>
          <w:p>
            <w:pPr>
              <w:spacing w:after="0"/>
              <w:rPr>
                <w:sz w:val="22"/>
                <w:szCs w:val="22"/>
                <w:color w:val="auto"/>
              </w:rPr>
            </w:pPr>
          </w:p>
        </w:tc>
        <w:tc>
          <w:tcPr>
            <w:tcW w:w="6460" w:type="dxa"/>
            <w:vAlign w:val="bottom"/>
            <w:tcBorders>
              <w:bottom w:val="single" w:sz="8" w:color="CCEEFF"/>
            </w:tcBorders>
            <w:gridSpan w:val="5"/>
          </w:tcPr>
          <w:p>
            <w:pPr>
              <w:ind w:left="140"/>
              <w:spacing w:after="0"/>
              <w:rPr>
                <w:sz w:val="20"/>
                <w:szCs w:val="20"/>
                <w:color w:val="auto"/>
              </w:rPr>
            </w:pPr>
            <w:r>
              <w:rPr>
                <w:rFonts w:ascii="Arial" w:cs="Arial" w:eastAsia="Arial" w:hAnsi="Arial"/>
                <w:sz w:val="14"/>
                <w:szCs w:val="14"/>
                <w:color w:val="auto"/>
              </w:rPr>
              <w:t>Total Company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310,240</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307,530</w:t>
            </w:r>
          </w:p>
        </w:tc>
      </w:tr>
      <w:tr>
        <w:trPr>
          <w:trHeight w:val="213"/>
        </w:trPr>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69"/>
        </w:trPr>
        <w:tc>
          <w:tcPr>
            <w:tcW w:w="6480" w:type="dxa"/>
            <w:vAlign w:val="bottom"/>
            <w:gridSpan w:val="6"/>
          </w:tcPr>
          <w:p>
            <w:pPr>
              <w:ind w:left="20"/>
              <w:spacing w:after="0"/>
              <w:rPr>
                <w:sz w:val="20"/>
                <w:szCs w:val="20"/>
                <w:color w:val="auto"/>
              </w:rPr>
            </w:pPr>
            <w:r>
              <w:rPr>
                <w:rFonts w:ascii="Arial" w:cs="Arial" w:eastAsia="Arial" w:hAnsi="Arial"/>
                <w:sz w:val="14"/>
                <w:szCs w:val="14"/>
                <w:b w:val="1"/>
                <w:bCs w:val="1"/>
                <w:color w:val="auto"/>
              </w:rPr>
              <w:t>SALES INFORMATION</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0"/>
        </w:trPr>
        <w:tc>
          <w:tcPr>
            <w:tcW w:w="2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09"/>
        </w:trPr>
        <w:tc>
          <w:tcPr>
            <w:tcW w:w="64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ID Solutions</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460" w:type="dxa"/>
            <w:vAlign w:val="bottom"/>
            <w:gridSpan w:val="5"/>
          </w:tcPr>
          <w:p>
            <w:pPr>
              <w:ind w:left="140"/>
              <w:spacing w:after="0"/>
              <w:rPr>
                <w:sz w:val="20"/>
                <w:szCs w:val="20"/>
                <w:color w:val="auto"/>
              </w:rPr>
            </w:pPr>
            <w:r>
              <w:rPr>
                <w:rFonts w:ascii="Arial" w:cs="Arial" w:eastAsia="Arial" w:hAnsi="Arial"/>
                <w:sz w:val="14"/>
                <w:szCs w:val="14"/>
                <w:color w:val="auto"/>
              </w:rPr>
              <w:t>Organic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3.3 %</w:t>
            </w:r>
          </w:p>
        </w:tc>
      </w:tr>
      <w:tr>
        <w:trPr>
          <w:trHeight w:val="30"/>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646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4"/>
                <w:szCs w:val="14"/>
                <w:color w:val="auto"/>
              </w:rPr>
              <w:t>Currency</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11"/>
        </w:trPr>
        <w:tc>
          <w:tcPr>
            <w:tcW w:w="20" w:type="dxa"/>
            <w:vAlign w:val="bottom"/>
          </w:tcPr>
          <w:p>
            <w:pPr>
              <w:spacing w:after="0"/>
              <w:rPr>
                <w:sz w:val="18"/>
                <w:szCs w:val="18"/>
                <w:color w:val="auto"/>
              </w:rPr>
            </w:pPr>
          </w:p>
        </w:tc>
        <w:tc>
          <w:tcPr>
            <w:tcW w:w="6460" w:type="dxa"/>
            <w:vAlign w:val="bottom"/>
            <w:gridSpan w:val="5"/>
          </w:tcPr>
          <w:p>
            <w:pPr>
              <w:ind w:left="14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26.0 %</w:t>
            </w:r>
          </w:p>
        </w:tc>
      </w:tr>
      <w:tr>
        <w:trPr>
          <w:trHeight w:val="30"/>
        </w:trPr>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646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29.0 %</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9"/>
        </w:trPr>
        <w:tc>
          <w:tcPr>
            <w:tcW w:w="64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Workplace Safety</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460" w:type="dxa"/>
            <w:vAlign w:val="bottom"/>
            <w:gridSpan w:val="5"/>
          </w:tcPr>
          <w:p>
            <w:pPr>
              <w:ind w:left="140"/>
              <w:spacing w:after="0"/>
              <w:rPr>
                <w:sz w:val="20"/>
                <w:szCs w:val="20"/>
                <w:color w:val="auto"/>
              </w:rPr>
            </w:pPr>
            <w:r>
              <w:rPr>
                <w:rFonts w:ascii="Arial" w:cs="Arial" w:eastAsia="Arial" w:hAnsi="Arial"/>
                <w:sz w:val="14"/>
                <w:szCs w:val="14"/>
                <w:color w:val="auto"/>
              </w:rPr>
              <w:t>Organic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30"/>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646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4"/>
                <w:szCs w:val="14"/>
                <w:color w:val="auto"/>
              </w:rPr>
              <w:t>Currency</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211"/>
        </w:trPr>
        <w:tc>
          <w:tcPr>
            <w:tcW w:w="20" w:type="dxa"/>
            <w:vAlign w:val="bottom"/>
          </w:tcPr>
          <w:p>
            <w:pPr>
              <w:spacing w:after="0"/>
              <w:rPr>
                <w:sz w:val="18"/>
                <w:szCs w:val="18"/>
                <w:color w:val="auto"/>
              </w:rPr>
            </w:pPr>
          </w:p>
        </w:tc>
        <w:tc>
          <w:tcPr>
            <w:tcW w:w="6460" w:type="dxa"/>
            <w:vAlign w:val="bottom"/>
            <w:gridSpan w:val="5"/>
          </w:tcPr>
          <w:p>
            <w:pPr>
              <w:ind w:left="14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8"/>
                <w:szCs w:val="18"/>
                <w:color w:val="auto"/>
              </w:rPr>
            </w:pP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30"/>
        </w:trPr>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646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9"/>
        </w:trPr>
        <w:tc>
          <w:tcPr>
            <w:tcW w:w="64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Total Company</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460" w:type="dxa"/>
            <w:vAlign w:val="bottom"/>
            <w:gridSpan w:val="5"/>
          </w:tcPr>
          <w:p>
            <w:pPr>
              <w:ind w:left="140"/>
              <w:spacing w:after="0"/>
              <w:rPr>
                <w:sz w:val="20"/>
                <w:szCs w:val="20"/>
                <w:color w:val="auto"/>
              </w:rPr>
            </w:pPr>
            <w:r>
              <w:rPr>
                <w:rFonts w:ascii="Arial" w:cs="Arial" w:eastAsia="Arial" w:hAnsi="Arial"/>
                <w:sz w:val="14"/>
                <w:szCs w:val="14"/>
                <w:color w:val="auto"/>
              </w:rPr>
              <w:t>Organic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0"/>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646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4"/>
                <w:szCs w:val="14"/>
                <w:color w:val="auto"/>
              </w:rPr>
              <w:t>Currency</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11"/>
        </w:trPr>
        <w:tc>
          <w:tcPr>
            <w:tcW w:w="20" w:type="dxa"/>
            <w:vAlign w:val="bottom"/>
          </w:tcPr>
          <w:p>
            <w:pPr>
              <w:spacing w:after="0"/>
              <w:rPr>
                <w:sz w:val="18"/>
                <w:szCs w:val="18"/>
                <w:color w:val="auto"/>
              </w:rPr>
            </w:pPr>
          </w:p>
        </w:tc>
        <w:tc>
          <w:tcPr>
            <w:tcW w:w="6460" w:type="dxa"/>
            <w:vAlign w:val="bottom"/>
            <w:gridSpan w:val="5"/>
          </w:tcPr>
          <w:p>
            <w:pPr>
              <w:ind w:left="14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8"/>
                <w:szCs w:val="18"/>
                <w:color w:val="auto"/>
              </w:rPr>
            </w:pP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15.6 %</w:t>
            </w:r>
          </w:p>
        </w:tc>
      </w:tr>
      <w:tr>
        <w:trPr>
          <w:trHeight w:val="30"/>
        </w:trPr>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646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13.1 %</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9"/>
        </w:trPr>
        <w:tc>
          <w:tcPr>
            <w:tcW w:w="20" w:type="dxa"/>
            <w:vAlign w:val="bottom"/>
            <w:shd w:val="clear" w:color="auto" w:fill="CCEEFF"/>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SEGMENT PROFIT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1"/>
        </w:trPr>
        <w:tc>
          <w:tcPr>
            <w:tcW w:w="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ID Solutions</w:t>
            </w:r>
          </w:p>
        </w:tc>
        <w:tc>
          <w:tcPr>
            <w:tcW w:w="5160" w:type="dxa"/>
            <w:vAlign w:val="bottom"/>
            <w:tcBorders>
              <w:top w:val="single" w:sz="8" w:color="CCEEFF"/>
            </w:tcBorders>
            <w:gridSpan w:val="4"/>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CCEEFF"/>
            </w:tcBorders>
          </w:tcPr>
          <w:p>
            <w:pPr>
              <w:jc w:val="right"/>
              <w:ind w:right="128"/>
              <w:spacing w:after="0"/>
              <w:rPr>
                <w:sz w:val="20"/>
                <w:szCs w:val="20"/>
                <w:color w:val="auto"/>
              </w:rPr>
            </w:pPr>
            <w:r>
              <w:rPr>
                <w:rFonts w:ascii="Arial" w:cs="Arial" w:eastAsia="Arial" w:hAnsi="Arial"/>
                <w:sz w:val="14"/>
                <w:szCs w:val="14"/>
                <w:color w:val="auto"/>
              </w:rPr>
              <w:t>43,467</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CCEEFF"/>
            </w:tcBorders>
          </w:tcPr>
          <w:p>
            <w:pPr>
              <w:jc w:val="right"/>
              <w:ind w:right="128"/>
              <w:spacing w:after="0"/>
              <w:rPr>
                <w:sz w:val="20"/>
                <w:szCs w:val="20"/>
                <w:color w:val="auto"/>
              </w:rPr>
            </w:pPr>
            <w:r>
              <w:rPr>
                <w:rFonts w:ascii="Arial" w:cs="Arial" w:eastAsia="Arial" w:hAnsi="Arial"/>
                <w:sz w:val="14"/>
                <w:szCs w:val="14"/>
                <w:color w:val="auto"/>
              </w:rPr>
              <w:t>50,967</w:t>
            </w:r>
          </w:p>
        </w:tc>
      </w:tr>
      <w:tr>
        <w:trPr>
          <w:trHeight w:val="30"/>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4"/>
                <w:szCs w:val="14"/>
                <w:color w:val="auto"/>
              </w:rPr>
              <w:t>Workplace Safety</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15,539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18,374</w:t>
            </w:r>
          </w:p>
        </w:tc>
      </w:tr>
      <w:tr>
        <w:trPr>
          <w:trHeight w:val="253"/>
        </w:trPr>
        <w:tc>
          <w:tcPr>
            <w:tcW w:w="20" w:type="dxa"/>
            <w:vAlign w:val="bottom"/>
            <w:tcBorders>
              <w:bottom w:val="single" w:sz="8" w:color="CCEEFF"/>
            </w:tcBorders>
          </w:tcPr>
          <w:p>
            <w:pPr>
              <w:spacing w:after="0"/>
              <w:rPr>
                <w:sz w:val="22"/>
                <w:szCs w:val="22"/>
                <w:color w:val="auto"/>
              </w:rPr>
            </w:pPr>
          </w:p>
        </w:tc>
        <w:tc>
          <w:tcPr>
            <w:tcW w:w="6460" w:type="dxa"/>
            <w:vAlign w:val="bottom"/>
            <w:tcBorders>
              <w:bottom w:val="single" w:sz="8" w:color="CCEEFF"/>
            </w:tcBorders>
            <w:gridSpan w:val="5"/>
          </w:tcPr>
          <w:p>
            <w:pPr>
              <w:ind w:left="140"/>
              <w:spacing w:after="0"/>
              <w:rPr>
                <w:sz w:val="20"/>
                <w:szCs w:val="20"/>
                <w:color w:val="auto"/>
              </w:rPr>
            </w:pPr>
            <w:r>
              <w:rPr>
                <w:rFonts w:ascii="Arial" w:cs="Arial" w:eastAsia="Arial" w:hAnsi="Arial"/>
                <w:sz w:val="14"/>
                <w:szCs w:val="14"/>
                <w:color w:val="auto"/>
              </w:rPr>
              <w:t>Total Company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59,006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69,341</w:t>
            </w:r>
          </w:p>
        </w:tc>
      </w:tr>
      <w:tr>
        <w:trPr>
          <w:trHeight w:val="213"/>
        </w:trPr>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69"/>
        </w:trPr>
        <w:tc>
          <w:tcPr>
            <w:tcW w:w="6480" w:type="dxa"/>
            <w:vAlign w:val="bottom"/>
            <w:gridSpan w:val="6"/>
          </w:tcPr>
          <w:p>
            <w:pPr>
              <w:ind w:left="20"/>
              <w:spacing w:after="0"/>
              <w:rPr>
                <w:sz w:val="20"/>
                <w:szCs w:val="20"/>
                <w:color w:val="auto"/>
              </w:rPr>
            </w:pPr>
            <w:r>
              <w:rPr>
                <w:rFonts w:ascii="Arial" w:cs="Arial" w:eastAsia="Arial" w:hAnsi="Arial"/>
                <w:sz w:val="14"/>
                <w:szCs w:val="14"/>
                <w:b w:val="1"/>
                <w:bCs w:val="1"/>
                <w:color w:val="auto"/>
              </w:rPr>
              <w:t>SEGMENT PROFIT AS A PERCENT OF SALES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0"/>
        </w:trPr>
        <w:tc>
          <w:tcPr>
            <w:tcW w:w="2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3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646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4"/>
                <w:szCs w:val="14"/>
                <w:color w:val="auto"/>
              </w:rPr>
              <w:t>ID Solutions</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24.3 %</w:t>
            </w:r>
          </w:p>
        </w:tc>
      </w:tr>
      <w:tr>
        <w:trPr>
          <w:trHeight w:val="211"/>
        </w:trPr>
        <w:tc>
          <w:tcPr>
            <w:tcW w:w="20" w:type="dxa"/>
            <w:vAlign w:val="bottom"/>
          </w:tcPr>
          <w:p>
            <w:pPr>
              <w:spacing w:after="0"/>
              <w:rPr>
                <w:sz w:val="18"/>
                <w:szCs w:val="18"/>
                <w:color w:val="auto"/>
              </w:rPr>
            </w:pPr>
          </w:p>
        </w:tc>
        <w:tc>
          <w:tcPr>
            <w:tcW w:w="6460" w:type="dxa"/>
            <w:vAlign w:val="bottom"/>
            <w:gridSpan w:val="5"/>
          </w:tcPr>
          <w:p>
            <w:pPr>
              <w:ind w:left="140"/>
              <w:spacing w:after="0"/>
              <w:rPr>
                <w:sz w:val="20"/>
                <w:szCs w:val="20"/>
                <w:color w:val="auto"/>
              </w:rPr>
            </w:pPr>
            <w:r>
              <w:rPr>
                <w:rFonts w:ascii="Arial" w:cs="Arial" w:eastAsia="Arial" w:hAnsi="Arial"/>
                <w:sz w:val="14"/>
                <w:szCs w:val="14"/>
                <w:color w:val="auto"/>
              </w:rPr>
              <w:t>Workplace Safety</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18.8 %</w:t>
            </w:r>
          </w:p>
        </w:tc>
      </w:tr>
      <w:tr>
        <w:trPr>
          <w:trHeight w:val="30"/>
        </w:trPr>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646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4"/>
                <w:szCs w:val="14"/>
                <w:color w:val="auto"/>
              </w:rPr>
              <w:t>Total Company</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19.0 %</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22.5 %</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r>
      <w:tr>
        <w:trPr>
          <w:trHeight w:val="497"/>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4"/>
          </w:tcPr>
          <w:p>
            <w:pPr>
              <w:jc w:val="right"/>
              <w:ind w:right="68"/>
              <w:spacing w:after="0"/>
              <w:rPr>
                <w:sz w:val="20"/>
                <w:szCs w:val="20"/>
                <w:color w:val="auto"/>
              </w:rPr>
            </w:pPr>
            <w:r>
              <w:rPr>
                <w:rFonts w:ascii="Arial" w:cs="Arial" w:eastAsia="Arial" w:hAnsi="Arial"/>
                <w:sz w:val="14"/>
                <w:szCs w:val="14"/>
                <w:color w:val="auto"/>
                <w:w w:val="92"/>
              </w:rPr>
              <w:t>Three months ended October 31,</w:t>
            </w:r>
          </w:p>
        </w:tc>
      </w:tr>
      <w:tr>
        <w:trPr>
          <w:trHeight w:val="30"/>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3"/>
        </w:trPr>
        <w:tc>
          <w:tcPr>
            <w:tcW w:w="6480" w:type="dxa"/>
            <w:vAlign w:val="bottom"/>
            <w:gridSpan w:val="6"/>
          </w:tcPr>
          <w:p>
            <w:pPr>
              <w:ind w:left="20"/>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2013</w:t>
            </w:r>
          </w:p>
        </w:tc>
      </w:tr>
      <w:tr>
        <w:trPr>
          <w:trHeight w:val="30"/>
        </w:trPr>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1"/>
        </w:trPr>
        <w:tc>
          <w:tcPr>
            <w:tcW w:w="64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4"/>
                <w:szCs w:val="14"/>
                <w:color w:val="auto"/>
              </w:rPr>
              <w:t>Total segment profit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59,006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69,341</w:t>
            </w:r>
          </w:p>
        </w:tc>
      </w:tr>
      <w:tr>
        <w:trPr>
          <w:trHeight w:val="211"/>
        </w:trPr>
        <w:tc>
          <w:tcPr>
            <w:tcW w:w="6480" w:type="dxa"/>
            <w:vAlign w:val="bottom"/>
            <w:gridSpan w:val="6"/>
          </w:tcPr>
          <w:p>
            <w:pPr>
              <w:ind w:left="20"/>
              <w:spacing w:after="0"/>
              <w:rPr>
                <w:sz w:val="20"/>
                <w:szCs w:val="20"/>
                <w:color w:val="auto"/>
              </w:rPr>
            </w:pPr>
            <w:r>
              <w:rPr>
                <w:rFonts w:ascii="Arial" w:cs="Arial" w:eastAsia="Arial" w:hAnsi="Arial"/>
                <w:sz w:val="14"/>
                <w:szCs w:val="14"/>
                <w:color w:val="auto"/>
              </w:rPr>
              <w:t>Unallocated amounts: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646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4"/>
                <w:szCs w:val="14"/>
                <w:color w:val="auto"/>
              </w:rPr>
              <w:t>Administrative costs</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(27,755)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(32,814)</w:t>
            </w:r>
          </w:p>
        </w:tc>
      </w:tr>
      <w:tr>
        <w:trPr>
          <w:trHeight w:val="211"/>
        </w:trPr>
        <w:tc>
          <w:tcPr>
            <w:tcW w:w="20" w:type="dxa"/>
            <w:vAlign w:val="bottom"/>
          </w:tcPr>
          <w:p>
            <w:pPr>
              <w:spacing w:after="0"/>
              <w:rPr>
                <w:sz w:val="18"/>
                <w:szCs w:val="18"/>
                <w:color w:val="auto"/>
              </w:rPr>
            </w:pPr>
          </w:p>
        </w:tc>
        <w:tc>
          <w:tcPr>
            <w:tcW w:w="6460" w:type="dxa"/>
            <w:vAlign w:val="bottom"/>
            <w:gridSpan w:val="5"/>
          </w:tcPr>
          <w:p>
            <w:pPr>
              <w:ind w:left="140"/>
              <w:spacing w:after="0"/>
              <w:rPr>
                <w:sz w:val="20"/>
                <w:szCs w:val="20"/>
                <w:color w:val="auto"/>
              </w:rPr>
            </w:pPr>
            <w:r>
              <w:rPr>
                <w:rFonts w:ascii="Arial" w:cs="Arial" w:eastAsia="Arial" w:hAnsi="Arial"/>
                <w:sz w:val="14"/>
                <w:szCs w:val="14"/>
                <w:color w:val="auto"/>
              </w:rPr>
              <w:t>Restructuring charges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(6,840)</w:t>
            </w:r>
          </w:p>
        </w:tc>
      </w:tr>
      <w:tr>
        <w:trPr>
          <w:trHeight w:val="30"/>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646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4"/>
                <w:szCs w:val="14"/>
                <w:color w:val="auto"/>
              </w:rPr>
              <w:t>Investment and other income</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762</w:t>
            </w:r>
          </w:p>
        </w:tc>
      </w:tr>
      <w:tr>
        <w:trPr>
          <w:trHeight w:val="211"/>
        </w:trPr>
        <w:tc>
          <w:tcPr>
            <w:tcW w:w="20" w:type="dxa"/>
            <w:vAlign w:val="bottom"/>
          </w:tcPr>
          <w:p>
            <w:pPr>
              <w:spacing w:after="0"/>
              <w:rPr>
                <w:sz w:val="18"/>
                <w:szCs w:val="18"/>
                <w:color w:val="auto"/>
              </w:rPr>
            </w:pPr>
          </w:p>
        </w:tc>
        <w:tc>
          <w:tcPr>
            <w:tcW w:w="6460" w:type="dxa"/>
            <w:vAlign w:val="bottom"/>
            <w:gridSpan w:val="5"/>
          </w:tcPr>
          <w:p>
            <w:pPr>
              <w:ind w:left="14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(3,720)</w:t>
            </w:r>
          </w:p>
        </w:tc>
      </w:tr>
      <w:tr>
        <w:trPr>
          <w:trHeight w:val="30"/>
        </w:trPr>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64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24,405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26,729</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Amounts)</w:t>
      </w:r>
    </w:p>
    <w:p>
      <w:pPr>
        <w:spacing w:after="0" w:line="141" w:lineRule="exact"/>
        <w:rPr>
          <w:sz w:val="20"/>
          <w:szCs w:val="20"/>
          <w:color w:val="auto"/>
        </w:rPr>
      </w:pPr>
    </w:p>
    <w:p>
      <w:pPr>
        <w:ind w:left="60" w:right="1699"/>
        <w:spacing w:after="0" w:line="302" w:lineRule="auto"/>
        <w:rPr>
          <w:sz w:val="20"/>
          <w:szCs w:val="20"/>
          <w:color w:val="auto"/>
        </w:rPr>
      </w:pPr>
      <w:r>
        <w:rPr>
          <w:rFonts w:ascii="Arial" w:cs="Arial" w:eastAsia="Arial" w:hAnsi="Arial"/>
          <w:sz w:val="14"/>
          <w:szCs w:val="14"/>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Earnings from Continuing Operations Before Income Taxes Excluding Certain Items:</w:t>
      </w:r>
    </w:p>
    <w:p>
      <w:pPr>
        <w:spacing w:after="0" w:line="72" w:lineRule="exact"/>
        <w:rPr>
          <w:sz w:val="20"/>
          <w:szCs w:val="20"/>
          <w:color w:val="auto"/>
        </w:rPr>
      </w:pPr>
    </w:p>
    <w:p>
      <w:pPr>
        <w:jc w:val="both"/>
        <w:ind w:left="60" w:right="1579"/>
        <w:spacing w:after="0" w:line="276" w:lineRule="auto"/>
        <w:rPr>
          <w:sz w:val="20"/>
          <w:szCs w:val="20"/>
          <w:color w:val="auto"/>
        </w:rPr>
      </w:pPr>
      <w:r>
        <w:rPr>
          <w:rFonts w:ascii="Arial" w:cs="Arial" w:eastAsia="Arial" w:hAnsi="Arial"/>
          <w:sz w:val="14"/>
          <w:szCs w:val="14"/>
          <w:color w:val="auto"/>
        </w:rPr>
        <w:t>Brady is presenting the Non-GAAP measure "Earnings from Continuing Operations Before Income Taxes Excluding Certain Items." This is not a calculation based upon GAAP. The amounts included in this Non-GAAP measure are derived from amounts included in the Consolidated Financial Statements. We do not view these items to be part of our sustainable results. We believe this profit measure provides an important perspective of underlying business trends and results and provides a more comparable measure from year to year. The table below provides a reconciliation of Earnings from Continuing Operations Before Income Taxes to Earnings from Continuing Operations Before Income Taxes Excluding Certain Items:</w:t>
      </w: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color w:val="auto"/>
                <w:w w:val="91"/>
              </w:rPr>
              <w:t>Three months ended October 31,</w:t>
            </w:r>
          </w:p>
        </w:tc>
        <w:tc>
          <w:tcPr>
            <w:tcW w:w="0" w:type="dxa"/>
            <w:vAlign w:val="bottom"/>
          </w:tcPr>
          <w:p>
            <w:pPr>
              <w:spacing w:after="0"/>
              <w:rPr>
                <w:sz w:val="1"/>
                <w:szCs w:val="1"/>
                <w:color w:val="auto"/>
              </w:rPr>
            </w:pPr>
          </w:p>
        </w:tc>
      </w:tr>
      <w:tr>
        <w:trPr>
          <w:trHeight w:val="30"/>
        </w:trPr>
        <w:tc>
          <w:tcPr>
            <w:tcW w:w="6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30"/>
        </w:trPr>
        <w:tc>
          <w:tcPr>
            <w:tcW w:w="6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Earnings from Continuing Operations Before Income Taxes (GAAP measure)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24,405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26,729</w:t>
            </w:r>
          </w:p>
        </w:tc>
        <w:tc>
          <w:tcPr>
            <w:tcW w:w="0" w:type="dxa"/>
            <w:vAlign w:val="bottom"/>
          </w:tcPr>
          <w:p>
            <w:pPr>
              <w:spacing w:after="0"/>
              <w:rPr>
                <w:sz w:val="1"/>
                <w:szCs w:val="1"/>
                <w:color w:val="auto"/>
              </w:rPr>
            </w:pPr>
          </w:p>
        </w:tc>
      </w:tr>
      <w:tr>
        <w:trPr>
          <w:trHeight w:val="211"/>
        </w:trPr>
        <w:tc>
          <w:tcPr>
            <w:tcW w:w="6560" w:type="dxa"/>
            <w:vAlign w:val="bottom"/>
          </w:tcPr>
          <w:p>
            <w:pPr>
              <w:ind w:left="640"/>
              <w:spacing w:after="0"/>
              <w:rPr>
                <w:sz w:val="20"/>
                <w:szCs w:val="20"/>
                <w:color w:val="auto"/>
              </w:rPr>
            </w:pPr>
            <w:r>
              <w:rPr>
                <w:rFonts w:ascii="Arial" w:cs="Arial" w:eastAsia="Arial" w:hAnsi="Arial"/>
                <w:sz w:val="14"/>
                <w:szCs w:val="14"/>
                <w:color w:val="auto"/>
              </w:rPr>
              <w:t>Restructuring charges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6,840</w:t>
            </w:r>
          </w:p>
        </w:tc>
        <w:tc>
          <w:tcPr>
            <w:tcW w:w="0" w:type="dxa"/>
            <w:vAlign w:val="bottom"/>
          </w:tcPr>
          <w:p>
            <w:pPr>
              <w:spacing w:after="0"/>
              <w:rPr>
                <w:sz w:val="1"/>
                <w:szCs w:val="1"/>
                <w:color w:val="auto"/>
              </w:rPr>
            </w:pPr>
          </w:p>
        </w:tc>
      </w:tr>
      <w:tr>
        <w:trPr>
          <w:trHeight w:val="30"/>
        </w:trPr>
        <w:tc>
          <w:tcPr>
            <w:tcW w:w="6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 Excluding Certain Items (non-GAAP</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28,683</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33,569</w:t>
            </w:r>
          </w:p>
        </w:tc>
        <w:tc>
          <w:tcPr>
            <w:tcW w:w="0" w:type="dxa"/>
            <w:vAlign w:val="bottom"/>
          </w:tcPr>
          <w:p>
            <w:pPr>
              <w:spacing w:after="0"/>
              <w:rPr>
                <w:sz w:val="1"/>
                <w:szCs w:val="1"/>
                <w:color w:val="auto"/>
              </w:rPr>
            </w:pPr>
          </w:p>
        </w:tc>
      </w:tr>
      <w:tr>
        <w:trPr>
          <w:trHeight w:val="19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measure)</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Income Taxes on Continuing Operations Excluding Certain Items:</w:t>
      </w:r>
    </w:p>
    <w:p>
      <w:pPr>
        <w:spacing w:after="0" w:line="72" w:lineRule="exact"/>
        <w:rPr>
          <w:sz w:val="20"/>
          <w:szCs w:val="20"/>
          <w:color w:val="auto"/>
        </w:rPr>
      </w:pPr>
    </w:p>
    <w:p>
      <w:pPr>
        <w:jc w:val="both"/>
        <w:ind w:left="60" w:right="1579"/>
        <w:spacing w:after="0" w:line="277" w:lineRule="auto"/>
        <w:rPr>
          <w:sz w:val="20"/>
          <w:szCs w:val="20"/>
          <w:color w:val="auto"/>
        </w:rPr>
      </w:pPr>
      <w:r>
        <w:rPr>
          <w:rFonts w:ascii="Arial" w:cs="Arial" w:eastAsia="Arial" w:hAnsi="Arial"/>
          <w:sz w:val="14"/>
          <w:szCs w:val="14"/>
          <w:color w:val="auto"/>
        </w:rPr>
        <w:t>Brady is presenting the Non-GAAP measure "Income Taxes on Continuing Operations Excluding Certain Items." This is not a calculation based upon GAAP. The amounts included in this Non-GAAP measure are derived from amounts included in the Consolidated Financial Statements. We do not view these items to be part of our sustainable results. We believe this measure provides an important perspective of underlying business trends and results and provides a more comparable measure from year to year. The table below provides a reconciliation of Income Taxes on Continuing Operations to Income Taxes on Continuing Operations Excluding Certain Items: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4"/>
          </w:tcPr>
          <w:p>
            <w:pPr>
              <w:jc w:val="right"/>
              <w:ind w:right="8"/>
              <w:spacing w:after="0"/>
              <w:rPr>
                <w:sz w:val="20"/>
                <w:szCs w:val="20"/>
                <w:color w:val="auto"/>
              </w:rPr>
            </w:pPr>
            <w:r>
              <w:rPr>
                <w:rFonts w:ascii="Arial" w:cs="Arial" w:eastAsia="Arial" w:hAnsi="Arial"/>
                <w:sz w:val="14"/>
                <w:szCs w:val="14"/>
                <w:color w:val="auto"/>
                <w:w w:val="91"/>
              </w:rPr>
              <w:t>Three months ended October 31,</w:t>
            </w:r>
          </w:p>
        </w:tc>
      </w:tr>
      <w:tr>
        <w:trPr>
          <w:trHeight w:val="30"/>
        </w:trPr>
        <w:tc>
          <w:tcPr>
            <w:tcW w:w="6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3"/>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88"/>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288"/>
              <w:spacing w:after="0"/>
              <w:rPr>
                <w:sz w:val="20"/>
                <w:szCs w:val="20"/>
                <w:color w:val="auto"/>
              </w:rPr>
            </w:pPr>
            <w:r>
              <w:rPr>
                <w:rFonts w:ascii="Arial" w:cs="Arial" w:eastAsia="Arial" w:hAnsi="Arial"/>
                <w:sz w:val="14"/>
                <w:szCs w:val="14"/>
                <w:color w:val="auto"/>
              </w:rPr>
              <w:t>2013</w:t>
            </w:r>
          </w:p>
        </w:tc>
      </w:tr>
      <w:tr>
        <w:trPr>
          <w:trHeight w:val="30"/>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1"/>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(GAAP measure)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8,906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8,595</w:t>
            </w:r>
          </w:p>
        </w:tc>
      </w:tr>
      <w:tr>
        <w:trPr>
          <w:trHeight w:val="211"/>
        </w:trPr>
        <w:tc>
          <w:tcPr>
            <w:tcW w:w="6540" w:type="dxa"/>
            <w:vAlign w:val="bottom"/>
          </w:tcPr>
          <w:p>
            <w:pPr>
              <w:ind w:left="640"/>
              <w:spacing w:after="0"/>
              <w:rPr>
                <w:sz w:val="20"/>
                <w:szCs w:val="20"/>
                <w:color w:val="auto"/>
              </w:rPr>
            </w:pPr>
            <w:r>
              <w:rPr>
                <w:rFonts w:ascii="Arial" w:cs="Arial" w:eastAsia="Arial" w:hAnsi="Arial"/>
                <w:sz w:val="14"/>
                <w:szCs w:val="14"/>
                <w:color w:val="auto"/>
              </w:rPr>
              <w:t>Restructuring charges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2,205</w:t>
            </w:r>
          </w:p>
        </w:tc>
      </w:tr>
      <w:tr>
        <w:trPr>
          <w:trHeight w:val="30"/>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 (non-GAAP measure)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10,237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10,800</w:t>
            </w: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Net Earnings from Continuing Operations Excluding Certain Items:</w:t>
      </w:r>
    </w:p>
    <w:p>
      <w:pPr>
        <w:spacing w:after="0" w:line="72" w:lineRule="exact"/>
        <w:rPr>
          <w:sz w:val="20"/>
          <w:szCs w:val="20"/>
          <w:color w:val="auto"/>
        </w:rPr>
      </w:pPr>
    </w:p>
    <w:p>
      <w:pPr>
        <w:jc w:val="both"/>
        <w:ind w:left="60" w:right="1579"/>
        <w:spacing w:after="0" w:line="277" w:lineRule="auto"/>
        <w:rPr>
          <w:sz w:val="20"/>
          <w:szCs w:val="20"/>
          <w:color w:val="auto"/>
        </w:rPr>
      </w:pPr>
      <w:r>
        <w:rPr>
          <w:rFonts w:ascii="Arial" w:cs="Arial" w:eastAsia="Arial" w:hAnsi="Arial"/>
          <w:sz w:val="14"/>
          <w:szCs w:val="14"/>
          <w:color w:val="auto"/>
        </w:rPr>
        <w:t>Brady is presenting the Non-GAAP measure "Net Earnings from Continuing Operations Excluding Certain Items." This is not a calculation based upon GAAP. The amounts included in this Non-GAAP measure are derived from amounts included in the Consolidated Financial Statements.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to Net Earnings from Continuing Operations Excluding Certain Items: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color w:val="auto"/>
                <w:w w:val="91"/>
              </w:rPr>
              <w:t>Three months ended October 31,</w:t>
            </w:r>
          </w:p>
        </w:tc>
      </w:tr>
      <w:tr>
        <w:trPr>
          <w:trHeight w:val="30"/>
        </w:trPr>
        <w:tc>
          <w:tcPr>
            <w:tcW w:w="6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3"/>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2013</w:t>
            </w:r>
          </w:p>
        </w:tc>
      </w:tr>
      <w:tr>
        <w:trPr>
          <w:trHeight w:val="30"/>
        </w:trPr>
        <w:tc>
          <w:tcPr>
            <w:tcW w:w="6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1"/>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(GAAP measure)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15,499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18,134</w:t>
            </w:r>
          </w:p>
        </w:tc>
      </w:tr>
      <w:tr>
        <w:trPr>
          <w:trHeight w:val="211"/>
        </w:trPr>
        <w:tc>
          <w:tcPr>
            <w:tcW w:w="6560" w:type="dxa"/>
            <w:vAlign w:val="bottom"/>
          </w:tcPr>
          <w:p>
            <w:pPr>
              <w:ind w:left="640"/>
              <w:spacing w:after="0"/>
              <w:rPr>
                <w:sz w:val="20"/>
                <w:szCs w:val="20"/>
                <w:color w:val="auto"/>
              </w:rPr>
            </w:pPr>
            <w:r>
              <w:rPr>
                <w:rFonts w:ascii="Arial" w:cs="Arial" w:eastAsia="Arial" w:hAnsi="Arial"/>
                <w:sz w:val="14"/>
                <w:szCs w:val="14"/>
                <w:color w:val="auto"/>
              </w:rPr>
              <w:t>Restructuring charges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4,635</w:t>
            </w:r>
          </w:p>
        </w:tc>
      </w:tr>
      <w:tr>
        <w:trPr>
          <w:trHeight w:val="30"/>
        </w:trPr>
        <w:tc>
          <w:tcPr>
            <w:tcW w:w="6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3"/>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Excluding Certain Items (non-GAAP measure)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18,446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22,769</w:t>
            </w: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Net Earnings from Continuing Operations Per Diluted Class A Nonvoting Common Share Excluding Certain Items:</w:t>
      </w:r>
    </w:p>
    <w:p>
      <w:pPr>
        <w:spacing w:after="0" w:line="72" w:lineRule="exact"/>
        <w:rPr>
          <w:sz w:val="20"/>
          <w:szCs w:val="20"/>
          <w:color w:val="auto"/>
        </w:rPr>
      </w:pPr>
    </w:p>
    <w:p>
      <w:pPr>
        <w:jc w:val="both"/>
        <w:ind w:left="60" w:right="1579"/>
        <w:spacing w:after="0" w:line="276" w:lineRule="auto"/>
        <w:rPr>
          <w:sz w:val="20"/>
          <w:szCs w:val="20"/>
          <w:color w:val="auto"/>
        </w:rPr>
      </w:pPr>
      <w:r>
        <w:rPr>
          <w:rFonts w:ascii="Arial" w:cs="Arial" w:eastAsia="Arial" w:hAnsi="Arial"/>
          <w:sz w:val="14"/>
          <w:szCs w:val="14"/>
          <w:color w:val="auto"/>
        </w:rPr>
        <w:t>Brady is presenting the Non-GAAP measure "Net Earnings from Continuing Operations Per Diluted Class A Nonvoting Common Share Excluding Certain Items." This is not a calculation based upon GAAP. The amounts included in this Non-GAAP measure are derived from amounts included in the Consolidated Financial Statements.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Per Diluted Class A Nonvoting Common Share to Net Earnings from Continuing Operations Per Diluted Class A Nonvoting Common Share Excluding Certain Items: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560" w:type="dxa"/>
            <w:vAlign w:val="bottom"/>
          </w:tcPr>
          <w:p>
            <w:pPr>
              <w:spacing w:after="0"/>
              <w:rPr>
                <w:sz w:val="15"/>
                <w:szCs w:val="15"/>
                <w:color w:val="auto"/>
              </w:rPr>
            </w:pPr>
          </w:p>
        </w:tc>
        <w:tc>
          <w:tcPr>
            <w:tcW w:w="2060" w:type="dxa"/>
            <w:vAlign w:val="bottom"/>
            <w:gridSpan w:val="5"/>
          </w:tcPr>
          <w:p>
            <w:pPr>
              <w:jc w:val="right"/>
              <w:spacing w:after="0"/>
              <w:rPr>
                <w:sz w:val="20"/>
                <w:szCs w:val="20"/>
                <w:color w:val="auto"/>
              </w:rPr>
            </w:pPr>
            <w:r>
              <w:rPr>
                <w:rFonts w:ascii="Arial" w:cs="Arial" w:eastAsia="Arial" w:hAnsi="Arial"/>
                <w:sz w:val="14"/>
                <w:szCs w:val="14"/>
                <w:color w:val="auto"/>
                <w:w w:val="95"/>
              </w:rPr>
              <w:t>Three months ended October 31,</w:t>
            </w:r>
          </w:p>
        </w:tc>
        <w:tc>
          <w:tcPr>
            <w:tcW w:w="0" w:type="dxa"/>
            <w:vAlign w:val="bottom"/>
          </w:tcPr>
          <w:p>
            <w:pPr>
              <w:spacing w:after="0"/>
              <w:rPr>
                <w:sz w:val="1"/>
                <w:szCs w:val="1"/>
                <w:color w:val="auto"/>
              </w:rPr>
            </w:pPr>
          </w:p>
        </w:tc>
      </w:tr>
      <w:tr>
        <w:trPr>
          <w:trHeight w:val="30"/>
        </w:trPr>
        <w:tc>
          <w:tcPr>
            <w:tcW w:w="65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30"/>
        </w:trPr>
        <w:tc>
          <w:tcPr>
            <w:tcW w:w="65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 Nonvoting Common Share (GAAP</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measure)</w:t>
            </w:r>
          </w:p>
        </w:tc>
        <w:tc>
          <w:tcPr>
            <w:tcW w:w="660" w:type="dxa"/>
            <w:vAlign w:val="bottom"/>
            <w:tcBorders>
              <w:bottom w:val="single" w:sz="8" w:color="CCEEFF"/>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0.30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11"/>
        </w:trPr>
        <w:tc>
          <w:tcPr>
            <w:tcW w:w="6560" w:type="dxa"/>
            <w:vAlign w:val="bottom"/>
          </w:tcPr>
          <w:p>
            <w:pPr>
              <w:ind w:left="640"/>
              <w:spacing w:after="0"/>
              <w:rPr>
                <w:sz w:val="20"/>
                <w:szCs w:val="20"/>
                <w:color w:val="auto"/>
              </w:rPr>
            </w:pPr>
            <w:r>
              <w:rPr>
                <w:rFonts w:ascii="Arial" w:cs="Arial" w:eastAsia="Arial" w:hAnsi="Arial"/>
                <w:sz w:val="14"/>
                <w:szCs w:val="14"/>
                <w:color w:val="auto"/>
              </w:rPr>
              <w:t>Restructuring charges</w:t>
            </w: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5"/>
              </w:rPr>
              <w:t>0.06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30"/>
        </w:trPr>
        <w:tc>
          <w:tcPr>
            <w:tcW w:w="65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8"/>
              </w:rPr>
              <w:t>Net Earnings from Continuing Operations Per Diluted Class A Nonvoting Common Share Excluding</w:t>
            </w:r>
          </w:p>
        </w:tc>
        <w:tc>
          <w:tcPr>
            <w:tcW w:w="660" w:type="dxa"/>
            <w:vAlign w:val="bottom"/>
            <w:vMerge w:val="restart"/>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0.36</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0.43</w:t>
            </w:r>
          </w:p>
        </w:tc>
        <w:tc>
          <w:tcPr>
            <w:tcW w:w="0" w:type="dxa"/>
            <w:vAlign w:val="bottom"/>
          </w:tcPr>
          <w:p>
            <w:pPr>
              <w:spacing w:after="0"/>
              <w:rPr>
                <w:sz w:val="1"/>
                <w:szCs w:val="1"/>
                <w:color w:val="auto"/>
              </w:rPr>
            </w:pPr>
          </w:p>
        </w:tc>
      </w:tr>
      <w:tr>
        <w:trPr>
          <w:trHeight w:val="19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Certain Items (non-GAAP measure)</w:t>
            </w: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2019-12-05T20:40:20Z</dcterms:created>
  <dcterms:modified xsi:type="dcterms:W3CDTF">2019-12-05T20:40:20Z</dcterms:modified>
</cp:coreProperties>
</file>