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JAEHNERT FRANK M</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BRADY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02/01/2013</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020" w:type="dxa"/>
            <w:vAlign w:val="bottom"/>
            <w:shd w:val="clear" w:color="auto" w:fill="9A9A9A"/>
          </w:tcPr>
          <w:p>
            <w:pPr>
              <w:spacing w:after="0"/>
              <w:rPr>
                <w:sz w:val="3"/>
                <w:szCs w:val="3"/>
                <w:color w:val="auto"/>
              </w:rPr>
            </w:pPr>
          </w:p>
        </w:tc>
        <w:tc>
          <w:tcPr>
            <w:tcW w:w="1260" w:type="dxa"/>
            <w:vAlign w:val="bottom"/>
            <w:tcBorders>
              <w:right w:val="single" w:sz="8" w:color="9A9A9A"/>
            </w:tcBorders>
            <w:shd w:val="clear" w:color="auto" w:fill="9A9A9A"/>
          </w:tcPr>
          <w:p>
            <w:pPr>
              <w:spacing w:after="0"/>
              <w:rPr>
                <w:sz w:val="3"/>
                <w:szCs w:val="3"/>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540" w:type="dxa"/>
            <w:vAlign w:val="bottom"/>
          </w:tcPr>
          <w:p>
            <w:pPr>
              <w:spacing w:after="0"/>
              <w:rPr>
                <w:sz w:val="3"/>
                <w:szCs w:val="3"/>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540" w:type="dxa"/>
            <w:vAlign w:val="bottom"/>
          </w:tcPr>
          <w:p>
            <w:pPr>
              <w:spacing w:after="0"/>
              <w:rPr>
                <w:sz w:val="10"/>
                <w:szCs w:val="10"/>
                <w:color w:val="auto"/>
              </w:rPr>
            </w:pPr>
          </w:p>
        </w:tc>
        <w:tc>
          <w:tcPr>
            <w:tcW w:w="33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Line)</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MILWAUKEE   WI</w:t>
            </w:r>
          </w:p>
        </w:tc>
        <w:tc>
          <w:tcPr>
            <w:tcW w:w="1020" w:type="dxa"/>
            <w:vAlign w:val="bottom"/>
          </w:tcPr>
          <w:p>
            <w:pPr>
              <w:spacing w:after="0"/>
              <w:rPr>
                <w:sz w:val="22"/>
                <w:szCs w:val="22"/>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53223</w:t>
            </w: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3260" w:type="dxa"/>
            <w:vAlign w:val="bottom"/>
            <w:gridSpan w:val="6"/>
            <w:vMerge w:val="restart"/>
          </w:tcPr>
          <w:p>
            <w:pPr>
              <w:jc w:val="center"/>
              <w:spacing w:after="0"/>
              <w:rPr>
                <w:sz w:val="20"/>
                <w:szCs w:val="20"/>
                <w:color w:val="auto"/>
              </w:rPr>
            </w:pPr>
            <w:r>
              <w:rPr>
                <w:rFonts w:ascii="Arial" w:cs="Arial" w:eastAsia="Arial" w:hAnsi="Arial"/>
                <w:sz w:val="14"/>
                <w:szCs w:val="14"/>
                <w:color w:val="auto"/>
                <w:w w:val="96"/>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26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6"/>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20"/>
              <w:spacing w:after="0"/>
              <w:rPr>
                <w:sz w:val="20"/>
                <w:szCs w:val="20"/>
                <w:color w:val="auto"/>
              </w:rPr>
            </w:pPr>
            <w:r>
              <w:rPr>
                <w:rFonts w:ascii="Arial" w:cs="Arial" w:eastAsia="Arial" w:hAnsi="Arial"/>
                <w:sz w:val="12"/>
                <w:szCs w:val="12"/>
                <w:b w:val="1"/>
                <w:bCs w:val="1"/>
                <w:color w:val="auto"/>
              </w:rPr>
              <w:t>6. Ownership</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20"/>
              <w:spacing w:after="0" w:line="131" w:lineRule="exact"/>
              <w:rPr>
                <w:sz w:val="20"/>
                <w:szCs w:val="20"/>
                <w:color w:val="auto"/>
              </w:rPr>
            </w:pPr>
            <w:r>
              <w:rPr>
                <w:rFonts w:ascii="Arial" w:cs="Arial" w:eastAsia="Arial" w:hAnsi="Arial"/>
                <w:sz w:val="12"/>
                <w:szCs w:val="12"/>
                <w:b w:val="1"/>
                <w:bCs w:val="1"/>
                <w:color w:val="auto"/>
              </w:rPr>
              <w:t>Form: Direct</w:t>
            </w: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jc w:val="center"/>
              <w:ind w:left="239"/>
              <w:spacing w:after="0" w:line="135" w:lineRule="exact"/>
              <w:rPr>
                <w:sz w:val="20"/>
                <w:szCs w:val="20"/>
                <w:color w:val="auto"/>
              </w:rPr>
            </w:pPr>
            <w:r>
              <w:rPr>
                <w:rFonts w:ascii="Arial" w:cs="Arial" w:eastAsia="Arial" w:hAnsi="Arial"/>
                <w:sz w:val="12"/>
                <w:szCs w:val="12"/>
                <w:b w:val="1"/>
                <w:bCs w:val="1"/>
                <w:color w:val="auto"/>
              </w:rPr>
              <w:t>(D) or Indirect</w:t>
            </w: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p>
        </w:tc>
        <w:tc>
          <w:tcPr>
            <w:tcW w:w="160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8"/>
                <w:szCs w:val="18"/>
                <w:color w:val="0000FF"/>
              </w:rPr>
              <w:t>02/01/2013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4"/>
                <w:szCs w:val="14"/>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0"/>
              </w:rPr>
              <w:t>129</w:t>
            </w:r>
            <w:r>
              <w:rPr>
                <w:rFonts w:ascii="Times New Roman" w:cs="Times New Roman" w:eastAsia="Times New Roman" w:hAnsi="Times New Roman"/>
                <w:sz w:val="22"/>
                <w:szCs w:val="22"/>
                <w:color w:val="008000"/>
                <w:w w:val="90"/>
                <w:vertAlign w:val="superscript"/>
              </w:rPr>
              <w:t>(1)</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35.37</w:t>
            </w:r>
          </w:p>
        </w:tc>
        <w:tc>
          <w:tcPr>
            <w:tcW w:w="1640" w:type="dxa"/>
            <w:vAlign w:val="bottom"/>
            <w:tcBorders>
              <w:bottom w:val="single" w:sz="8" w:color="2C2C2C"/>
            </w:tcBorders>
            <w:gridSpan w:val="4"/>
          </w:tcPr>
          <w:p>
            <w:pPr>
              <w:jc w:val="center"/>
              <w:ind w:right="259"/>
              <w:spacing w:after="0"/>
              <w:rPr>
                <w:sz w:val="20"/>
                <w:szCs w:val="20"/>
                <w:color w:val="auto"/>
              </w:rPr>
            </w:pPr>
            <w:r>
              <w:rPr>
                <w:rFonts w:ascii="Times New Roman" w:cs="Times New Roman" w:eastAsia="Times New Roman" w:hAnsi="Times New Roman"/>
                <w:sz w:val="18"/>
                <w:szCs w:val="18"/>
                <w:color w:val="0000FF"/>
                <w:w w:val="96"/>
              </w:rPr>
              <w:t>80,107</w:t>
            </w:r>
          </w:p>
        </w:tc>
        <w:tc>
          <w:tcPr>
            <w:tcW w:w="580" w:type="dxa"/>
            <w:vAlign w:val="bottom"/>
            <w:tcBorders>
              <w:bottom w:val="single" w:sz="8" w:color="2C2C2C"/>
            </w:tcBorders>
          </w:tcPr>
          <w:p>
            <w:pPr>
              <w:jc w:val="center"/>
              <w:ind w:right="368"/>
              <w:spacing w:after="0"/>
              <w:rPr>
                <w:sz w:val="20"/>
                <w:szCs w:val="20"/>
                <w:color w:val="auto"/>
              </w:rPr>
            </w:pPr>
            <w:r>
              <w:rPr>
                <w:rFonts w:ascii="Times New Roman" w:cs="Times New Roman" w:eastAsia="Times New Roman" w:hAnsi="Times New Roman"/>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r>
              <w:rPr>
                <w:rFonts w:ascii="Times New Roman" w:cs="Times New Roman" w:eastAsia="Times New Roman" w:hAnsi="Times New Roman"/>
                <w:sz w:val="22"/>
                <w:szCs w:val="22"/>
                <w:color w:val="008000"/>
                <w:vertAlign w:val="superscript"/>
              </w:rPr>
              <w:t>(2)</w:t>
            </w:r>
          </w:p>
        </w:tc>
        <w:tc>
          <w:tcPr>
            <w:tcW w:w="1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jc w:val="center"/>
              <w:ind w:left="359"/>
              <w:spacing w:after="0"/>
              <w:rPr>
                <w:sz w:val="20"/>
                <w:szCs w:val="20"/>
                <w:color w:val="auto"/>
              </w:rPr>
            </w:pPr>
            <w:r>
              <w:rPr>
                <w:rFonts w:ascii="Times New Roman" w:cs="Times New Roman" w:eastAsia="Times New Roman" w:hAnsi="Times New Roman"/>
                <w:sz w:val="18"/>
                <w:szCs w:val="18"/>
                <w:color w:val="0000FF"/>
                <w:w w:val="98"/>
              </w:rPr>
              <w:t>5,446</w:t>
            </w: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8"/>
              <w:spacing w:after="0"/>
              <w:rPr>
                <w:sz w:val="20"/>
                <w:szCs w:val="20"/>
                <w:color w:val="auto"/>
              </w:rPr>
            </w:pPr>
            <w:r>
              <w:rPr>
                <w:rFonts w:ascii="Times New Roman" w:cs="Times New Roman" w:eastAsia="Times New Roman" w:hAnsi="Times New Roman"/>
                <w:sz w:val="18"/>
                <w:szCs w:val="18"/>
                <w:color w:val="0000FF"/>
                <w:w w:val="99"/>
              </w:rPr>
              <w:t>I</w:t>
            </w:r>
          </w:p>
        </w:tc>
        <w:tc>
          <w:tcPr>
            <w:tcW w:w="112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8"/>
                <w:szCs w:val="18"/>
                <w:color w:val="0000FF"/>
              </w:rPr>
              <w:t>Spouse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r>
              <w:rPr>
                <w:rFonts w:ascii="Times New Roman" w:cs="Times New Roman" w:eastAsia="Times New Roman" w:hAnsi="Times New Roman"/>
                <w:sz w:val="22"/>
                <w:szCs w:val="22"/>
                <w:color w:val="008000"/>
                <w:vertAlign w:val="superscript"/>
              </w:rPr>
              <w:t>(3)</w:t>
            </w:r>
          </w:p>
        </w:tc>
        <w:tc>
          <w:tcPr>
            <w:tcW w:w="16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0000FF"/>
              </w:rPr>
              <w:t>02/01/2013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9"/>
                <w:vertAlign w:val="subscript"/>
              </w:rPr>
              <w:t>1</w:t>
            </w:r>
            <w:r>
              <w:rPr>
                <w:rFonts w:ascii="Times New Roman" w:cs="Times New Roman" w:eastAsia="Times New Roman" w:hAnsi="Times New Roman"/>
                <w:sz w:val="11"/>
                <w:szCs w:val="11"/>
                <w:color w:val="008000"/>
                <w:w w:val="89"/>
              </w:rPr>
              <w:t>(4)</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35.26</w:t>
            </w:r>
          </w:p>
        </w:tc>
        <w:tc>
          <w:tcPr>
            <w:tcW w:w="1640" w:type="dxa"/>
            <w:vAlign w:val="bottom"/>
            <w:gridSpan w:val="4"/>
            <w:vMerge w:val="restart"/>
          </w:tcPr>
          <w:p>
            <w:pPr>
              <w:jc w:val="center"/>
              <w:ind w:right="259"/>
              <w:spacing w:after="0"/>
              <w:rPr>
                <w:sz w:val="20"/>
                <w:szCs w:val="20"/>
                <w:color w:val="auto"/>
              </w:rPr>
            </w:pPr>
            <w:r>
              <w:rPr>
                <w:rFonts w:ascii="Times New Roman" w:cs="Times New Roman" w:eastAsia="Times New Roman" w:hAnsi="Times New Roman"/>
                <w:sz w:val="18"/>
                <w:szCs w:val="18"/>
                <w:color w:val="0000FF"/>
                <w:w w:val="96"/>
              </w:rPr>
              <w:t>91,084</w:t>
            </w:r>
          </w:p>
        </w:tc>
        <w:tc>
          <w:tcPr>
            <w:tcW w:w="580" w:type="dxa"/>
            <w:vAlign w:val="bottom"/>
            <w:vMerge w:val="restart"/>
          </w:tcPr>
          <w:p>
            <w:pPr>
              <w:jc w:val="center"/>
              <w:ind w:right="368"/>
              <w:spacing w:after="0"/>
              <w:rPr>
                <w:sz w:val="20"/>
                <w:szCs w:val="20"/>
                <w:color w:val="auto"/>
              </w:rPr>
            </w:pPr>
            <w:r>
              <w:rPr>
                <w:rFonts w:ascii="Times New Roman" w:cs="Times New Roman" w:eastAsia="Times New Roman" w:hAnsi="Times New Roman"/>
                <w:sz w:val="18"/>
                <w:szCs w:val="18"/>
                <w:color w:val="0000FF"/>
                <w:w w:val="99"/>
              </w:rPr>
              <w:t>I</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Deferred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Compensation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Class A Common Stock</w:t>
            </w:r>
            <w:r>
              <w:rPr>
                <w:rFonts w:ascii="Times New Roman" w:cs="Times New Roman" w:eastAsia="Times New Roman" w:hAnsi="Times New Roman"/>
                <w:sz w:val="22"/>
                <w:szCs w:val="22"/>
                <w:color w:val="008000"/>
                <w:vertAlign w:val="superscript"/>
              </w:rPr>
              <w:t>(3)</w:t>
            </w:r>
          </w:p>
        </w:tc>
        <w:tc>
          <w:tcPr>
            <w:tcW w:w="16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0000FF"/>
              </w:rPr>
              <w:t>02/04/2013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3"/>
                <w:vertAlign w:val="subscript"/>
              </w:rPr>
              <w:t>493</w:t>
            </w:r>
            <w:r>
              <w:rPr>
                <w:rFonts w:ascii="Times New Roman" w:cs="Times New Roman" w:eastAsia="Times New Roman" w:hAnsi="Times New Roman"/>
                <w:sz w:val="11"/>
                <w:szCs w:val="11"/>
                <w:color w:val="008000"/>
                <w:w w:val="83"/>
              </w:rPr>
              <w:t>(5)</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35.04</w:t>
            </w:r>
          </w:p>
        </w:tc>
        <w:tc>
          <w:tcPr>
            <w:tcW w:w="1640" w:type="dxa"/>
            <w:vAlign w:val="bottom"/>
            <w:gridSpan w:val="4"/>
            <w:vMerge w:val="restart"/>
          </w:tcPr>
          <w:p>
            <w:pPr>
              <w:jc w:val="center"/>
              <w:ind w:right="259"/>
              <w:spacing w:after="0"/>
              <w:rPr>
                <w:sz w:val="20"/>
                <w:szCs w:val="20"/>
                <w:color w:val="auto"/>
              </w:rPr>
            </w:pPr>
            <w:r>
              <w:rPr>
                <w:rFonts w:ascii="Times New Roman" w:cs="Times New Roman" w:eastAsia="Times New Roman" w:hAnsi="Times New Roman"/>
                <w:sz w:val="18"/>
                <w:szCs w:val="18"/>
                <w:color w:val="0000FF"/>
                <w:w w:val="96"/>
              </w:rPr>
              <w:t>91,577</w:t>
            </w:r>
          </w:p>
        </w:tc>
        <w:tc>
          <w:tcPr>
            <w:tcW w:w="580" w:type="dxa"/>
            <w:vAlign w:val="bottom"/>
            <w:vMerge w:val="restart"/>
          </w:tcPr>
          <w:p>
            <w:pPr>
              <w:jc w:val="center"/>
              <w:ind w:right="368"/>
              <w:spacing w:after="0"/>
              <w:rPr>
                <w:sz w:val="20"/>
                <w:szCs w:val="20"/>
                <w:color w:val="auto"/>
              </w:rPr>
            </w:pPr>
            <w:r>
              <w:rPr>
                <w:rFonts w:ascii="Times New Roman" w:cs="Times New Roman" w:eastAsia="Times New Roman" w:hAnsi="Times New Roman"/>
                <w:sz w:val="18"/>
                <w:szCs w:val="18"/>
                <w:color w:val="0000FF"/>
                <w:w w:val="99"/>
              </w:rPr>
              <w:t>I</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Deferred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Compensation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80" w:type="dxa"/>
            <w:vAlign w:val="bottom"/>
            <w:gridSpan w:val="12"/>
          </w:tcPr>
          <w:p>
            <w:pPr>
              <w:jc w:val="center"/>
              <w:ind w:right="9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4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Date</w:t>
            </w:r>
          </w:p>
        </w:tc>
        <w:tc>
          <w:tcPr>
            <w:tcW w:w="8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vMerge w:val="continue"/>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shares of class A Common Stock purchased under the issuer's Brady Matched 401(k) Plan. Includes quarterly contributions and a dividend reinvestment</w:t>
      </w:r>
    </w:p>
    <w:p>
      <w:pPr>
        <w:spacing w:after="0" w:line="41" w:lineRule="exact"/>
        <w:rPr>
          <w:rFonts w:ascii="Times New Roman" w:cs="Times New Roman" w:eastAsia="Times New Roman" w:hAnsi="Times New Roman"/>
          <w:sz w:val="14"/>
          <w:szCs w:val="14"/>
          <w:color w:val="008000"/>
        </w:rPr>
      </w:pPr>
    </w:p>
    <w:p>
      <w:pPr>
        <w:ind w:left="40" w:right="4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shares of Class A Common Stock acquired under the Brady Corporation Executive Deferred Compensation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the shares acquired from the reporting owner's contributions into the deferred compensation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shares acquired pursuant to a dividend on February 4, 2013.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Sherilyn R. Whitmoyer,</w:t>
            </w: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02/05/2013</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Attorney-In-Fact</w:t>
            </w:r>
          </w:p>
        </w:tc>
        <w:tc>
          <w:tcPr>
            <w:tcW w:w="48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2019-12-16T04:27:07Z</dcterms:created>
  <dcterms:modified xsi:type="dcterms:W3CDTF">2019-12-16T04:27:07Z</dcterms:modified>
</cp:coreProperties>
</file>